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0D4B97">
        <w:trPr>
          <w:trHeight w:val="361"/>
        </w:trPr>
        <w:tc>
          <w:tcPr>
            <w:tcW w:w="3271" w:type="dxa"/>
          </w:tcPr>
          <w:p w:rsidR="000D4B97" w:rsidRDefault="0078765E" w:rsidP="003609B9">
            <w:pPr>
              <w:rPr>
                <w:sz w:val="28"/>
                <w:szCs w:val="28"/>
                <w:lang w:val="uk-UA"/>
              </w:rPr>
            </w:pPr>
            <w:r>
              <w:rPr>
                <w:sz w:val="28"/>
                <w:szCs w:val="28"/>
                <w:lang w:val="uk-UA"/>
              </w:rPr>
              <w:t xml:space="preserve">26 березня 2026 року </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0D4B97" w:rsidRDefault="0078765E" w:rsidP="003609B9">
            <w:pPr>
              <w:ind w:firstLine="72"/>
              <w:jc w:val="center"/>
              <w:rPr>
                <w:sz w:val="28"/>
                <w:szCs w:val="28"/>
                <w:lang w:val="uk-UA"/>
              </w:rPr>
            </w:pPr>
            <w:r>
              <w:rPr>
                <w:sz w:val="28"/>
                <w:szCs w:val="28"/>
                <w:lang w:val="uk-UA"/>
              </w:rPr>
              <w:t>№ 400</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w:t>
      </w:r>
      <w:r w:rsidR="001B5092">
        <w:rPr>
          <w:rFonts w:ascii="Times New Roman" w:hAnsi="Times New Roman"/>
          <w:b/>
          <w:sz w:val="28"/>
          <w:szCs w:val="28"/>
          <w:lang w:val="uk-UA"/>
        </w:rPr>
        <w:t xml:space="preserve">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Сполучених Штатів Америки,</w:t>
      </w:r>
      <w:r w:rsidR="00D532DA">
        <w:rPr>
          <w:rFonts w:ascii="Times New Roman" w:hAnsi="Times New Roman"/>
          <w:b/>
          <w:sz w:val="28"/>
          <w:szCs w:val="28"/>
          <w:lang w:val="uk-UA"/>
        </w:rPr>
        <w:t xml:space="preserve"> Великої Британії, </w:t>
      </w:r>
      <w:r w:rsidR="001B5092" w:rsidRPr="009D14D1">
        <w:rPr>
          <w:rFonts w:ascii="Times New Roman" w:hAnsi="Times New Roman"/>
          <w:b/>
          <w:sz w:val="28"/>
          <w:szCs w:val="28"/>
          <w:lang w:val="uk-UA"/>
        </w:rPr>
        <w:t xml:space="preserve">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Pr="00685E27"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996BB8">
        <w:rPr>
          <w:rFonts w:ascii="Times New Roman" w:hAnsi="Times New Roman"/>
          <w:sz w:val="28"/>
          <w:szCs w:val="28"/>
          <w:lang w:val="uk-UA"/>
        </w:rPr>
        <w:t xml:space="preserve">31,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996BB8" w:rsidRPr="00996BB8">
        <w:rPr>
          <w:rFonts w:ascii="Times New Roman" w:hAnsi="Times New Roman"/>
          <w:sz w:val="28"/>
          <w:szCs w:val="28"/>
          <w:lang w:val="uk-UA"/>
        </w:rPr>
        <w:t>39</w:t>
      </w:r>
      <w:r w:rsidRPr="00996BB8">
        <w:rPr>
          <w:rFonts w:ascii="Times New Roman" w:hAnsi="Times New Roman"/>
          <w:sz w:val="28"/>
          <w:szCs w:val="28"/>
          <w:lang w:val="uk-UA"/>
        </w:rPr>
        <w:t xml:space="preserve"> Порядку державної реєстрації (перереєстрації) лікарських засобів, затверджено</w:t>
      </w:r>
      <w:r w:rsidRPr="00E445F7">
        <w:rPr>
          <w:rFonts w:ascii="Times New Roman" w:hAnsi="Times New Roman"/>
          <w:sz w:val="28"/>
          <w:szCs w:val="28"/>
          <w:lang w:val="uk-UA"/>
        </w:rPr>
        <w:t xml:space="preserve">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92984" w:rsidRPr="002769D8">
        <w:rPr>
          <w:rFonts w:ascii="Times New Roman" w:hAnsi="Times New Roman"/>
          <w:sz w:val="28"/>
          <w:szCs w:val="28"/>
          <w:lang w:val="uk-UA"/>
        </w:rPr>
        <w:t xml:space="preserve">двадцять </w:t>
      </w:r>
      <w:r w:rsidR="00C92984">
        <w:rPr>
          <w:rFonts w:ascii="Times New Roman" w:hAnsi="Times New Roman"/>
          <w:sz w:val="28"/>
          <w:szCs w:val="28"/>
          <w:lang w:val="uk-UA"/>
        </w:rPr>
        <w:t>п’ятого</w:t>
      </w:r>
      <w:r w:rsidR="00C92984" w:rsidRPr="002769D8">
        <w:rPr>
          <w:rFonts w:ascii="Times New Roman" w:hAnsi="Times New Roman"/>
          <w:sz w:val="28"/>
          <w:szCs w:val="28"/>
          <w:lang w:val="uk-UA"/>
        </w:rPr>
        <w:t xml:space="preserve"> </w:t>
      </w:r>
      <w:r w:rsidRPr="001504B0">
        <w:rPr>
          <w:rFonts w:ascii="Times New Roman" w:hAnsi="Times New Roman"/>
          <w:sz w:val="28"/>
          <w:szCs w:val="28"/>
          <w:lang w:val="uk-UA"/>
        </w:rPr>
        <w:t>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7141A8" w:rsidRPr="00EA7160">
        <w:rPr>
          <w:rFonts w:ascii="Times New Roman" w:hAnsi="Times New Roman"/>
          <w:sz w:val="28"/>
          <w:szCs w:val="28"/>
          <w:lang w:val="uk-UA"/>
        </w:rPr>
        <w:t>пункту 12 розділу ІІІ</w:t>
      </w:r>
      <w:r w:rsidR="008D115B" w:rsidRPr="00EA7160">
        <w:rPr>
          <w:rFonts w:ascii="Times New Roman" w:hAnsi="Times New Roman"/>
          <w:sz w:val="28"/>
          <w:szCs w:val="28"/>
          <w:lang w:val="uk-UA"/>
        </w:rPr>
        <w:t xml:space="preserve"> Порядку </w:t>
      </w:r>
      <w:r w:rsidR="00F83DC6" w:rsidRPr="00F83DC6">
        <w:rPr>
          <w:rFonts w:ascii="Times New Roman" w:hAnsi="Times New Roman"/>
          <w:sz w:val="28"/>
          <w:szCs w:val="28"/>
          <w:lang w:val="uk-UA"/>
        </w:rPr>
        <w:t>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Великої Британії,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8D115B" w:rsidRPr="001E77D4">
        <w:rPr>
          <w:rFonts w:ascii="Times New Roman" w:hAnsi="Times New Roman"/>
          <w:sz w:val="28"/>
          <w:szCs w:val="28"/>
          <w:lang w:val="uk-UA"/>
        </w:rPr>
        <w:t>,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5A0116">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 xml:space="preserve">про результати розгляду матеріалів про внесення змін до </w:t>
      </w:r>
      <w:r w:rsidR="000B186D" w:rsidRPr="00685E27">
        <w:rPr>
          <w:rFonts w:ascii="Times New Roman" w:hAnsi="Times New Roman"/>
          <w:sz w:val="28"/>
          <w:szCs w:val="28"/>
          <w:lang w:val="uk-UA"/>
        </w:rPr>
        <w:t>реєстраційних матеріалів лікарських засобів, які зареєстровані компетентним органом та застосову</w:t>
      </w:r>
      <w:r w:rsidR="005A0116" w:rsidRPr="00685E27">
        <w:rPr>
          <w:rFonts w:ascii="Times New Roman" w:hAnsi="Times New Roman"/>
          <w:sz w:val="28"/>
          <w:szCs w:val="28"/>
          <w:lang w:val="uk-UA"/>
        </w:rPr>
        <w:t>ю</w:t>
      </w:r>
      <w:r w:rsidR="000B186D" w:rsidRPr="00685E27">
        <w:rPr>
          <w:rFonts w:ascii="Times New Roman" w:hAnsi="Times New Roman"/>
          <w:sz w:val="28"/>
          <w:szCs w:val="28"/>
          <w:lang w:val="uk-UA"/>
        </w:rPr>
        <w:t>ться на території цієї країни чи держав – членів Європейського Союзу,</w:t>
      </w:r>
      <w:r w:rsidR="00C51484">
        <w:rPr>
          <w:rFonts w:ascii="Times New Roman" w:hAnsi="Times New Roman"/>
          <w:sz w:val="28"/>
          <w:szCs w:val="28"/>
          <w:lang w:val="uk-UA"/>
        </w:rPr>
        <w:t xml:space="preserve">   </w:t>
      </w:r>
    </w:p>
    <w:p w:rsidR="000B186D" w:rsidRPr="00685E27" w:rsidRDefault="000B186D" w:rsidP="008D115B">
      <w:pPr>
        <w:pStyle w:val="HTML"/>
        <w:ind w:firstLine="720"/>
        <w:jc w:val="both"/>
        <w:rPr>
          <w:rFonts w:ascii="Times New Roman" w:hAnsi="Times New Roman"/>
          <w:sz w:val="16"/>
          <w:szCs w:val="16"/>
          <w:lang w:val="uk-UA"/>
        </w:rPr>
      </w:pPr>
    </w:p>
    <w:p w:rsidR="00FC73F7" w:rsidRDefault="00FC73F7" w:rsidP="00A24656">
      <w:pPr>
        <w:pStyle w:val="31"/>
        <w:spacing w:after="0"/>
        <w:ind w:left="0"/>
        <w:rPr>
          <w:b/>
          <w:bCs/>
          <w:sz w:val="28"/>
          <w:szCs w:val="28"/>
          <w:lang w:val="uk-UA"/>
        </w:rPr>
      </w:pPr>
      <w:r w:rsidRPr="00685E27">
        <w:rPr>
          <w:b/>
          <w:bCs/>
          <w:sz w:val="28"/>
          <w:szCs w:val="28"/>
          <w:lang w:val="uk-UA"/>
        </w:rPr>
        <w:t>НАКАЗУЮ:</w:t>
      </w:r>
    </w:p>
    <w:p w:rsidR="00315B83" w:rsidRPr="00685E27" w:rsidRDefault="00315B83" w:rsidP="00A24656">
      <w:pPr>
        <w:pStyle w:val="31"/>
        <w:spacing w:after="0"/>
        <w:ind w:left="0"/>
        <w:rPr>
          <w:b/>
          <w:bCs/>
          <w:sz w:val="28"/>
          <w:szCs w:val="28"/>
          <w:lang w:val="uk-UA"/>
        </w:rPr>
      </w:pPr>
    </w:p>
    <w:p w:rsidR="001B5092" w:rsidRPr="002A0AE7" w:rsidRDefault="001B5092" w:rsidP="00D8367D">
      <w:pPr>
        <w:numPr>
          <w:ilvl w:val="0"/>
          <w:numId w:val="5"/>
        </w:numPr>
        <w:tabs>
          <w:tab w:val="left" w:pos="993"/>
          <w:tab w:val="left" w:pos="1134"/>
        </w:tabs>
        <w:ind w:left="0" w:firstLine="709"/>
        <w:jc w:val="both"/>
        <w:rPr>
          <w:sz w:val="28"/>
          <w:szCs w:val="28"/>
          <w:lang w:val="uk-UA"/>
        </w:rPr>
      </w:pPr>
      <w:r>
        <w:rPr>
          <w:sz w:val="28"/>
          <w:szCs w:val="28"/>
          <w:lang w:val="uk-UA"/>
        </w:rPr>
        <w:t xml:space="preserve">Внести зміни до реєстраційних матеріалів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w:t>
      </w:r>
      <w:r w:rsidR="00DC700E" w:rsidRPr="002A0AE7">
        <w:rPr>
          <w:sz w:val="28"/>
          <w:szCs w:val="28"/>
          <w:lang w:val="uk-UA"/>
        </w:rPr>
        <w:t>імунобіологічні препарати), які зареєстровані компетентними органами Сполучених Штатів Америки,</w:t>
      </w:r>
      <w:r w:rsidR="00315B83">
        <w:rPr>
          <w:sz w:val="28"/>
          <w:szCs w:val="28"/>
          <w:lang w:val="uk-UA"/>
        </w:rPr>
        <w:t xml:space="preserve"> Великої Британії,</w:t>
      </w:r>
      <w:r w:rsidR="00DC700E" w:rsidRPr="002A0AE7">
        <w:rPr>
          <w:sz w:val="28"/>
          <w:szCs w:val="28"/>
          <w:lang w:val="uk-UA"/>
        </w:rPr>
        <w:t xml:space="preserve"> Швейцарської Конфедерації, Японії, Австралії, Канади, лікарськ</w:t>
      </w:r>
      <w:r w:rsidR="00C13FFD" w:rsidRPr="002A0AE7">
        <w:rPr>
          <w:sz w:val="28"/>
          <w:szCs w:val="28"/>
          <w:lang w:val="uk-UA"/>
        </w:rPr>
        <w:t>і</w:t>
      </w:r>
      <w:r w:rsidR="00DC700E" w:rsidRPr="002A0AE7">
        <w:rPr>
          <w:sz w:val="28"/>
          <w:szCs w:val="28"/>
          <w:lang w:val="uk-UA"/>
        </w:rPr>
        <w:t xml:space="preserve"> засоб</w:t>
      </w:r>
      <w:r w:rsidR="00C13FFD" w:rsidRPr="002A0AE7">
        <w:rPr>
          <w:sz w:val="28"/>
          <w:szCs w:val="28"/>
          <w:lang w:val="uk-UA"/>
        </w:rPr>
        <w:t>и</w:t>
      </w:r>
      <w:r w:rsidR="00DC700E" w:rsidRPr="002A0AE7">
        <w:rPr>
          <w:sz w:val="28"/>
          <w:szCs w:val="28"/>
          <w:lang w:val="uk-UA"/>
        </w:rPr>
        <w:t xml:space="preserve">, що за централізованою процедурою </w:t>
      </w:r>
      <w:r w:rsidR="00DC700E" w:rsidRPr="002A0AE7">
        <w:rPr>
          <w:sz w:val="28"/>
          <w:szCs w:val="28"/>
          <w:lang w:val="uk-UA"/>
        </w:rPr>
        <w:lastRenderedPageBreak/>
        <w:t xml:space="preserve">зареєстровані компетентним органом Європейського Союзу, </w:t>
      </w:r>
      <w:r w:rsidR="00B90A30" w:rsidRPr="002A0AE7">
        <w:rPr>
          <w:sz w:val="28"/>
          <w:szCs w:val="28"/>
          <w:lang w:val="uk-UA"/>
        </w:rPr>
        <w:t xml:space="preserve">та до Державного реєстру лікарських засобів </w:t>
      </w:r>
      <w:r w:rsidRPr="002A0AE7">
        <w:rPr>
          <w:sz w:val="28"/>
          <w:szCs w:val="28"/>
          <w:lang w:val="uk-UA"/>
        </w:rPr>
        <w:t>згідно з додатком.</w:t>
      </w:r>
    </w:p>
    <w:p w:rsidR="00D8367D" w:rsidRPr="002A0AE7" w:rsidRDefault="00D8367D" w:rsidP="00D8367D">
      <w:pPr>
        <w:pStyle w:val="a8"/>
        <w:tabs>
          <w:tab w:val="left" w:pos="1134"/>
        </w:tabs>
        <w:ind w:left="0" w:firstLine="709"/>
        <w:jc w:val="both"/>
        <w:rPr>
          <w:sz w:val="28"/>
          <w:szCs w:val="28"/>
          <w:lang w:val="uk-UA"/>
        </w:rPr>
      </w:pPr>
    </w:p>
    <w:p w:rsidR="004D3F9B" w:rsidRPr="002A0AE7" w:rsidRDefault="004D3F9B" w:rsidP="00D8367D">
      <w:pPr>
        <w:numPr>
          <w:ilvl w:val="0"/>
          <w:numId w:val="5"/>
        </w:numPr>
        <w:tabs>
          <w:tab w:val="left" w:pos="709"/>
          <w:tab w:val="left" w:pos="993"/>
          <w:tab w:val="left" w:pos="1080"/>
          <w:tab w:val="left" w:pos="1134"/>
        </w:tabs>
        <w:ind w:left="0" w:firstLine="709"/>
        <w:jc w:val="both"/>
        <w:rPr>
          <w:sz w:val="28"/>
          <w:szCs w:val="28"/>
          <w:lang w:val="uk-UA"/>
        </w:rPr>
      </w:pPr>
      <w:r w:rsidRPr="002A0AE7">
        <w:rPr>
          <w:sz w:val="28"/>
          <w:szCs w:val="28"/>
          <w:lang w:val="uk-UA"/>
        </w:rPr>
        <w:t>Фармацевтичному управлінню</w:t>
      </w:r>
      <w:r w:rsidR="000F6B69" w:rsidRPr="002A0AE7">
        <w:rPr>
          <w:sz w:val="28"/>
          <w:szCs w:val="28"/>
          <w:lang w:val="uk-UA"/>
        </w:rPr>
        <w:t xml:space="preserve"> (</w:t>
      </w:r>
      <w:r w:rsidR="003E55E3" w:rsidRPr="002A0AE7">
        <w:rPr>
          <w:sz w:val="28"/>
          <w:szCs w:val="28"/>
          <w:lang w:val="uk-UA"/>
        </w:rPr>
        <w:t>Олександру Гріценку</w:t>
      </w:r>
      <w:r w:rsidR="000F6B69" w:rsidRPr="002A0AE7">
        <w:rPr>
          <w:sz w:val="28"/>
          <w:szCs w:val="28"/>
          <w:lang w:val="uk-UA"/>
        </w:rPr>
        <w:t>)</w:t>
      </w:r>
      <w:r w:rsidRPr="002A0AE7">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8367D">
      <w:pPr>
        <w:tabs>
          <w:tab w:val="left" w:pos="1134"/>
        </w:tabs>
        <w:ind w:firstLine="709"/>
        <w:jc w:val="both"/>
        <w:rPr>
          <w:sz w:val="16"/>
          <w:szCs w:val="16"/>
          <w:lang w:val="uk-UA"/>
        </w:rPr>
      </w:pPr>
    </w:p>
    <w:p w:rsidR="00A85639" w:rsidRPr="001F6104" w:rsidRDefault="00A85639" w:rsidP="00D8367D">
      <w:pPr>
        <w:tabs>
          <w:tab w:val="left" w:pos="1134"/>
        </w:tabs>
        <w:ind w:firstLine="709"/>
        <w:jc w:val="both"/>
        <w:rPr>
          <w:sz w:val="16"/>
          <w:szCs w:val="16"/>
          <w:lang w:val="uk-UA"/>
        </w:rPr>
      </w:pPr>
    </w:p>
    <w:p w:rsidR="005503D7" w:rsidRPr="005503D7" w:rsidRDefault="00E40B91" w:rsidP="00D8367D">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 xml:space="preserve">покласти на заступника Міністра </w:t>
      </w:r>
      <w:r w:rsidR="00834EF6">
        <w:rPr>
          <w:sz w:val="28"/>
          <w:szCs w:val="28"/>
          <w:lang w:val="uk-UA"/>
        </w:rPr>
        <w:t>Євгенія Гончара</w:t>
      </w:r>
      <w:r w:rsidR="003E55E3">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D81417"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p>
    <w:p w:rsidR="00D81417" w:rsidRDefault="00D81417" w:rsidP="004E1A23">
      <w:pPr>
        <w:rPr>
          <w:b/>
          <w:sz w:val="28"/>
          <w:szCs w:val="28"/>
          <w:lang w:val="uk-UA"/>
        </w:rPr>
        <w:sectPr w:rsidR="00D81417"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p w:rsidR="00D81417" w:rsidRDefault="00D81417" w:rsidP="00D81417"/>
    <w:tbl>
      <w:tblPr>
        <w:tblpPr w:leftFromText="180" w:rightFromText="180" w:vertAnchor="text" w:horzAnchor="page" w:tblpX="12546" w:tblpY="-207"/>
        <w:tblW w:w="0" w:type="auto"/>
        <w:tblLook w:val="04A0" w:firstRow="1" w:lastRow="0" w:firstColumn="1" w:lastColumn="0" w:noHBand="0" w:noVBand="1"/>
      </w:tblPr>
      <w:tblGrid>
        <w:gridCol w:w="3827"/>
      </w:tblGrid>
      <w:tr w:rsidR="00D81417" w:rsidRPr="00323AA9" w:rsidTr="003F1B9C">
        <w:tc>
          <w:tcPr>
            <w:tcW w:w="3827" w:type="dxa"/>
            <w:hideMark/>
          </w:tcPr>
          <w:p w:rsidR="00D81417" w:rsidRDefault="00D81417" w:rsidP="00C74C09">
            <w:pPr>
              <w:pStyle w:val="4"/>
              <w:tabs>
                <w:tab w:val="left" w:pos="12600"/>
              </w:tabs>
              <w:spacing w:before="0" w:after="0"/>
              <w:jc w:val="both"/>
              <w:rPr>
                <w:b w:val="0"/>
                <w:sz w:val="18"/>
                <w:szCs w:val="18"/>
              </w:rPr>
            </w:pPr>
            <w:bookmarkStart w:id="1" w:name="_Hlk64454507"/>
            <w:r>
              <w:rPr>
                <w:b w:val="0"/>
                <w:sz w:val="18"/>
                <w:szCs w:val="18"/>
              </w:rPr>
              <w:t xml:space="preserve">Додаток  </w:t>
            </w:r>
          </w:p>
          <w:p w:rsidR="00D81417" w:rsidRPr="00135231" w:rsidRDefault="00D81417" w:rsidP="00C74C09">
            <w:pPr>
              <w:jc w:val="both"/>
              <w:rPr>
                <w:sz w:val="18"/>
                <w:szCs w:val="18"/>
              </w:rPr>
            </w:pPr>
            <w:r w:rsidRPr="00323AA9">
              <w:rPr>
                <w:sz w:val="18"/>
                <w:szCs w:val="18"/>
              </w:rPr>
              <w:t>до наказу Міністерства охорони здоров’я України «</w:t>
            </w:r>
            <w:r w:rsidRPr="00510EAD">
              <w:rPr>
                <w:sz w:val="18"/>
                <w:szCs w:val="18"/>
              </w:rPr>
              <w:t>Про внесення змін до реєстраційних матеріалів лікарських засобів, які зареєстровані компетентними органами Сполучених Штатів Америки, Великої Британії, Швейцарської Конфедерації, Японії, Австралії, Канади, Європейського Союзу</w:t>
            </w:r>
            <w:r w:rsidRPr="00135231">
              <w:rPr>
                <w:sz w:val="18"/>
                <w:szCs w:val="18"/>
              </w:rPr>
              <w:t>»</w:t>
            </w:r>
          </w:p>
          <w:p w:rsidR="00D81417" w:rsidRPr="001E1DC3" w:rsidRDefault="00D81417" w:rsidP="00C74C09">
            <w:pPr>
              <w:jc w:val="both"/>
              <w:rPr>
                <w:rFonts w:cs="Calibri"/>
                <w:u w:val="single"/>
              </w:rPr>
            </w:pPr>
            <w:r w:rsidRPr="001E1DC3">
              <w:rPr>
                <w:sz w:val="18"/>
                <w:szCs w:val="18"/>
                <w:u w:val="single"/>
              </w:rPr>
              <w:t xml:space="preserve">від </w:t>
            </w:r>
            <w:r>
              <w:rPr>
                <w:sz w:val="18"/>
                <w:szCs w:val="18"/>
                <w:u w:val="single"/>
              </w:rPr>
              <w:t xml:space="preserve">26 березня 2026 року  </w:t>
            </w:r>
            <w:r w:rsidRPr="001E1DC3">
              <w:rPr>
                <w:sz w:val="18"/>
                <w:szCs w:val="18"/>
                <w:u w:val="single"/>
              </w:rPr>
              <w:t>№</w:t>
            </w:r>
            <w:r>
              <w:rPr>
                <w:sz w:val="18"/>
                <w:szCs w:val="18"/>
                <w:u w:val="single"/>
              </w:rPr>
              <w:t xml:space="preserve"> 400  </w:t>
            </w:r>
            <w:r w:rsidRPr="001E1DC3">
              <w:rPr>
                <w:sz w:val="18"/>
                <w:szCs w:val="18"/>
                <w:u w:val="single"/>
              </w:rPr>
              <w:t xml:space="preserve"> </w:t>
            </w:r>
          </w:p>
        </w:tc>
        <w:bookmarkEnd w:id="1"/>
      </w:tr>
    </w:tbl>
    <w:p w:rsidR="00D81417" w:rsidRDefault="00D81417" w:rsidP="00D81417">
      <w:pPr>
        <w:pStyle w:val="4"/>
        <w:tabs>
          <w:tab w:val="left" w:pos="12600"/>
        </w:tabs>
        <w:rPr>
          <w:rFonts w:cs="Arial"/>
          <w:sz w:val="18"/>
          <w:szCs w:val="18"/>
        </w:rPr>
      </w:pPr>
      <w:r>
        <w:rPr>
          <w:rFonts w:cs="Arial"/>
          <w:sz w:val="18"/>
          <w:szCs w:val="18"/>
        </w:rPr>
        <w:t xml:space="preserve">                                                                                                                                                                                                      </w:t>
      </w:r>
    </w:p>
    <w:p w:rsidR="00D81417" w:rsidRDefault="00D81417" w:rsidP="00D81417">
      <w:pPr>
        <w:pStyle w:val="4"/>
        <w:tabs>
          <w:tab w:val="left" w:pos="12600"/>
        </w:tabs>
        <w:rPr>
          <w:rFonts w:cs="Arial"/>
          <w:sz w:val="18"/>
          <w:szCs w:val="18"/>
        </w:rPr>
      </w:pPr>
    </w:p>
    <w:p w:rsidR="00D81417" w:rsidRDefault="00D81417" w:rsidP="00D81417">
      <w:pPr>
        <w:pStyle w:val="4"/>
        <w:tabs>
          <w:tab w:val="left" w:pos="12600"/>
        </w:tabs>
        <w:rPr>
          <w:rFonts w:cs="Arial"/>
          <w:sz w:val="18"/>
          <w:szCs w:val="18"/>
        </w:rPr>
      </w:pPr>
    </w:p>
    <w:p w:rsidR="00D81417" w:rsidRDefault="00D81417" w:rsidP="00D81417">
      <w:pPr>
        <w:pStyle w:val="4"/>
        <w:tabs>
          <w:tab w:val="left" w:pos="12600"/>
        </w:tabs>
        <w:rPr>
          <w:rFonts w:cs="Arial"/>
          <w:sz w:val="18"/>
          <w:szCs w:val="18"/>
        </w:rPr>
      </w:pPr>
    </w:p>
    <w:p w:rsidR="00D81417" w:rsidRDefault="00D81417" w:rsidP="00D81417">
      <w:pPr>
        <w:pStyle w:val="4"/>
        <w:tabs>
          <w:tab w:val="left" w:pos="12600"/>
        </w:tabs>
        <w:rPr>
          <w:rFonts w:cs="Arial"/>
          <w:sz w:val="18"/>
          <w:szCs w:val="18"/>
        </w:rPr>
      </w:pPr>
    </w:p>
    <w:p w:rsidR="00D81417" w:rsidRPr="00C74C09" w:rsidRDefault="00D81417" w:rsidP="00C74C09">
      <w:pPr>
        <w:pStyle w:val="2"/>
        <w:tabs>
          <w:tab w:val="left" w:pos="12600"/>
        </w:tabs>
        <w:spacing w:before="0" w:after="0"/>
        <w:jc w:val="center"/>
        <w:rPr>
          <w:rFonts w:ascii="Times New Roman" w:hAnsi="Times New Roman"/>
          <w:i w:val="0"/>
          <w:caps/>
        </w:rPr>
      </w:pPr>
      <w:r w:rsidRPr="00C74C09">
        <w:rPr>
          <w:rFonts w:ascii="Times New Roman" w:hAnsi="Times New Roman"/>
          <w:i w:val="0"/>
        </w:rPr>
        <w:t>ПЕРЕЛІК</w:t>
      </w:r>
    </w:p>
    <w:p w:rsidR="00D81417" w:rsidRPr="00C74C09" w:rsidRDefault="00D81417" w:rsidP="00C74C09">
      <w:pPr>
        <w:pStyle w:val="Normal"/>
        <w:ind w:left="284"/>
        <w:jc w:val="center"/>
        <w:rPr>
          <w:b/>
          <w:caps/>
          <w:sz w:val="28"/>
          <w:szCs w:val="28"/>
        </w:rPr>
      </w:pPr>
      <w:r w:rsidRPr="00C74C09">
        <w:rPr>
          <w:b/>
          <w:caps/>
          <w:sz w:val="28"/>
          <w:szCs w:val="28"/>
        </w:rPr>
        <w:t xml:space="preserve">ЛІКАРСЬКИХ ЗАСОБІВ (МЕДИЧНИХ ІМУНОБІОЛОГІЧНИХ ПРЕПАРАТІВ), </w:t>
      </w:r>
      <w:r w:rsidRPr="00C74C09">
        <w:rPr>
          <w:b/>
          <w:sz w:val="28"/>
          <w:szCs w:val="28"/>
        </w:rPr>
        <w:t xml:space="preserve">ЯКІ ЗАРЕЄСТРОВАНІ КОМПЕТЕНТНИМИ ОРГАНАМИ СПОЛУЧЕНИХ ШТАТІВ АМЕРИКИ, ВЕЛИКОЇ БРИТАНІЇ,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C74C09">
        <w:rPr>
          <w:b/>
          <w:caps/>
          <w:sz w:val="28"/>
          <w:szCs w:val="28"/>
        </w:rPr>
        <w:t>ЩОДО ЯКИХ БУЛИ ВНЕСЕНІ ЗМІНИ ДО РЕЄСТРАЦІЙНИХ МАТЕРІАЛІВ, ЯКІ ВНОСЯТЬСЯ ДО ДЕРЖАВНОГО РЕЄСТРУ ЛІКАРСЬКИХ ЗАСОБІВ</w:t>
      </w:r>
    </w:p>
    <w:p w:rsidR="00D81417" w:rsidRPr="00C74C09" w:rsidRDefault="00D81417" w:rsidP="00C74C09">
      <w:pPr>
        <w:pStyle w:val="Normal"/>
        <w:ind w:left="284"/>
        <w:jc w:val="center"/>
        <w:rPr>
          <w:b/>
          <w:caps/>
          <w:sz w:val="28"/>
          <w:szCs w:val="28"/>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134"/>
        <w:gridCol w:w="1276"/>
        <w:gridCol w:w="992"/>
        <w:gridCol w:w="1276"/>
        <w:gridCol w:w="992"/>
        <w:gridCol w:w="1134"/>
        <w:gridCol w:w="1134"/>
        <w:gridCol w:w="992"/>
        <w:gridCol w:w="1843"/>
        <w:gridCol w:w="1134"/>
        <w:gridCol w:w="1843"/>
      </w:tblGrid>
      <w:tr w:rsidR="00C74C09" w:rsidRPr="00C8484E" w:rsidTr="004B2155">
        <w:trPr>
          <w:tblHeader/>
        </w:trPr>
        <w:tc>
          <w:tcPr>
            <w:tcW w:w="567" w:type="dxa"/>
            <w:tcBorders>
              <w:top w:val="single" w:sz="4" w:space="0" w:color="000000"/>
              <w:left w:val="single" w:sz="4" w:space="0" w:color="auto"/>
              <w:right w:val="single" w:sz="4" w:space="0" w:color="auto"/>
            </w:tcBorders>
            <w:shd w:val="clear" w:color="auto" w:fill="BFBFBF"/>
            <w:hideMark/>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 п/п</w:t>
            </w:r>
          </w:p>
        </w:tc>
        <w:tc>
          <w:tcPr>
            <w:tcW w:w="1418" w:type="dxa"/>
            <w:tcBorders>
              <w:top w:val="single" w:sz="4" w:space="0" w:color="000000"/>
              <w:left w:val="single" w:sz="4" w:space="0" w:color="auto"/>
              <w:right w:val="single" w:sz="4" w:space="0" w:color="auto"/>
            </w:tcBorders>
            <w:shd w:val="clear" w:color="auto" w:fill="BFBFBF"/>
            <w:hideMark/>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Назва лікарського засобу</w:t>
            </w:r>
          </w:p>
        </w:tc>
        <w:tc>
          <w:tcPr>
            <w:tcW w:w="1134" w:type="dxa"/>
            <w:tcBorders>
              <w:top w:val="single" w:sz="4" w:space="0" w:color="000000"/>
              <w:left w:val="single" w:sz="4" w:space="0" w:color="auto"/>
              <w:right w:val="single" w:sz="4" w:space="0" w:color="auto"/>
            </w:tcBorders>
            <w:shd w:val="clear" w:color="auto" w:fill="BFBFBF"/>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Міжнародна непатентована назва*</w:t>
            </w:r>
          </w:p>
        </w:tc>
        <w:tc>
          <w:tcPr>
            <w:tcW w:w="1276" w:type="dxa"/>
            <w:tcBorders>
              <w:top w:val="single" w:sz="4" w:space="0" w:color="000000"/>
              <w:left w:val="single" w:sz="4" w:space="0" w:color="auto"/>
              <w:right w:val="single" w:sz="4" w:space="0" w:color="auto"/>
            </w:tcBorders>
            <w:shd w:val="clear" w:color="auto" w:fill="BFBFBF"/>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Назва діючої речовини</w:t>
            </w:r>
          </w:p>
        </w:tc>
        <w:tc>
          <w:tcPr>
            <w:tcW w:w="992" w:type="dxa"/>
            <w:tcBorders>
              <w:top w:val="single" w:sz="4" w:space="0" w:color="000000"/>
              <w:left w:val="single" w:sz="4" w:space="0" w:color="auto"/>
              <w:right w:val="single" w:sz="4" w:space="0" w:color="auto"/>
            </w:tcBorders>
            <w:shd w:val="clear" w:color="auto" w:fill="BFBFBF"/>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Код АТХ</w:t>
            </w:r>
          </w:p>
        </w:tc>
        <w:tc>
          <w:tcPr>
            <w:tcW w:w="1276" w:type="dxa"/>
            <w:tcBorders>
              <w:top w:val="single" w:sz="4" w:space="0" w:color="000000"/>
              <w:left w:val="single" w:sz="4" w:space="0" w:color="auto"/>
              <w:right w:val="single" w:sz="4" w:space="0" w:color="auto"/>
            </w:tcBorders>
            <w:shd w:val="clear" w:color="auto" w:fill="BFBFBF"/>
            <w:hideMark/>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Форма випуску (лікарська форма, упаковка)</w:t>
            </w:r>
          </w:p>
        </w:tc>
        <w:tc>
          <w:tcPr>
            <w:tcW w:w="992" w:type="dxa"/>
            <w:tcBorders>
              <w:top w:val="single" w:sz="4" w:space="0" w:color="000000"/>
              <w:left w:val="single" w:sz="4" w:space="0" w:color="auto"/>
              <w:right w:val="single" w:sz="4" w:space="0" w:color="auto"/>
            </w:tcBorders>
            <w:shd w:val="clear" w:color="auto" w:fill="BFBFBF"/>
            <w:hideMark/>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Заявник</w:t>
            </w:r>
          </w:p>
        </w:tc>
        <w:tc>
          <w:tcPr>
            <w:tcW w:w="1134" w:type="dxa"/>
            <w:tcBorders>
              <w:top w:val="single" w:sz="4" w:space="0" w:color="000000"/>
              <w:left w:val="single" w:sz="4" w:space="0" w:color="auto"/>
              <w:right w:val="single" w:sz="4" w:space="0" w:color="auto"/>
            </w:tcBorders>
            <w:shd w:val="clear" w:color="auto" w:fill="BFBFBF"/>
            <w:hideMark/>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134" w:type="dxa"/>
            <w:tcBorders>
              <w:top w:val="single" w:sz="4" w:space="0" w:color="000000"/>
              <w:left w:val="single" w:sz="4" w:space="0" w:color="auto"/>
              <w:right w:val="single" w:sz="4" w:space="0" w:color="auto"/>
            </w:tcBorders>
            <w:shd w:val="clear" w:color="auto" w:fill="BFBFBF"/>
            <w:hideMark/>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Виробник</w:t>
            </w:r>
          </w:p>
        </w:tc>
        <w:tc>
          <w:tcPr>
            <w:tcW w:w="992" w:type="dxa"/>
            <w:tcBorders>
              <w:top w:val="single" w:sz="4" w:space="0" w:color="000000"/>
              <w:left w:val="single" w:sz="4" w:space="0" w:color="auto"/>
              <w:right w:val="single" w:sz="4" w:space="0" w:color="auto"/>
            </w:tcBorders>
            <w:shd w:val="clear" w:color="auto" w:fill="BFBFBF"/>
            <w:hideMark/>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843" w:type="dxa"/>
            <w:tcBorders>
              <w:top w:val="single" w:sz="4" w:space="0" w:color="000000"/>
              <w:left w:val="single" w:sz="4" w:space="0" w:color="auto"/>
              <w:right w:val="single" w:sz="4" w:space="0" w:color="auto"/>
            </w:tcBorders>
            <w:shd w:val="clear" w:color="auto" w:fill="BFBFBF"/>
            <w:hideMark/>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Умови відпуску</w:t>
            </w:r>
          </w:p>
        </w:tc>
        <w:tc>
          <w:tcPr>
            <w:tcW w:w="1843" w:type="dxa"/>
            <w:tcBorders>
              <w:top w:val="single" w:sz="4" w:space="0" w:color="000000"/>
              <w:left w:val="single" w:sz="4" w:space="0" w:color="auto"/>
              <w:right w:val="single" w:sz="4" w:space="0" w:color="auto"/>
            </w:tcBorders>
            <w:shd w:val="clear" w:color="auto" w:fill="BFBFBF"/>
            <w:hideMark/>
          </w:tcPr>
          <w:p w:rsidR="00D81417" w:rsidRPr="00C8484E" w:rsidRDefault="00D81417" w:rsidP="003F1B9C">
            <w:pPr>
              <w:tabs>
                <w:tab w:val="left" w:pos="12600"/>
              </w:tabs>
              <w:jc w:val="center"/>
              <w:rPr>
                <w:rFonts w:ascii="Arial" w:hAnsi="Arial" w:cs="Arial"/>
                <w:b/>
                <w:i/>
                <w:sz w:val="16"/>
                <w:szCs w:val="16"/>
              </w:rPr>
            </w:pPr>
            <w:r w:rsidRPr="00C8484E">
              <w:rPr>
                <w:rFonts w:ascii="Arial" w:hAnsi="Arial" w:cs="Arial"/>
                <w:b/>
                <w:i/>
                <w:sz w:val="16"/>
                <w:szCs w:val="16"/>
              </w:rPr>
              <w:t>Номер реєстраційного посвідчення</w:t>
            </w:r>
          </w:p>
        </w:tc>
      </w:tr>
      <w:tr w:rsidR="00C74C09" w:rsidRPr="00C8484E" w:rsidTr="004B2155">
        <w:trPr>
          <w:trHeight w:val="433"/>
        </w:trPr>
        <w:tc>
          <w:tcPr>
            <w:tcW w:w="567" w:type="dxa"/>
            <w:tcBorders>
              <w:right w:val="single" w:sz="4" w:space="0" w:color="auto"/>
            </w:tcBorders>
            <w:shd w:val="clear" w:color="auto" w:fill="FFFFFF"/>
          </w:tcPr>
          <w:p w:rsidR="00D81417" w:rsidRPr="00C8484E" w:rsidRDefault="00D81417" w:rsidP="00D81417">
            <w:pPr>
              <w:numPr>
                <w:ilvl w:val="0"/>
                <w:numId w:val="7"/>
              </w:numPr>
              <w:tabs>
                <w:tab w:val="left" w:pos="12600"/>
              </w:tabs>
              <w:contextualSpacing/>
              <w:rPr>
                <w:rFonts w:ascii="Arial" w:hAnsi="Arial" w:cs="Arial"/>
                <w:b/>
                <w:sz w:val="16"/>
                <w:szCs w:val="16"/>
              </w:rPr>
            </w:pPr>
          </w:p>
        </w:tc>
        <w:tc>
          <w:tcPr>
            <w:tcW w:w="1418" w:type="dxa"/>
            <w:tcBorders>
              <w:right w:val="single" w:sz="4" w:space="0" w:color="auto"/>
            </w:tcBorders>
            <w:shd w:val="clear" w:color="auto" w:fill="FFFFFF"/>
          </w:tcPr>
          <w:p w:rsidR="00D81417" w:rsidRPr="001E7289" w:rsidRDefault="00D81417" w:rsidP="003F1B9C">
            <w:pPr>
              <w:pStyle w:val="Normal"/>
              <w:tabs>
                <w:tab w:val="left" w:pos="12600"/>
              </w:tabs>
              <w:rPr>
                <w:rFonts w:ascii="Arial" w:hAnsi="Arial" w:cs="Arial"/>
                <w:b/>
                <w:sz w:val="16"/>
                <w:szCs w:val="16"/>
                <w:lang w:val="ru-RU"/>
              </w:rPr>
            </w:pPr>
            <w:r>
              <w:rPr>
                <w:rFonts w:ascii="Arial" w:hAnsi="Arial" w:cs="Arial"/>
                <w:b/>
                <w:sz w:val="16"/>
                <w:szCs w:val="16"/>
              </w:rPr>
              <w:t>АЛЬБУРЕКС®</w:t>
            </w:r>
          </w:p>
        </w:tc>
        <w:tc>
          <w:tcPr>
            <w:tcW w:w="1134" w:type="dxa"/>
            <w:shd w:val="clear" w:color="auto" w:fill="auto"/>
          </w:tcPr>
          <w:p w:rsidR="00D81417" w:rsidRPr="001E7289" w:rsidRDefault="00D81417" w:rsidP="003F1B9C">
            <w:pPr>
              <w:pStyle w:val="Normal"/>
              <w:tabs>
                <w:tab w:val="left" w:pos="12600"/>
              </w:tabs>
              <w:ind w:left="-111"/>
              <w:rPr>
                <w:rFonts w:ascii="Arial" w:hAnsi="Arial" w:cs="Arial"/>
                <w:color w:val="000000"/>
                <w:sz w:val="16"/>
                <w:szCs w:val="16"/>
                <w:shd w:val="clear" w:color="auto" w:fill="F8F8F8"/>
              </w:rPr>
            </w:pPr>
            <w:r>
              <w:rPr>
                <w:rFonts w:ascii="Arial" w:hAnsi="Arial" w:cs="Arial"/>
                <w:color w:val="000000"/>
                <w:sz w:val="16"/>
                <w:szCs w:val="16"/>
              </w:rPr>
              <w:t>Альбумін людини</w:t>
            </w:r>
          </w:p>
        </w:tc>
        <w:tc>
          <w:tcPr>
            <w:tcW w:w="1276" w:type="dxa"/>
            <w:shd w:val="clear" w:color="auto" w:fill="FFFFFF"/>
          </w:tcPr>
          <w:p w:rsidR="00D81417" w:rsidRPr="001E7289" w:rsidRDefault="00D81417" w:rsidP="003F1B9C">
            <w:pPr>
              <w:rPr>
                <w:rFonts w:ascii="Arial" w:hAnsi="Arial" w:cs="Arial"/>
                <w:sz w:val="16"/>
                <w:szCs w:val="16"/>
              </w:rPr>
            </w:pPr>
            <w:r>
              <w:rPr>
                <w:rFonts w:ascii="Arial" w:hAnsi="Arial" w:cs="Arial"/>
                <w:color w:val="000000"/>
                <w:sz w:val="16"/>
                <w:szCs w:val="16"/>
              </w:rPr>
              <w:t>Human albumin</w:t>
            </w:r>
          </w:p>
        </w:tc>
        <w:tc>
          <w:tcPr>
            <w:tcW w:w="992" w:type="dxa"/>
            <w:shd w:val="clear" w:color="auto" w:fill="FFFFFF"/>
          </w:tcPr>
          <w:p w:rsidR="00D81417" w:rsidRPr="001E7289" w:rsidRDefault="00D81417" w:rsidP="003F1B9C">
            <w:pPr>
              <w:pStyle w:val="Normal"/>
              <w:tabs>
                <w:tab w:val="left" w:pos="12600"/>
              </w:tabs>
              <w:ind w:left="-108"/>
              <w:jc w:val="center"/>
              <w:rPr>
                <w:rFonts w:ascii="Arial" w:hAnsi="Arial" w:cs="Arial"/>
                <w:color w:val="000000"/>
                <w:sz w:val="16"/>
                <w:szCs w:val="16"/>
                <w:shd w:val="clear" w:color="auto" w:fill="F8F8F8"/>
              </w:rPr>
            </w:pPr>
            <w:r>
              <w:rPr>
                <w:rFonts w:ascii="Arial" w:hAnsi="Arial" w:cs="Arial"/>
                <w:color w:val="000000"/>
                <w:sz w:val="16"/>
                <w:szCs w:val="16"/>
              </w:rPr>
              <w:t>B05AA01</w:t>
            </w:r>
          </w:p>
        </w:tc>
        <w:tc>
          <w:tcPr>
            <w:tcW w:w="1276" w:type="dxa"/>
            <w:shd w:val="clear" w:color="auto" w:fill="FFFFFF"/>
          </w:tcPr>
          <w:p w:rsidR="00D81417" w:rsidRPr="001E7289" w:rsidRDefault="00D81417" w:rsidP="003F1B9C">
            <w:pPr>
              <w:pStyle w:val="Normal"/>
              <w:tabs>
                <w:tab w:val="left" w:pos="12600"/>
              </w:tabs>
              <w:rPr>
                <w:rFonts w:ascii="Arial" w:hAnsi="Arial" w:cs="Arial"/>
                <w:sz w:val="16"/>
                <w:szCs w:val="16"/>
                <w:lang w:val="ru-RU"/>
              </w:rPr>
            </w:pPr>
            <w:r w:rsidRPr="00B71554">
              <w:rPr>
                <w:rFonts w:ascii="Arial" w:hAnsi="Arial" w:cs="Arial"/>
                <w:color w:val="000000"/>
                <w:sz w:val="16"/>
                <w:szCs w:val="16"/>
                <w:lang w:val="ru-RU"/>
              </w:rPr>
              <w:t>розчин для інфузій, 20 % по 50 мл або 100 мл у флаконі; по 1 флакону в картонній коробці</w:t>
            </w:r>
          </w:p>
        </w:tc>
        <w:tc>
          <w:tcPr>
            <w:tcW w:w="992" w:type="dxa"/>
            <w:shd w:val="clear" w:color="auto" w:fill="FFFFFF"/>
          </w:tcPr>
          <w:p w:rsidR="00D81417" w:rsidRPr="001E7289" w:rsidRDefault="00D81417" w:rsidP="003F1B9C">
            <w:pPr>
              <w:pStyle w:val="Normal"/>
              <w:tabs>
                <w:tab w:val="left" w:pos="12600"/>
              </w:tabs>
              <w:jc w:val="center"/>
              <w:rPr>
                <w:rFonts w:ascii="Arial" w:hAnsi="Arial" w:cs="Arial"/>
                <w:sz w:val="16"/>
                <w:szCs w:val="16"/>
                <w:lang w:val="ru-RU"/>
              </w:rPr>
            </w:pPr>
            <w:r>
              <w:rPr>
                <w:rFonts w:ascii="Arial" w:hAnsi="Arial" w:cs="Arial"/>
                <w:color w:val="000000"/>
                <w:sz w:val="16"/>
                <w:szCs w:val="16"/>
              </w:rPr>
              <w:t>ЦСЛ Берінг АГ</w:t>
            </w:r>
          </w:p>
        </w:tc>
        <w:tc>
          <w:tcPr>
            <w:tcW w:w="1134"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Швейцарія</w:t>
            </w:r>
          </w:p>
        </w:tc>
        <w:tc>
          <w:tcPr>
            <w:tcW w:w="1134"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виробництво нерозфасованої продукції, первинне пакування, контроль якості, випуск серії:</w:t>
            </w:r>
            <w:r>
              <w:rPr>
                <w:rFonts w:ascii="Arial" w:hAnsi="Arial" w:cs="Arial"/>
                <w:color w:val="000000"/>
                <w:sz w:val="16"/>
                <w:szCs w:val="16"/>
              </w:rPr>
              <w:br/>
              <w:t xml:space="preserve">ЦСЛ Берінг АГ, Швейцарія; </w:t>
            </w:r>
            <w:r>
              <w:rPr>
                <w:rFonts w:ascii="Arial" w:hAnsi="Arial" w:cs="Arial"/>
                <w:color w:val="000000"/>
                <w:sz w:val="16"/>
                <w:szCs w:val="16"/>
              </w:rPr>
              <w:br/>
              <w:t>вторинне пакування:</w:t>
            </w:r>
            <w:r>
              <w:rPr>
                <w:rFonts w:ascii="Arial" w:hAnsi="Arial" w:cs="Arial"/>
                <w:color w:val="000000"/>
                <w:sz w:val="16"/>
                <w:szCs w:val="16"/>
              </w:rPr>
              <w:br/>
              <w:t>ЦСЛ Берінг АГ, Швейцарія;</w:t>
            </w:r>
            <w:r>
              <w:rPr>
                <w:rFonts w:ascii="Arial" w:hAnsi="Arial" w:cs="Arial"/>
                <w:color w:val="000000"/>
                <w:sz w:val="16"/>
                <w:szCs w:val="16"/>
              </w:rPr>
              <w:br/>
              <w:t>виробництво за повним циклом:</w:t>
            </w:r>
            <w:r>
              <w:rPr>
                <w:rFonts w:ascii="Arial" w:hAnsi="Arial" w:cs="Arial"/>
                <w:color w:val="000000"/>
                <w:sz w:val="16"/>
                <w:szCs w:val="16"/>
              </w:rPr>
              <w:br/>
            </w:r>
            <w:r>
              <w:rPr>
                <w:rFonts w:ascii="Arial" w:hAnsi="Arial" w:cs="Arial"/>
                <w:color w:val="000000"/>
                <w:sz w:val="16"/>
                <w:szCs w:val="16"/>
              </w:rPr>
              <w:lastRenderedPageBreak/>
              <w:t xml:space="preserve">ЦСЛ Берінг Л.Л.С., США; </w:t>
            </w:r>
            <w:r>
              <w:rPr>
                <w:rFonts w:ascii="Arial" w:hAnsi="Arial" w:cs="Arial"/>
                <w:color w:val="000000"/>
                <w:sz w:val="16"/>
                <w:szCs w:val="16"/>
              </w:rPr>
              <w:br/>
              <w:t>виробництво за повним циклом:</w:t>
            </w:r>
            <w:r>
              <w:rPr>
                <w:rFonts w:ascii="Arial" w:hAnsi="Arial" w:cs="Arial"/>
                <w:color w:val="000000"/>
                <w:sz w:val="16"/>
                <w:szCs w:val="16"/>
              </w:rPr>
              <w:br/>
              <w:t>ЦСЛ Берінг (Австралія) Пті Лтд, Австралія</w:t>
            </w:r>
          </w:p>
        </w:tc>
        <w:tc>
          <w:tcPr>
            <w:tcW w:w="992"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lastRenderedPageBreak/>
              <w:t>Швейцарія/ США/ Австралія</w:t>
            </w:r>
          </w:p>
        </w:tc>
        <w:tc>
          <w:tcPr>
            <w:tcW w:w="1843"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 xml:space="preserve">зміна B.I.a.2., IB Introduction of Alternative Pellicon 3 cassettes from Millipore at Ultrafiltration/Diafiltration in Albumin bulk manufacture. </w:t>
            </w:r>
            <w:r>
              <w:rPr>
                <w:rFonts w:ascii="Arial" w:hAnsi="Arial" w:cs="Arial"/>
                <w:color w:val="000000"/>
                <w:sz w:val="16"/>
                <w:szCs w:val="16"/>
              </w:rPr>
              <w:br/>
              <w:t>With this submission, CSLB proposes to register Merck Milllipore Pellicon 3 Filter cassettes as an alternative to the the Pellicon 2 Filter for the Ultra-/Diafiltration step.</w:t>
            </w:r>
            <w:r>
              <w:rPr>
                <w:rFonts w:ascii="Arial" w:hAnsi="Arial" w:cs="Arial"/>
                <w:color w:val="000000"/>
                <w:sz w:val="16"/>
                <w:szCs w:val="16"/>
              </w:rPr>
              <w:br/>
              <w:t xml:space="preserve">зміна B.I.a.2., IA Deregistration of the optional DEAE (adsorption on </w:t>
            </w:r>
            <w:r>
              <w:rPr>
                <w:rFonts w:ascii="Arial" w:hAnsi="Arial" w:cs="Arial"/>
                <w:color w:val="000000"/>
                <w:sz w:val="16"/>
                <w:szCs w:val="16"/>
              </w:rPr>
              <w:lastRenderedPageBreak/>
              <w:t>diethylaminoethyl) adsorption at 2 C to 8 C for extraction of Factor IX (Human) before used for the manufacture of Albumin at CSL Behring L.L.C, USA</w:t>
            </w:r>
          </w:p>
        </w:tc>
        <w:tc>
          <w:tcPr>
            <w:tcW w:w="1134" w:type="dxa"/>
            <w:shd w:val="clear" w:color="auto" w:fill="FFFFFF"/>
          </w:tcPr>
          <w:p w:rsidR="00D81417" w:rsidRDefault="00D81417" w:rsidP="003F1B9C">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lastRenderedPageBreak/>
              <w:t xml:space="preserve">за </w:t>
            </w:r>
          </w:p>
          <w:p w:rsidR="00D81417" w:rsidRPr="001E7289" w:rsidRDefault="00D81417" w:rsidP="003F1B9C">
            <w:pPr>
              <w:pStyle w:val="Normal"/>
              <w:tabs>
                <w:tab w:val="left" w:pos="12600"/>
              </w:tabs>
              <w:jc w:val="center"/>
              <w:rPr>
                <w:rFonts w:ascii="Arial" w:hAnsi="Arial" w:cs="Arial"/>
                <w:i/>
                <w:sz w:val="16"/>
                <w:szCs w:val="16"/>
              </w:rPr>
            </w:pPr>
            <w:r>
              <w:rPr>
                <w:rFonts w:ascii="Arial" w:hAnsi="Arial" w:cs="Arial"/>
                <w:i/>
                <w:sz w:val="16"/>
                <w:szCs w:val="16"/>
              </w:rPr>
              <w:t>рецептом</w:t>
            </w:r>
          </w:p>
        </w:tc>
        <w:tc>
          <w:tcPr>
            <w:tcW w:w="1843" w:type="dxa"/>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sz w:val="16"/>
                <w:szCs w:val="16"/>
              </w:rPr>
              <w:t>UA/18876/01/01</w:t>
            </w:r>
          </w:p>
        </w:tc>
      </w:tr>
      <w:tr w:rsidR="00C74C09" w:rsidRPr="00C8484E" w:rsidTr="004B2155">
        <w:trPr>
          <w:trHeight w:val="433"/>
        </w:trPr>
        <w:tc>
          <w:tcPr>
            <w:tcW w:w="567" w:type="dxa"/>
            <w:tcBorders>
              <w:right w:val="single" w:sz="4" w:space="0" w:color="auto"/>
            </w:tcBorders>
            <w:shd w:val="clear" w:color="auto" w:fill="FFFFFF"/>
          </w:tcPr>
          <w:p w:rsidR="00D81417" w:rsidRPr="00C8484E" w:rsidRDefault="00D81417" w:rsidP="00D81417">
            <w:pPr>
              <w:numPr>
                <w:ilvl w:val="0"/>
                <w:numId w:val="7"/>
              </w:numPr>
              <w:tabs>
                <w:tab w:val="left" w:pos="12600"/>
              </w:tabs>
              <w:contextualSpacing/>
              <w:rPr>
                <w:rFonts w:ascii="Arial" w:hAnsi="Arial" w:cs="Arial"/>
                <w:b/>
                <w:sz w:val="16"/>
                <w:szCs w:val="16"/>
              </w:rPr>
            </w:pPr>
          </w:p>
        </w:tc>
        <w:tc>
          <w:tcPr>
            <w:tcW w:w="1418" w:type="dxa"/>
            <w:tcBorders>
              <w:right w:val="single" w:sz="4" w:space="0" w:color="auto"/>
            </w:tcBorders>
            <w:shd w:val="clear" w:color="auto" w:fill="FFFFFF"/>
          </w:tcPr>
          <w:p w:rsidR="00D81417" w:rsidRPr="001E7289" w:rsidRDefault="00D81417" w:rsidP="003F1B9C">
            <w:pPr>
              <w:pStyle w:val="Normal"/>
              <w:tabs>
                <w:tab w:val="left" w:pos="12600"/>
              </w:tabs>
              <w:rPr>
                <w:rFonts w:ascii="Arial" w:hAnsi="Arial" w:cs="Arial"/>
                <w:b/>
                <w:sz w:val="16"/>
                <w:szCs w:val="16"/>
                <w:lang w:val="ru-RU"/>
              </w:rPr>
            </w:pPr>
            <w:r>
              <w:rPr>
                <w:rFonts w:ascii="Arial" w:hAnsi="Arial" w:cs="Arial"/>
                <w:b/>
                <w:sz w:val="16"/>
                <w:szCs w:val="16"/>
              </w:rPr>
              <w:t>АЛЬБУРЕКС®</w:t>
            </w:r>
          </w:p>
        </w:tc>
        <w:tc>
          <w:tcPr>
            <w:tcW w:w="1134" w:type="dxa"/>
            <w:shd w:val="clear" w:color="auto" w:fill="auto"/>
          </w:tcPr>
          <w:p w:rsidR="00D81417" w:rsidRPr="001E7289" w:rsidRDefault="00D81417" w:rsidP="003F1B9C">
            <w:pPr>
              <w:pStyle w:val="Normal"/>
              <w:tabs>
                <w:tab w:val="left" w:pos="12600"/>
              </w:tabs>
              <w:rPr>
                <w:rFonts w:ascii="Arial" w:hAnsi="Arial" w:cs="Arial"/>
                <w:color w:val="000000"/>
                <w:sz w:val="16"/>
                <w:szCs w:val="16"/>
                <w:shd w:val="clear" w:color="auto" w:fill="F8F8F8"/>
              </w:rPr>
            </w:pPr>
            <w:r>
              <w:rPr>
                <w:rFonts w:ascii="Arial" w:hAnsi="Arial" w:cs="Arial"/>
                <w:color w:val="000000"/>
                <w:sz w:val="16"/>
                <w:szCs w:val="16"/>
              </w:rPr>
              <w:t>Альбумін людини</w:t>
            </w:r>
          </w:p>
        </w:tc>
        <w:tc>
          <w:tcPr>
            <w:tcW w:w="1276" w:type="dxa"/>
            <w:shd w:val="clear" w:color="auto" w:fill="FFFFFF"/>
          </w:tcPr>
          <w:p w:rsidR="00D81417" w:rsidRPr="001E7289" w:rsidRDefault="00D81417" w:rsidP="003F1B9C">
            <w:pPr>
              <w:rPr>
                <w:rFonts w:ascii="Arial" w:hAnsi="Arial" w:cs="Arial"/>
                <w:sz w:val="16"/>
                <w:szCs w:val="16"/>
              </w:rPr>
            </w:pPr>
            <w:r>
              <w:rPr>
                <w:rFonts w:ascii="Arial" w:hAnsi="Arial" w:cs="Arial"/>
                <w:color w:val="000000"/>
                <w:sz w:val="16"/>
                <w:szCs w:val="16"/>
              </w:rPr>
              <w:t>Human albumin</w:t>
            </w:r>
          </w:p>
        </w:tc>
        <w:tc>
          <w:tcPr>
            <w:tcW w:w="992" w:type="dxa"/>
            <w:shd w:val="clear" w:color="auto" w:fill="FFFFFF"/>
          </w:tcPr>
          <w:p w:rsidR="00D81417" w:rsidRPr="001E7289" w:rsidRDefault="00D81417" w:rsidP="003F1B9C">
            <w:pPr>
              <w:pStyle w:val="Normal"/>
              <w:tabs>
                <w:tab w:val="left" w:pos="12600"/>
              </w:tabs>
              <w:ind w:left="-108"/>
              <w:jc w:val="center"/>
              <w:rPr>
                <w:rFonts w:ascii="Arial" w:hAnsi="Arial" w:cs="Arial"/>
                <w:color w:val="000000"/>
                <w:sz w:val="16"/>
                <w:szCs w:val="16"/>
                <w:shd w:val="clear" w:color="auto" w:fill="F8F8F8"/>
              </w:rPr>
            </w:pPr>
            <w:r>
              <w:rPr>
                <w:rFonts w:ascii="Arial" w:hAnsi="Arial" w:cs="Arial"/>
                <w:color w:val="000000"/>
                <w:sz w:val="16"/>
                <w:szCs w:val="16"/>
              </w:rPr>
              <w:t>B05AA01</w:t>
            </w:r>
          </w:p>
        </w:tc>
        <w:tc>
          <w:tcPr>
            <w:tcW w:w="1276" w:type="dxa"/>
            <w:shd w:val="clear" w:color="auto" w:fill="FFFFFF"/>
          </w:tcPr>
          <w:p w:rsidR="00D81417" w:rsidRPr="001E7289" w:rsidRDefault="00D81417" w:rsidP="003F1B9C">
            <w:pPr>
              <w:pStyle w:val="Normal"/>
              <w:tabs>
                <w:tab w:val="left" w:pos="12600"/>
              </w:tabs>
              <w:rPr>
                <w:rFonts w:ascii="Arial" w:hAnsi="Arial" w:cs="Arial"/>
                <w:sz w:val="16"/>
                <w:szCs w:val="16"/>
                <w:lang w:val="ru-RU"/>
              </w:rPr>
            </w:pPr>
            <w:r w:rsidRPr="00B71554">
              <w:rPr>
                <w:rFonts w:ascii="Arial" w:hAnsi="Arial" w:cs="Arial"/>
                <w:color w:val="000000"/>
                <w:sz w:val="16"/>
                <w:szCs w:val="16"/>
                <w:lang w:val="ru-RU"/>
              </w:rPr>
              <w:t>розчин для інфузій, 20 % по 50 мл або 100 мл у флаконі; по 1 флакону в картонній коробці</w:t>
            </w:r>
          </w:p>
        </w:tc>
        <w:tc>
          <w:tcPr>
            <w:tcW w:w="992" w:type="dxa"/>
            <w:shd w:val="clear" w:color="auto" w:fill="FFFFFF"/>
          </w:tcPr>
          <w:p w:rsidR="00D81417" w:rsidRPr="001E7289" w:rsidRDefault="00D81417" w:rsidP="003F1B9C">
            <w:pPr>
              <w:pStyle w:val="Normal"/>
              <w:tabs>
                <w:tab w:val="left" w:pos="12600"/>
              </w:tabs>
              <w:jc w:val="center"/>
              <w:rPr>
                <w:rFonts w:ascii="Arial" w:hAnsi="Arial" w:cs="Arial"/>
                <w:sz w:val="16"/>
                <w:szCs w:val="16"/>
                <w:lang w:val="ru-RU"/>
              </w:rPr>
            </w:pPr>
            <w:r>
              <w:rPr>
                <w:rFonts w:ascii="Arial" w:hAnsi="Arial" w:cs="Arial"/>
                <w:color w:val="000000"/>
                <w:sz w:val="16"/>
                <w:szCs w:val="16"/>
              </w:rPr>
              <w:t>ЦСЛ Берінг АГ</w:t>
            </w:r>
          </w:p>
        </w:tc>
        <w:tc>
          <w:tcPr>
            <w:tcW w:w="1134"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Швейцарія</w:t>
            </w:r>
          </w:p>
        </w:tc>
        <w:tc>
          <w:tcPr>
            <w:tcW w:w="1134"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виробництво нерозфасованої продукції, первинне пакування, контроль якості, випуск серії:</w:t>
            </w:r>
            <w:r>
              <w:rPr>
                <w:rFonts w:ascii="Arial" w:hAnsi="Arial" w:cs="Arial"/>
                <w:color w:val="000000"/>
                <w:sz w:val="16"/>
                <w:szCs w:val="16"/>
              </w:rPr>
              <w:br/>
              <w:t xml:space="preserve">ЦСЛ Берінг АГ, Швейцарія; </w:t>
            </w:r>
            <w:r>
              <w:rPr>
                <w:rFonts w:ascii="Arial" w:hAnsi="Arial" w:cs="Arial"/>
                <w:color w:val="000000"/>
                <w:sz w:val="16"/>
                <w:szCs w:val="16"/>
              </w:rPr>
              <w:br/>
              <w:t>вторинне пакування:</w:t>
            </w:r>
            <w:r>
              <w:rPr>
                <w:rFonts w:ascii="Arial" w:hAnsi="Arial" w:cs="Arial"/>
                <w:color w:val="000000"/>
                <w:sz w:val="16"/>
                <w:szCs w:val="16"/>
              </w:rPr>
              <w:br/>
              <w:t>ЦСЛ Берінг АГ, Швейцарія;</w:t>
            </w:r>
            <w:r>
              <w:rPr>
                <w:rFonts w:ascii="Arial" w:hAnsi="Arial" w:cs="Arial"/>
                <w:color w:val="000000"/>
                <w:sz w:val="16"/>
                <w:szCs w:val="16"/>
              </w:rPr>
              <w:br/>
              <w:t>виробництво за повним циклом:</w:t>
            </w:r>
            <w:r>
              <w:rPr>
                <w:rFonts w:ascii="Arial" w:hAnsi="Arial" w:cs="Arial"/>
                <w:color w:val="000000"/>
                <w:sz w:val="16"/>
                <w:szCs w:val="16"/>
              </w:rPr>
              <w:br/>
              <w:t xml:space="preserve">ЦСЛ Берінг Л.Л.С., США; </w:t>
            </w:r>
            <w:r>
              <w:rPr>
                <w:rFonts w:ascii="Arial" w:hAnsi="Arial" w:cs="Arial"/>
                <w:color w:val="000000"/>
                <w:sz w:val="16"/>
                <w:szCs w:val="16"/>
              </w:rPr>
              <w:br/>
              <w:t>виробництво за повним циклом:</w:t>
            </w:r>
            <w:r>
              <w:rPr>
                <w:rFonts w:ascii="Arial" w:hAnsi="Arial" w:cs="Arial"/>
                <w:color w:val="000000"/>
                <w:sz w:val="16"/>
                <w:szCs w:val="16"/>
              </w:rPr>
              <w:br/>
              <w:t>ЦСЛ Берінг (Австралія) Пті Лтд, Австралія</w:t>
            </w:r>
          </w:p>
        </w:tc>
        <w:tc>
          <w:tcPr>
            <w:tcW w:w="992"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Швейцарія/ США/ Австралія</w:t>
            </w:r>
          </w:p>
        </w:tc>
        <w:tc>
          <w:tcPr>
            <w:tcW w:w="1843"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Зміни І та ІІ типу, B.II.b.3.(a) IB</w:t>
            </w:r>
            <w:r>
              <w:rPr>
                <w:rFonts w:ascii="Arial" w:hAnsi="Arial" w:cs="Arial"/>
                <w:color w:val="000000"/>
                <w:sz w:val="16"/>
                <w:szCs w:val="16"/>
              </w:rPr>
              <w:br/>
              <w:t>Based on the rationale provided above, it can be concluded that the proposed removal of pasteurization and incubation steps from the reprocessing procedure for Albumin 20% final product manufactured at BRN can be implemented without negative impact on the quality of the final product.</w:t>
            </w:r>
          </w:p>
        </w:tc>
        <w:tc>
          <w:tcPr>
            <w:tcW w:w="1134" w:type="dxa"/>
            <w:shd w:val="clear" w:color="auto" w:fill="FFFFFF"/>
          </w:tcPr>
          <w:p w:rsidR="00D81417" w:rsidRDefault="00D81417" w:rsidP="003F1B9C">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за </w:t>
            </w:r>
          </w:p>
          <w:p w:rsidR="00D81417" w:rsidRPr="001E7289" w:rsidRDefault="00D81417" w:rsidP="003F1B9C">
            <w:pPr>
              <w:pStyle w:val="Normal"/>
              <w:tabs>
                <w:tab w:val="left" w:pos="12600"/>
              </w:tabs>
              <w:jc w:val="center"/>
              <w:rPr>
                <w:rFonts w:ascii="Arial" w:hAnsi="Arial" w:cs="Arial"/>
                <w:i/>
                <w:sz w:val="16"/>
                <w:szCs w:val="16"/>
              </w:rPr>
            </w:pPr>
            <w:r>
              <w:rPr>
                <w:rFonts w:ascii="Arial" w:hAnsi="Arial" w:cs="Arial"/>
                <w:i/>
                <w:sz w:val="16"/>
                <w:szCs w:val="16"/>
              </w:rPr>
              <w:t>рецептом</w:t>
            </w:r>
          </w:p>
        </w:tc>
        <w:tc>
          <w:tcPr>
            <w:tcW w:w="1843" w:type="dxa"/>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sz w:val="16"/>
                <w:szCs w:val="16"/>
              </w:rPr>
              <w:t>UA/18876/01/01</w:t>
            </w:r>
          </w:p>
        </w:tc>
      </w:tr>
      <w:tr w:rsidR="00C74C09" w:rsidRPr="00C8484E" w:rsidTr="004B2155">
        <w:trPr>
          <w:trHeight w:val="433"/>
        </w:trPr>
        <w:tc>
          <w:tcPr>
            <w:tcW w:w="567" w:type="dxa"/>
            <w:tcBorders>
              <w:right w:val="single" w:sz="4" w:space="0" w:color="auto"/>
            </w:tcBorders>
            <w:shd w:val="clear" w:color="auto" w:fill="FFFFFF"/>
          </w:tcPr>
          <w:p w:rsidR="00D81417" w:rsidRPr="00C8484E" w:rsidRDefault="00D81417" w:rsidP="00D81417">
            <w:pPr>
              <w:numPr>
                <w:ilvl w:val="0"/>
                <w:numId w:val="7"/>
              </w:numPr>
              <w:tabs>
                <w:tab w:val="left" w:pos="12600"/>
              </w:tabs>
              <w:contextualSpacing/>
              <w:rPr>
                <w:rFonts w:ascii="Arial" w:hAnsi="Arial" w:cs="Arial"/>
                <w:b/>
                <w:sz w:val="16"/>
                <w:szCs w:val="16"/>
              </w:rPr>
            </w:pPr>
          </w:p>
        </w:tc>
        <w:tc>
          <w:tcPr>
            <w:tcW w:w="1418" w:type="dxa"/>
            <w:tcBorders>
              <w:right w:val="single" w:sz="4" w:space="0" w:color="auto"/>
            </w:tcBorders>
            <w:shd w:val="clear" w:color="auto" w:fill="FFFFFF"/>
          </w:tcPr>
          <w:p w:rsidR="00D81417" w:rsidRPr="00ED4CD4" w:rsidRDefault="00D81417" w:rsidP="003F1B9C">
            <w:pPr>
              <w:pStyle w:val="Normal"/>
              <w:tabs>
                <w:tab w:val="left" w:pos="12600"/>
              </w:tabs>
              <w:rPr>
                <w:rFonts w:ascii="Arial" w:hAnsi="Arial" w:cs="Arial"/>
                <w:b/>
                <w:sz w:val="16"/>
                <w:szCs w:val="16"/>
              </w:rPr>
            </w:pPr>
            <w:r w:rsidRPr="00435C13">
              <w:rPr>
                <w:rFonts w:ascii="Arial" w:hAnsi="Arial" w:cs="Arial"/>
                <w:b/>
                <w:sz w:val="16"/>
                <w:szCs w:val="16"/>
                <w:lang w:val="ru-RU"/>
              </w:rPr>
              <w:t>ГАРДАСИЛ® 9 ВАКЦИНА ПРОТИ ВІРУСУ ПАПІЛОМИ ЛЮДИНИ 9-ВАЛЕНТНА (РЕКОМБІНАН</w:t>
            </w:r>
            <w:r w:rsidRPr="00435C13">
              <w:rPr>
                <w:rFonts w:ascii="Arial" w:hAnsi="Arial" w:cs="Arial"/>
                <w:b/>
                <w:sz w:val="16"/>
                <w:szCs w:val="16"/>
                <w:lang w:val="ru-RU"/>
              </w:rPr>
              <w:lastRenderedPageBreak/>
              <w:t>ТНА, АДСОРБОВАНА)</w:t>
            </w:r>
          </w:p>
        </w:tc>
        <w:tc>
          <w:tcPr>
            <w:tcW w:w="1134" w:type="dxa"/>
            <w:shd w:val="clear" w:color="auto" w:fill="auto"/>
          </w:tcPr>
          <w:p w:rsidR="00D81417" w:rsidRPr="001E7289" w:rsidRDefault="00D81417" w:rsidP="003F1B9C">
            <w:pPr>
              <w:pStyle w:val="Normal"/>
              <w:tabs>
                <w:tab w:val="left" w:pos="12600"/>
              </w:tabs>
              <w:rPr>
                <w:rFonts w:ascii="Arial" w:hAnsi="Arial" w:cs="Arial"/>
                <w:color w:val="000000"/>
                <w:sz w:val="16"/>
                <w:szCs w:val="16"/>
                <w:shd w:val="clear" w:color="auto" w:fill="F8F8F8"/>
              </w:rPr>
            </w:pPr>
            <w:r w:rsidRPr="00435C13">
              <w:rPr>
                <w:rFonts w:ascii="Arial" w:eastAsia="Calibri" w:hAnsi="Arial" w:cs="Arial"/>
                <w:sz w:val="16"/>
                <w:szCs w:val="16"/>
              </w:rPr>
              <w:lastRenderedPageBreak/>
              <w:t>Papillomavirus (human types 6, 11, 16, 18, 31, 33, 45, 52, 58)</w:t>
            </w:r>
          </w:p>
        </w:tc>
        <w:tc>
          <w:tcPr>
            <w:tcW w:w="1276" w:type="dxa"/>
            <w:shd w:val="clear" w:color="auto" w:fill="FFFFFF"/>
          </w:tcPr>
          <w:p w:rsidR="00D81417" w:rsidRPr="001E7289" w:rsidRDefault="00D81417" w:rsidP="003F1B9C">
            <w:pPr>
              <w:rPr>
                <w:rFonts w:ascii="Arial" w:hAnsi="Arial" w:cs="Arial"/>
                <w:sz w:val="16"/>
                <w:szCs w:val="16"/>
              </w:rPr>
            </w:pPr>
            <w:r w:rsidRPr="00D81417">
              <w:rPr>
                <w:rFonts w:ascii="Arial" w:hAnsi="Arial" w:cs="Arial"/>
                <w:sz w:val="16"/>
                <w:szCs w:val="16"/>
                <w:lang w:val="uk-UA"/>
              </w:rPr>
              <w:t>Вірус папіломи людини</w:t>
            </w:r>
            <w:r w:rsidRPr="00D81417">
              <w:rPr>
                <w:rFonts w:ascii="Arial" w:hAnsi="Arial" w:cs="Arial"/>
                <w:sz w:val="16"/>
                <w:szCs w:val="16"/>
                <w:vertAlign w:val="superscript"/>
                <w:lang w:val="uk-UA"/>
              </w:rPr>
              <w:t>1</w:t>
            </w:r>
            <w:r w:rsidRPr="00D81417">
              <w:rPr>
                <w:rFonts w:ascii="Arial" w:hAnsi="Arial" w:cs="Arial"/>
                <w:sz w:val="16"/>
                <w:szCs w:val="16"/>
                <w:lang w:val="uk-UA"/>
              </w:rPr>
              <w:t xml:space="preserve"> </w:t>
            </w:r>
            <w:r w:rsidRPr="00435C13">
              <w:rPr>
                <w:rFonts w:ascii="Arial" w:hAnsi="Arial" w:cs="Arial"/>
                <w:sz w:val="16"/>
                <w:szCs w:val="16"/>
              </w:rPr>
              <w:t>L</w:t>
            </w:r>
            <w:r w:rsidRPr="00D81417">
              <w:rPr>
                <w:rFonts w:ascii="Arial" w:hAnsi="Arial" w:cs="Arial"/>
                <w:sz w:val="16"/>
                <w:szCs w:val="16"/>
                <w:lang w:val="uk-UA"/>
              </w:rPr>
              <w:t>1 білок типу 6</w:t>
            </w:r>
            <w:r w:rsidRPr="00D81417">
              <w:rPr>
                <w:rFonts w:ascii="Arial" w:hAnsi="Arial" w:cs="Arial"/>
                <w:sz w:val="16"/>
                <w:szCs w:val="16"/>
                <w:vertAlign w:val="superscript"/>
                <w:lang w:val="uk-UA"/>
              </w:rPr>
              <w:t>2,3</w:t>
            </w:r>
            <w:r w:rsidRPr="00D81417">
              <w:rPr>
                <w:rFonts w:ascii="Arial" w:hAnsi="Arial" w:cs="Arial"/>
                <w:sz w:val="16"/>
                <w:szCs w:val="16"/>
                <w:lang w:val="uk-UA"/>
              </w:rPr>
              <w:t xml:space="preserve"> ;</w:t>
            </w:r>
            <w:r w:rsidRPr="00D81417">
              <w:rPr>
                <w:rFonts w:ascii="Arial" w:hAnsi="Arial" w:cs="Arial"/>
                <w:sz w:val="16"/>
                <w:szCs w:val="16"/>
                <w:lang w:val="uk-UA"/>
              </w:rPr>
              <w:br/>
              <w:t xml:space="preserve">Вірус папіломи </w:t>
            </w:r>
            <w:r w:rsidRPr="00D81417">
              <w:rPr>
                <w:rFonts w:ascii="Arial" w:hAnsi="Arial" w:cs="Arial"/>
                <w:sz w:val="16"/>
                <w:szCs w:val="16"/>
                <w:lang w:val="uk-UA"/>
              </w:rPr>
              <w:lastRenderedPageBreak/>
              <w:t>людини</w:t>
            </w:r>
            <w:r w:rsidRPr="00D81417">
              <w:rPr>
                <w:rFonts w:ascii="Arial" w:hAnsi="Arial" w:cs="Arial"/>
                <w:sz w:val="16"/>
                <w:szCs w:val="16"/>
                <w:vertAlign w:val="superscript"/>
                <w:lang w:val="uk-UA"/>
              </w:rPr>
              <w:t>1</w:t>
            </w:r>
            <w:r w:rsidRPr="00D81417">
              <w:rPr>
                <w:rFonts w:ascii="Arial" w:hAnsi="Arial" w:cs="Arial"/>
                <w:sz w:val="16"/>
                <w:szCs w:val="16"/>
                <w:lang w:val="uk-UA"/>
              </w:rPr>
              <w:t xml:space="preserve"> </w:t>
            </w:r>
            <w:r w:rsidRPr="00435C13">
              <w:rPr>
                <w:rFonts w:ascii="Arial" w:hAnsi="Arial" w:cs="Arial"/>
                <w:sz w:val="16"/>
                <w:szCs w:val="16"/>
              </w:rPr>
              <w:t>L</w:t>
            </w:r>
            <w:r w:rsidRPr="00D81417">
              <w:rPr>
                <w:rFonts w:ascii="Arial" w:hAnsi="Arial" w:cs="Arial"/>
                <w:sz w:val="16"/>
                <w:szCs w:val="16"/>
                <w:lang w:val="uk-UA"/>
              </w:rPr>
              <w:t>1 білок типу 11</w:t>
            </w:r>
            <w:r w:rsidRPr="00D81417">
              <w:rPr>
                <w:rFonts w:ascii="Arial" w:hAnsi="Arial" w:cs="Arial"/>
                <w:sz w:val="16"/>
                <w:szCs w:val="16"/>
                <w:vertAlign w:val="superscript"/>
                <w:lang w:val="uk-UA"/>
              </w:rPr>
              <w:t>2,3</w:t>
            </w:r>
            <w:r w:rsidRPr="00D81417">
              <w:rPr>
                <w:rFonts w:ascii="Arial" w:hAnsi="Arial" w:cs="Arial"/>
                <w:sz w:val="16"/>
                <w:szCs w:val="16"/>
                <w:lang w:val="uk-UA"/>
              </w:rPr>
              <w:t xml:space="preserve"> ;</w:t>
            </w:r>
            <w:r w:rsidRPr="00D81417">
              <w:rPr>
                <w:rFonts w:ascii="Arial" w:hAnsi="Arial" w:cs="Arial"/>
                <w:sz w:val="16"/>
                <w:szCs w:val="16"/>
                <w:lang w:val="uk-UA"/>
              </w:rPr>
              <w:br/>
              <w:t>Вірус папіломи людини</w:t>
            </w:r>
            <w:r w:rsidRPr="00D81417">
              <w:rPr>
                <w:rFonts w:ascii="Arial" w:hAnsi="Arial" w:cs="Arial"/>
                <w:sz w:val="16"/>
                <w:szCs w:val="16"/>
                <w:vertAlign w:val="superscript"/>
                <w:lang w:val="uk-UA"/>
              </w:rPr>
              <w:t>1</w:t>
            </w:r>
            <w:r w:rsidRPr="00D81417">
              <w:rPr>
                <w:rFonts w:ascii="Arial" w:hAnsi="Arial" w:cs="Arial"/>
                <w:sz w:val="16"/>
                <w:szCs w:val="16"/>
                <w:lang w:val="uk-UA"/>
              </w:rPr>
              <w:t xml:space="preserve"> </w:t>
            </w:r>
            <w:r w:rsidRPr="00435C13">
              <w:rPr>
                <w:rFonts w:ascii="Arial" w:hAnsi="Arial" w:cs="Arial"/>
                <w:sz w:val="16"/>
                <w:szCs w:val="16"/>
              </w:rPr>
              <w:t>L</w:t>
            </w:r>
            <w:r w:rsidRPr="00D81417">
              <w:rPr>
                <w:rFonts w:ascii="Arial" w:hAnsi="Arial" w:cs="Arial"/>
                <w:sz w:val="16"/>
                <w:szCs w:val="16"/>
                <w:lang w:val="uk-UA"/>
              </w:rPr>
              <w:t>1 білок типу 16</w:t>
            </w:r>
            <w:r w:rsidRPr="00D81417">
              <w:rPr>
                <w:rFonts w:ascii="Arial" w:hAnsi="Arial" w:cs="Arial"/>
                <w:sz w:val="16"/>
                <w:szCs w:val="16"/>
                <w:vertAlign w:val="superscript"/>
                <w:lang w:val="uk-UA"/>
              </w:rPr>
              <w:t xml:space="preserve">2,3 </w:t>
            </w:r>
            <w:r w:rsidRPr="00D81417">
              <w:rPr>
                <w:rFonts w:ascii="Arial" w:hAnsi="Arial" w:cs="Arial"/>
                <w:sz w:val="16"/>
                <w:szCs w:val="16"/>
                <w:lang w:val="uk-UA"/>
              </w:rPr>
              <w:t>;</w:t>
            </w:r>
            <w:r w:rsidRPr="00D81417">
              <w:rPr>
                <w:rFonts w:ascii="Arial" w:hAnsi="Arial" w:cs="Arial"/>
                <w:sz w:val="16"/>
                <w:szCs w:val="16"/>
                <w:lang w:val="uk-UA"/>
              </w:rPr>
              <w:br/>
              <w:t>Вірус папіломи людини</w:t>
            </w:r>
            <w:r w:rsidRPr="00D81417">
              <w:rPr>
                <w:rFonts w:ascii="Arial" w:hAnsi="Arial" w:cs="Arial"/>
                <w:sz w:val="16"/>
                <w:szCs w:val="16"/>
                <w:vertAlign w:val="superscript"/>
                <w:lang w:val="uk-UA"/>
              </w:rPr>
              <w:t>1</w:t>
            </w:r>
            <w:r w:rsidRPr="00D81417">
              <w:rPr>
                <w:rFonts w:ascii="Arial" w:hAnsi="Arial" w:cs="Arial"/>
                <w:sz w:val="16"/>
                <w:szCs w:val="16"/>
                <w:lang w:val="uk-UA"/>
              </w:rPr>
              <w:t xml:space="preserve"> </w:t>
            </w:r>
            <w:r w:rsidRPr="00435C13">
              <w:rPr>
                <w:rFonts w:ascii="Arial" w:hAnsi="Arial" w:cs="Arial"/>
                <w:sz w:val="16"/>
                <w:szCs w:val="16"/>
              </w:rPr>
              <w:t>L</w:t>
            </w:r>
            <w:r w:rsidRPr="00D81417">
              <w:rPr>
                <w:rFonts w:ascii="Arial" w:hAnsi="Arial" w:cs="Arial"/>
                <w:sz w:val="16"/>
                <w:szCs w:val="16"/>
                <w:lang w:val="uk-UA"/>
              </w:rPr>
              <w:t>1 білок типу 18</w:t>
            </w:r>
            <w:r w:rsidRPr="00D81417">
              <w:rPr>
                <w:rFonts w:ascii="Arial" w:hAnsi="Arial" w:cs="Arial"/>
                <w:sz w:val="16"/>
                <w:szCs w:val="16"/>
                <w:vertAlign w:val="superscript"/>
                <w:lang w:val="uk-UA"/>
              </w:rPr>
              <w:t xml:space="preserve">2,3 </w:t>
            </w:r>
            <w:r w:rsidRPr="00D81417">
              <w:rPr>
                <w:rFonts w:ascii="Arial" w:hAnsi="Arial" w:cs="Arial"/>
                <w:sz w:val="16"/>
                <w:szCs w:val="16"/>
                <w:lang w:val="uk-UA"/>
              </w:rPr>
              <w:t>;</w:t>
            </w:r>
            <w:r w:rsidRPr="00D81417">
              <w:rPr>
                <w:rFonts w:ascii="Arial" w:hAnsi="Arial" w:cs="Arial"/>
                <w:sz w:val="16"/>
                <w:szCs w:val="16"/>
                <w:lang w:val="uk-UA"/>
              </w:rPr>
              <w:br/>
              <w:t>Вірус папіломи людини</w:t>
            </w:r>
            <w:r w:rsidRPr="00D81417">
              <w:rPr>
                <w:rFonts w:ascii="Arial" w:hAnsi="Arial" w:cs="Arial"/>
                <w:sz w:val="16"/>
                <w:szCs w:val="16"/>
                <w:vertAlign w:val="superscript"/>
                <w:lang w:val="uk-UA"/>
              </w:rPr>
              <w:t>1</w:t>
            </w:r>
            <w:r w:rsidRPr="00D81417">
              <w:rPr>
                <w:rFonts w:ascii="Arial" w:hAnsi="Arial" w:cs="Arial"/>
                <w:sz w:val="16"/>
                <w:szCs w:val="16"/>
                <w:lang w:val="uk-UA"/>
              </w:rPr>
              <w:t xml:space="preserve"> </w:t>
            </w:r>
            <w:r w:rsidRPr="00435C13">
              <w:rPr>
                <w:rFonts w:ascii="Arial" w:hAnsi="Arial" w:cs="Arial"/>
                <w:sz w:val="16"/>
                <w:szCs w:val="16"/>
              </w:rPr>
              <w:t>L</w:t>
            </w:r>
            <w:r w:rsidRPr="00D81417">
              <w:rPr>
                <w:rFonts w:ascii="Arial" w:hAnsi="Arial" w:cs="Arial"/>
                <w:sz w:val="16"/>
                <w:szCs w:val="16"/>
                <w:lang w:val="uk-UA"/>
              </w:rPr>
              <w:t>1 білок типу 31</w:t>
            </w:r>
            <w:r w:rsidRPr="00D81417">
              <w:rPr>
                <w:rFonts w:ascii="Arial" w:hAnsi="Arial" w:cs="Arial"/>
                <w:sz w:val="16"/>
                <w:szCs w:val="16"/>
                <w:vertAlign w:val="superscript"/>
                <w:lang w:val="uk-UA"/>
              </w:rPr>
              <w:t>2,3</w:t>
            </w:r>
            <w:r w:rsidRPr="00D81417">
              <w:rPr>
                <w:rFonts w:ascii="Arial" w:hAnsi="Arial" w:cs="Arial"/>
                <w:sz w:val="16"/>
                <w:szCs w:val="16"/>
                <w:lang w:val="uk-UA"/>
              </w:rPr>
              <w:t xml:space="preserve"> ;</w:t>
            </w:r>
            <w:r w:rsidRPr="00D81417">
              <w:rPr>
                <w:rFonts w:ascii="Arial" w:hAnsi="Arial" w:cs="Arial"/>
                <w:sz w:val="16"/>
                <w:szCs w:val="16"/>
                <w:lang w:val="uk-UA"/>
              </w:rPr>
              <w:br/>
              <w:t>Вірус папіломи людини</w:t>
            </w:r>
            <w:r w:rsidRPr="00D81417">
              <w:rPr>
                <w:rFonts w:ascii="Arial" w:hAnsi="Arial" w:cs="Arial"/>
                <w:sz w:val="16"/>
                <w:szCs w:val="16"/>
                <w:vertAlign w:val="superscript"/>
                <w:lang w:val="uk-UA"/>
              </w:rPr>
              <w:t>1</w:t>
            </w:r>
            <w:r w:rsidRPr="00D81417">
              <w:rPr>
                <w:rFonts w:ascii="Arial" w:hAnsi="Arial" w:cs="Arial"/>
                <w:sz w:val="16"/>
                <w:szCs w:val="16"/>
                <w:lang w:val="uk-UA"/>
              </w:rPr>
              <w:t xml:space="preserve"> </w:t>
            </w:r>
            <w:r w:rsidRPr="00435C13">
              <w:rPr>
                <w:rFonts w:ascii="Arial" w:hAnsi="Arial" w:cs="Arial"/>
                <w:sz w:val="16"/>
                <w:szCs w:val="16"/>
              </w:rPr>
              <w:t>L</w:t>
            </w:r>
            <w:r w:rsidRPr="00D81417">
              <w:rPr>
                <w:rFonts w:ascii="Arial" w:hAnsi="Arial" w:cs="Arial"/>
                <w:sz w:val="16"/>
                <w:szCs w:val="16"/>
                <w:lang w:val="uk-UA"/>
              </w:rPr>
              <w:t>1 білок типу 33</w:t>
            </w:r>
            <w:r w:rsidRPr="00D81417">
              <w:rPr>
                <w:rFonts w:ascii="Arial" w:hAnsi="Arial" w:cs="Arial"/>
                <w:sz w:val="16"/>
                <w:szCs w:val="16"/>
                <w:vertAlign w:val="superscript"/>
                <w:lang w:val="uk-UA"/>
              </w:rPr>
              <w:t xml:space="preserve">2,3 </w:t>
            </w:r>
            <w:r w:rsidRPr="00D81417">
              <w:rPr>
                <w:rFonts w:ascii="Arial" w:hAnsi="Arial" w:cs="Arial"/>
                <w:sz w:val="16"/>
                <w:szCs w:val="16"/>
                <w:lang w:val="uk-UA"/>
              </w:rPr>
              <w:t>;</w:t>
            </w:r>
            <w:r w:rsidRPr="00D81417">
              <w:rPr>
                <w:rFonts w:ascii="Arial" w:hAnsi="Arial" w:cs="Arial"/>
                <w:sz w:val="16"/>
                <w:szCs w:val="16"/>
                <w:lang w:val="uk-UA"/>
              </w:rPr>
              <w:br/>
              <w:t>Вірус папіломи людини</w:t>
            </w:r>
            <w:r w:rsidRPr="00D81417">
              <w:rPr>
                <w:rFonts w:ascii="Arial" w:hAnsi="Arial" w:cs="Arial"/>
                <w:sz w:val="16"/>
                <w:szCs w:val="16"/>
                <w:vertAlign w:val="superscript"/>
                <w:lang w:val="uk-UA"/>
              </w:rPr>
              <w:t>1</w:t>
            </w:r>
            <w:r w:rsidRPr="00D81417">
              <w:rPr>
                <w:rFonts w:ascii="Arial" w:hAnsi="Arial" w:cs="Arial"/>
                <w:sz w:val="16"/>
                <w:szCs w:val="16"/>
                <w:lang w:val="uk-UA"/>
              </w:rPr>
              <w:t xml:space="preserve"> </w:t>
            </w:r>
            <w:r w:rsidRPr="00435C13">
              <w:rPr>
                <w:rFonts w:ascii="Arial" w:hAnsi="Arial" w:cs="Arial"/>
                <w:sz w:val="16"/>
                <w:szCs w:val="16"/>
              </w:rPr>
              <w:t>L</w:t>
            </w:r>
            <w:r w:rsidRPr="00D81417">
              <w:rPr>
                <w:rFonts w:ascii="Arial" w:hAnsi="Arial" w:cs="Arial"/>
                <w:sz w:val="16"/>
                <w:szCs w:val="16"/>
                <w:lang w:val="uk-UA"/>
              </w:rPr>
              <w:t>1 білок типу 45</w:t>
            </w:r>
            <w:r w:rsidRPr="00D81417">
              <w:rPr>
                <w:rFonts w:ascii="Arial" w:hAnsi="Arial" w:cs="Arial"/>
                <w:sz w:val="16"/>
                <w:szCs w:val="16"/>
                <w:vertAlign w:val="superscript"/>
                <w:lang w:val="uk-UA"/>
              </w:rPr>
              <w:t xml:space="preserve">2,3 </w:t>
            </w:r>
            <w:r w:rsidRPr="00D81417">
              <w:rPr>
                <w:rFonts w:ascii="Arial" w:hAnsi="Arial" w:cs="Arial"/>
                <w:sz w:val="16"/>
                <w:szCs w:val="16"/>
                <w:lang w:val="uk-UA"/>
              </w:rPr>
              <w:t>;</w:t>
            </w:r>
            <w:r w:rsidRPr="00D81417">
              <w:rPr>
                <w:rFonts w:ascii="Arial" w:hAnsi="Arial" w:cs="Arial"/>
                <w:sz w:val="16"/>
                <w:szCs w:val="16"/>
                <w:lang w:val="uk-UA"/>
              </w:rPr>
              <w:br/>
              <w:t>Вірус папіломи людини</w:t>
            </w:r>
            <w:r w:rsidRPr="00D81417">
              <w:rPr>
                <w:rFonts w:ascii="Arial" w:hAnsi="Arial" w:cs="Arial"/>
                <w:sz w:val="16"/>
                <w:szCs w:val="16"/>
                <w:vertAlign w:val="superscript"/>
                <w:lang w:val="uk-UA"/>
              </w:rPr>
              <w:t>1</w:t>
            </w:r>
            <w:r w:rsidRPr="00D81417">
              <w:rPr>
                <w:rFonts w:ascii="Arial" w:hAnsi="Arial" w:cs="Arial"/>
                <w:sz w:val="16"/>
                <w:szCs w:val="16"/>
                <w:lang w:val="uk-UA"/>
              </w:rPr>
              <w:t xml:space="preserve"> </w:t>
            </w:r>
            <w:r w:rsidRPr="00435C13">
              <w:rPr>
                <w:rFonts w:ascii="Arial" w:hAnsi="Arial" w:cs="Arial"/>
                <w:sz w:val="16"/>
                <w:szCs w:val="16"/>
              </w:rPr>
              <w:t>L</w:t>
            </w:r>
            <w:r w:rsidRPr="00D81417">
              <w:rPr>
                <w:rFonts w:ascii="Arial" w:hAnsi="Arial" w:cs="Arial"/>
                <w:sz w:val="16"/>
                <w:szCs w:val="16"/>
                <w:lang w:val="uk-UA"/>
              </w:rPr>
              <w:t>1 білок типу 52</w:t>
            </w:r>
            <w:r w:rsidRPr="00D81417">
              <w:rPr>
                <w:rFonts w:ascii="Arial" w:hAnsi="Arial" w:cs="Arial"/>
                <w:sz w:val="16"/>
                <w:szCs w:val="16"/>
                <w:vertAlign w:val="superscript"/>
                <w:lang w:val="uk-UA"/>
              </w:rPr>
              <w:t>2,3</w:t>
            </w:r>
            <w:r w:rsidRPr="00D81417">
              <w:rPr>
                <w:rFonts w:ascii="Arial" w:hAnsi="Arial" w:cs="Arial"/>
                <w:sz w:val="16"/>
                <w:szCs w:val="16"/>
                <w:lang w:val="uk-UA"/>
              </w:rPr>
              <w:t xml:space="preserve"> ;</w:t>
            </w:r>
            <w:r w:rsidRPr="00D81417">
              <w:rPr>
                <w:rFonts w:ascii="Arial" w:hAnsi="Arial" w:cs="Arial"/>
                <w:sz w:val="16"/>
                <w:szCs w:val="16"/>
                <w:lang w:val="uk-UA"/>
              </w:rPr>
              <w:br/>
              <w:t>Вірус папіломи людини</w:t>
            </w:r>
            <w:r w:rsidRPr="00D81417">
              <w:rPr>
                <w:rFonts w:ascii="Arial" w:hAnsi="Arial" w:cs="Arial"/>
                <w:sz w:val="16"/>
                <w:szCs w:val="16"/>
                <w:vertAlign w:val="superscript"/>
                <w:lang w:val="uk-UA"/>
              </w:rPr>
              <w:t>1</w:t>
            </w:r>
            <w:r w:rsidRPr="00D81417">
              <w:rPr>
                <w:rFonts w:ascii="Arial" w:hAnsi="Arial" w:cs="Arial"/>
                <w:sz w:val="16"/>
                <w:szCs w:val="16"/>
                <w:lang w:val="uk-UA"/>
              </w:rPr>
              <w:t xml:space="preserve"> </w:t>
            </w:r>
            <w:r w:rsidRPr="00435C13">
              <w:rPr>
                <w:rFonts w:ascii="Arial" w:hAnsi="Arial" w:cs="Arial"/>
                <w:sz w:val="16"/>
                <w:szCs w:val="16"/>
              </w:rPr>
              <w:t>L</w:t>
            </w:r>
            <w:r w:rsidRPr="00D81417">
              <w:rPr>
                <w:rFonts w:ascii="Arial" w:hAnsi="Arial" w:cs="Arial"/>
                <w:sz w:val="16"/>
                <w:szCs w:val="16"/>
                <w:lang w:val="uk-UA"/>
              </w:rPr>
              <w:t>1 білок типу 58</w:t>
            </w:r>
            <w:r w:rsidRPr="00D81417">
              <w:rPr>
                <w:rFonts w:ascii="Arial" w:hAnsi="Arial" w:cs="Arial"/>
                <w:sz w:val="16"/>
                <w:szCs w:val="16"/>
                <w:vertAlign w:val="superscript"/>
                <w:lang w:val="uk-UA"/>
              </w:rPr>
              <w:t>2,3</w:t>
            </w:r>
            <w:r w:rsidRPr="00D81417">
              <w:rPr>
                <w:rFonts w:ascii="Arial" w:hAnsi="Arial" w:cs="Arial"/>
                <w:sz w:val="16"/>
                <w:szCs w:val="16"/>
                <w:lang w:val="uk-UA"/>
              </w:rPr>
              <w:t xml:space="preserve"> </w:t>
            </w:r>
            <w:r w:rsidRPr="00D81417">
              <w:rPr>
                <w:rFonts w:ascii="Arial" w:hAnsi="Arial" w:cs="Arial"/>
                <w:sz w:val="16"/>
                <w:szCs w:val="16"/>
                <w:lang w:val="uk-UA"/>
              </w:rPr>
              <w:br/>
            </w:r>
            <w:r w:rsidRPr="00D81417">
              <w:rPr>
                <w:rFonts w:ascii="Arial" w:hAnsi="Arial" w:cs="Arial"/>
                <w:sz w:val="16"/>
                <w:szCs w:val="16"/>
                <w:lang w:val="uk-UA"/>
              </w:rPr>
              <w:br/>
            </w:r>
            <w:r w:rsidRPr="00D81417">
              <w:rPr>
                <w:rFonts w:ascii="Arial" w:hAnsi="Arial" w:cs="Arial"/>
                <w:sz w:val="16"/>
                <w:szCs w:val="16"/>
                <w:vertAlign w:val="superscript"/>
                <w:lang w:val="uk-UA"/>
              </w:rPr>
              <w:t>1</w:t>
            </w:r>
            <w:r w:rsidRPr="00D81417">
              <w:rPr>
                <w:rFonts w:ascii="Arial" w:hAnsi="Arial" w:cs="Arial"/>
                <w:sz w:val="16"/>
                <w:szCs w:val="16"/>
                <w:lang w:val="uk-UA"/>
              </w:rPr>
              <w:t>Вірус папіломи людини=ВПЛ.</w:t>
            </w:r>
            <w:r w:rsidRPr="00D81417">
              <w:rPr>
                <w:rFonts w:ascii="Arial" w:hAnsi="Arial" w:cs="Arial"/>
                <w:sz w:val="16"/>
                <w:szCs w:val="16"/>
                <w:lang w:val="uk-UA"/>
              </w:rPr>
              <w:br/>
            </w:r>
            <w:r w:rsidRPr="00D81417">
              <w:rPr>
                <w:rFonts w:ascii="Arial" w:hAnsi="Arial" w:cs="Arial"/>
                <w:sz w:val="16"/>
                <w:szCs w:val="16"/>
                <w:vertAlign w:val="superscript"/>
                <w:lang w:val="uk-UA"/>
              </w:rPr>
              <w:t>2</w:t>
            </w:r>
            <w:r w:rsidRPr="00435C13">
              <w:rPr>
                <w:rFonts w:ascii="Arial" w:hAnsi="Arial" w:cs="Arial"/>
                <w:sz w:val="16"/>
                <w:szCs w:val="16"/>
              </w:rPr>
              <w:t>L</w:t>
            </w:r>
            <w:r w:rsidRPr="00D81417">
              <w:rPr>
                <w:rFonts w:ascii="Arial" w:hAnsi="Arial" w:cs="Arial"/>
                <w:sz w:val="16"/>
                <w:szCs w:val="16"/>
                <w:lang w:val="uk-UA"/>
              </w:rPr>
              <w:t>1 білок у вигляді вірусоподібних часток, що продукуються в клітинах дріжджів (</w:t>
            </w:r>
            <w:r w:rsidRPr="00435C13">
              <w:rPr>
                <w:rFonts w:ascii="Arial" w:hAnsi="Arial" w:cs="Arial"/>
                <w:sz w:val="16"/>
                <w:szCs w:val="16"/>
              </w:rPr>
              <w:t>Saccharomyces</w:t>
            </w:r>
            <w:r w:rsidRPr="00D81417">
              <w:rPr>
                <w:rFonts w:ascii="Arial" w:hAnsi="Arial" w:cs="Arial"/>
                <w:sz w:val="16"/>
                <w:szCs w:val="16"/>
                <w:lang w:val="uk-UA"/>
              </w:rPr>
              <w:t xml:space="preserve"> </w:t>
            </w:r>
            <w:r w:rsidRPr="00435C13">
              <w:rPr>
                <w:rFonts w:ascii="Arial" w:hAnsi="Arial" w:cs="Arial"/>
                <w:sz w:val="16"/>
                <w:szCs w:val="16"/>
              </w:rPr>
              <w:t>cerevisiae</w:t>
            </w:r>
            <w:r w:rsidRPr="00D81417">
              <w:rPr>
                <w:rFonts w:ascii="Arial" w:hAnsi="Arial" w:cs="Arial"/>
                <w:sz w:val="16"/>
                <w:szCs w:val="16"/>
                <w:lang w:val="uk-UA"/>
              </w:rPr>
              <w:t xml:space="preserve"> </w:t>
            </w:r>
            <w:r w:rsidRPr="00435C13">
              <w:rPr>
                <w:rFonts w:ascii="Arial" w:hAnsi="Arial" w:cs="Arial"/>
                <w:sz w:val="16"/>
                <w:szCs w:val="16"/>
              </w:rPr>
              <w:t>CANADE</w:t>
            </w:r>
            <w:r w:rsidRPr="00D81417">
              <w:rPr>
                <w:rFonts w:ascii="Arial" w:hAnsi="Arial" w:cs="Arial"/>
                <w:sz w:val="16"/>
                <w:szCs w:val="16"/>
                <w:lang w:val="uk-UA"/>
              </w:rPr>
              <w:t xml:space="preserve"> 3</w:t>
            </w:r>
            <w:r w:rsidRPr="00435C13">
              <w:rPr>
                <w:rFonts w:ascii="Arial" w:hAnsi="Arial" w:cs="Arial"/>
                <w:sz w:val="16"/>
                <w:szCs w:val="16"/>
              </w:rPr>
              <w:t>C</w:t>
            </w:r>
            <w:r w:rsidRPr="00D81417">
              <w:rPr>
                <w:rFonts w:ascii="Arial" w:hAnsi="Arial" w:cs="Arial"/>
                <w:sz w:val="16"/>
                <w:szCs w:val="16"/>
                <w:lang w:val="uk-UA"/>
              </w:rPr>
              <w:t xml:space="preserve">-5 (штам 1895)) за технологією рекомбінантної ДНК. </w:t>
            </w:r>
            <w:r w:rsidRPr="00D81417">
              <w:rPr>
                <w:rFonts w:ascii="Arial" w:hAnsi="Arial" w:cs="Arial"/>
                <w:sz w:val="16"/>
                <w:szCs w:val="16"/>
                <w:lang w:val="uk-UA"/>
              </w:rPr>
              <w:br/>
            </w:r>
            <w:r w:rsidRPr="00435C13">
              <w:rPr>
                <w:rFonts w:ascii="Arial" w:hAnsi="Arial" w:cs="Arial"/>
                <w:sz w:val="16"/>
                <w:szCs w:val="16"/>
                <w:vertAlign w:val="superscript"/>
              </w:rPr>
              <w:t>3</w:t>
            </w:r>
            <w:r w:rsidRPr="00435C13">
              <w:rPr>
                <w:rFonts w:ascii="Arial" w:hAnsi="Arial" w:cs="Arial"/>
                <w:sz w:val="16"/>
                <w:szCs w:val="16"/>
              </w:rPr>
              <w:t>Адсорбований на ад'юванті аморфного алюмінію гідроксифосфат сульфату (0,5 мг Al).</w:t>
            </w:r>
          </w:p>
        </w:tc>
        <w:tc>
          <w:tcPr>
            <w:tcW w:w="992" w:type="dxa"/>
            <w:shd w:val="clear" w:color="auto" w:fill="FFFFFF"/>
          </w:tcPr>
          <w:p w:rsidR="00D81417" w:rsidRPr="001E7289" w:rsidRDefault="00D81417" w:rsidP="003F1B9C">
            <w:pPr>
              <w:pStyle w:val="Normal"/>
              <w:tabs>
                <w:tab w:val="left" w:pos="12600"/>
              </w:tabs>
              <w:ind w:left="-108"/>
              <w:jc w:val="center"/>
              <w:rPr>
                <w:rFonts w:ascii="Arial" w:hAnsi="Arial" w:cs="Arial"/>
                <w:color w:val="000000"/>
                <w:sz w:val="16"/>
                <w:szCs w:val="16"/>
                <w:shd w:val="clear" w:color="auto" w:fill="F8F8F8"/>
              </w:rPr>
            </w:pPr>
            <w:r>
              <w:rPr>
                <w:rFonts w:ascii="Arial" w:hAnsi="Arial" w:cs="Arial"/>
                <w:color w:val="000000"/>
                <w:sz w:val="16"/>
                <w:szCs w:val="16"/>
              </w:rPr>
              <w:lastRenderedPageBreak/>
              <w:t xml:space="preserve">J07BM01 </w:t>
            </w:r>
          </w:p>
        </w:tc>
        <w:tc>
          <w:tcPr>
            <w:tcW w:w="1276" w:type="dxa"/>
            <w:shd w:val="clear" w:color="auto" w:fill="FFFFFF"/>
          </w:tcPr>
          <w:p w:rsidR="00D81417" w:rsidRPr="001E7289" w:rsidRDefault="00D81417" w:rsidP="003F1B9C">
            <w:pPr>
              <w:pStyle w:val="Normal"/>
              <w:tabs>
                <w:tab w:val="left" w:pos="12600"/>
              </w:tabs>
              <w:rPr>
                <w:rFonts w:ascii="Arial" w:hAnsi="Arial" w:cs="Arial"/>
                <w:sz w:val="16"/>
                <w:szCs w:val="16"/>
                <w:lang w:val="ru-RU"/>
              </w:rPr>
            </w:pPr>
            <w:r>
              <w:rPr>
                <w:rFonts w:ascii="Arial" w:hAnsi="Arial" w:cs="Arial"/>
                <w:color w:val="000000"/>
                <w:sz w:val="16"/>
                <w:szCs w:val="16"/>
              </w:rPr>
              <w:t xml:space="preserve">суспензія для ін'єкцій, по 0,5 мл (1 доза); по 0,5 мл суспензії у попередньо наповненому </w:t>
            </w:r>
            <w:r>
              <w:rPr>
                <w:rFonts w:ascii="Arial" w:hAnsi="Arial" w:cs="Arial"/>
                <w:color w:val="000000"/>
                <w:sz w:val="16"/>
                <w:szCs w:val="16"/>
              </w:rPr>
              <w:lastRenderedPageBreak/>
              <w:t xml:space="preserve">шприці (скло) з обмежувачем ходу поршня (силіконізований бромбутиловий еластомер із покриттям FluroTec) та ковпачком (синтетична ізопрен-бромбутилова суміш). </w:t>
            </w:r>
            <w:r w:rsidRPr="00435C13">
              <w:rPr>
                <w:rFonts w:ascii="Arial" w:hAnsi="Arial" w:cs="Arial"/>
                <w:color w:val="000000"/>
                <w:sz w:val="16"/>
                <w:szCs w:val="16"/>
                <w:lang w:val="ru-RU"/>
              </w:rPr>
              <w:t>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992" w:type="dxa"/>
            <w:shd w:val="clear" w:color="auto" w:fill="FFFFFF"/>
          </w:tcPr>
          <w:p w:rsidR="00D81417" w:rsidRPr="001E7289" w:rsidRDefault="00D81417" w:rsidP="003F1B9C">
            <w:pPr>
              <w:pStyle w:val="Normal"/>
              <w:tabs>
                <w:tab w:val="left" w:pos="12600"/>
              </w:tabs>
              <w:jc w:val="center"/>
              <w:rPr>
                <w:rFonts w:ascii="Arial" w:hAnsi="Arial" w:cs="Arial"/>
                <w:sz w:val="16"/>
                <w:szCs w:val="16"/>
                <w:lang w:val="ru-RU"/>
              </w:rPr>
            </w:pPr>
            <w:r w:rsidRPr="00435C13">
              <w:rPr>
                <w:rFonts w:ascii="Arial" w:hAnsi="Arial" w:cs="Arial"/>
                <w:color w:val="000000"/>
                <w:sz w:val="16"/>
                <w:szCs w:val="16"/>
                <w:lang w:val="ru-RU"/>
              </w:rPr>
              <w:lastRenderedPageBreak/>
              <w:t xml:space="preserve">Мерк Шарп </w:t>
            </w:r>
            <w:r>
              <w:rPr>
                <w:rFonts w:ascii="Arial" w:hAnsi="Arial" w:cs="Arial"/>
                <w:color w:val="000000"/>
                <w:sz w:val="16"/>
                <w:szCs w:val="16"/>
                <w:lang w:val="ru-RU"/>
              </w:rPr>
              <w:t>і Доум ІДЕА ГмбХ</w:t>
            </w:r>
          </w:p>
        </w:tc>
        <w:tc>
          <w:tcPr>
            <w:tcW w:w="1134"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Швейцарія</w:t>
            </w:r>
          </w:p>
        </w:tc>
        <w:tc>
          <w:tcPr>
            <w:tcW w:w="1134"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 xml:space="preserve">об'єднання готового продукту (повторне суспендування та об'єднання </w:t>
            </w:r>
            <w:r>
              <w:rPr>
                <w:rFonts w:ascii="Arial" w:hAnsi="Arial" w:cs="Arial"/>
                <w:color w:val="000000"/>
                <w:sz w:val="16"/>
                <w:szCs w:val="16"/>
              </w:rPr>
              <w:lastRenderedPageBreak/>
              <w:t>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Сімтра (лише ендотоксини та стерильність):</w:t>
            </w:r>
            <w:r>
              <w:rPr>
                <w:rFonts w:ascii="Arial" w:hAnsi="Arial" w:cs="Arial"/>
                <w:color w:val="000000"/>
                <w:sz w:val="16"/>
                <w:szCs w:val="16"/>
              </w:rPr>
              <w:br/>
              <w:t xml:space="preserve">Сімтра ЮС ЛЛС, США </w:t>
            </w:r>
            <w:r>
              <w:rPr>
                <w:rFonts w:ascii="Arial" w:hAnsi="Arial" w:cs="Arial"/>
                <w:color w:val="000000"/>
                <w:sz w:val="16"/>
                <w:szCs w:val="16"/>
              </w:rPr>
              <w:br/>
            </w:r>
            <w:r>
              <w:rPr>
                <w:rFonts w:ascii="Arial" w:hAnsi="Arial" w:cs="Arial"/>
                <w:color w:val="000000"/>
                <w:sz w:val="16"/>
                <w:szCs w:val="16"/>
              </w:rPr>
              <w:br/>
              <w:t>тестування при випуску для шприців, наповнених на дільниці Карлоу, тестування при ввезенні (для шприців, отриманих з дільниці Вест Пойнт та дільниці Сімтра)</w:t>
            </w:r>
            <w:r w:rsidRPr="00435C13">
              <w:rPr>
                <w:rFonts w:ascii="Arial" w:hAnsi="Arial" w:cs="Arial"/>
                <w:color w:val="000000"/>
                <w:sz w:val="16"/>
                <w:szCs w:val="16"/>
                <w:vertAlign w:val="superscript"/>
              </w:rPr>
              <w:t>а</w:t>
            </w:r>
            <w:r>
              <w:rPr>
                <w:rFonts w:ascii="Arial" w:hAnsi="Arial" w:cs="Arial"/>
                <w:color w:val="000000"/>
                <w:sz w:val="16"/>
                <w:szCs w:val="16"/>
              </w:rPr>
              <w:t>, маркування та вторинне пакування, сертифікація та випуск серії:</w:t>
            </w:r>
            <w:r>
              <w:rPr>
                <w:rFonts w:ascii="Arial" w:hAnsi="Arial" w:cs="Arial"/>
                <w:color w:val="000000"/>
                <w:sz w:val="16"/>
                <w:szCs w:val="16"/>
              </w:rPr>
              <w:br/>
            </w:r>
            <w:r w:rsidRPr="00435C13">
              <w:rPr>
                <w:rFonts w:ascii="Arial" w:hAnsi="Arial" w:cs="Arial"/>
                <w:color w:val="000000"/>
                <w:sz w:val="16"/>
                <w:szCs w:val="16"/>
                <w:vertAlign w:val="superscript"/>
              </w:rPr>
              <w:t>а</w:t>
            </w:r>
            <w:r>
              <w:rPr>
                <w:rFonts w:ascii="Arial" w:hAnsi="Arial" w:cs="Arial"/>
                <w:color w:val="000000"/>
                <w:sz w:val="16"/>
                <w:szCs w:val="16"/>
              </w:rPr>
              <w:t xml:space="preserve"> Тестування при ввезенні включає проведення всіх тестів при випуску серії кінцевого продукту</w:t>
            </w:r>
            <w:r>
              <w:rPr>
                <w:rFonts w:ascii="Arial" w:hAnsi="Arial" w:cs="Arial"/>
                <w:color w:val="000000"/>
                <w:sz w:val="16"/>
                <w:szCs w:val="16"/>
              </w:rPr>
              <w:br/>
              <w:t>Мерк Шарп і Доум Б.В., Нідерланди</w:t>
            </w:r>
            <w:r>
              <w:rPr>
                <w:rFonts w:ascii="Arial" w:hAnsi="Arial" w:cs="Arial"/>
                <w:color w:val="000000"/>
                <w:sz w:val="16"/>
                <w:szCs w:val="16"/>
              </w:rPr>
              <w:br/>
            </w:r>
            <w:r>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Сімтра), тестування стабільності:</w:t>
            </w:r>
            <w:r>
              <w:rPr>
                <w:rFonts w:ascii="Arial" w:hAnsi="Arial" w:cs="Arial"/>
                <w:color w:val="000000"/>
                <w:sz w:val="16"/>
                <w:szCs w:val="16"/>
              </w:rPr>
              <w:br/>
              <w:t xml:space="preserve">Мерк Шарп і Доум ЛЛС, США </w:t>
            </w:r>
            <w:r>
              <w:rPr>
                <w:rFonts w:ascii="Arial" w:hAnsi="Arial" w:cs="Arial"/>
                <w:color w:val="000000"/>
                <w:sz w:val="16"/>
                <w:szCs w:val="16"/>
              </w:rPr>
              <w:br/>
            </w:r>
            <w:r>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(кінцевогосформульованого балку та шприців, наповнених на дільниці Карлоу), тестування стабільності:</w:t>
            </w:r>
            <w:r>
              <w:rPr>
                <w:rFonts w:ascii="Arial" w:hAnsi="Arial" w:cs="Arial"/>
                <w:color w:val="000000"/>
                <w:sz w:val="16"/>
                <w:szCs w:val="16"/>
              </w:rPr>
              <w:br/>
              <w:t>МСД Інтернешнл ГмбХ/МСД Ірландія (Карлоу), Ірландiя</w:t>
            </w:r>
            <w:r>
              <w:rPr>
                <w:rFonts w:ascii="Arial" w:hAnsi="Arial" w:cs="Arial"/>
                <w:color w:val="000000"/>
                <w:sz w:val="16"/>
                <w:szCs w:val="16"/>
              </w:rPr>
              <w:br/>
            </w:r>
            <w:r>
              <w:rPr>
                <w:rFonts w:ascii="Arial" w:hAnsi="Arial" w:cs="Arial"/>
                <w:color w:val="000000"/>
                <w:sz w:val="16"/>
                <w:szCs w:val="16"/>
              </w:rPr>
              <w:br/>
              <w:t>маркування та вторинне пакування:</w:t>
            </w:r>
            <w:r>
              <w:rPr>
                <w:rFonts w:ascii="Arial" w:hAnsi="Arial" w:cs="Arial"/>
                <w:color w:val="000000"/>
                <w:sz w:val="16"/>
                <w:szCs w:val="16"/>
              </w:rPr>
              <w:br/>
              <w:t xml:space="preserve">Рові Фарма Індастріал Сервісес, С.А., Іспанiя </w:t>
            </w:r>
            <w:r>
              <w:rPr>
                <w:rFonts w:ascii="Arial" w:hAnsi="Arial" w:cs="Arial"/>
                <w:color w:val="000000"/>
                <w:sz w:val="16"/>
                <w:szCs w:val="16"/>
              </w:rPr>
              <w:br/>
            </w:r>
          </w:p>
        </w:tc>
        <w:tc>
          <w:tcPr>
            <w:tcW w:w="992" w:type="dxa"/>
            <w:shd w:val="clear" w:color="auto" w:fill="FFFFFF"/>
          </w:tcPr>
          <w:p w:rsidR="00D81417" w:rsidRDefault="00D81417" w:rsidP="003F1B9C">
            <w:pPr>
              <w:jc w:val="center"/>
            </w:pPr>
            <w:r>
              <w:rPr>
                <w:rFonts w:ascii="Arial" w:hAnsi="Arial" w:cs="Arial"/>
                <w:color w:val="000000"/>
                <w:sz w:val="16"/>
                <w:szCs w:val="16"/>
              </w:rPr>
              <w:lastRenderedPageBreak/>
              <w:t>США/Нідерланди/Ірландiя/Іспанiя</w:t>
            </w:r>
          </w:p>
          <w:p w:rsidR="00D81417" w:rsidRPr="001E7289" w:rsidRDefault="00D81417" w:rsidP="003F1B9C">
            <w:pPr>
              <w:pStyle w:val="Normal"/>
              <w:tabs>
                <w:tab w:val="left" w:pos="12600"/>
              </w:tabs>
              <w:jc w:val="center"/>
              <w:rPr>
                <w:rFonts w:ascii="Arial" w:hAnsi="Arial" w:cs="Arial"/>
                <w:sz w:val="16"/>
                <w:szCs w:val="16"/>
              </w:rPr>
            </w:pPr>
          </w:p>
        </w:tc>
        <w:tc>
          <w:tcPr>
            <w:tcW w:w="1843"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 xml:space="preserve">A.5.b, IA To change in the name of the site responsible for manufacturing and release testing (endotoxin and sterility only) from Baxter </w:t>
            </w:r>
            <w:r>
              <w:rPr>
                <w:rFonts w:ascii="Arial" w:hAnsi="Arial" w:cs="Arial"/>
                <w:color w:val="000000"/>
                <w:sz w:val="16"/>
                <w:szCs w:val="16"/>
              </w:rPr>
              <w:lastRenderedPageBreak/>
              <w:t>Pharmaceutical Solutions LLC (927 South Curry Pike, Bloomington, Indiana 47403, USA), to Simtra US LLC, USA/ Тhe address remains unchanged.</w:t>
            </w:r>
          </w:p>
        </w:tc>
        <w:tc>
          <w:tcPr>
            <w:tcW w:w="1134" w:type="dxa"/>
            <w:shd w:val="clear" w:color="auto" w:fill="FFFFFF"/>
          </w:tcPr>
          <w:p w:rsidR="00D81417" w:rsidRDefault="00D81417" w:rsidP="003F1B9C">
            <w:pPr>
              <w:pStyle w:val="Normal"/>
              <w:tabs>
                <w:tab w:val="left" w:pos="12600"/>
              </w:tabs>
              <w:ind w:left="-185"/>
              <w:jc w:val="center"/>
              <w:rPr>
                <w:rFonts w:ascii="Arial" w:hAnsi="Arial" w:cs="Arial"/>
                <w:i/>
                <w:sz w:val="16"/>
                <w:szCs w:val="16"/>
              </w:rPr>
            </w:pPr>
            <w:r>
              <w:rPr>
                <w:rFonts w:ascii="Arial" w:hAnsi="Arial" w:cs="Arial"/>
                <w:i/>
                <w:sz w:val="16"/>
                <w:szCs w:val="16"/>
              </w:rPr>
              <w:lastRenderedPageBreak/>
              <w:t xml:space="preserve">за </w:t>
            </w:r>
          </w:p>
          <w:p w:rsidR="00D81417" w:rsidRPr="001E7289" w:rsidRDefault="00D81417" w:rsidP="003F1B9C">
            <w:pPr>
              <w:pStyle w:val="Normal"/>
              <w:tabs>
                <w:tab w:val="left" w:pos="12600"/>
              </w:tabs>
              <w:jc w:val="center"/>
              <w:rPr>
                <w:rFonts w:ascii="Arial" w:hAnsi="Arial" w:cs="Arial"/>
                <w:i/>
                <w:sz w:val="16"/>
                <w:szCs w:val="16"/>
              </w:rPr>
            </w:pPr>
            <w:r>
              <w:rPr>
                <w:rFonts w:ascii="Arial" w:hAnsi="Arial" w:cs="Arial"/>
                <w:i/>
                <w:sz w:val="16"/>
                <w:szCs w:val="16"/>
              </w:rPr>
              <w:t>рецептом</w:t>
            </w:r>
          </w:p>
        </w:tc>
        <w:tc>
          <w:tcPr>
            <w:tcW w:w="1843" w:type="dxa"/>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sz w:val="16"/>
                <w:szCs w:val="16"/>
              </w:rPr>
              <w:t>UA/20128/01/01</w:t>
            </w:r>
          </w:p>
        </w:tc>
      </w:tr>
      <w:tr w:rsidR="00C74C09" w:rsidRPr="00C8484E" w:rsidTr="004B2155">
        <w:trPr>
          <w:trHeight w:val="433"/>
        </w:trPr>
        <w:tc>
          <w:tcPr>
            <w:tcW w:w="567" w:type="dxa"/>
            <w:tcBorders>
              <w:right w:val="single" w:sz="4" w:space="0" w:color="auto"/>
            </w:tcBorders>
            <w:shd w:val="clear" w:color="auto" w:fill="FFFFFF"/>
          </w:tcPr>
          <w:p w:rsidR="00D81417" w:rsidRPr="00C8484E" w:rsidRDefault="00D81417" w:rsidP="00D81417">
            <w:pPr>
              <w:numPr>
                <w:ilvl w:val="0"/>
                <w:numId w:val="7"/>
              </w:numPr>
              <w:tabs>
                <w:tab w:val="left" w:pos="12600"/>
              </w:tabs>
              <w:contextualSpacing/>
              <w:rPr>
                <w:rFonts w:ascii="Arial" w:hAnsi="Arial" w:cs="Arial"/>
                <w:b/>
                <w:sz w:val="16"/>
                <w:szCs w:val="16"/>
              </w:rPr>
            </w:pPr>
          </w:p>
        </w:tc>
        <w:tc>
          <w:tcPr>
            <w:tcW w:w="1418" w:type="dxa"/>
            <w:tcBorders>
              <w:right w:val="single" w:sz="4" w:space="0" w:color="auto"/>
            </w:tcBorders>
            <w:shd w:val="clear" w:color="auto" w:fill="FFFFFF"/>
          </w:tcPr>
          <w:p w:rsidR="00D81417" w:rsidRPr="00ED4CD4" w:rsidRDefault="00D81417" w:rsidP="003F1B9C">
            <w:pPr>
              <w:pStyle w:val="Normal"/>
              <w:tabs>
                <w:tab w:val="left" w:pos="12600"/>
              </w:tabs>
              <w:rPr>
                <w:rFonts w:ascii="Arial" w:hAnsi="Arial" w:cs="Arial"/>
                <w:b/>
                <w:sz w:val="16"/>
                <w:szCs w:val="16"/>
              </w:rPr>
            </w:pPr>
            <w:r>
              <w:rPr>
                <w:rFonts w:ascii="Arial" w:hAnsi="Arial" w:cs="Arial"/>
                <w:b/>
                <w:sz w:val="16"/>
                <w:szCs w:val="16"/>
              </w:rPr>
              <w:t>ОНІВАЙД® ПЕГИЛЬОВАНИЙ ЛІПОСОМАЛЬНИЙ</w:t>
            </w:r>
          </w:p>
        </w:tc>
        <w:tc>
          <w:tcPr>
            <w:tcW w:w="1134" w:type="dxa"/>
            <w:shd w:val="clear" w:color="auto" w:fill="auto"/>
          </w:tcPr>
          <w:p w:rsidR="00D81417" w:rsidRPr="001E7289" w:rsidRDefault="00D81417" w:rsidP="003F1B9C">
            <w:pPr>
              <w:pStyle w:val="Normal"/>
              <w:tabs>
                <w:tab w:val="left" w:pos="12600"/>
              </w:tabs>
              <w:rPr>
                <w:rFonts w:ascii="Arial" w:hAnsi="Arial" w:cs="Arial"/>
                <w:color w:val="000000"/>
                <w:sz w:val="16"/>
                <w:szCs w:val="16"/>
                <w:shd w:val="clear" w:color="auto" w:fill="F8F8F8"/>
              </w:rPr>
            </w:pPr>
            <w:r>
              <w:rPr>
                <w:rFonts w:ascii="Arial" w:hAnsi="Arial" w:cs="Arial"/>
                <w:color w:val="000000"/>
                <w:sz w:val="16"/>
                <w:szCs w:val="16"/>
              </w:rPr>
              <w:t>irinotecan</w:t>
            </w:r>
          </w:p>
        </w:tc>
        <w:tc>
          <w:tcPr>
            <w:tcW w:w="1276" w:type="dxa"/>
            <w:shd w:val="clear" w:color="auto" w:fill="FFFFFF"/>
          </w:tcPr>
          <w:p w:rsidR="00D81417" w:rsidRPr="001E7289" w:rsidRDefault="00D81417" w:rsidP="003F1B9C">
            <w:pPr>
              <w:rPr>
                <w:rFonts w:ascii="Arial" w:hAnsi="Arial" w:cs="Arial"/>
                <w:sz w:val="16"/>
                <w:szCs w:val="16"/>
              </w:rPr>
            </w:pPr>
            <w:r>
              <w:rPr>
                <w:rFonts w:ascii="Arial" w:hAnsi="Arial" w:cs="Arial"/>
                <w:color w:val="000000"/>
                <w:sz w:val="16"/>
                <w:szCs w:val="16"/>
              </w:rPr>
              <w:t xml:space="preserve">іринотекан </w:t>
            </w:r>
          </w:p>
        </w:tc>
        <w:tc>
          <w:tcPr>
            <w:tcW w:w="992" w:type="dxa"/>
            <w:shd w:val="clear" w:color="auto" w:fill="FFFFFF"/>
          </w:tcPr>
          <w:p w:rsidR="00D81417" w:rsidRPr="001E7289" w:rsidRDefault="00D81417" w:rsidP="003F1B9C">
            <w:pPr>
              <w:pStyle w:val="Normal"/>
              <w:tabs>
                <w:tab w:val="left" w:pos="12600"/>
              </w:tabs>
              <w:ind w:left="-108"/>
              <w:jc w:val="center"/>
              <w:rPr>
                <w:rFonts w:ascii="Arial" w:hAnsi="Arial" w:cs="Arial"/>
                <w:color w:val="000000"/>
                <w:sz w:val="16"/>
                <w:szCs w:val="16"/>
                <w:shd w:val="clear" w:color="auto" w:fill="F8F8F8"/>
              </w:rPr>
            </w:pPr>
            <w:r>
              <w:rPr>
                <w:rFonts w:ascii="Arial" w:hAnsi="Arial" w:cs="Arial"/>
                <w:color w:val="000000"/>
                <w:sz w:val="16"/>
                <w:szCs w:val="16"/>
              </w:rPr>
              <w:t>L01XX19</w:t>
            </w:r>
          </w:p>
        </w:tc>
        <w:tc>
          <w:tcPr>
            <w:tcW w:w="1276" w:type="dxa"/>
            <w:shd w:val="clear" w:color="auto" w:fill="FFFFFF"/>
          </w:tcPr>
          <w:p w:rsidR="00D81417" w:rsidRPr="005713C3" w:rsidRDefault="00D81417" w:rsidP="003F1B9C">
            <w:pPr>
              <w:pStyle w:val="Normal"/>
              <w:tabs>
                <w:tab w:val="left" w:pos="12600"/>
              </w:tabs>
              <w:rPr>
                <w:rFonts w:ascii="Arial" w:hAnsi="Arial" w:cs="Arial"/>
                <w:sz w:val="16"/>
                <w:szCs w:val="16"/>
              </w:rPr>
            </w:pPr>
            <w:r>
              <w:rPr>
                <w:rFonts w:ascii="Arial" w:hAnsi="Arial" w:cs="Arial"/>
                <w:color w:val="000000"/>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стикером українською мовою</w:t>
            </w:r>
          </w:p>
        </w:tc>
        <w:tc>
          <w:tcPr>
            <w:tcW w:w="992" w:type="dxa"/>
            <w:shd w:val="clear" w:color="auto" w:fill="FFFFFF"/>
          </w:tcPr>
          <w:p w:rsidR="00D81417" w:rsidRPr="001E7289" w:rsidRDefault="00D81417" w:rsidP="003F1B9C">
            <w:pPr>
              <w:pStyle w:val="Normal"/>
              <w:tabs>
                <w:tab w:val="left" w:pos="12600"/>
              </w:tabs>
              <w:jc w:val="center"/>
              <w:rPr>
                <w:rFonts w:ascii="Arial" w:hAnsi="Arial" w:cs="Arial"/>
                <w:sz w:val="16"/>
                <w:szCs w:val="16"/>
                <w:lang w:val="ru-RU"/>
              </w:rPr>
            </w:pPr>
            <w:r>
              <w:rPr>
                <w:rFonts w:ascii="Arial" w:hAnsi="Arial" w:cs="Arial"/>
                <w:color w:val="000000"/>
                <w:sz w:val="16"/>
                <w:szCs w:val="16"/>
              </w:rPr>
              <w:t>ЛЄ ЛАБОРАТУАР СЕРВ'Є</w:t>
            </w:r>
            <w:r>
              <w:rPr>
                <w:rFonts w:ascii="Arial" w:hAnsi="Arial" w:cs="Arial"/>
                <w:color w:val="000000"/>
                <w:sz w:val="16"/>
                <w:szCs w:val="16"/>
              </w:rPr>
              <w:br/>
            </w:r>
          </w:p>
        </w:tc>
        <w:tc>
          <w:tcPr>
            <w:tcW w:w="1134"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Францiя</w:t>
            </w:r>
          </w:p>
        </w:tc>
        <w:tc>
          <w:tcPr>
            <w:tcW w:w="1134" w:type="dxa"/>
            <w:shd w:val="clear" w:color="auto" w:fill="FFFFFF"/>
          </w:tcPr>
          <w:p w:rsidR="00D81417" w:rsidRPr="00D81417" w:rsidRDefault="00D81417" w:rsidP="003F1B9C">
            <w:pPr>
              <w:tabs>
                <w:tab w:val="left" w:pos="12600"/>
              </w:tabs>
              <w:spacing w:line="276" w:lineRule="auto"/>
              <w:jc w:val="center"/>
              <w:rPr>
                <w:rFonts w:ascii="Arial" w:hAnsi="Arial" w:cs="Arial"/>
                <w:color w:val="000000"/>
                <w:sz w:val="16"/>
                <w:szCs w:val="16"/>
                <w:lang w:val="uk-UA"/>
              </w:rPr>
            </w:pPr>
            <w:r w:rsidRPr="00D81417">
              <w:rPr>
                <w:rFonts w:ascii="Arial" w:hAnsi="Arial" w:cs="Arial"/>
                <w:color w:val="000000"/>
                <w:sz w:val="16"/>
                <w:szCs w:val="16"/>
                <w:lang w:val="uk-UA"/>
              </w:rPr>
              <w:t>відповідальний за контроль вихідних матеріалів:</w:t>
            </w:r>
            <w:r w:rsidRPr="00D81417">
              <w:rPr>
                <w:rFonts w:ascii="Arial" w:hAnsi="Arial" w:cs="Arial"/>
                <w:color w:val="000000"/>
                <w:sz w:val="16"/>
                <w:szCs w:val="16"/>
                <w:lang w:val="uk-UA"/>
              </w:rPr>
              <w:br/>
              <w:t xml:space="preserve">Бостон Аналітикал, США </w:t>
            </w:r>
            <w:r w:rsidRPr="00D81417">
              <w:rPr>
                <w:rFonts w:ascii="Arial" w:hAnsi="Arial" w:cs="Arial"/>
                <w:color w:val="000000"/>
                <w:sz w:val="16"/>
                <w:szCs w:val="16"/>
                <w:lang w:val="uk-UA"/>
              </w:rPr>
              <w:br/>
              <w:t>відповідальний за контроль якості готового лікарського засобу: ендотоксин, стерильність, тверді частки:</w:t>
            </w:r>
            <w:r w:rsidRPr="00D81417">
              <w:rPr>
                <w:rFonts w:ascii="Arial" w:hAnsi="Arial" w:cs="Arial"/>
                <w:color w:val="000000"/>
                <w:sz w:val="16"/>
                <w:szCs w:val="16"/>
                <w:lang w:val="uk-UA"/>
              </w:rPr>
              <w:br/>
              <w:t xml:space="preserve">ЕсДжіЕс Інститут Фрезеніус ГмбХ, Німеччина </w:t>
            </w:r>
            <w:r w:rsidRPr="00D81417">
              <w:rPr>
                <w:rFonts w:ascii="Arial" w:hAnsi="Arial" w:cs="Arial"/>
                <w:color w:val="000000"/>
                <w:sz w:val="16"/>
                <w:szCs w:val="16"/>
                <w:lang w:val="uk-UA"/>
              </w:rPr>
              <w:br/>
              <w:t>відповідальний за контроль якості готового лікарського засобу: кількісне визначення, ідентифікація, домішки, фізико-хімічні показники:</w:t>
            </w:r>
            <w:r w:rsidRPr="00D81417">
              <w:rPr>
                <w:rFonts w:ascii="Arial" w:hAnsi="Arial" w:cs="Arial"/>
                <w:color w:val="000000"/>
                <w:sz w:val="16"/>
                <w:szCs w:val="16"/>
                <w:lang w:val="uk-UA"/>
              </w:rPr>
              <w:br/>
              <w:t xml:space="preserve">ЕсДжіЕс Інститут Фрезеніус ГмбХ, Німеччина </w:t>
            </w:r>
            <w:r w:rsidRPr="00D81417">
              <w:rPr>
                <w:rFonts w:ascii="Arial" w:hAnsi="Arial" w:cs="Arial"/>
                <w:color w:val="000000"/>
                <w:sz w:val="16"/>
                <w:szCs w:val="16"/>
                <w:lang w:val="uk-UA"/>
              </w:rPr>
              <w:br/>
              <w:t xml:space="preserve">відповідальний за виробництво та контроль нерозфасованого продукту, контроль вихідних матеріалів;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випуск серії готового лікарського засобу: </w:t>
            </w:r>
            <w:r w:rsidRPr="00D81417">
              <w:rPr>
                <w:rFonts w:ascii="Arial" w:hAnsi="Arial" w:cs="Arial"/>
                <w:color w:val="000000"/>
                <w:sz w:val="16"/>
                <w:szCs w:val="16"/>
                <w:lang w:val="uk-UA"/>
              </w:rPr>
              <w:br/>
              <w:t>Іпсен Фарма Біотек, Франція</w:t>
            </w:r>
            <w:r w:rsidRPr="00D81417">
              <w:rPr>
                <w:rFonts w:ascii="Arial" w:hAnsi="Arial" w:cs="Arial"/>
                <w:color w:val="000000"/>
                <w:sz w:val="16"/>
                <w:szCs w:val="16"/>
                <w:lang w:val="uk-UA"/>
              </w:rPr>
              <w:br/>
              <w:t>відповідальний за контроль вихідних матеріалів та нерозфасованого продукту:</w:t>
            </w:r>
            <w:r w:rsidRPr="00D81417">
              <w:rPr>
                <w:rFonts w:ascii="Arial" w:hAnsi="Arial" w:cs="Arial"/>
                <w:color w:val="000000"/>
                <w:sz w:val="16"/>
                <w:szCs w:val="16"/>
                <w:lang w:val="uk-UA"/>
              </w:rPr>
              <w:br/>
              <w:t xml:space="preserve">Кволіті Кемікал Лабораторіз, США </w:t>
            </w:r>
            <w:r w:rsidRPr="00D81417">
              <w:rPr>
                <w:rFonts w:ascii="Arial" w:hAnsi="Arial" w:cs="Arial"/>
                <w:color w:val="000000"/>
                <w:sz w:val="16"/>
                <w:szCs w:val="16"/>
                <w:lang w:val="uk-UA"/>
              </w:rPr>
              <w:br/>
              <w:t>відповідальний за випуск серії готового лікарського засобу:</w:t>
            </w:r>
            <w:r w:rsidRPr="00D81417">
              <w:rPr>
                <w:rFonts w:ascii="Arial" w:hAnsi="Arial" w:cs="Arial"/>
                <w:color w:val="000000"/>
                <w:sz w:val="16"/>
                <w:szCs w:val="16"/>
                <w:lang w:val="uk-UA"/>
              </w:rPr>
              <w:br/>
              <w:t>Лабораторії Серв`є Індастрі, Франц</w:t>
            </w:r>
            <w:r>
              <w:rPr>
                <w:rFonts w:ascii="Arial" w:hAnsi="Arial" w:cs="Arial"/>
                <w:color w:val="000000"/>
                <w:sz w:val="16"/>
                <w:szCs w:val="16"/>
              </w:rPr>
              <w:t>i</w:t>
            </w:r>
            <w:r w:rsidRPr="00D81417">
              <w:rPr>
                <w:rFonts w:ascii="Arial" w:hAnsi="Arial" w:cs="Arial"/>
                <w:color w:val="000000"/>
                <w:sz w:val="16"/>
                <w:szCs w:val="16"/>
                <w:lang w:val="uk-UA"/>
              </w:rPr>
              <w:t xml:space="preserve">я </w:t>
            </w:r>
            <w:r w:rsidRPr="00D81417">
              <w:rPr>
                <w:rFonts w:ascii="Arial" w:hAnsi="Arial" w:cs="Arial"/>
                <w:color w:val="000000"/>
                <w:sz w:val="16"/>
                <w:szCs w:val="16"/>
                <w:lang w:val="uk-UA"/>
              </w:rPr>
              <w:br/>
              <w:t>відповідальний за контроль вихідних матеріалів:</w:t>
            </w:r>
            <w:r w:rsidRPr="00D81417">
              <w:rPr>
                <w:rFonts w:ascii="Arial" w:hAnsi="Arial" w:cs="Arial"/>
                <w:color w:val="000000"/>
                <w:sz w:val="16"/>
                <w:szCs w:val="16"/>
                <w:lang w:val="uk-UA"/>
              </w:rPr>
              <w:br/>
              <w:t xml:space="preserve">Єврофінс ПРОКСІ Лабораторіз Бі.Ві., Нідерланди </w:t>
            </w:r>
            <w:r w:rsidRPr="00D81417">
              <w:rPr>
                <w:rFonts w:ascii="Arial" w:hAnsi="Arial" w:cs="Arial"/>
                <w:color w:val="000000"/>
                <w:sz w:val="16"/>
                <w:szCs w:val="16"/>
                <w:lang w:val="uk-UA"/>
              </w:rPr>
              <w:br/>
              <w:t>відповідальний за контроль вихідних матеріалів:</w:t>
            </w:r>
            <w:r w:rsidRPr="00D81417">
              <w:rPr>
                <w:rFonts w:ascii="Arial" w:hAnsi="Arial" w:cs="Arial"/>
                <w:color w:val="000000"/>
                <w:sz w:val="16"/>
                <w:szCs w:val="16"/>
                <w:lang w:val="uk-UA"/>
              </w:rPr>
              <w:br/>
              <w:t>КАЛІ КОНТРОЛЬ, Франція</w:t>
            </w:r>
          </w:p>
          <w:p w:rsidR="00D81417" w:rsidRPr="00D81417" w:rsidRDefault="00D81417" w:rsidP="003F1B9C">
            <w:pPr>
              <w:jc w:val="center"/>
              <w:rPr>
                <w:lang w:val="uk-UA"/>
              </w:rPr>
            </w:pPr>
          </w:p>
          <w:p w:rsidR="00D81417" w:rsidRPr="001E7289" w:rsidRDefault="00D81417" w:rsidP="003F1B9C">
            <w:pPr>
              <w:pStyle w:val="Normal"/>
              <w:tabs>
                <w:tab w:val="left" w:pos="12600"/>
              </w:tabs>
              <w:jc w:val="center"/>
              <w:rPr>
                <w:rFonts w:ascii="Arial" w:hAnsi="Arial" w:cs="Arial"/>
                <w:sz w:val="16"/>
                <w:szCs w:val="16"/>
              </w:rPr>
            </w:pPr>
          </w:p>
        </w:tc>
        <w:tc>
          <w:tcPr>
            <w:tcW w:w="992"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США/Німеччина/ Франція/ Нідерланди</w:t>
            </w:r>
          </w:p>
        </w:tc>
        <w:tc>
          <w:tcPr>
            <w:tcW w:w="1843"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B.III.1.b.3 IA European Pharmacopoeial TSE Certificate of suitability for an active substance/starting material/reagent/intermediate/or excipient – Update certificate from an already approved manufacturer – To update the Ph. Eur. TSE Certificate of suitability for Cholesterol from Rl-CEP 2001- 199-Rev 02 to Rl-CEP 2001-199-Rev 04</w:t>
            </w:r>
            <w:r>
              <w:rPr>
                <w:rFonts w:ascii="Arial" w:hAnsi="Arial" w:cs="Arial"/>
                <w:color w:val="000000"/>
                <w:sz w:val="16"/>
                <w:szCs w:val="16"/>
              </w:rPr>
              <w:br/>
              <w:t>A.5.b IA Change in the name and/or address of a manufacturer/importer of the finished product (including batch release or quality control testing sites) - The activities for which the manufacturer/importer is responsible do not include batch release - To change the name and update the address of the responsible for raw material testing from Proxy Laboratories B.V. Sinensis Life Sciences B.V. Bio Science Park Archimedesweg 25 2333 CM Leiden, Netherlands to Eurofins Proxy Laboratories B.V. Archimedesweg 25 Leiden, 2333 CM Netherlands. There is no change in the location of the site.</w:t>
            </w:r>
            <w:r>
              <w:rPr>
                <w:rFonts w:ascii="Arial" w:hAnsi="Arial" w:cs="Arial"/>
                <w:color w:val="000000"/>
                <w:sz w:val="16"/>
                <w:szCs w:val="16"/>
              </w:rPr>
              <w:br/>
            </w:r>
            <w:r w:rsidRPr="00DE051B">
              <w:rPr>
                <w:rFonts w:ascii="Arial" w:hAnsi="Arial" w:cs="Arial"/>
                <w:color w:val="000000"/>
                <w:sz w:val="16"/>
                <w:szCs w:val="16"/>
                <w:lang w:val="ru-RU"/>
              </w:rPr>
              <w:t>Зміна назви та адреси виробника відповідального за контроль вихідних матеріалів ПРОКСІ Лабораторіз БВ Сіненсіс Лайф Сайнсіс БВ.</w:t>
            </w:r>
            <w:r w:rsidRPr="00DE051B">
              <w:rPr>
                <w:rFonts w:ascii="Arial" w:hAnsi="Arial" w:cs="Arial"/>
                <w:color w:val="000000"/>
                <w:sz w:val="16"/>
                <w:szCs w:val="16"/>
                <w:lang w:val="ru-RU"/>
              </w:rPr>
              <w:br/>
            </w:r>
            <w:r>
              <w:rPr>
                <w:rFonts w:ascii="Arial" w:hAnsi="Arial" w:cs="Arial"/>
                <w:color w:val="000000"/>
                <w:sz w:val="16"/>
                <w:szCs w:val="16"/>
              </w:rPr>
              <w:t>Діюча редакція:</w:t>
            </w:r>
            <w:r>
              <w:rPr>
                <w:rFonts w:ascii="Arial" w:hAnsi="Arial" w:cs="Arial"/>
                <w:color w:val="000000"/>
                <w:sz w:val="16"/>
                <w:szCs w:val="16"/>
              </w:rPr>
              <w:br/>
              <w:t>Відповідальний за контроль вихідних матеріалів:</w:t>
            </w:r>
            <w:r>
              <w:rPr>
                <w:rFonts w:ascii="Arial" w:hAnsi="Arial" w:cs="Arial"/>
                <w:color w:val="000000"/>
                <w:sz w:val="16"/>
                <w:szCs w:val="16"/>
              </w:rPr>
              <w:br/>
              <w:t>ПРОКСІ Лабораторіз БВ Сіненсіс Лайф Сайнсіс БВ / Б.В. Біо-Сайнз парк Архімедесвег 25 2333 СМ Лейден, Нідерланди</w:t>
            </w:r>
            <w:r>
              <w:rPr>
                <w:rFonts w:ascii="Arial" w:hAnsi="Arial" w:cs="Arial"/>
                <w:color w:val="000000"/>
                <w:sz w:val="16"/>
                <w:szCs w:val="16"/>
              </w:rPr>
              <w:br/>
              <w:t>Proxy Laboratories B.V. Sinensis Life Sciences B.V. / B.V. Archimedesweg 25 Leiden, 2333 CM Netherlands</w:t>
            </w:r>
            <w:r>
              <w:rPr>
                <w:rFonts w:ascii="Arial" w:hAnsi="Arial" w:cs="Arial"/>
                <w:color w:val="000000"/>
                <w:sz w:val="16"/>
                <w:szCs w:val="16"/>
              </w:rPr>
              <w:br/>
              <w:t>Пропонована редакція:</w:t>
            </w:r>
            <w:r>
              <w:rPr>
                <w:rFonts w:ascii="Arial" w:hAnsi="Arial" w:cs="Arial"/>
                <w:color w:val="000000"/>
                <w:sz w:val="16"/>
                <w:szCs w:val="16"/>
              </w:rPr>
              <w:br/>
              <w:t>Відповідальний за контроль вихідних матеріалів:</w:t>
            </w:r>
            <w:r>
              <w:rPr>
                <w:rFonts w:ascii="Arial" w:hAnsi="Arial" w:cs="Arial"/>
                <w:color w:val="000000"/>
                <w:sz w:val="16"/>
                <w:szCs w:val="16"/>
              </w:rPr>
              <w:br/>
              <w:t>Єврофінс ПРОКСІ Лабораторіз Бі.Ві. / Архімедесвег 25, Лейден, 2333 СМ, Нідерланди</w:t>
            </w:r>
            <w:r>
              <w:rPr>
                <w:rFonts w:ascii="Arial" w:hAnsi="Arial" w:cs="Arial"/>
                <w:color w:val="000000"/>
                <w:sz w:val="16"/>
                <w:szCs w:val="16"/>
              </w:rPr>
              <w:br/>
              <w:t>Eurofins Proxy Laboratories B.V. / Archimedesweg 25 Leiden, 2333 CM Netherlands</w:t>
            </w:r>
            <w:r>
              <w:rPr>
                <w:rFonts w:ascii="Arial" w:hAnsi="Arial" w:cs="Arial"/>
                <w:color w:val="000000"/>
                <w:sz w:val="16"/>
                <w:szCs w:val="16"/>
              </w:rPr>
              <w:br/>
              <w:t>A.7 IA ADMINISTRATIVE CHANGES - Deletion of manufacturing sites for an active substance, intermediate or finished product, packaging site, manufacturer responsible for batch release, site where batch control takes place, or supplier of a starting material, reagent or excipient (when mentioned in the dossier) - To delete the following manufacturing sites:</w:t>
            </w:r>
            <w:r>
              <w:rPr>
                <w:rFonts w:ascii="Arial" w:hAnsi="Arial" w:cs="Arial"/>
                <w:color w:val="000000"/>
                <w:sz w:val="16"/>
                <w:szCs w:val="16"/>
              </w:rPr>
              <w:br/>
              <w:t>- Avista Pharma Solutions, 104 Gold Street, Agawam, MA 01001, USA, as a site responsible for quality control testing of the finished product;</w:t>
            </w:r>
            <w:r>
              <w:rPr>
                <w:rFonts w:ascii="Arial" w:hAnsi="Arial" w:cs="Arial"/>
                <w:color w:val="000000"/>
                <w:sz w:val="16"/>
                <w:szCs w:val="16"/>
              </w:rPr>
              <w:br/>
              <w:t>- Ipsen Bioscience, Inc., 1 Kendall Square Suite B7401 Cambridge, MA 02139-1670, USA, as a site responsible for manufacturing and quality control testing of the finished product;</w:t>
            </w:r>
            <w:r>
              <w:rPr>
                <w:rFonts w:ascii="Arial" w:hAnsi="Arial" w:cs="Arial"/>
                <w:color w:val="000000"/>
                <w:sz w:val="16"/>
                <w:szCs w:val="16"/>
              </w:rPr>
              <w:br/>
              <w:t>- Associates of Cape Cod, 124 Bernard E. Saint Jean Drive, East Falmouth, MA 02536-4445, USA, as a site responsible for quality control testing of the finished product;</w:t>
            </w:r>
            <w:r>
              <w:rPr>
                <w:rFonts w:ascii="Arial" w:hAnsi="Arial" w:cs="Arial"/>
                <w:color w:val="000000"/>
                <w:sz w:val="16"/>
                <w:szCs w:val="16"/>
              </w:rPr>
              <w:br/>
              <w:t>- Ajinomoto Althea, Inc., 11040 Roselle Street, San Diego, CA 9212, USA, as a site responsible for manufacturing, quality control testing and primary packing of the finished product;</w:t>
            </w:r>
            <w:r>
              <w:rPr>
                <w:rFonts w:ascii="Arial" w:hAnsi="Arial" w:cs="Arial"/>
                <w:color w:val="000000"/>
                <w:sz w:val="16"/>
                <w:szCs w:val="16"/>
              </w:rPr>
              <w:br/>
              <w:t>- Baxter Oncology GmbH, Kantstrasse 2, 33790 Halle/Westfalen, Germany, as a site responsible for secondary packaging of the finished product;</w:t>
            </w:r>
            <w:r>
              <w:rPr>
                <w:rFonts w:ascii="Arial" w:hAnsi="Arial" w:cs="Arial"/>
                <w:color w:val="000000"/>
                <w:sz w:val="16"/>
                <w:szCs w:val="16"/>
              </w:rPr>
              <w:br/>
              <w:t>- DERET Logistique, Site des 3 Arches, 2152 Route Departementale, 45760 Boigny-sur-Bionne, France, as a site responsible for secondary packaging of the finished product;</w:t>
            </w:r>
            <w:r>
              <w:rPr>
                <w:rFonts w:ascii="Arial" w:hAnsi="Arial" w:cs="Arial"/>
                <w:color w:val="000000"/>
                <w:sz w:val="16"/>
                <w:szCs w:val="16"/>
              </w:rPr>
              <w:br/>
              <w:t>- Les Laboratoires Servier Industrie, 905, route de Saran, 45520 Gidy, France, as a site responsible for secondary packaging of the finished product.</w:t>
            </w:r>
            <w:r>
              <w:rPr>
                <w:rFonts w:ascii="Arial" w:hAnsi="Arial" w:cs="Arial"/>
                <w:color w:val="000000"/>
                <w:sz w:val="16"/>
                <w:szCs w:val="16"/>
              </w:rPr>
              <w:br/>
              <w:t>Видалення альтернативних виробничих дільниць:</w:t>
            </w:r>
            <w:r>
              <w:rPr>
                <w:rFonts w:ascii="Arial" w:hAnsi="Arial" w:cs="Arial"/>
                <w:color w:val="000000"/>
                <w:sz w:val="16"/>
                <w:szCs w:val="16"/>
              </w:rPr>
              <w:br/>
              <w:t>- Авіста Фарма Солюшнс, США (відповідальний за контроль вихідних матеріалів та нерозфасованого продукту);</w:t>
            </w:r>
            <w:r>
              <w:rPr>
                <w:rFonts w:ascii="Arial" w:hAnsi="Arial" w:cs="Arial"/>
                <w:color w:val="000000"/>
                <w:sz w:val="16"/>
                <w:szCs w:val="16"/>
              </w:rPr>
              <w:br/>
              <w:t>- Іпсен Біосайнс, Інк., США (відповідальний за виробництво та контроль нерозфасованого продукту, контроль вихідних матеріалів);</w:t>
            </w:r>
            <w:r>
              <w:rPr>
                <w:rFonts w:ascii="Arial" w:hAnsi="Arial" w:cs="Arial"/>
                <w:color w:val="000000"/>
                <w:sz w:val="16"/>
                <w:szCs w:val="16"/>
              </w:rPr>
              <w:br/>
              <w:t>- Ассошиейтс оф Кейп Код, США (відповідальний за контроль нерозфасованого продукту);</w:t>
            </w:r>
            <w:r>
              <w:rPr>
                <w:rFonts w:ascii="Arial" w:hAnsi="Arial" w:cs="Arial"/>
                <w:color w:val="000000"/>
                <w:sz w:val="16"/>
                <w:szCs w:val="16"/>
              </w:rPr>
              <w:br/>
              <w:t>- Аджиномото Алтеа, Інк., США (відповідальний за укупорку та візуальний контроль);</w:t>
            </w:r>
            <w:r>
              <w:rPr>
                <w:rFonts w:ascii="Arial" w:hAnsi="Arial" w:cs="Arial"/>
                <w:color w:val="000000"/>
                <w:sz w:val="16"/>
                <w:szCs w:val="16"/>
              </w:rPr>
              <w:br/>
              <w:t>- Бакстер Онколоджі ГмбХ, Німеччина (відповідальний за маркування та вторинне пакування);</w:t>
            </w:r>
            <w:r>
              <w:rPr>
                <w:rFonts w:ascii="Arial" w:hAnsi="Arial" w:cs="Arial"/>
                <w:color w:val="000000"/>
                <w:sz w:val="16"/>
                <w:szCs w:val="16"/>
              </w:rPr>
              <w:br/>
              <w:t>- Дере Ложістік, Франція (відповідальний за маркування та вторинне пакування).</w:t>
            </w:r>
            <w:r>
              <w:rPr>
                <w:rFonts w:ascii="Arial" w:hAnsi="Arial" w:cs="Arial"/>
                <w:color w:val="000000"/>
                <w:sz w:val="16"/>
                <w:szCs w:val="16"/>
              </w:rPr>
              <w:br/>
              <w:t>Видалення виробничих функцій:</w:t>
            </w:r>
            <w:r>
              <w:rPr>
                <w:rFonts w:ascii="Arial" w:hAnsi="Arial" w:cs="Arial"/>
                <w:color w:val="000000"/>
                <w:sz w:val="16"/>
                <w:szCs w:val="16"/>
              </w:rPr>
              <w:br/>
              <w:t>Діюча редакція:</w:t>
            </w:r>
            <w:r>
              <w:rPr>
                <w:rFonts w:ascii="Arial" w:hAnsi="Arial" w:cs="Arial"/>
                <w:color w:val="000000"/>
                <w:sz w:val="16"/>
                <w:szCs w:val="16"/>
              </w:rPr>
              <w:br/>
              <w:t>Відповідальний за маркування, вторинне пакування та випуск серії готового лікарського засобу:</w:t>
            </w:r>
            <w:r>
              <w:rPr>
                <w:rFonts w:ascii="Arial" w:hAnsi="Arial" w:cs="Arial"/>
                <w:color w:val="000000"/>
                <w:sz w:val="16"/>
                <w:szCs w:val="16"/>
              </w:rPr>
              <w:br/>
              <w:t>Лабораторії Серв`є Індастрі, Франція / Les Laboratoires Servier Industrie, France</w:t>
            </w:r>
            <w:r>
              <w:rPr>
                <w:rFonts w:ascii="Arial" w:hAnsi="Arial" w:cs="Arial"/>
                <w:color w:val="000000"/>
                <w:sz w:val="16"/>
                <w:szCs w:val="16"/>
              </w:rPr>
              <w:br/>
              <w:t>Пропонована редакція:</w:t>
            </w:r>
            <w:r>
              <w:rPr>
                <w:rFonts w:ascii="Arial" w:hAnsi="Arial" w:cs="Arial"/>
                <w:color w:val="000000"/>
                <w:sz w:val="16"/>
                <w:szCs w:val="16"/>
              </w:rPr>
              <w:br/>
              <w:t>Відповідальний за випуск серії готового лікарського засобу:</w:t>
            </w:r>
            <w:r>
              <w:rPr>
                <w:rFonts w:ascii="Arial" w:hAnsi="Arial" w:cs="Arial"/>
                <w:color w:val="000000"/>
                <w:sz w:val="16"/>
                <w:szCs w:val="16"/>
              </w:rPr>
              <w:br/>
              <w:t>Лабораторії Серв`є Індастрі, Франція / Les Laboratoires Servier Industrie, France</w:t>
            </w:r>
          </w:p>
        </w:tc>
        <w:tc>
          <w:tcPr>
            <w:tcW w:w="1134" w:type="dxa"/>
            <w:shd w:val="clear" w:color="auto" w:fill="FFFFFF"/>
          </w:tcPr>
          <w:p w:rsidR="00D81417" w:rsidRDefault="00D81417" w:rsidP="003F1B9C">
            <w:pPr>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за </w:t>
            </w:r>
          </w:p>
          <w:p w:rsidR="00D81417" w:rsidRPr="001E7289" w:rsidRDefault="00D81417" w:rsidP="003F1B9C">
            <w:pPr>
              <w:pStyle w:val="Normal"/>
              <w:tabs>
                <w:tab w:val="left" w:pos="12600"/>
              </w:tabs>
              <w:jc w:val="center"/>
              <w:rPr>
                <w:rFonts w:ascii="Arial" w:hAnsi="Arial" w:cs="Arial"/>
                <w:i/>
                <w:sz w:val="16"/>
                <w:szCs w:val="16"/>
              </w:rPr>
            </w:pPr>
            <w:r>
              <w:rPr>
                <w:rFonts w:ascii="Arial" w:hAnsi="Arial" w:cs="Arial"/>
                <w:i/>
                <w:sz w:val="16"/>
                <w:szCs w:val="16"/>
              </w:rPr>
              <w:t>рецептом</w:t>
            </w:r>
          </w:p>
        </w:tc>
        <w:tc>
          <w:tcPr>
            <w:tcW w:w="1843" w:type="dxa"/>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sz w:val="16"/>
                <w:szCs w:val="16"/>
              </w:rPr>
              <w:t>UA/18775/01/01</w:t>
            </w:r>
          </w:p>
        </w:tc>
      </w:tr>
      <w:tr w:rsidR="00C74C09" w:rsidRPr="00C8484E" w:rsidTr="004B2155">
        <w:trPr>
          <w:trHeight w:val="433"/>
        </w:trPr>
        <w:tc>
          <w:tcPr>
            <w:tcW w:w="567" w:type="dxa"/>
            <w:tcBorders>
              <w:right w:val="single" w:sz="4" w:space="0" w:color="auto"/>
            </w:tcBorders>
            <w:shd w:val="clear" w:color="auto" w:fill="FFFFFF"/>
          </w:tcPr>
          <w:p w:rsidR="00D81417" w:rsidRPr="00C8484E" w:rsidRDefault="00D81417" w:rsidP="00D81417">
            <w:pPr>
              <w:numPr>
                <w:ilvl w:val="0"/>
                <w:numId w:val="7"/>
              </w:numPr>
              <w:tabs>
                <w:tab w:val="left" w:pos="12600"/>
              </w:tabs>
              <w:contextualSpacing/>
              <w:rPr>
                <w:rFonts w:ascii="Arial" w:hAnsi="Arial" w:cs="Arial"/>
                <w:b/>
                <w:sz w:val="16"/>
                <w:szCs w:val="16"/>
              </w:rPr>
            </w:pPr>
          </w:p>
        </w:tc>
        <w:tc>
          <w:tcPr>
            <w:tcW w:w="1418" w:type="dxa"/>
            <w:tcBorders>
              <w:right w:val="single" w:sz="4" w:space="0" w:color="auto"/>
            </w:tcBorders>
            <w:shd w:val="clear" w:color="auto" w:fill="FFFFFF"/>
          </w:tcPr>
          <w:p w:rsidR="00D81417" w:rsidRPr="00ED4CD4" w:rsidRDefault="00D81417" w:rsidP="003F1B9C">
            <w:pPr>
              <w:pStyle w:val="Normal"/>
              <w:tabs>
                <w:tab w:val="left" w:pos="12600"/>
              </w:tabs>
              <w:rPr>
                <w:rFonts w:ascii="Arial" w:hAnsi="Arial" w:cs="Arial"/>
                <w:b/>
                <w:sz w:val="16"/>
                <w:szCs w:val="16"/>
              </w:rPr>
            </w:pPr>
            <w:r>
              <w:rPr>
                <w:rFonts w:ascii="Arial" w:hAnsi="Arial" w:cs="Arial"/>
                <w:b/>
                <w:sz w:val="16"/>
                <w:szCs w:val="16"/>
              </w:rPr>
              <w:t>ПАКСЛОВІД</w:t>
            </w:r>
          </w:p>
        </w:tc>
        <w:tc>
          <w:tcPr>
            <w:tcW w:w="1134" w:type="dxa"/>
            <w:shd w:val="clear" w:color="auto" w:fill="auto"/>
          </w:tcPr>
          <w:p w:rsidR="00D81417" w:rsidRPr="001E7289" w:rsidRDefault="00D81417" w:rsidP="003F1B9C">
            <w:pPr>
              <w:pStyle w:val="Normal"/>
              <w:tabs>
                <w:tab w:val="left" w:pos="12600"/>
              </w:tabs>
              <w:rPr>
                <w:rFonts w:ascii="Arial" w:hAnsi="Arial" w:cs="Arial"/>
                <w:color w:val="000000"/>
                <w:sz w:val="16"/>
                <w:szCs w:val="16"/>
                <w:shd w:val="clear" w:color="auto" w:fill="F8F8F8"/>
              </w:rPr>
            </w:pPr>
            <w:r w:rsidRPr="00435C13">
              <w:rPr>
                <w:rFonts w:ascii="Arial" w:hAnsi="Arial" w:cs="Arial"/>
                <w:color w:val="000000"/>
                <w:sz w:val="16"/>
                <w:szCs w:val="16"/>
              </w:rPr>
              <w:t>Nirmatrelvir and ritonavir</w:t>
            </w:r>
          </w:p>
        </w:tc>
        <w:tc>
          <w:tcPr>
            <w:tcW w:w="1276" w:type="dxa"/>
            <w:shd w:val="clear" w:color="auto" w:fill="FFFFFF"/>
          </w:tcPr>
          <w:p w:rsidR="00D81417" w:rsidRPr="001E7289" w:rsidRDefault="00D81417" w:rsidP="003F1B9C">
            <w:pPr>
              <w:rPr>
                <w:rFonts w:ascii="Arial" w:hAnsi="Arial" w:cs="Arial"/>
                <w:sz w:val="16"/>
                <w:szCs w:val="16"/>
              </w:rPr>
            </w:pPr>
            <w:r>
              <w:rPr>
                <w:rFonts w:ascii="Arial" w:hAnsi="Arial" w:cs="Arial"/>
                <w:color w:val="000000"/>
                <w:sz w:val="16"/>
                <w:szCs w:val="16"/>
              </w:rPr>
              <w:t xml:space="preserve">нірматрелвір, ритонавір </w:t>
            </w:r>
          </w:p>
        </w:tc>
        <w:tc>
          <w:tcPr>
            <w:tcW w:w="992" w:type="dxa"/>
            <w:shd w:val="clear" w:color="auto" w:fill="FFFFFF"/>
          </w:tcPr>
          <w:p w:rsidR="00D81417" w:rsidRPr="001E7289" w:rsidRDefault="00D81417" w:rsidP="003F1B9C">
            <w:pPr>
              <w:pStyle w:val="Normal"/>
              <w:tabs>
                <w:tab w:val="left" w:pos="12600"/>
              </w:tabs>
              <w:ind w:left="-108"/>
              <w:jc w:val="center"/>
              <w:rPr>
                <w:rFonts w:ascii="Arial" w:hAnsi="Arial" w:cs="Arial"/>
                <w:color w:val="000000"/>
                <w:sz w:val="16"/>
                <w:szCs w:val="16"/>
                <w:shd w:val="clear" w:color="auto" w:fill="F8F8F8"/>
              </w:rPr>
            </w:pPr>
            <w:r>
              <w:rPr>
                <w:rFonts w:ascii="Arial" w:hAnsi="Arial" w:cs="Arial"/>
                <w:color w:val="000000"/>
                <w:sz w:val="16"/>
                <w:szCs w:val="16"/>
              </w:rPr>
              <w:t>J05AE30</w:t>
            </w:r>
          </w:p>
        </w:tc>
        <w:tc>
          <w:tcPr>
            <w:tcW w:w="1276" w:type="dxa"/>
            <w:shd w:val="clear" w:color="auto" w:fill="FFFFFF"/>
          </w:tcPr>
          <w:p w:rsidR="00D81417" w:rsidRPr="00A248BE" w:rsidRDefault="00D81417" w:rsidP="003F1B9C">
            <w:pPr>
              <w:pStyle w:val="Normal"/>
              <w:tabs>
                <w:tab w:val="left" w:pos="12600"/>
              </w:tabs>
              <w:rPr>
                <w:rFonts w:ascii="Arial" w:hAnsi="Arial" w:cs="Arial"/>
                <w:sz w:val="16"/>
                <w:szCs w:val="16"/>
              </w:rPr>
            </w:pPr>
            <w:r>
              <w:rPr>
                <w:rFonts w:ascii="Arial" w:hAnsi="Arial" w:cs="Arial"/>
                <w:color w:val="000000"/>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 по 6 таблеток, вкритих плівковою оболонкою, по 150 мг та по 5 таблеток, вкритих плівковою оболонкою, по 100 мг у блістері, по 1 блістеру у картонній коробці</w:t>
            </w:r>
          </w:p>
        </w:tc>
        <w:tc>
          <w:tcPr>
            <w:tcW w:w="992" w:type="dxa"/>
            <w:shd w:val="clear" w:color="auto" w:fill="FFFFFF"/>
          </w:tcPr>
          <w:p w:rsidR="00D81417" w:rsidRPr="00A248BE"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Пфайзер Ейч.Сі.Пі. Корпорейшн</w:t>
            </w:r>
            <w:r>
              <w:rPr>
                <w:rFonts w:ascii="Arial" w:hAnsi="Arial" w:cs="Arial"/>
                <w:color w:val="000000"/>
                <w:sz w:val="16"/>
                <w:szCs w:val="16"/>
              </w:rPr>
              <w:br/>
            </w:r>
          </w:p>
        </w:tc>
        <w:tc>
          <w:tcPr>
            <w:tcW w:w="1134"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sidRPr="00435C13">
              <w:rPr>
                <w:rFonts w:ascii="Arial" w:hAnsi="Arial" w:cs="Arial"/>
                <w:color w:val="000000"/>
                <w:sz w:val="16"/>
                <w:szCs w:val="16"/>
                <w:lang w:val="ru-RU"/>
              </w:rPr>
              <w:t>США</w:t>
            </w:r>
          </w:p>
        </w:tc>
        <w:tc>
          <w:tcPr>
            <w:tcW w:w="1134"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sidRPr="00A248BE">
              <w:rPr>
                <w:rFonts w:ascii="Arial" w:hAnsi="Arial" w:cs="Arial"/>
                <w:i/>
                <w:sz w:val="16"/>
                <w:szCs w:val="16"/>
              </w:rPr>
              <w:t>таблетки нірматрелвір:</w:t>
            </w:r>
            <w:r w:rsidRPr="00A248BE">
              <w:rPr>
                <w:rFonts w:ascii="Arial" w:hAnsi="Arial" w:cs="Arial"/>
                <w:sz w:val="16"/>
                <w:szCs w:val="16"/>
              </w:rPr>
              <w:br/>
              <w:t>виробництво, первинне пакування, вторинне пакування, реліз/тестування контролю якості серії, маркування, випуск серії, стабільність:</w:t>
            </w:r>
            <w:r w:rsidRPr="00A248BE">
              <w:rPr>
                <w:rFonts w:ascii="Arial" w:hAnsi="Arial" w:cs="Arial"/>
                <w:sz w:val="16"/>
                <w:szCs w:val="16"/>
              </w:rPr>
              <w:br/>
              <w:t>Пфайзер Менюфекчуринг Дойчленд ГмбХ, Німеччина;</w:t>
            </w:r>
            <w:r w:rsidRPr="00A248BE">
              <w:rPr>
                <w:rFonts w:ascii="Arial" w:hAnsi="Arial" w:cs="Arial"/>
                <w:sz w:val="16"/>
                <w:szCs w:val="16"/>
              </w:rPr>
              <w:br/>
              <w:t>виробництво, первинне пакування, вторинне пакування, реліз/тестування контролю якості серії, маркування, випуск серії, стабільність:</w:t>
            </w:r>
            <w:r w:rsidRPr="00A248BE">
              <w:rPr>
                <w:rFonts w:ascii="Arial" w:hAnsi="Arial" w:cs="Arial"/>
                <w:sz w:val="16"/>
                <w:szCs w:val="16"/>
              </w:rPr>
              <w:br/>
              <w:t>Пфайзер Ірландія Фармасьютікалз, Ірландія;</w:t>
            </w:r>
            <w:r w:rsidRPr="00A248BE">
              <w:rPr>
                <w:rFonts w:ascii="Arial" w:hAnsi="Arial" w:cs="Arial"/>
                <w:sz w:val="16"/>
                <w:szCs w:val="16"/>
              </w:rPr>
              <w:br/>
              <w:t>виробництво, первинне пакування, вторинне пакування, випуск/тестування контролю якості серії, маркування, випуск серії, стабільність:</w:t>
            </w:r>
            <w:r w:rsidRPr="00A248BE">
              <w:rPr>
                <w:rFonts w:ascii="Arial" w:hAnsi="Arial" w:cs="Arial"/>
                <w:sz w:val="16"/>
                <w:szCs w:val="16"/>
              </w:rPr>
              <w:br/>
              <w:t>Пфайзер Італія С.р.л., Італія;</w:t>
            </w:r>
            <w:r w:rsidRPr="00A248BE">
              <w:rPr>
                <w:rFonts w:ascii="Arial" w:hAnsi="Arial" w:cs="Arial"/>
                <w:sz w:val="16"/>
                <w:szCs w:val="16"/>
              </w:rPr>
              <w:br/>
              <w:t>тестування стабільності:</w:t>
            </w:r>
            <w:r w:rsidRPr="00A248BE">
              <w:rPr>
                <w:rFonts w:ascii="Arial" w:hAnsi="Arial" w:cs="Arial"/>
                <w:sz w:val="16"/>
                <w:szCs w:val="16"/>
              </w:rPr>
              <w:br/>
              <w:t>Пфайзер Інк., США;</w:t>
            </w:r>
            <w:r w:rsidRPr="00A248BE">
              <w:rPr>
                <w:rFonts w:ascii="Arial" w:hAnsi="Arial" w:cs="Arial"/>
                <w:sz w:val="16"/>
                <w:szCs w:val="16"/>
              </w:rPr>
              <w:br/>
            </w:r>
            <w:r w:rsidRPr="00A248BE">
              <w:rPr>
                <w:rFonts w:ascii="Arial" w:hAnsi="Arial" w:cs="Arial"/>
                <w:i/>
                <w:sz w:val="16"/>
                <w:szCs w:val="16"/>
              </w:rPr>
              <w:t>таблетки ритонавір:</w:t>
            </w:r>
            <w:r w:rsidRPr="00A248BE">
              <w:rPr>
                <w:rFonts w:ascii="Arial" w:hAnsi="Arial" w:cs="Arial"/>
                <w:sz w:val="16"/>
                <w:szCs w:val="16"/>
              </w:rPr>
              <w:br/>
              <w:t xml:space="preserve">виробництво </w:t>
            </w:r>
            <w:r w:rsidRPr="00552858">
              <w:rPr>
                <w:rFonts w:ascii="Arial" w:hAnsi="Arial" w:cs="Arial"/>
                <w:sz w:val="16"/>
                <w:szCs w:val="16"/>
              </w:rPr>
              <w:t>in</w:t>
            </w:r>
            <w:r w:rsidRPr="00A248BE">
              <w:rPr>
                <w:rFonts w:ascii="Arial" w:hAnsi="Arial" w:cs="Arial"/>
                <w:sz w:val="16"/>
                <w:szCs w:val="16"/>
              </w:rPr>
              <w:t xml:space="preserve"> </w:t>
            </w:r>
            <w:r w:rsidRPr="00552858">
              <w:rPr>
                <w:rFonts w:ascii="Arial" w:hAnsi="Arial" w:cs="Arial"/>
                <w:sz w:val="16"/>
                <w:szCs w:val="16"/>
              </w:rPr>
              <w:t>bulk</w:t>
            </w:r>
            <w:r w:rsidRPr="00A248BE">
              <w:rPr>
                <w:rFonts w:ascii="Arial" w:hAnsi="Arial" w:cs="Arial"/>
                <w:sz w:val="16"/>
                <w:szCs w:val="16"/>
              </w:rPr>
              <w:t xml:space="preserve">, тестування і випуск </w:t>
            </w:r>
            <w:r w:rsidRPr="00552858">
              <w:rPr>
                <w:rFonts w:ascii="Arial" w:hAnsi="Arial" w:cs="Arial"/>
                <w:sz w:val="16"/>
                <w:szCs w:val="16"/>
              </w:rPr>
              <w:t>in</w:t>
            </w:r>
            <w:r w:rsidRPr="00A248BE">
              <w:rPr>
                <w:rFonts w:ascii="Arial" w:hAnsi="Arial" w:cs="Arial"/>
                <w:sz w:val="16"/>
                <w:szCs w:val="16"/>
              </w:rPr>
              <w:t xml:space="preserve"> </w:t>
            </w:r>
            <w:r w:rsidRPr="00552858">
              <w:rPr>
                <w:rFonts w:ascii="Arial" w:hAnsi="Arial" w:cs="Arial"/>
                <w:sz w:val="16"/>
                <w:szCs w:val="16"/>
              </w:rPr>
              <w:t>bulk</w:t>
            </w:r>
            <w:r w:rsidRPr="00A248BE">
              <w:rPr>
                <w:rFonts w:ascii="Arial" w:hAnsi="Arial" w:cs="Arial"/>
                <w:sz w:val="16"/>
                <w:szCs w:val="16"/>
              </w:rPr>
              <w:t>:</w:t>
            </w:r>
            <w:r w:rsidRPr="00A248BE">
              <w:rPr>
                <w:rFonts w:ascii="Arial" w:hAnsi="Arial" w:cs="Arial"/>
                <w:sz w:val="16"/>
                <w:szCs w:val="16"/>
              </w:rPr>
              <w:br/>
              <w:t>Хетеро Лабс Лімітед, Індія;</w:t>
            </w:r>
            <w:r w:rsidRPr="00A248BE">
              <w:rPr>
                <w:rFonts w:ascii="Arial" w:hAnsi="Arial" w:cs="Arial"/>
                <w:sz w:val="16"/>
                <w:szCs w:val="16"/>
              </w:rPr>
              <w:br/>
              <w:t>премікс ритонавіру:</w:t>
            </w:r>
            <w:r w:rsidRPr="00A248BE">
              <w:rPr>
                <w:rFonts w:ascii="Arial" w:hAnsi="Arial" w:cs="Arial"/>
                <w:sz w:val="16"/>
                <w:szCs w:val="16"/>
              </w:rPr>
              <w:br/>
              <w:t>Хетеро Драгс Лімітед, Індія;</w:t>
            </w:r>
            <w:r w:rsidRPr="00A248BE">
              <w:rPr>
                <w:rFonts w:ascii="Arial" w:hAnsi="Arial" w:cs="Arial"/>
                <w:sz w:val="16"/>
                <w:szCs w:val="16"/>
              </w:rPr>
              <w:br/>
              <w:t>первинне пакування, вторинне пакування, маркування, випуск/тестування контролю якості, випуск серії, стабільність:</w:t>
            </w:r>
            <w:r w:rsidRPr="00A248BE">
              <w:rPr>
                <w:rFonts w:ascii="Arial" w:hAnsi="Arial" w:cs="Arial"/>
                <w:sz w:val="16"/>
                <w:szCs w:val="16"/>
              </w:rPr>
              <w:br/>
              <w:t>Пфайзер Менюфекчуринг Дойчленд ГмбХ, Німеччина;</w:t>
            </w:r>
            <w:r w:rsidRPr="00A248BE">
              <w:rPr>
                <w:rFonts w:ascii="Arial" w:hAnsi="Arial" w:cs="Arial"/>
                <w:sz w:val="16"/>
                <w:szCs w:val="16"/>
              </w:rPr>
              <w:br/>
              <w:t>первинне пакування, вторинне пакування, маркування, випуск/тестування контролю якості, випуск серії, стабільність:</w:t>
            </w:r>
            <w:r w:rsidRPr="00A248BE">
              <w:rPr>
                <w:rFonts w:ascii="Arial" w:hAnsi="Arial" w:cs="Arial"/>
                <w:sz w:val="16"/>
                <w:szCs w:val="16"/>
              </w:rPr>
              <w:br/>
              <w:t>Пфайзер Італія С.р.л., Італія;</w:t>
            </w:r>
            <w:r w:rsidRPr="00A248BE">
              <w:rPr>
                <w:rFonts w:ascii="Arial" w:hAnsi="Arial" w:cs="Arial"/>
                <w:sz w:val="16"/>
                <w:szCs w:val="16"/>
              </w:rPr>
              <w:br/>
              <w:t>первинне пакування, вторинне пакування, маркування, випуск серії:</w:t>
            </w:r>
            <w:r w:rsidRPr="00A248BE">
              <w:rPr>
                <w:rFonts w:ascii="Arial" w:hAnsi="Arial" w:cs="Arial"/>
                <w:sz w:val="16"/>
                <w:szCs w:val="16"/>
              </w:rPr>
              <w:br/>
              <w:t>Пфайзер Ірландія Фармасьютікалз, Ірландія;</w:t>
            </w:r>
            <w:r w:rsidRPr="00A248BE">
              <w:rPr>
                <w:rFonts w:ascii="Arial" w:hAnsi="Arial" w:cs="Arial"/>
                <w:sz w:val="16"/>
                <w:szCs w:val="16"/>
              </w:rPr>
              <w:br/>
              <w:t xml:space="preserve">тестування і випуск </w:t>
            </w:r>
            <w:r w:rsidRPr="00552858">
              <w:rPr>
                <w:rFonts w:ascii="Arial" w:hAnsi="Arial" w:cs="Arial"/>
                <w:sz w:val="16"/>
                <w:szCs w:val="16"/>
              </w:rPr>
              <w:t>in</w:t>
            </w:r>
            <w:r w:rsidRPr="00A248BE">
              <w:rPr>
                <w:rFonts w:ascii="Arial" w:hAnsi="Arial" w:cs="Arial"/>
                <w:sz w:val="16"/>
                <w:szCs w:val="16"/>
              </w:rPr>
              <w:t xml:space="preserve"> </w:t>
            </w:r>
            <w:r w:rsidRPr="00552858">
              <w:rPr>
                <w:rFonts w:ascii="Arial" w:hAnsi="Arial" w:cs="Arial"/>
                <w:sz w:val="16"/>
                <w:szCs w:val="16"/>
              </w:rPr>
              <w:t>bulk</w:t>
            </w:r>
            <w:r w:rsidRPr="00A248BE">
              <w:rPr>
                <w:rFonts w:ascii="Arial" w:hAnsi="Arial" w:cs="Arial"/>
                <w:sz w:val="16"/>
                <w:szCs w:val="16"/>
              </w:rPr>
              <w:t>:</w:t>
            </w:r>
            <w:r w:rsidRPr="00A248BE">
              <w:rPr>
                <w:rFonts w:ascii="Arial" w:hAnsi="Arial" w:cs="Arial"/>
                <w:sz w:val="16"/>
                <w:szCs w:val="16"/>
              </w:rPr>
              <w:br/>
              <w:t>Фармадокс Хелскеар Лтд., Мальта;</w:t>
            </w:r>
            <w:r w:rsidRPr="00A248BE">
              <w:rPr>
                <w:rFonts w:ascii="Arial" w:hAnsi="Arial" w:cs="Arial"/>
                <w:sz w:val="16"/>
                <w:szCs w:val="16"/>
              </w:rPr>
              <w:br/>
              <w:t>тестування і стабільність:</w:t>
            </w:r>
            <w:r w:rsidRPr="00A248BE">
              <w:rPr>
                <w:rFonts w:ascii="Arial" w:hAnsi="Arial" w:cs="Arial"/>
                <w:sz w:val="16"/>
                <w:szCs w:val="16"/>
              </w:rPr>
              <w:br/>
              <w:t>Пфайзер Інк., США</w:t>
            </w:r>
          </w:p>
        </w:tc>
        <w:tc>
          <w:tcPr>
            <w:tcW w:w="992" w:type="dxa"/>
            <w:shd w:val="clear" w:color="auto" w:fill="FFFFFF"/>
          </w:tcPr>
          <w:p w:rsidR="00D81417" w:rsidRPr="00A248BE" w:rsidRDefault="00D81417" w:rsidP="003F1B9C">
            <w:pPr>
              <w:pStyle w:val="Normal"/>
              <w:tabs>
                <w:tab w:val="left" w:pos="12600"/>
              </w:tabs>
              <w:jc w:val="center"/>
              <w:rPr>
                <w:rFonts w:ascii="Arial" w:hAnsi="Arial" w:cs="Arial"/>
                <w:sz w:val="16"/>
                <w:szCs w:val="16"/>
              </w:rPr>
            </w:pPr>
            <w:r w:rsidRPr="00A248BE">
              <w:rPr>
                <w:rFonts w:ascii="Arial" w:hAnsi="Arial" w:cs="Arial"/>
                <w:sz w:val="16"/>
                <w:szCs w:val="16"/>
              </w:rPr>
              <w:t>Німеччина/</w:t>
            </w:r>
          </w:p>
          <w:p w:rsidR="00D81417" w:rsidRPr="00A248BE" w:rsidRDefault="00D81417" w:rsidP="003F1B9C">
            <w:pPr>
              <w:pStyle w:val="Normal"/>
              <w:tabs>
                <w:tab w:val="left" w:pos="12600"/>
              </w:tabs>
              <w:jc w:val="center"/>
              <w:rPr>
                <w:rFonts w:ascii="Arial" w:hAnsi="Arial" w:cs="Arial"/>
                <w:sz w:val="16"/>
                <w:szCs w:val="16"/>
              </w:rPr>
            </w:pPr>
            <w:r w:rsidRPr="00A248BE">
              <w:rPr>
                <w:rFonts w:ascii="Arial" w:hAnsi="Arial" w:cs="Arial"/>
                <w:sz w:val="16"/>
                <w:szCs w:val="16"/>
              </w:rPr>
              <w:t>Ірландія/</w:t>
            </w:r>
          </w:p>
          <w:p w:rsidR="00D81417" w:rsidRPr="00A248BE" w:rsidRDefault="00D81417" w:rsidP="003F1B9C">
            <w:pPr>
              <w:pStyle w:val="Normal"/>
              <w:tabs>
                <w:tab w:val="left" w:pos="12600"/>
              </w:tabs>
              <w:jc w:val="center"/>
              <w:rPr>
                <w:rFonts w:ascii="Arial" w:hAnsi="Arial" w:cs="Arial"/>
                <w:sz w:val="16"/>
                <w:szCs w:val="16"/>
              </w:rPr>
            </w:pPr>
            <w:r w:rsidRPr="00A248BE">
              <w:rPr>
                <w:rFonts w:ascii="Arial" w:hAnsi="Arial" w:cs="Arial"/>
                <w:sz w:val="16"/>
                <w:szCs w:val="16"/>
              </w:rPr>
              <w:t>Італія/</w:t>
            </w:r>
          </w:p>
          <w:p w:rsidR="00D81417" w:rsidRPr="00A248BE" w:rsidRDefault="00D81417" w:rsidP="003F1B9C">
            <w:pPr>
              <w:pStyle w:val="Normal"/>
              <w:tabs>
                <w:tab w:val="left" w:pos="12600"/>
              </w:tabs>
              <w:jc w:val="center"/>
              <w:rPr>
                <w:rFonts w:ascii="Arial" w:hAnsi="Arial" w:cs="Arial"/>
                <w:sz w:val="16"/>
                <w:szCs w:val="16"/>
              </w:rPr>
            </w:pPr>
            <w:r w:rsidRPr="00A248BE">
              <w:rPr>
                <w:rFonts w:ascii="Arial" w:hAnsi="Arial" w:cs="Arial"/>
                <w:sz w:val="16"/>
                <w:szCs w:val="16"/>
              </w:rPr>
              <w:t>США/</w:t>
            </w:r>
          </w:p>
          <w:p w:rsidR="00D81417" w:rsidRPr="00A248BE" w:rsidRDefault="00D81417" w:rsidP="003F1B9C">
            <w:pPr>
              <w:pStyle w:val="Normal"/>
              <w:tabs>
                <w:tab w:val="left" w:pos="12600"/>
              </w:tabs>
              <w:jc w:val="center"/>
              <w:rPr>
                <w:rFonts w:ascii="Arial" w:hAnsi="Arial" w:cs="Arial"/>
                <w:sz w:val="16"/>
                <w:szCs w:val="16"/>
              </w:rPr>
            </w:pPr>
            <w:r w:rsidRPr="00A248BE">
              <w:rPr>
                <w:rFonts w:ascii="Arial" w:hAnsi="Arial" w:cs="Arial"/>
                <w:sz w:val="16"/>
                <w:szCs w:val="16"/>
              </w:rPr>
              <w:t>Індія/</w:t>
            </w:r>
          </w:p>
          <w:p w:rsidR="00D81417" w:rsidRPr="001E7289" w:rsidRDefault="00D81417" w:rsidP="003F1B9C">
            <w:pPr>
              <w:pStyle w:val="Normal"/>
              <w:tabs>
                <w:tab w:val="left" w:pos="12600"/>
              </w:tabs>
              <w:jc w:val="center"/>
              <w:rPr>
                <w:rFonts w:ascii="Arial" w:hAnsi="Arial" w:cs="Arial"/>
                <w:sz w:val="16"/>
                <w:szCs w:val="16"/>
              </w:rPr>
            </w:pPr>
            <w:r w:rsidRPr="00552858">
              <w:rPr>
                <w:rFonts w:ascii="Arial" w:hAnsi="Arial" w:cs="Arial"/>
                <w:sz w:val="16"/>
                <w:szCs w:val="16"/>
                <w:lang w:val="ru-RU"/>
              </w:rPr>
              <w:t>Мальта</w:t>
            </w:r>
          </w:p>
        </w:tc>
        <w:tc>
          <w:tcPr>
            <w:tcW w:w="1843" w:type="dxa"/>
            <w:shd w:val="clear" w:color="auto" w:fill="FFFFFF"/>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color w:val="000000"/>
                <w:sz w:val="16"/>
                <w:szCs w:val="16"/>
              </w:rPr>
              <w:t xml:space="preserve">1) Type IB, B.II.e.5.a.2 - Change in pack size of the finished product - Change in the number of units (e.g. tablets, ampoules, etc.) in a pack - Change outside the range of the currently approved pack sizes - To introduce a new pack size for a 5-day regimen blister card of 11 tablets, specific to severe renal impairment. Оновлення розділу «Упаковка» інструкції для медичного застосування лікарського засобу, методів контролю якості та оновлення тексту маркування у зв’язку із додаванням нової упаковки № 11 для пацієнтів із нирковою недостатністю. </w:t>
            </w:r>
            <w:r w:rsidRPr="00435C13">
              <w:rPr>
                <w:rFonts w:ascii="Arial" w:hAnsi="Arial" w:cs="Arial"/>
                <w:color w:val="000000"/>
                <w:sz w:val="16"/>
                <w:szCs w:val="16"/>
                <w:lang w:val="ru-RU"/>
              </w:rPr>
              <w:t>Незначні редакційні правки у тексті інструкції до розділу, до якого вносяться зміни, а саме зміна слова «упаковка» на «коробка» та додавання 1 коми з метою узгодження тексту в методах контролю якості та реєстраційному посвідченні.</w:t>
            </w:r>
            <w:r w:rsidRPr="00435C13">
              <w:rPr>
                <w:rFonts w:ascii="Arial" w:hAnsi="Arial" w:cs="Arial"/>
                <w:color w:val="000000"/>
                <w:sz w:val="16"/>
                <w:szCs w:val="16"/>
                <w:lang w:val="ru-RU"/>
              </w:rPr>
              <w:br/>
            </w:r>
            <w:r>
              <w:rPr>
                <w:rFonts w:ascii="Arial" w:hAnsi="Arial" w:cs="Arial"/>
                <w:color w:val="000000"/>
                <w:sz w:val="16"/>
                <w:szCs w:val="16"/>
              </w:rPr>
              <w:t>Введення змін протягом 6 місяців після затвердження.</w:t>
            </w:r>
            <w:r>
              <w:rPr>
                <w:rFonts w:ascii="Arial" w:hAnsi="Arial" w:cs="Arial"/>
                <w:color w:val="000000"/>
                <w:sz w:val="16"/>
                <w:szCs w:val="16"/>
              </w:rPr>
              <w:br/>
              <w:t>2) Type II, C.I.4 - Change(s) in the SPC, Labelling or PL due to new quality, preclinical, clinical or pharmacovigilance - Update of sections 4.2, 4.4, 4.8 and 5.2 of the SmPC in order to provide a new dosingrecommendation in patients with severe renal impairment based on final results from study C4671028; this is a Phase 1, Open-Label, Non-Randomized Study to Investigate the Safety and PK FollowingMultiple Oral Doses of PF-07321332 (Nirmatrelvir)/Ritonavir in Adult Participants With COVID-19 andSevere Renal Impairment Either on Hemodialysis or Not on Hemodialysis. The Package Leaflet andLabelling are updated accordingly. The updated RMP version 3.1 has been approved. Оновлення розділів «Фармакологічні властивості», «Особливості застосування», «Застосування у період вагітності або годування груддю», «Спосіб застосування та дози», «Передозування», «Побічні реакції» інструкції для медичного застосування лікарського засобу з метою оновлення інформації, щодо безпеки застосування Паксловіду у пацієнтів із різними ступенями ниркової недостатності, зокрема помірним та тяжким на основі результатів клінічного дослідження C4671028.</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В межах зміни також було подано та оновлено План управління ризиками до версії 3.1, включаючи окрім вищезазначеного інформацію щодо вагітних жінок (клінічне дослідження C4671037) та інформацію про пацієнтів із тяжкою печінковою недостатністю (клінічне дослідження C4671047). </w:t>
            </w:r>
            <w:r>
              <w:rPr>
                <w:rFonts w:ascii="Arial" w:hAnsi="Arial" w:cs="Arial"/>
                <w:color w:val="000000"/>
                <w:sz w:val="16"/>
                <w:szCs w:val="16"/>
              </w:rPr>
              <w:br/>
              <w:t>Основні зміни, що було внесено до ПУР, 3.1:</w:t>
            </w:r>
            <w:r>
              <w:rPr>
                <w:rFonts w:ascii="Arial" w:hAnsi="Arial" w:cs="Arial"/>
                <w:color w:val="000000"/>
                <w:sz w:val="16"/>
                <w:szCs w:val="16"/>
              </w:rPr>
              <w:br/>
              <w:t>Частина І. Загальна інформація- Додано детальну інформацію про нові блістери ( новий тип упаковки), спеціально розроблені для пацієнтів з тяжкою нирковою недостатністю.</w:t>
            </w:r>
            <w:r>
              <w:rPr>
                <w:rFonts w:ascii="Arial" w:hAnsi="Arial" w:cs="Arial"/>
                <w:color w:val="000000"/>
                <w:sz w:val="16"/>
                <w:szCs w:val="16"/>
              </w:rPr>
              <w:br/>
              <w:t>ЧАСТИНА ІІ. Специфікація з безпеки</w:t>
            </w:r>
            <w:r>
              <w:rPr>
                <w:rFonts w:ascii="Arial" w:hAnsi="Arial" w:cs="Arial"/>
                <w:color w:val="000000"/>
                <w:sz w:val="16"/>
                <w:szCs w:val="16"/>
              </w:rPr>
              <w:br/>
              <w:t>Модуль СI. Епідеміологія показань для застосування та цільова(і) популяція(ї) - Оновлено епідеміологічні дані (включаючи захворюваність, поширеність та існуючі варіанти лікування) .</w:t>
            </w:r>
            <w:r>
              <w:rPr>
                <w:rFonts w:ascii="Arial" w:hAnsi="Arial" w:cs="Arial"/>
                <w:color w:val="000000"/>
                <w:sz w:val="16"/>
                <w:szCs w:val="16"/>
              </w:rPr>
              <w:br/>
              <w:t>Модуль СII. Доклінічна частина специфікації з безпеки - Оновлено доклінічну частину, включаючи найновіші доклінічні вірусологічні дані.</w:t>
            </w:r>
            <w:r>
              <w:rPr>
                <w:rFonts w:ascii="Arial" w:hAnsi="Arial" w:cs="Arial"/>
                <w:color w:val="000000"/>
                <w:sz w:val="16"/>
                <w:szCs w:val="16"/>
              </w:rPr>
              <w:br/>
              <w:t xml:space="preserve">Модуль СIII. </w:t>
            </w:r>
            <w:r w:rsidRPr="00435C13">
              <w:rPr>
                <w:rFonts w:ascii="Arial" w:hAnsi="Arial" w:cs="Arial"/>
                <w:color w:val="000000"/>
                <w:sz w:val="16"/>
                <w:szCs w:val="16"/>
                <w:lang w:val="ru-RU"/>
              </w:rPr>
              <w:t>Експозиція пацієнтів, залучених до клінічних випробувань - Без значних змін</w:t>
            </w:r>
            <w:r w:rsidRPr="00435C13">
              <w:rPr>
                <w:rFonts w:ascii="Arial" w:hAnsi="Arial" w:cs="Arial"/>
                <w:color w:val="000000"/>
                <w:sz w:val="16"/>
                <w:szCs w:val="16"/>
                <w:lang w:val="ru-RU"/>
              </w:rPr>
              <w:br/>
              <w:t>Модуль С</w:t>
            </w:r>
            <w:r>
              <w:rPr>
                <w:rFonts w:ascii="Arial" w:hAnsi="Arial" w:cs="Arial"/>
                <w:color w:val="000000"/>
                <w:sz w:val="16"/>
                <w:szCs w:val="16"/>
              </w:rPr>
              <w:t>IV</w:t>
            </w:r>
            <w:r w:rsidRPr="00435C13">
              <w:rPr>
                <w:rFonts w:ascii="Arial" w:hAnsi="Arial" w:cs="Arial"/>
                <w:color w:val="000000"/>
                <w:sz w:val="16"/>
                <w:szCs w:val="16"/>
                <w:lang w:val="ru-RU"/>
              </w:rPr>
              <w:t>. Популяції, які не вивчались під час клінічних випробувань - Оновлення внесені до Розділу С</w:t>
            </w:r>
            <w:r>
              <w:rPr>
                <w:rFonts w:ascii="Arial" w:hAnsi="Arial" w:cs="Arial"/>
                <w:color w:val="000000"/>
                <w:sz w:val="16"/>
                <w:szCs w:val="16"/>
              </w:rPr>
              <w:t>IV</w:t>
            </w:r>
            <w:r w:rsidRPr="00435C13">
              <w:rPr>
                <w:rFonts w:ascii="Arial" w:hAnsi="Arial" w:cs="Arial"/>
                <w:color w:val="000000"/>
                <w:sz w:val="16"/>
                <w:szCs w:val="16"/>
                <w:lang w:val="ru-RU"/>
              </w:rPr>
              <w:t>.1 та Розділу С</w:t>
            </w:r>
            <w:r>
              <w:rPr>
                <w:rFonts w:ascii="Arial" w:hAnsi="Arial" w:cs="Arial"/>
                <w:color w:val="000000"/>
                <w:sz w:val="16"/>
                <w:szCs w:val="16"/>
              </w:rPr>
              <w:t>IV</w:t>
            </w:r>
            <w:r w:rsidRPr="00435C13">
              <w:rPr>
                <w:rFonts w:ascii="Arial" w:hAnsi="Arial" w:cs="Arial"/>
                <w:color w:val="000000"/>
                <w:sz w:val="16"/>
                <w:szCs w:val="16"/>
                <w:lang w:val="ru-RU"/>
              </w:rPr>
              <w:t>.3 після вилучення пункту «Безпека для пацієнтів з порушенням функції нирок» зі списку проблем з безпеки та оновленої Короткої характеристики лікарського засобу (</w:t>
            </w:r>
            <w:r>
              <w:rPr>
                <w:rFonts w:ascii="Arial" w:hAnsi="Arial" w:cs="Arial"/>
                <w:color w:val="000000"/>
                <w:sz w:val="16"/>
                <w:szCs w:val="16"/>
              </w:rPr>
              <w:t>SmPC</w:t>
            </w:r>
            <w:r w:rsidRPr="00435C13">
              <w:rPr>
                <w:rFonts w:ascii="Arial" w:hAnsi="Arial" w:cs="Arial"/>
                <w:color w:val="000000"/>
                <w:sz w:val="16"/>
                <w:szCs w:val="16"/>
                <w:lang w:val="ru-RU"/>
              </w:rPr>
              <w:t>) з рекомендаціями щодо дозування для пацієнтів з тяжким порушенням функції нирок.</w:t>
            </w:r>
            <w:r w:rsidRPr="00435C13">
              <w:rPr>
                <w:rFonts w:ascii="Arial" w:hAnsi="Arial" w:cs="Arial"/>
                <w:color w:val="000000"/>
                <w:sz w:val="16"/>
                <w:szCs w:val="16"/>
                <w:lang w:val="ru-RU"/>
              </w:rPr>
              <w:br/>
              <w:t>Модуль С</w:t>
            </w:r>
            <w:r>
              <w:rPr>
                <w:rFonts w:ascii="Arial" w:hAnsi="Arial" w:cs="Arial"/>
                <w:color w:val="000000"/>
                <w:sz w:val="16"/>
                <w:szCs w:val="16"/>
              </w:rPr>
              <w:t>V</w:t>
            </w:r>
            <w:r w:rsidRPr="00435C13">
              <w:rPr>
                <w:rFonts w:ascii="Arial" w:hAnsi="Arial" w:cs="Arial"/>
                <w:color w:val="000000"/>
                <w:sz w:val="16"/>
                <w:szCs w:val="16"/>
                <w:lang w:val="ru-RU"/>
              </w:rPr>
              <w:t>. Післяреєстраційний досвід - Включені післяреєстраційні дані із датою закриття бази даних - 30 грудня 2023 року.</w:t>
            </w:r>
            <w:r w:rsidRPr="00435C13">
              <w:rPr>
                <w:rFonts w:ascii="Arial" w:hAnsi="Arial" w:cs="Arial"/>
                <w:color w:val="000000"/>
                <w:sz w:val="16"/>
                <w:szCs w:val="16"/>
                <w:lang w:val="ru-RU"/>
              </w:rPr>
              <w:br/>
              <w:t>Модуль С</w:t>
            </w:r>
            <w:r>
              <w:rPr>
                <w:rFonts w:ascii="Arial" w:hAnsi="Arial" w:cs="Arial"/>
                <w:color w:val="000000"/>
                <w:sz w:val="16"/>
                <w:szCs w:val="16"/>
              </w:rPr>
              <w:t>VI</w:t>
            </w:r>
            <w:r w:rsidRPr="00435C13">
              <w:rPr>
                <w:rFonts w:ascii="Arial" w:hAnsi="Arial" w:cs="Arial"/>
                <w:color w:val="000000"/>
                <w:sz w:val="16"/>
                <w:szCs w:val="16"/>
                <w:lang w:val="ru-RU"/>
              </w:rPr>
              <w:t>. Додаткові вимоги України, ЄС до специфікації з безпеки - Без значних змін</w:t>
            </w:r>
            <w:r w:rsidRPr="00435C13">
              <w:rPr>
                <w:rFonts w:ascii="Arial" w:hAnsi="Arial" w:cs="Arial"/>
                <w:color w:val="000000"/>
                <w:sz w:val="16"/>
                <w:szCs w:val="16"/>
                <w:lang w:val="ru-RU"/>
              </w:rPr>
              <w:br/>
              <w:t>Модуль С</w:t>
            </w:r>
            <w:r>
              <w:rPr>
                <w:rFonts w:ascii="Arial" w:hAnsi="Arial" w:cs="Arial"/>
                <w:color w:val="000000"/>
                <w:sz w:val="16"/>
                <w:szCs w:val="16"/>
              </w:rPr>
              <w:t>VII</w:t>
            </w:r>
            <w:r w:rsidRPr="00435C13">
              <w:rPr>
                <w:rFonts w:ascii="Arial" w:hAnsi="Arial" w:cs="Arial"/>
                <w:color w:val="000000"/>
                <w:sz w:val="16"/>
                <w:szCs w:val="16"/>
                <w:lang w:val="ru-RU"/>
              </w:rPr>
              <w:t>. Ідентифіковані та потенційні ризики - Видалення пункту «Безпека для пацієнтів з нирковою недостатністю» зі списку проблем безпеки щодо відсутньої інформації.</w:t>
            </w:r>
            <w:r w:rsidRPr="00435C13">
              <w:rPr>
                <w:rFonts w:ascii="Arial" w:hAnsi="Arial" w:cs="Arial"/>
                <w:color w:val="000000"/>
                <w:sz w:val="16"/>
                <w:szCs w:val="16"/>
                <w:lang w:val="ru-RU"/>
              </w:rPr>
              <w:br/>
              <w:t>Модуль С</w:t>
            </w:r>
            <w:r>
              <w:rPr>
                <w:rFonts w:ascii="Arial" w:hAnsi="Arial" w:cs="Arial"/>
                <w:color w:val="000000"/>
                <w:sz w:val="16"/>
                <w:szCs w:val="16"/>
              </w:rPr>
              <w:t>VIII</w:t>
            </w:r>
            <w:r w:rsidRPr="00435C13">
              <w:rPr>
                <w:rFonts w:ascii="Arial" w:hAnsi="Arial" w:cs="Arial"/>
                <w:color w:val="000000"/>
                <w:sz w:val="16"/>
                <w:szCs w:val="16"/>
                <w:lang w:val="ru-RU"/>
              </w:rPr>
              <w:t>. Резюме проблем з безпеки - Видалення пункту «Безпека для пацієнтів з нирковою недостатністю» зі списку проблем безпеки щодо відсутньої інформації.</w:t>
            </w:r>
            <w:r w:rsidRPr="00435C13">
              <w:rPr>
                <w:rFonts w:ascii="Arial" w:hAnsi="Arial" w:cs="Arial"/>
                <w:color w:val="000000"/>
                <w:sz w:val="16"/>
                <w:szCs w:val="16"/>
                <w:lang w:val="ru-RU"/>
              </w:rPr>
              <w:br/>
              <w:t xml:space="preserve">ЧАСТИНА </w:t>
            </w:r>
            <w:r>
              <w:rPr>
                <w:rFonts w:ascii="Arial" w:hAnsi="Arial" w:cs="Arial"/>
                <w:color w:val="000000"/>
                <w:sz w:val="16"/>
                <w:szCs w:val="16"/>
              </w:rPr>
              <w:t>III</w:t>
            </w:r>
            <w:r w:rsidRPr="00435C13">
              <w:rPr>
                <w:rFonts w:ascii="Arial" w:hAnsi="Arial" w:cs="Arial"/>
                <w:color w:val="000000"/>
                <w:sz w:val="16"/>
                <w:szCs w:val="16"/>
                <w:lang w:val="ru-RU"/>
              </w:rPr>
              <w:t>. План з фармаконагляду (у тому числі післяреєстраційні дослідження з безпеки) - Оновлено дослідження в рамках Плану фармаконагляду (включаючи деталі дослідження та ключові етапи). Видалено дослідження «Післяреєстраційні дослідження з безпеки (</w:t>
            </w:r>
            <w:r>
              <w:rPr>
                <w:rFonts w:ascii="Arial" w:hAnsi="Arial" w:cs="Arial"/>
                <w:color w:val="000000"/>
                <w:sz w:val="16"/>
                <w:szCs w:val="16"/>
              </w:rPr>
              <w:t>PASS</w:t>
            </w:r>
            <w:r w:rsidRPr="00435C13">
              <w:rPr>
                <w:rFonts w:ascii="Arial" w:hAnsi="Arial" w:cs="Arial"/>
                <w:color w:val="000000"/>
                <w:sz w:val="16"/>
                <w:szCs w:val="16"/>
                <w:lang w:val="ru-RU"/>
              </w:rPr>
              <w:t>-</w:t>
            </w:r>
            <w:r>
              <w:rPr>
                <w:rFonts w:ascii="Arial" w:hAnsi="Arial" w:cs="Arial"/>
                <w:color w:val="000000"/>
                <w:sz w:val="16"/>
                <w:szCs w:val="16"/>
              </w:rPr>
              <w:t>post</w:t>
            </w:r>
            <w:r w:rsidRPr="00435C13">
              <w:rPr>
                <w:rFonts w:ascii="Arial" w:hAnsi="Arial" w:cs="Arial"/>
                <w:color w:val="000000"/>
                <w:sz w:val="16"/>
                <w:szCs w:val="16"/>
                <w:lang w:val="ru-RU"/>
              </w:rPr>
              <w:t>-</w:t>
            </w:r>
            <w:r>
              <w:rPr>
                <w:rFonts w:ascii="Arial" w:hAnsi="Arial" w:cs="Arial"/>
                <w:color w:val="000000"/>
                <w:sz w:val="16"/>
                <w:szCs w:val="16"/>
              </w:rPr>
              <w:t>approval</w:t>
            </w:r>
            <w:r w:rsidRPr="00435C13">
              <w:rPr>
                <w:rFonts w:ascii="Arial" w:hAnsi="Arial" w:cs="Arial"/>
                <w:color w:val="000000"/>
                <w:sz w:val="16"/>
                <w:szCs w:val="16"/>
                <w:lang w:val="ru-RU"/>
              </w:rPr>
              <w:t xml:space="preserve"> </w:t>
            </w:r>
            <w:r>
              <w:rPr>
                <w:rFonts w:ascii="Arial" w:hAnsi="Arial" w:cs="Arial"/>
                <w:color w:val="000000"/>
                <w:sz w:val="16"/>
                <w:szCs w:val="16"/>
              </w:rPr>
              <w:t>safety</w:t>
            </w:r>
            <w:r w:rsidRPr="00435C13">
              <w:rPr>
                <w:rFonts w:ascii="Arial" w:hAnsi="Arial" w:cs="Arial"/>
                <w:color w:val="000000"/>
                <w:sz w:val="16"/>
                <w:szCs w:val="16"/>
                <w:lang w:val="ru-RU"/>
              </w:rPr>
              <w:t xml:space="preserve"> </w:t>
            </w:r>
            <w:r>
              <w:rPr>
                <w:rFonts w:ascii="Arial" w:hAnsi="Arial" w:cs="Arial"/>
                <w:color w:val="000000"/>
                <w:sz w:val="16"/>
                <w:szCs w:val="16"/>
              </w:rPr>
              <w:t>studies</w:t>
            </w:r>
            <w:r w:rsidRPr="00435C13">
              <w:rPr>
                <w:rFonts w:ascii="Arial" w:hAnsi="Arial" w:cs="Arial"/>
                <w:color w:val="000000"/>
                <w:sz w:val="16"/>
                <w:szCs w:val="16"/>
                <w:lang w:val="ru-RU"/>
              </w:rPr>
              <w:t>) при помірній та тяжкій нирковій недостатності».</w:t>
            </w:r>
            <w:r w:rsidRPr="00435C13">
              <w:rPr>
                <w:rFonts w:ascii="Arial" w:hAnsi="Arial" w:cs="Arial"/>
                <w:color w:val="000000"/>
                <w:sz w:val="16"/>
                <w:szCs w:val="16"/>
                <w:lang w:val="ru-RU"/>
              </w:rPr>
              <w:br/>
              <w:t>Оновлено текст анкет спостереження за специфічними побічними реакціями (без суттєвих змін до наявних анкет).</w:t>
            </w:r>
            <w:r w:rsidRPr="00435C13">
              <w:rPr>
                <w:rFonts w:ascii="Arial" w:hAnsi="Arial" w:cs="Arial"/>
                <w:color w:val="000000"/>
                <w:sz w:val="16"/>
                <w:szCs w:val="16"/>
                <w:lang w:val="ru-RU"/>
              </w:rPr>
              <w:br/>
              <w:t xml:space="preserve">ЧАСТИНА </w:t>
            </w:r>
            <w:r>
              <w:rPr>
                <w:rFonts w:ascii="Arial" w:hAnsi="Arial" w:cs="Arial"/>
                <w:color w:val="000000"/>
                <w:sz w:val="16"/>
                <w:szCs w:val="16"/>
              </w:rPr>
              <w:t>IV</w:t>
            </w:r>
            <w:r w:rsidRPr="00435C13">
              <w:rPr>
                <w:rFonts w:ascii="Arial" w:hAnsi="Arial" w:cs="Arial"/>
                <w:color w:val="000000"/>
                <w:sz w:val="16"/>
                <w:szCs w:val="16"/>
                <w:lang w:val="ru-RU"/>
              </w:rPr>
              <w:t>. Плани щодо післяреєстраційних досліджень ефективності - Без змін</w:t>
            </w:r>
            <w:r w:rsidRPr="00435C13">
              <w:rPr>
                <w:rFonts w:ascii="Arial" w:hAnsi="Arial" w:cs="Arial"/>
                <w:color w:val="000000"/>
                <w:sz w:val="16"/>
                <w:szCs w:val="16"/>
                <w:lang w:val="ru-RU"/>
              </w:rPr>
              <w:br/>
              <w:t xml:space="preserve">ЧАСТИНА </w:t>
            </w:r>
            <w:r>
              <w:rPr>
                <w:rFonts w:ascii="Arial" w:hAnsi="Arial" w:cs="Arial"/>
                <w:color w:val="000000"/>
                <w:sz w:val="16"/>
                <w:szCs w:val="16"/>
              </w:rPr>
              <w:t>V</w:t>
            </w:r>
            <w:r w:rsidRPr="00435C13">
              <w:rPr>
                <w:rFonts w:ascii="Arial" w:hAnsi="Arial" w:cs="Arial"/>
                <w:color w:val="000000"/>
                <w:sz w:val="16"/>
                <w:szCs w:val="16"/>
                <w:lang w:val="ru-RU"/>
              </w:rPr>
              <w:t xml:space="preserve">. Заходи з мінімізації ризиків (включно з оцінкою ефективності діяльності з мінімізації ризиків) - Переглянуто інформацію на основі оновленого переліку проблем безпеки (з видаленням відсутньої інформації «Безпека для пацієнтів з нирковою недостатністю») та на основі оновлень у ЧАСТИНІ </w:t>
            </w:r>
            <w:r>
              <w:rPr>
                <w:rFonts w:ascii="Arial" w:hAnsi="Arial" w:cs="Arial"/>
                <w:color w:val="000000"/>
                <w:sz w:val="16"/>
                <w:szCs w:val="16"/>
              </w:rPr>
              <w:t>III</w:t>
            </w:r>
            <w:r w:rsidRPr="00435C13">
              <w:rPr>
                <w:rFonts w:ascii="Arial" w:hAnsi="Arial" w:cs="Arial"/>
                <w:color w:val="000000"/>
                <w:sz w:val="16"/>
                <w:szCs w:val="16"/>
                <w:lang w:val="ru-RU"/>
              </w:rPr>
              <w:t>.</w:t>
            </w:r>
            <w:r w:rsidRPr="00435C13">
              <w:rPr>
                <w:rFonts w:ascii="Arial" w:hAnsi="Arial" w:cs="Arial"/>
                <w:color w:val="000000"/>
                <w:sz w:val="16"/>
                <w:szCs w:val="16"/>
                <w:lang w:val="ru-RU"/>
              </w:rPr>
              <w:br/>
              <w:t xml:space="preserve">ЧАСТИНА </w:t>
            </w:r>
            <w:r>
              <w:rPr>
                <w:rFonts w:ascii="Arial" w:hAnsi="Arial" w:cs="Arial"/>
                <w:color w:val="000000"/>
                <w:sz w:val="16"/>
                <w:szCs w:val="16"/>
              </w:rPr>
              <w:t>VI</w:t>
            </w:r>
            <w:r w:rsidRPr="00435C13">
              <w:rPr>
                <w:rFonts w:ascii="Arial" w:hAnsi="Arial" w:cs="Arial"/>
                <w:color w:val="000000"/>
                <w:sz w:val="16"/>
                <w:szCs w:val="16"/>
                <w:lang w:val="ru-RU"/>
              </w:rPr>
              <w:t xml:space="preserve">. Резюме плану управління ризиками - Переглянуто інформацію на основі оновленого переліку проблем безпеки (з </w:t>
            </w:r>
            <w:r>
              <w:rPr>
                <w:rFonts w:ascii="Arial" w:hAnsi="Arial" w:cs="Arial"/>
                <w:color w:val="000000"/>
                <w:sz w:val="16"/>
                <w:szCs w:val="16"/>
              </w:rPr>
              <w:t>Docusign</w:t>
            </w:r>
            <w:r w:rsidRPr="00435C13">
              <w:rPr>
                <w:rFonts w:ascii="Arial" w:hAnsi="Arial" w:cs="Arial"/>
                <w:color w:val="000000"/>
                <w:sz w:val="16"/>
                <w:szCs w:val="16"/>
                <w:lang w:val="ru-RU"/>
              </w:rPr>
              <w:t xml:space="preserve"> </w:t>
            </w:r>
            <w:r>
              <w:rPr>
                <w:rFonts w:ascii="Arial" w:hAnsi="Arial" w:cs="Arial"/>
                <w:color w:val="000000"/>
                <w:sz w:val="16"/>
                <w:szCs w:val="16"/>
              </w:rPr>
              <w:t>Envelope</w:t>
            </w:r>
            <w:r w:rsidRPr="00435C13">
              <w:rPr>
                <w:rFonts w:ascii="Arial" w:hAnsi="Arial" w:cs="Arial"/>
                <w:color w:val="000000"/>
                <w:sz w:val="16"/>
                <w:szCs w:val="16"/>
                <w:lang w:val="ru-RU"/>
              </w:rPr>
              <w:t xml:space="preserve"> </w:t>
            </w:r>
            <w:r>
              <w:rPr>
                <w:rFonts w:ascii="Arial" w:hAnsi="Arial" w:cs="Arial"/>
                <w:color w:val="000000"/>
                <w:sz w:val="16"/>
                <w:szCs w:val="16"/>
              </w:rPr>
              <w:t>ID</w:t>
            </w:r>
            <w:r w:rsidRPr="00435C13">
              <w:rPr>
                <w:rFonts w:ascii="Arial" w:hAnsi="Arial" w:cs="Arial"/>
                <w:color w:val="000000"/>
                <w:sz w:val="16"/>
                <w:szCs w:val="16"/>
                <w:lang w:val="ru-RU"/>
              </w:rPr>
              <w:t>: 6639</w:t>
            </w:r>
            <w:r>
              <w:rPr>
                <w:rFonts w:ascii="Arial" w:hAnsi="Arial" w:cs="Arial"/>
                <w:color w:val="000000"/>
                <w:sz w:val="16"/>
                <w:szCs w:val="16"/>
              </w:rPr>
              <w:t>F</w:t>
            </w:r>
            <w:r w:rsidRPr="00435C13">
              <w:rPr>
                <w:rFonts w:ascii="Arial" w:hAnsi="Arial" w:cs="Arial"/>
                <w:color w:val="000000"/>
                <w:sz w:val="16"/>
                <w:szCs w:val="16"/>
                <w:lang w:val="ru-RU"/>
              </w:rPr>
              <w:t>769-</w:t>
            </w:r>
            <w:r>
              <w:rPr>
                <w:rFonts w:ascii="Arial" w:hAnsi="Arial" w:cs="Arial"/>
                <w:color w:val="000000"/>
                <w:sz w:val="16"/>
                <w:szCs w:val="16"/>
              </w:rPr>
              <w:t>A</w:t>
            </w:r>
            <w:r w:rsidRPr="00435C13">
              <w:rPr>
                <w:rFonts w:ascii="Arial" w:hAnsi="Arial" w:cs="Arial"/>
                <w:color w:val="000000"/>
                <w:sz w:val="16"/>
                <w:szCs w:val="16"/>
                <w:lang w:val="ru-RU"/>
              </w:rPr>
              <w:t>4</w:t>
            </w:r>
            <w:r>
              <w:rPr>
                <w:rFonts w:ascii="Arial" w:hAnsi="Arial" w:cs="Arial"/>
                <w:color w:val="000000"/>
                <w:sz w:val="16"/>
                <w:szCs w:val="16"/>
              </w:rPr>
              <w:t>DD</w:t>
            </w:r>
            <w:r w:rsidRPr="00435C13">
              <w:rPr>
                <w:rFonts w:ascii="Arial" w:hAnsi="Arial" w:cs="Arial"/>
                <w:color w:val="000000"/>
                <w:sz w:val="16"/>
                <w:szCs w:val="16"/>
                <w:lang w:val="ru-RU"/>
              </w:rPr>
              <w:t>-4</w:t>
            </w:r>
            <w:r>
              <w:rPr>
                <w:rFonts w:ascii="Arial" w:hAnsi="Arial" w:cs="Arial"/>
                <w:color w:val="000000"/>
                <w:sz w:val="16"/>
                <w:szCs w:val="16"/>
              </w:rPr>
              <w:t>F</w:t>
            </w:r>
            <w:r w:rsidRPr="00435C13">
              <w:rPr>
                <w:rFonts w:ascii="Arial" w:hAnsi="Arial" w:cs="Arial"/>
                <w:color w:val="000000"/>
                <w:sz w:val="16"/>
                <w:szCs w:val="16"/>
                <w:lang w:val="ru-RU"/>
              </w:rPr>
              <w:t>6</w:t>
            </w:r>
            <w:r>
              <w:rPr>
                <w:rFonts w:ascii="Arial" w:hAnsi="Arial" w:cs="Arial"/>
                <w:color w:val="000000"/>
                <w:sz w:val="16"/>
                <w:szCs w:val="16"/>
              </w:rPr>
              <w:t>E</w:t>
            </w:r>
            <w:r w:rsidRPr="00435C13">
              <w:rPr>
                <w:rFonts w:ascii="Arial" w:hAnsi="Arial" w:cs="Arial"/>
                <w:color w:val="000000"/>
                <w:sz w:val="16"/>
                <w:szCs w:val="16"/>
                <w:lang w:val="ru-RU"/>
              </w:rPr>
              <w:t>-</w:t>
            </w:r>
            <w:r>
              <w:rPr>
                <w:rFonts w:ascii="Arial" w:hAnsi="Arial" w:cs="Arial"/>
                <w:color w:val="000000"/>
                <w:sz w:val="16"/>
                <w:szCs w:val="16"/>
              </w:rPr>
              <w:t>BAF</w:t>
            </w:r>
            <w:r w:rsidRPr="00435C13">
              <w:rPr>
                <w:rFonts w:ascii="Arial" w:hAnsi="Arial" w:cs="Arial"/>
                <w:color w:val="000000"/>
                <w:sz w:val="16"/>
                <w:szCs w:val="16"/>
                <w:lang w:val="ru-RU"/>
              </w:rPr>
              <w:t>2-49</w:t>
            </w:r>
            <w:r>
              <w:rPr>
                <w:rFonts w:ascii="Arial" w:hAnsi="Arial" w:cs="Arial"/>
                <w:color w:val="000000"/>
                <w:sz w:val="16"/>
                <w:szCs w:val="16"/>
              </w:rPr>
              <w:t>E</w:t>
            </w:r>
            <w:r w:rsidRPr="00435C13">
              <w:rPr>
                <w:rFonts w:ascii="Arial" w:hAnsi="Arial" w:cs="Arial"/>
                <w:color w:val="000000"/>
                <w:sz w:val="16"/>
                <w:szCs w:val="16"/>
                <w:lang w:val="ru-RU"/>
              </w:rPr>
              <w:t>221895</w:t>
            </w:r>
            <w:r>
              <w:rPr>
                <w:rFonts w:ascii="Arial" w:hAnsi="Arial" w:cs="Arial"/>
                <w:color w:val="000000"/>
                <w:sz w:val="16"/>
                <w:szCs w:val="16"/>
              </w:rPr>
              <w:t>B</w:t>
            </w:r>
            <w:r w:rsidRPr="00435C13">
              <w:rPr>
                <w:rFonts w:ascii="Arial" w:hAnsi="Arial" w:cs="Arial"/>
                <w:color w:val="000000"/>
                <w:sz w:val="16"/>
                <w:szCs w:val="16"/>
                <w:lang w:val="ru-RU"/>
              </w:rPr>
              <w:t xml:space="preserve">52 (з видаленням відсутньої інформації «Безпека для пацієнтів з нирковою недостатністю») та на основі оновлень у ЧАСТИНІ </w:t>
            </w:r>
            <w:r>
              <w:rPr>
                <w:rFonts w:ascii="Arial" w:hAnsi="Arial" w:cs="Arial"/>
                <w:color w:val="000000"/>
                <w:sz w:val="16"/>
                <w:szCs w:val="16"/>
              </w:rPr>
              <w:t>III</w:t>
            </w:r>
            <w:r w:rsidRPr="00435C13">
              <w:rPr>
                <w:rFonts w:ascii="Arial" w:hAnsi="Arial" w:cs="Arial"/>
                <w:color w:val="000000"/>
                <w:sz w:val="16"/>
                <w:szCs w:val="16"/>
                <w:lang w:val="ru-RU"/>
              </w:rPr>
              <w:t>.</w:t>
            </w:r>
            <w:r w:rsidRPr="00435C13">
              <w:rPr>
                <w:rFonts w:ascii="Arial" w:hAnsi="Arial" w:cs="Arial"/>
                <w:color w:val="000000"/>
                <w:sz w:val="16"/>
                <w:szCs w:val="16"/>
                <w:lang w:val="ru-RU"/>
              </w:rPr>
              <w:br/>
              <w:t xml:space="preserve">ЧАСТИНА </w:t>
            </w:r>
            <w:r>
              <w:rPr>
                <w:rFonts w:ascii="Arial" w:hAnsi="Arial" w:cs="Arial"/>
                <w:color w:val="000000"/>
                <w:sz w:val="16"/>
                <w:szCs w:val="16"/>
              </w:rPr>
              <w:t>VII</w:t>
            </w:r>
            <w:r w:rsidRPr="00435C13">
              <w:rPr>
                <w:rFonts w:ascii="Arial" w:hAnsi="Arial" w:cs="Arial"/>
                <w:color w:val="000000"/>
                <w:sz w:val="16"/>
                <w:szCs w:val="16"/>
                <w:lang w:val="ru-RU"/>
              </w:rPr>
              <w:t xml:space="preserve">. Додатки - Додаток 2: Зміни, внесені на основі оновлень у ЧАСТИНІ </w:t>
            </w:r>
            <w:r>
              <w:rPr>
                <w:rFonts w:ascii="Arial" w:hAnsi="Arial" w:cs="Arial"/>
                <w:color w:val="000000"/>
                <w:sz w:val="16"/>
                <w:szCs w:val="16"/>
              </w:rPr>
              <w:t>III</w:t>
            </w:r>
            <w:r w:rsidRPr="00435C13">
              <w:rPr>
                <w:rFonts w:ascii="Arial" w:hAnsi="Arial" w:cs="Arial"/>
                <w:color w:val="000000"/>
                <w:sz w:val="16"/>
                <w:szCs w:val="16"/>
                <w:lang w:val="ru-RU"/>
              </w:rPr>
              <w:t xml:space="preserve"> цього ПУР.</w:t>
            </w:r>
            <w:r w:rsidRPr="00435C13">
              <w:rPr>
                <w:rFonts w:ascii="Arial" w:hAnsi="Arial" w:cs="Arial"/>
                <w:color w:val="000000"/>
                <w:sz w:val="16"/>
                <w:szCs w:val="16"/>
                <w:lang w:val="ru-RU"/>
              </w:rPr>
              <w:br/>
              <w:t>Додаток 3: Додавання посилань на затверджені протоколи для досліджень у Плані фармаконагляду.</w:t>
            </w:r>
            <w:r w:rsidRPr="00435C13">
              <w:rPr>
                <w:rFonts w:ascii="Arial" w:hAnsi="Arial" w:cs="Arial"/>
                <w:color w:val="000000"/>
                <w:sz w:val="16"/>
                <w:szCs w:val="16"/>
                <w:lang w:val="ru-RU"/>
              </w:rPr>
              <w:br/>
              <w:t>Додаток 4: Оновлена форма зі списком конкретних питань для випадків впливу під час вагітності для випадків, що не входять до дослідження.</w:t>
            </w:r>
            <w:r w:rsidRPr="00435C13">
              <w:rPr>
                <w:rFonts w:ascii="Arial" w:hAnsi="Arial" w:cs="Arial"/>
                <w:color w:val="000000"/>
                <w:sz w:val="16"/>
                <w:szCs w:val="16"/>
                <w:lang w:val="ru-RU"/>
              </w:rPr>
              <w:br/>
              <w:t>Додаток 8: Включено короткий виклад змін, що відображають вищезазначені оновлення.</w:t>
            </w:r>
            <w:r w:rsidRPr="00435C13">
              <w:rPr>
                <w:rFonts w:ascii="Arial" w:hAnsi="Arial" w:cs="Arial"/>
                <w:color w:val="000000"/>
                <w:sz w:val="16"/>
                <w:szCs w:val="16"/>
                <w:lang w:val="ru-RU"/>
              </w:rPr>
              <w:br/>
              <w:t>Змін до інших додатків не внесено.</w:t>
            </w:r>
            <w:r w:rsidRPr="00435C13">
              <w:rPr>
                <w:rFonts w:ascii="Arial" w:hAnsi="Arial" w:cs="Arial"/>
                <w:color w:val="000000"/>
                <w:sz w:val="16"/>
                <w:szCs w:val="16"/>
                <w:lang w:val="ru-RU"/>
              </w:rPr>
              <w:br/>
            </w:r>
            <w:r>
              <w:rPr>
                <w:rFonts w:ascii="Arial" w:hAnsi="Arial" w:cs="Arial"/>
                <w:color w:val="000000"/>
                <w:sz w:val="16"/>
                <w:szCs w:val="16"/>
              </w:rPr>
              <w:t>3) Type II, C.I.4 - Change(s) in the SPC, Labelling or PL due to new quality, preclinical, clinical or pharmacovigilance - Update of section 5.1 of the SmPC in order to update information on antiviral activity, based on nonclinical pharmacology study reports. Оновлення розділу «Фармакологічні властивості» інструкції для медичного застосування лікарського засобу з метою оновлення інформації щодо антивірусної активності Паксловіду проти суб-варіантів Омікрон та заміни амінокислот на основі останніх доклінічних даних. Введення змін протягом 6 місяців після затвердження</w:t>
            </w:r>
            <w:r>
              <w:rPr>
                <w:rFonts w:ascii="Arial" w:hAnsi="Arial" w:cs="Arial"/>
                <w:color w:val="000000"/>
                <w:sz w:val="16"/>
                <w:szCs w:val="16"/>
              </w:rPr>
              <w:br/>
              <w:t>4) Type II, C.I.4 - Change(s) in the SPC, Labelling or PL due to new quality, preclinical, clinical or pharmacovigilance - Update of section 5.1 of the SmPC in order to update information on antiviral activity, based on nonclinical pharmacology study reports. оновлення розділу «Фармакологічні властивості» інструкції для медичного застосування лікарського засобу з метою оновлення інформації щодо кількісних даних антивірусної активності Паксловіду щодо субваріантів Omicron на основі відповідного дослідження Введення змін протягом 6 місяців після затвердження.</w:t>
            </w:r>
            <w:r>
              <w:rPr>
                <w:rFonts w:ascii="Arial" w:hAnsi="Arial" w:cs="Arial"/>
                <w:color w:val="000000"/>
                <w:sz w:val="16"/>
                <w:szCs w:val="16"/>
              </w:rPr>
              <w:br/>
              <w:t xml:space="preserve">5)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6)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7)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8)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9)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10)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11)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12)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13)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14) Type II, C.I.13 - Other variations not specifically covered elsewhere in this Annex which involve the submission of studies to the competent authority Submission of additional clinical and non-clinical studies, including BE-studies. - Submission of 10 non-clinical studies in order to provide updated non-clinical data. оновлення доклінічної інформації щодо Паксловіду, зокрема розділів 4.2.1.1 Первинна фармакодинаміка, 4.2.1.3 Фармакологія безпеки, 4.2.3.7 Додаткові дослідження токсичності реєстраційного досьє оновленими та новими оглядами клінічних даних, резюме та звітами.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15) Type II, C.I.4 - Change(s) in the SPC, Labelling or PL due to new quality, preclinical, clinical or pharmacovigilance – Update of section 4.5 of the SmPC in order to add drug-drug interaction information with albendazole based on the post-marketing data and literature and to update information on drug-drug interactions with methadone and ethinyl estradiol based on the literature; the Package Leaflet is updated accordingly. Оновлення розділу «Взаємодія з іншими лікарськими засобами та інші види взаємодій» інструкції для медичного застосування лікарського засобу, щоб додати інформацію про взаємодію між лікарськими засобами щодо одночасного застосування Паксловіду з альбендазолом, та оновити інформацію щодо взаємодії із етинілестрадіолом та метадоном на основі даних отриманих із Французького Тезауруса міжлікарських взаємодій (French Drug Interaction Thesaurus). </w:t>
            </w:r>
            <w:r>
              <w:rPr>
                <w:rFonts w:ascii="Arial" w:hAnsi="Arial" w:cs="Arial"/>
                <w:color w:val="000000"/>
                <w:sz w:val="16"/>
                <w:szCs w:val="16"/>
              </w:rPr>
              <w:br/>
              <w:t>Введення змін протягом 6 місяців після затвердження.</w:t>
            </w:r>
            <w:r>
              <w:rPr>
                <w:rFonts w:ascii="Arial" w:hAnsi="Arial" w:cs="Arial"/>
                <w:color w:val="000000"/>
                <w:sz w:val="16"/>
                <w:szCs w:val="16"/>
              </w:rPr>
              <w:br/>
              <w:t xml:space="preserve">16) Type II, C.I.4 - Change(s) in the SPC, Labelling or PL due to new quality, preclinical, clinical or pharmacovigilance – Update of section 4.5 of the SmPC in order to update information on drug-drug interactions with calcium channel antagonists based on the cumulative safety data and literature. оновлення розділу «Взаємодія з іншими лікарськими засобами та інші види взаємодій» інструкції для медичного застосування лікарського засобу з метою включення додаткової інформації щодо можливої корекції дози антагоністів кальцієвих каналів та надання рекомендації для пацієнтів звертатися до інструкції із застосування конкретних антагоністів кальцієвих каналів за умови їх одночасного застосування із Паксловідом. </w:t>
            </w:r>
            <w:r>
              <w:rPr>
                <w:rFonts w:ascii="Arial" w:hAnsi="Arial" w:cs="Arial"/>
                <w:color w:val="000000"/>
                <w:sz w:val="16"/>
                <w:szCs w:val="16"/>
              </w:rPr>
              <w:br/>
              <w:t>Введення змін протягом 6 місяців після затвердження.</w:t>
            </w:r>
          </w:p>
        </w:tc>
        <w:tc>
          <w:tcPr>
            <w:tcW w:w="1134" w:type="dxa"/>
            <w:shd w:val="clear" w:color="auto" w:fill="FFFFFF"/>
          </w:tcPr>
          <w:p w:rsidR="00D81417" w:rsidRDefault="00D81417" w:rsidP="003F1B9C">
            <w:pPr>
              <w:pStyle w:val="Normal"/>
              <w:tabs>
                <w:tab w:val="left" w:pos="12600"/>
              </w:tabs>
              <w:ind w:left="-185"/>
              <w:jc w:val="center"/>
              <w:rPr>
                <w:rFonts w:ascii="Arial" w:hAnsi="Arial" w:cs="Arial"/>
                <w:i/>
                <w:sz w:val="16"/>
                <w:szCs w:val="16"/>
              </w:rPr>
            </w:pPr>
            <w:r>
              <w:rPr>
                <w:rFonts w:ascii="Arial" w:hAnsi="Arial" w:cs="Arial"/>
                <w:i/>
                <w:sz w:val="16"/>
                <w:szCs w:val="16"/>
              </w:rPr>
              <w:t xml:space="preserve">за </w:t>
            </w:r>
          </w:p>
          <w:p w:rsidR="00D81417" w:rsidRPr="001E7289" w:rsidRDefault="00D81417" w:rsidP="003F1B9C">
            <w:pPr>
              <w:pStyle w:val="Normal"/>
              <w:tabs>
                <w:tab w:val="left" w:pos="12600"/>
              </w:tabs>
              <w:jc w:val="center"/>
              <w:rPr>
                <w:rFonts w:ascii="Arial" w:hAnsi="Arial" w:cs="Arial"/>
                <w:i/>
                <w:sz w:val="16"/>
                <w:szCs w:val="16"/>
              </w:rPr>
            </w:pPr>
            <w:r>
              <w:rPr>
                <w:rFonts w:ascii="Arial" w:hAnsi="Arial" w:cs="Arial"/>
                <w:i/>
                <w:sz w:val="16"/>
                <w:szCs w:val="16"/>
              </w:rPr>
              <w:t>рецептом</w:t>
            </w:r>
          </w:p>
        </w:tc>
        <w:tc>
          <w:tcPr>
            <w:tcW w:w="1843" w:type="dxa"/>
          </w:tcPr>
          <w:p w:rsidR="00D81417" w:rsidRPr="001E7289" w:rsidRDefault="00D81417" w:rsidP="003F1B9C">
            <w:pPr>
              <w:pStyle w:val="Normal"/>
              <w:tabs>
                <w:tab w:val="left" w:pos="12600"/>
              </w:tabs>
              <w:jc w:val="center"/>
              <w:rPr>
                <w:rFonts w:ascii="Arial" w:hAnsi="Arial" w:cs="Arial"/>
                <w:sz w:val="16"/>
                <w:szCs w:val="16"/>
              </w:rPr>
            </w:pPr>
            <w:r>
              <w:rPr>
                <w:rFonts w:ascii="Arial" w:hAnsi="Arial" w:cs="Arial"/>
                <w:sz w:val="16"/>
                <w:szCs w:val="16"/>
              </w:rPr>
              <w:t>UA/20163/01/01</w:t>
            </w:r>
          </w:p>
        </w:tc>
      </w:tr>
    </w:tbl>
    <w:p w:rsidR="00D81417" w:rsidRDefault="00D81417" w:rsidP="00D81417">
      <w:pPr>
        <w:pStyle w:val="Normal"/>
        <w:ind w:left="284"/>
        <w:jc w:val="center"/>
        <w:rPr>
          <w:b/>
          <w:caps/>
          <w:sz w:val="28"/>
          <w:szCs w:val="28"/>
        </w:rPr>
      </w:pPr>
    </w:p>
    <w:p w:rsidR="00D81417" w:rsidRDefault="00D81417" w:rsidP="00D81417">
      <w:pPr>
        <w:pStyle w:val="Normal"/>
        <w:jc w:val="center"/>
        <w:rPr>
          <w:lang w:val="ru-RU"/>
        </w:rPr>
      </w:pPr>
    </w:p>
    <w:p w:rsidR="00D81417" w:rsidRDefault="00D81417" w:rsidP="00D81417">
      <w:pPr>
        <w:pStyle w:val="Normal"/>
        <w:jc w:val="center"/>
        <w:rPr>
          <w:lang w:val="ru-RU"/>
        </w:rPr>
      </w:pPr>
    </w:p>
    <w:p w:rsidR="00D81417" w:rsidRPr="00733D80" w:rsidRDefault="00D81417" w:rsidP="00D81417">
      <w:pPr>
        <w:ind w:left="540"/>
        <w:rPr>
          <w:b/>
          <w:sz w:val="28"/>
          <w:szCs w:val="28"/>
        </w:rPr>
      </w:pPr>
      <w:r>
        <w:rPr>
          <w:b/>
          <w:sz w:val="28"/>
          <w:szCs w:val="28"/>
        </w:rPr>
        <w:t>В.о. н</w:t>
      </w:r>
      <w:r w:rsidRPr="00733D80">
        <w:rPr>
          <w:b/>
          <w:sz w:val="28"/>
          <w:szCs w:val="28"/>
        </w:rPr>
        <w:t>ачальник</w:t>
      </w:r>
      <w:r>
        <w:rPr>
          <w:b/>
          <w:sz w:val="28"/>
          <w:szCs w:val="28"/>
        </w:rPr>
        <w:t>а</w:t>
      </w:r>
    </w:p>
    <w:p w:rsidR="00D81417" w:rsidRPr="00733D80" w:rsidRDefault="00D81417" w:rsidP="00D81417">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D81417">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B9C" w:rsidRDefault="003F1B9C" w:rsidP="00B217C6">
      <w:r>
        <w:separator/>
      </w:r>
    </w:p>
  </w:endnote>
  <w:endnote w:type="continuationSeparator" w:id="0">
    <w:p w:rsidR="003F1B9C" w:rsidRDefault="003F1B9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B9C" w:rsidRDefault="003F1B9C" w:rsidP="00B217C6">
      <w:r>
        <w:separator/>
      </w:r>
    </w:p>
  </w:footnote>
  <w:footnote w:type="continuationSeparator" w:id="0">
    <w:p w:rsidR="003F1B9C" w:rsidRDefault="003F1B9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151CB5" w:rsidRPr="00151CB5">
      <w:rPr>
        <w:noProof/>
        <w:lang w:val="uk-UA"/>
      </w:rPr>
      <w:t>4</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5F8F"/>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1FB3"/>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1CB5"/>
    <w:rsid w:val="00155B8C"/>
    <w:rsid w:val="001564F3"/>
    <w:rsid w:val="0015669B"/>
    <w:rsid w:val="00156AD7"/>
    <w:rsid w:val="00156FEF"/>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588"/>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D4E00"/>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0AE7"/>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15B83"/>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1DAD"/>
    <w:rsid w:val="0037290E"/>
    <w:rsid w:val="00372C7F"/>
    <w:rsid w:val="00372C98"/>
    <w:rsid w:val="00375E2C"/>
    <w:rsid w:val="003779B1"/>
    <w:rsid w:val="00383E48"/>
    <w:rsid w:val="003873F8"/>
    <w:rsid w:val="003906C5"/>
    <w:rsid w:val="0039320E"/>
    <w:rsid w:val="00395026"/>
    <w:rsid w:val="003A04EF"/>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5E3"/>
    <w:rsid w:val="003E5678"/>
    <w:rsid w:val="003F1B9C"/>
    <w:rsid w:val="003F4BCE"/>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37598"/>
    <w:rsid w:val="004402C9"/>
    <w:rsid w:val="00441804"/>
    <w:rsid w:val="00445DD2"/>
    <w:rsid w:val="004478F9"/>
    <w:rsid w:val="00447A0D"/>
    <w:rsid w:val="00450FCB"/>
    <w:rsid w:val="00452C9B"/>
    <w:rsid w:val="00454658"/>
    <w:rsid w:val="004574D8"/>
    <w:rsid w:val="00460A59"/>
    <w:rsid w:val="00466FB8"/>
    <w:rsid w:val="0047060F"/>
    <w:rsid w:val="00472253"/>
    <w:rsid w:val="00475A0C"/>
    <w:rsid w:val="0048186E"/>
    <w:rsid w:val="00483046"/>
    <w:rsid w:val="004852FE"/>
    <w:rsid w:val="0048797F"/>
    <w:rsid w:val="004A32F4"/>
    <w:rsid w:val="004A464D"/>
    <w:rsid w:val="004A4726"/>
    <w:rsid w:val="004A68C7"/>
    <w:rsid w:val="004A7726"/>
    <w:rsid w:val="004B12F8"/>
    <w:rsid w:val="004B1BAF"/>
    <w:rsid w:val="004B2155"/>
    <w:rsid w:val="004B2346"/>
    <w:rsid w:val="004B2B74"/>
    <w:rsid w:val="004B5A25"/>
    <w:rsid w:val="004B5A57"/>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0989"/>
    <w:rsid w:val="004F1E80"/>
    <w:rsid w:val="004F2D9A"/>
    <w:rsid w:val="004F6412"/>
    <w:rsid w:val="004F6650"/>
    <w:rsid w:val="00501F20"/>
    <w:rsid w:val="00505BC9"/>
    <w:rsid w:val="00505CFE"/>
    <w:rsid w:val="00506545"/>
    <w:rsid w:val="0050789A"/>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573E9"/>
    <w:rsid w:val="00562F6F"/>
    <w:rsid w:val="005638F3"/>
    <w:rsid w:val="00563F99"/>
    <w:rsid w:val="00571EC1"/>
    <w:rsid w:val="005733EF"/>
    <w:rsid w:val="00574311"/>
    <w:rsid w:val="00577D46"/>
    <w:rsid w:val="00582AD9"/>
    <w:rsid w:val="00585392"/>
    <w:rsid w:val="005867F1"/>
    <w:rsid w:val="005867FF"/>
    <w:rsid w:val="00594E5B"/>
    <w:rsid w:val="005951D0"/>
    <w:rsid w:val="0059616A"/>
    <w:rsid w:val="00596302"/>
    <w:rsid w:val="00596385"/>
    <w:rsid w:val="00596F52"/>
    <w:rsid w:val="005A0116"/>
    <w:rsid w:val="005A07FE"/>
    <w:rsid w:val="005A36EF"/>
    <w:rsid w:val="005A43AF"/>
    <w:rsid w:val="005A5E82"/>
    <w:rsid w:val="005A6654"/>
    <w:rsid w:val="005A7281"/>
    <w:rsid w:val="005B0E6B"/>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3219"/>
    <w:rsid w:val="006134A5"/>
    <w:rsid w:val="00614981"/>
    <w:rsid w:val="006238E4"/>
    <w:rsid w:val="00626559"/>
    <w:rsid w:val="006306B5"/>
    <w:rsid w:val="00631C4D"/>
    <w:rsid w:val="00634363"/>
    <w:rsid w:val="00636E64"/>
    <w:rsid w:val="00642484"/>
    <w:rsid w:val="00643EFB"/>
    <w:rsid w:val="00644516"/>
    <w:rsid w:val="00646B66"/>
    <w:rsid w:val="006473B3"/>
    <w:rsid w:val="00657791"/>
    <w:rsid w:val="00661209"/>
    <w:rsid w:val="00661BB6"/>
    <w:rsid w:val="00663FC7"/>
    <w:rsid w:val="00671213"/>
    <w:rsid w:val="00672279"/>
    <w:rsid w:val="0067471A"/>
    <w:rsid w:val="0067588C"/>
    <w:rsid w:val="006772FA"/>
    <w:rsid w:val="00677ADB"/>
    <w:rsid w:val="006819EE"/>
    <w:rsid w:val="00682BE3"/>
    <w:rsid w:val="00685E27"/>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3842"/>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8765E"/>
    <w:rsid w:val="00793152"/>
    <w:rsid w:val="007A01D0"/>
    <w:rsid w:val="007A1126"/>
    <w:rsid w:val="007A1F87"/>
    <w:rsid w:val="007A51E1"/>
    <w:rsid w:val="007A76F3"/>
    <w:rsid w:val="007B144C"/>
    <w:rsid w:val="007B362F"/>
    <w:rsid w:val="007B48DE"/>
    <w:rsid w:val="007B743B"/>
    <w:rsid w:val="007C0ABB"/>
    <w:rsid w:val="007C2E8A"/>
    <w:rsid w:val="007C7B3C"/>
    <w:rsid w:val="007C7DB9"/>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4EF6"/>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4C4C"/>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6BB8"/>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46D8D"/>
    <w:rsid w:val="00A5269A"/>
    <w:rsid w:val="00A53476"/>
    <w:rsid w:val="00A53F73"/>
    <w:rsid w:val="00A54F8F"/>
    <w:rsid w:val="00A5501D"/>
    <w:rsid w:val="00A5654A"/>
    <w:rsid w:val="00A56C79"/>
    <w:rsid w:val="00A609BA"/>
    <w:rsid w:val="00A63563"/>
    <w:rsid w:val="00A644EE"/>
    <w:rsid w:val="00A65DFD"/>
    <w:rsid w:val="00A66116"/>
    <w:rsid w:val="00A674AC"/>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1914"/>
    <w:rsid w:val="00AC5B8D"/>
    <w:rsid w:val="00AC5BAB"/>
    <w:rsid w:val="00AD0051"/>
    <w:rsid w:val="00AD120E"/>
    <w:rsid w:val="00AD4298"/>
    <w:rsid w:val="00AD44A4"/>
    <w:rsid w:val="00AD734F"/>
    <w:rsid w:val="00AE1FE0"/>
    <w:rsid w:val="00AE2C77"/>
    <w:rsid w:val="00AE3EC3"/>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0A30"/>
    <w:rsid w:val="00B91EB7"/>
    <w:rsid w:val="00B92785"/>
    <w:rsid w:val="00B93FF4"/>
    <w:rsid w:val="00B9440F"/>
    <w:rsid w:val="00B977BE"/>
    <w:rsid w:val="00BA56C5"/>
    <w:rsid w:val="00BB5FC5"/>
    <w:rsid w:val="00BC4106"/>
    <w:rsid w:val="00BD01C7"/>
    <w:rsid w:val="00BD57C9"/>
    <w:rsid w:val="00BE084E"/>
    <w:rsid w:val="00BE0F9E"/>
    <w:rsid w:val="00BE2B86"/>
    <w:rsid w:val="00BE3A85"/>
    <w:rsid w:val="00BE48A3"/>
    <w:rsid w:val="00BE53FB"/>
    <w:rsid w:val="00BE639E"/>
    <w:rsid w:val="00BE6CAE"/>
    <w:rsid w:val="00BF48A4"/>
    <w:rsid w:val="00BF48C2"/>
    <w:rsid w:val="00BF6595"/>
    <w:rsid w:val="00BF6CD5"/>
    <w:rsid w:val="00BF7F78"/>
    <w:rsid w:val="00C014F0"/>
    <w:rsid w:val="00C0153C"/>
    <w:rsid w:val="00C02F8B"/>
    <w:rsid w:val="00C11C35"/>
    <w:rsid w:val="00C1215F"/>
    <w:rsid w:val="00C12515"/>
    <w:rsid w:val="00C13FFD"/>
    <w:rsid w:val="00C15748"/>
    <w:rsid w:val="00C1746E"/>
    <w:rsid w:val="00C17C8E"/>
    <w:rsid w:val="00C220C9"/>
    <w:rsid w:val="00C24E47"/>
    <w:rsid w:val="00C3058A"/>
    <w:rsid w:val="00C34D8C"/>
    <w:rsid w:val="00C3522F"/>
    <w:rsid w:val="00C355DC"/>
    <w:rsid w:val="00C37EDD"/>
    <w:rsid w:val="00C40156"/>
    <w:rsid w:val="00C412CE"/>
    <w:rsid w:val="00C4295E"/>
    <w:rsid w:val="00C4526A"/>
    <w:rsid w:val="00C45922"/>
    <w:rsid w:val="00C465E5"/>
    <w:rsid w:val="00C47388"/>
    <w:rsid w:val="00C50BA4"/>
    <w:rsid w:val="00C51484"/>
    <w:rsid w:val="00C52047"/>
    <w:rsid w:val="00C530FF"/>
    <w:rsid w:val="00C56B59"/>
    <w:rsid w:val="00C57807"/>
    <w:rsid w:val="00C603BC"/>
    <w:rsid w:val="00C6066C"/>
    <w:rsid w:val="00C67B20"/>
    <w:rsid w:val="00C703FB"/>
    <w:rsid w:val="00C70EBC"/>
    <w:rsid w:val="00C71539"/>
    <w:rsid w:val="00C74C09"/>
    <w:rsid w:val="00C75536"/>
    <w:rsid w:val="00C83683"/>
    <w:rsid w:val="00C852F4"/>
    <w:rsid w:val="00C86C1F"/>
    <w:rsid w:val="00C86D64"/>
    <w:rsid w:val="00C87CA3"/>
    <w:rsid w:val="00C92984"/>
    <w:rsid w:val="00CA1D4D"/>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0C3E"/>
    <w:rsid w:val="00CD6929"/>
    <w:rsid w:val="00CD6DE1"/>
    <w:rsid w:val="00CD745D"/>
    <w:rsid w:val="00CD75DF"/>
    <w:rsid w:val="00CE01A6"/>
    <w:rsid w:val="00CE0567"/>
    <w:rsid w:val="00CE459B"/>
    <w:rsid w:val="00CE45A2"/>
    <w:rsid w:val="00CE5AAD"/>
    <w:rsid w:val="00CE6B51"/>
    <w:rsid w:val="00CE7F06"/>
    <w:rsid w:val="00CF0579"/>
    <w:rsid w:val="00CF1A43"/>
    <w:rsid w:val="00CF2506"/>
    <w:rsid w:val="00CF2823"/>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32DA"/>
    <w:rsid w:val="00D540B1"/>
    <w:rsid w:val="00D55715"/>
    <w:rsid w:val="00D55F00"/>
    <w:rsid w:val="00D61591"/>
    <w:rsid w:val="00D61981"/>
    <w:rsid w:val="00D6275A"/>
    <w:rsid w:val="00D630A1"/>
    <w:rsid w:val="00D63E9B"/>
    <w:rsid w:val="00D660C0"/>
    <w:rsid w:val="00D71F15"/>
    <w:rsid w:val="00D71F42"/>
    <w:rsid w:val="00D732EA"/>
    <w:rsid w:val="00D7641D"/>
    <w:rsid w:val="00D81417"/>
    <w:rsid w:val="00D82E55"/>
    <w:rsid w:val="00D8367D"/>
    <w:rsid w:val="00D8700A"/>
    <w:rsid w:val="00D9397D"/>
    <w:rsid w:val="00D977AE"/>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1A64"/>
    <w:rsid w:val="00DE21A3"/>
    <w:rsid w:val="00DE46BE"/>
    <w:rsid w:val="00DE6675"/>
    <w:rsid w:val="00DE674F"/>
    <w:rsid w:val="00DF22E0"/>
    <w:rsid w:val="00E00330"/>
    <w:rsid w:val="00E02055"/>
    <w:rsid w:val="00E026AD"/>
    <w:rsid w:val="00E0323B"/>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083C"/>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59C9"/>
    <w:rsid w:val="00F660F3"/>
    <w:rsid w:val="00F670EE"/>
    <w:rsid w:val="00F676D2"/>
    <w:rsid w:val="00F67A59"/>
    <w:rsid w:val="00F8049E"/>
    <w:rsid w:val="00F82F1F"/>
    <w:rsid w:val="00F83DC6"/>
    <w:rsid w:val="00F92AA3"/>
    <w:rsid w:val="00F93F5C"/>
    <w:rsid w:val="00F94455"/>
    <w:rsid w:val="00F97779"/>
    <w:rsid w:val="00FA0B42"/>
    <w:rsid w:val="00FA3A78"/>
    <w:rsid w:val="00FA43BF"/>
    <w:rsid w:val="00FA5D11"/>
    <w:rsid w:val="00FA65F6"/>
    <w:rsid w:val="00FB05FD"/>
    <w:rsid w:val="00FB07C1"/>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83E5A32-477A-40F0-A1D2-805010BC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D81417"/>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і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і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D81417"/>
    <w:rPr>
      <w:rFonts w:ascii="Calibri Light" w:eastAsia="Times New Roman" w:hAnsi="Calibri Light" w:cs="Times New Roman"/>
      <w:b/>
      <w:bCs/>
      <w:i/>
      <w:iCs/>
      <w:sz w:val="28"/>
      <w:szCs w:val="28"/>
      <w:lang w:val="ru-RU" w:eastAsia="ru-RU"/>
    </w:rPr>
  </w:style>
  <w:style w:type="paragraph" w:customStyle="1" w:styleId="Normal">
    <w:name w:val="Normal"/>
    <w:aliases w:val="Normal,Обычный11"/>
    <w:basedOn w:val="a"/>
    <w:qFormat/>
    <w:rsid w:val="00D81417"/>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4719">
      <w:bodyDiv w:val="1"/>
      <w:marLeft w:val="0"/>
      <w:marRight w:val="0"/>
      <w:marTop w:val="0"/>
      <w:marBottom w:val="0"/>
      <w:divBdr>
        <w:top w:val="none" w:sz="0" w:space="0" w:color="auto"/>
        <w:left w:val="none" w:sz="0" w:space="0" w:color="auto"/>
        <w:bottom w:val="none" w:sz="0" w:space="0" w:color="auto"/>
        <w:right w:val="none" w:sz="0" w:space="0" w:color="auto"/>
      </w:divBdr>
    </w:div>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57484802">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9CF0F-71D7-4822-9263-DD72103E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4686</Words>
  <Characters>26712</Characters>
  <Application>Microsoft Office Word</Application>
  <DocSecurity>0</DocSecurity>
  <Lines>222</Lines>
  <Paragraphs>62</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 </vt:lpstr>
      <vt:lpstr>МІНІСТЕРСТВО ОХОРОНИ ЗДОРОВ’Я УКРАЇНИ</vt:lpstr>
      <vt:lpstr>        Н А К А З</vt:lpstr>
      <vt:lpstr>    ПЕРЕЛІК</vt:lpstr>
      <vt:lpstr> </vt:lpstr>
    </vt:vector>
  </TitlesOfParts>
  <Company>Krokoz™</Company>
  <LinksUpToDate>false</LinksUpToDate>
  <CharactersWithSpaces>31336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2025-05-20T08:44:00Z</cp:lastPrinted>
  <dcterms:created xsi:type="dcterms:W3CDTF">2026-04-01T13:02:00Z</dcterms:created>
  <dcterms:modified xsi:type="dcterms:W3CDTF">2026-04-01T13:02:00Z</dcterms:modified>
</cp:coreProperties>
</file>