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3825" w:type="dxa"/>
        <w:jc w:val="left"/>
        <w:tblInd w:w="114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</w:tblGrid>
      <w:tr>
        <w:trPr>
          <w:trHeight w:val="711" w:hRule="atLeast"/>
        </w:trPr>
        <w:tc>
          <w:tcPr>
            <w:tcW w:w="3825" w:type="dxa"/>
            <w:tcBorders/>
          </w:tcPr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Додаток</w:t>
            </w:r>
            <w:r>
              <w:rPr>
                <w:rFonts w:cs="Arial"/>
                <w:lang w:val="ru-RU"/>
              </w:rPr>
              <w:t xml:space="preserve"> 1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до Наказу Міністерства охорони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здоров’я України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____________________ № _______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1"/>
        <w:rPr>
          <w:rFonts w:ascii="Arial" w:hAnsi="Arial" w:cs="Arial"/>
          <w:b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  <w:t xml:space="preserve">ЛІКАРСЬКИХ ЗАСОБІВ, що пропонуються до державної реєстрації 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</w:r>
    </w:p>
    <w:tbl>
      <w:tblPr>
        <w:tblW w:w="16160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276"/>
        <w:gridCol w:w="1134"/>
        <w:gridCol w:w="992"/>
        <w:gridCol w:w="851"/>
        <w:gridCol w:w="1701"/>
        <w:gridCol w:w="1134"/>
        <w:gridCol w:w="1134"/>
        <w:gridCol w:w="1276"/>
        <w:gridCol w:w="1134"/>
        <w:gridCol w:w="1275"/>
        <w:gridCol w:w="1134"/>
        <w:gridCol w:w="993"/>
        <w:gridCol w:w="1559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АРІПЕГІС®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aripiprazole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арипіпразол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N05AX12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 мг; по 14 таблеток у блістері;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UA/21500/01/0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АРІПЕГІС®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aripiprazole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арипіпразол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N05AX12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15 мг; по 14 таблеток у блістері;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ЗАТ Фармацевтичний завод ЕГІС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UA/21500/01/02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ГРЕЛОТІК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тикагрелор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вкриті оболонкою, по 90 мг, по 14 таблеток у блістері; по 1 або 4 блістери в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"Фармацевтична компанія "Віола"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продукту, первинне та вторинне пакування, випуск серії, контроль якості: Рафарм А.Т.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Грецiя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UA/21501/01/0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ДИМЕТИЛ ФУМАРАТ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dimethyl fumarate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диметилфумарат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L04AX07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гастрорезистентні тверді 240 мг по 14 капсул у блістері, по 4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Ауробіндо Фарма Лтд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Відповідальний за випуск серії: </w:t>
              <w:br/>
              <w:t>АПЛ Свіфт Сервісез (Мальта) Лімітед, Мальта;</w:t>
              <w:br/>
              <w:t xml:space="preserve">Виробництво, первинне пакування, вторинне пакування: </w:t>
              <w:br/>
              <w:t>АПЛ Хелскер Лімітед, Індія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 Індія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UA/21502/01/0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ІРСАМЛА®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vortioxetine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вортіоксетин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N06AX26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5 мг; по 14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серії:</w:t>
              <w:br/>
              <w:t>ЗАТ Фармацевтичний Завод ЕГІС, Угорщина;</w:t>
              <w:br/>
              <w:br/>
              <w:t>виробництво нерозфасованого продукту, первинне та вторинне пакування та контроль (за винятком визначення вмісту домішок N-нітрозо-вортіоксетину):</w:t>
              <w:br/>
              <w:t xml:space="preserve">Санта Фарма Ілак Санай А.С., Туреччина; </w:t>
              <w:br/>
              <w:br/>
              <w:t>контроль вмісту домішок N-нітрозо-вортіоксетину та мікробіологічного контролю:</w:t>
              <w:br/>
              <w:t>Фармадокс Хелскеа Лтд., Мальта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Туреччина/ Мальта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UA/21503/01/0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ІРСАМЛА®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vortioxetine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вортіоксетин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N06AX26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15 мг; по 14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серії:</w:t>
              <w:br/>
              <w:t>ЗАТ Фармацевтичний Завод ЕГІС, Угорщина;</w:t>
              <w:br/>
              <w:t>виробництво нерозфасованого продукту, первинне та вторинне пакування та контроль (за винятком визначення вмісту домішок N-нітрозо-вортіоксетину):</w:t>
              <w:br/>
              <w:t>Санта Фарма Ілак Санай А.С., Туреччина;</w:t>
              <w:br/>
              <w:t>контроль вмісту домішок N-нітрозо-вортіоксетину та мікробіологічного контролю:</w:t>
              <w:br/>
              <w:t>Фармадокс Хелскеа Лтд., Мальта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Туреччина/ Мальта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UA/21503/01/03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ІРСАМЛА®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vortioxetine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вортіоксетин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N06AX26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10 мг; по 14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серії:</w:t>
              <w:br/>
              <w:t>ЗАТ Фармацевтичний Завод ЕГІС, Угорщина;</w:t>
              <w:br/>
              <w:t>виробництво нерозфасованого продукту, первинне та вторинне пакування та контроль (за винятком визначення вмісту домішок N-нітрозо-вортіоксетину):</w:t>
              <w:br/>
              <w:t>Санта Фарма Ілак Санай А.С., Туреччина;</w:t>
              <w:br/>
              <w:t>контроль вмісту домішок N-нітрозо-вортіоксетину та мікробіологічного контролю:</w:t>
              <w:br/>
              <w:t>Фармадокс Хелскеа Лтд., Мальта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Туреччина/ Мальта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UA/21503/01/02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ІРСАМЛА®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vortioxetine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вортіоксетин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N06AX26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20 мг; по 14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серії:</w:t>
              <w:br/>
              <w:t xml:space="preserve">ЗАТ Фармацевтичний Завод ЕГІС, Угорщина; </w:t>
              <w:br/>
              <w:t>виробництво нерозфасованого продукту, первинне та вторинне пакування та контроль (за винятком визначення вмісту домішок N-нітрозо-вортіоксетину):</w:t>
              <w:br/>
              <w:t xml:space="preserve">Санта Фарма Ілак Санай А.С., Туреччина; </w:t>
              <w:br/>
              <w:t>контроль вмісту домішок N-нітрозо-вортіоксетину та мікробіологічного контролю:</w:t>
              <w:br/>
              <w:t>Фармадокс Хелскеа Лтд., Мальта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Туреччина/ Мальта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UA/21503/01/04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КЛАВУМОЦИЛІН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amoxicillin and beta-lactamase inhibitor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амоксицилін та клавуланова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875 мг/125 мг, по 7 таблеток у блістері; по 2 блістери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«ІНФАРМА Трейдінг»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Латвійська Республіка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 РЕІГ ЖОФРЕ, С.А.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UA/21504/01/0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ПІКОСУЛЬФАТ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sodium picosulfate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натрію пікосульфат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A06AB08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 мг; по 10 таблеток у блістері; по 1 блістеру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"ВІТАМІНИ"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"ВІТАМІНИ"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UA/21505/01/0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РІНАЗАЛ® ЕВКА З МЕНТОЛОМ ТА ЕВКАЛІПТОМ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xylometazoline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ксилометазоліну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назальний, дозований, 1 мг/мл, по 10 мл у флаконі з дозуючим насосом, по 1 флакону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UA/21506/01/0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/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2">
        <w:r>
          <w:rPr>
            <w:rStyle w:val="Hyper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Hyper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rPr>
          <w:rStyle w:val="Hyperlink"/>
          <w:rFonts w:ascii="Arial" w:hAnsi="Arial" w:cs="Arial"/>
          <w:i/>
          <w:i/>
          <w:color w:val="000000"/>
          <w:szCs w:val="16"/>
        </w:rPr>
      </w:pPr>
      <w:r>
        <w:rPr/>
      </w:r>
    </w:p>
    <w:tbl>
      <w:tblPr>
        <w:tblW w:w="148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</w:tcPr>
          <w:p>
            <w:pPr>
              <w:pStyle w:val="Normal"/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  </w:t>
            </w:r>
          </w:p>
        </w:tc>
        <w:tc>
          <w:tcPr>
            <w:tcW w:w="7422" w:type="dxa"/>
            <w:tcBorders/>
          </w:tcPr>
          <w:p>
            <w:pPr>
              <w:pStyle w:val="cs95e872d0"/>
              <w:snapToGrid w:val="false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pStyle w:val="Normal"/>
        <w:rPr>
          <w:rStyle w:val="cs7864ebcf1"/>
          <w:rFonts w:ascii="Arial" w:hAnsi="Arial" w:cs="Arial"/>
          <w:color w:val="000000"/>
          <w:sz w:val="16"/>
          <w:szCs w:val="16"/>
          <w:lang w:val="ru-RU"/>
        </w:rPr>
      </w:pPr>
      <w:r>
        <w:rPr/>
      </w:r>
      <w:r>
        <w:br w:type="page"/>
      </w:r>
    </w:p>
    <w:p>
      <w:pPr>
        <w:pStyle w:val="Normal"/>
        <w:rPr>
          <w:rFonts w:ascii="Arial" w:hAnsi="Arial" w:cs="Arial"/>
          <w:sz w:val="16"/>
          <w:szCs w:val="16"/>
          <w:lang w:val="ru-RU"/>
        </w:rPr>
      </w:pPr>
      <w:r>
        <w:rPr>
          <w:rFonts w:cs="Arial" w:ascii="Arial" w:hAnsi="Arial"/>
          <w:sz w:val="16"/>
          <w:szCs w:val="16"/>
          <w:lang w:val="ru-RU"/>
        </w:rPr>
      </w:r>
    </w:p>
    <w:tbl>
      <w:tblPr>
        <w:tblW w:w="3825" w:type="dxa"/>
        <w:jc w:val="left"/>
        <w:tblInd w:w="114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</w:tblGrid>
      <w:tr>
        <w:trPr/>
        <w:tc>
          <w:tcPr>
            <w:tcW w:w="3825" w:type="dxa"/>
            <w:tcBorders/>
          </w:tcPr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Додаток</w:t>
            </w:r>
            <w:r>
              <w:rPr>
                <w:rFonts w:cs="Arial"/>
                <w:lang w:val="ru-RU"/>
              </w:rPr>
              <w:t xml:space="preserve"> 2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до Наказу Міністерства охорони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здоров’я України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____________________ № _______</w:t>
            </w:r>
          </w:p>
          <w:p>
            <w:pPr>
              <w:pStyle w:val="1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1"/>
        <w:rPr>
          <w:rFonts w:ascii="Arial" w:hAnsi="Arial" w:cs="Arial"/>
          <w:b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3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  <w:t>ЛІКАРСЬКИХ ЗАСОБІВ, що пропонуються до державної ПЕРЕреєстрації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3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</w:r>
    </w:p>
    <w:tbl>
      <w:tblPr>
        <w:tblW w:w="16018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418"/>
        <w:gridCol w:w="992"/>
        <w:gridCol w:w="992"/>
        <w:gridCol w:w="851"/>
        <w:gridCol w:w="1701"/>
        <w:gridCol w:w="1134"/>
        <w:gridCol w:w="992"/>
        <w:gridCol w:w="1418"/>
        <w:gridCol w:w="992"/>
        <w:gridCol w:w="1417"/>
        <w:gridCol w:w="1134"/>
        <w:gridCol w:w="993"/>
        <w:gridCol w:w="1417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5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ІНСУВІТ® НNP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insulin (human)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інсулін людський (ДНК-рекомбінантний)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A10AC01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ін’єкцій, 100 МО/мл; по 3 мл у картриджі; по 5 картриджів у блістері; по 1 блістеру у пачці; по 10 мл у флаконі; по 1 флакону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«Фармак»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5 років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UA/14838/01/01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5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МОКСИФЛОКСАЦИНУ ГІДРОХЛОРИД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Moxifloxacin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моксифлоксацину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"ФАРМЕКС ГРУП"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Араген Лайф Сайнс Пріват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UA/19271/01/01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5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РОЗУВАСТАТИН КАЛЬЦІЮ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розувастатин кальцію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Чжецзян Лепу Фармасьютікал Ко., Лтд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UA/19085/01/01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Style w:val="Hyperlink"/>
          <w:rFonts w:ascii="Arial" w:hAnsi="Arial" w:cs="Arial"/>
          <w:i/>
          <w:i/>
          <w:color w:val="000000"/>
          <w:szCs w:val="16"/>
        </w:rPr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3">
        <w:r>
          <w:rPr>
            <w:rStyle w:val="Hyper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Hyper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rPr>
          <w:rStyle w:val="Hyperlink"/>
          <w:rFonts w:ascii="Arial" w:hAnsi="Arial" w:cs="Arial"/>
          <w:i/>
          <w:i/>
          <w:color w:val="000000"/>
          <w:szCs w:val="16"/>
        </w:rPr>
      </w:pPr>
      <w:r>
        <w:rPr/>
      </w:r>
    </w:p>
    <w:p>
      <w:pPr>
        <w:pStyle w:val="Normal"/>
        <w:rPr>
          <w:rStyle w:val="Hyperlink"/>
          <w:rFonts w:ascii="Arial" w:hAnsi="Arial" w:cs="Arial"/>
          <w:i/>
          <w:i/>
          <w:color w:val="000000"/>
          <w:szCs w:val="16"/>
        </w:rPr>
      </w:pPr>
      <w:r>
        <w:rPr/>
      </w:r>
    </w:p>
    <w:tbl>
      <w:tblPr>
        <w:tblW w:w="148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</w:tcPr>
          <w:p>
            <w:pPr>
              <w:pStyle w:val="Normal"/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</w:t>
            </w:r>
          </w:p>
        </w:tc>
        <w:tc>
          <w:tcPr>
            <w:tcW w:w="7422" w:type="dxa"/>
            <w:tcBorders/>
          </w:tcPr>
          <w:p>
            <w:pPr>
              <w:pStyle w:val="cs95e872d0"/>
              <w:snapToGrid w:val="false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077" w:right="1134" w:gutter="0" w:header="709" w:top="907" w:footer="0" w:bottom="907"/>
          <w:pgNumType w:fmt="decimal"/>
          <w:formProt w:val="false"/>
          <w:titlePg/>
          <w:textDirection w:val="lrTb"/>
          <w:docGrid w:type="default" w:linePitch="360" w:charSpace="0"/>
        </w:sectPr>
      </w:pPr>
    </w:p>
    <w:tbl>
      <w:tblPr>
        <w:tblW w:w="3828" w:type="dxa"/>
        <w:jc w:val="left"/>
        <w:tblInd w:w="114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</w:tblGrid>
      <w:tr>
        <w:trPr/>
        <w:tc>
          <w:tcPr>
            <w:tcW w:w="3828" w:type="dxa"/>
            <w:tcBorders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left" w:pos="12600" w:leader="none"/>
              </w:tabs>
              <w:outlineLvl w:val="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Додаток 3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до Наказу Міністерства охорони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здоров’я України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__________________ № _______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Style w:val="cs7864ebcf1"/>
          <w:rFonts w:ascii="Arial" w:hAnsi="Arial" w:cs="Arial"/>
          <w:b/>
          <w:caps/>
          <w:color w:val="000000"/>
          <w:sz w:val="16"/>
          <w:szCs w:val="16"/>
          <w:lang w:val="uk-UA"/>
        </w:rPr>
      </w:pPr>
      <w:r>
        <w:rPr/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Fonts w:ascii="Arial" w:hAnsi="Arial" w:cs="Arial"/>
          <w:b/>
          <w:lang w:val="ru-RU"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</w:rPr>
      </w:pPr>
      <w:r>
        <w:rPr>
          <w:rFonts w:cs="Arial" w:ascii="Arial" w:hAnsi="Arial"/>
          <w:b/>
          <w:caps/>
        </w:rPr>
        <w:t>ЛІКАРСЬКИХ засобів, щодо яких пропонується внесеНня змін до реєстраційних матеріалів</w:t>
      </w:r>
    </w:p>
    <w:p>
      <w:pPr>
        <w:pStyle w:val="11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6302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561"/>
        <w:gridCol w:w="992"/>
        <w:gridCol w:w="992"/>
        <w:gridCol w:w="851"/>
        <w:gridCol w:w="1701"/>
        <w:gridCol w:w="1134"/>
        <w:gridCol w:w="992"/>
        <w:gridCol w:w="1418"/>
        <w:gridCol w:w="850"/>
        <w:gridCol w:w="1985"/>
        <w:gridCol w:w="850"/>
        <w:gridCol w:w="992"/>
        <w:gridCol w:w="1418"/>
      </w:tblGrid>
      <w:tr>
        <w:trPr>
          <w:tblHeader w:val="true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Рекламування**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L-ГІСТИДИН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L-гістидин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АМІНО ГмбХ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АМІНО ГмбХ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UA/16456/01/01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L-ТРИПТОФАН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Tryptophan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L-триптофан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кристалічний або аморфний порошок (субстанція) у подвійних поліетиленових мішках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АМІНО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АМІНО ГмбХ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UA/16579/01/01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АЗИТРОМІЦИН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azithromycin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азитроміцин (у вигляді азитроміцину дигідрату)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500 мг; по 3 таблетки в блістері та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«ІНФАРМА Трейдінг»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Латвійська Республіка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Блуфарма-Індастріа Фармасеутіка, С.А.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Португалiя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UA/20283/01/01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АКТЕМРА®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tocilizumab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тоцилізумаб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L04AC07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20 мг/мл; по 80 мг/4 мл або 200 мг/10 мл або 400 мг/20 мл у флаконі; по 1 або 4 флакони у картонній коробці з маркуванням українською мовою; по 80 мг/4 мл або 200 мг/10 мл або 400 мг/20 мл у флаконі; по 1 або 4 флакони у картонній коробці з маркуванням англійською, французькою та арабською мовами зі стикером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нерозфасованої продукції, первинне пакування: Чугай Фарма Мануфектуринг Ко. Лтд, Японія; </w:t>
              <w:br/>
              <w:t>Виробництво нерозфасованої продукції (для упаковки по 400 мг/20 мл), випробування контролю якості (для упаковки по 400 мг/20 мл): Дженентек Інк., США; Випробування контролю якості (для упаковки по 400 мг/20 мл): Лонза Мануфектуринг ЛЛС, США;</w:t>
              <w:br/>
              <w:t>Вторине пакування, випробування контролю якості, випуск серії: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Японія/ США/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UA/13909/01/01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АКТЕМРА®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tocilizumab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тоцилізумаб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L04AC07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162 мг/0,9 мл; 4 попередньо наповнених шприца (кожен об’ємом 1 мл) у картонній коробці з маркуванням українською мовою; 4 попередньо наповнених шприца (кожен об’ємом 1 мл) у картонній коробці з маркуванням англійською, французькою та арабською мовами зі стикером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пакування, контроль в процесі виробництва, випробування на стерильність та бактеріальні ендотоксини: Веттер Фарма-Фертигунг ГмбХ і Ко КГ, Німеччина; Випробування на стерильність та бактеріальні ендотоксини, візуальний контроль в процесі виробництва: Веттер Фарма-Фертигунг ГмбХ і Ко КГ, Німеччина; Веттер Фарма-Фертигунг ГмбХ і Ко КГ, Німеччина; Візуальний контроль в процесі виробництва: Веттер Фарма-Фертигунг ГмбХ і Ко КГ, Німеччина;</w:t>
              <w:br/>
              <w:t>Вторинне пакування, випробування контролю якості (крім випробування на стерильність та бактеріальні ендотоксини), випуск серії:</w:t>
              <w:br/>
              <w:t>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UA/13909/02/01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АЛЕКЕНЗА®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alectinib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алектиніб у формі алектинібу гідрохлориду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L01ED03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150 мг; по 8 капсул твердих у блістері; по 7 блістерів у картонній пачці, по 4 пачки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серії: Ф.Хоффманн-Ля Рош Лтд, Швейцарія;</w:t>
              <w:br/>
              <w:t>первинне та вторинне пакування, випробування стабільності, випуск серії: Ф.Хоффманн-Ля Рош Лтд, Швейцарія;</w:t>
              <w:br/>
              <w:t>випробування стабільності (мікробіологічна чистота): Ф.Хоффманн-Ля Рош Лтд, Швейцарія;</w:t>
              <w:br/>
              <w:t xml:space="preserve">випробування стабільності, первинне та вторинне пакування: Дельфарм Мілано, С.Р.Л., Італiя; </w:t>
              <w:br/>
              <w:t xml:space="preserve">випробування контролю якості (мікробіологічна чистота): Лабор ЛС СЕ енд Ко. КГ, Німеччина; </w:t>
              <w:br/>
              <w:t xml:space="preserve">випробування контролю якості (етилхлорид): Евонік Оперейшнз ГмбХ, Німеччина; </w:t>
              <w:br/>
              <w:t xml:space="preserve">виробництво нерозфасованої продукції, випробування контролю якості: Екселла ГмбХ енд Ко. КГ, Німеччина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Швейцарія/ Італiя/ 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UA/16997/01/01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АЛКЕРАН®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melphalan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мелфалан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 мг; по 25 таблеток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Аспен Фарма Трейдінг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Екселла ГмбХ і Ко. КГ</w:t>
              <w:br/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UA/8593/01/01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АРОМАЗИН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exemestane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екземестан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L02BG06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цукровою оболонкою, по 25 мг; по 15 таблеток у блістері; по 2 блістери в картонній коробці; по 20 таблеток у блістері; по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Італія С.р.л.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UA/4769/01/01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АСПІРИН® 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аскорбінова кислота (вітамін С), ацетилсаліцилова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шипучі; по 2 таблетки у стрипі; по 5 стрипів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Байєр Консьюмер Кер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Байєр Біттерфельд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UA/4398/01/01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БАФАЗОЛ® 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Fabomotizole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фабомотизолу дигідрохлорид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N05BX04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 мг; по 10 таблеток у блістері, по 4 або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UA/18761/01/01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БІОКЛОТ 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Von Willebrand factor and coagulation factor VIII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фактор фон Віллебранда людини*;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фактор згортання VIII людини**,</w:t>
            </w:r>
            <w:r>
              <w:rPr>
                <w:rFonts w:cs="Arial" w:ascii="Arial" w:hAnsi="Arial"/>
                <w:i/>
                <w:sz w:val="16"/>
                <w:szCs w:val="16"/>
              </w:rPr>
              <w:br/>
              <w:t>*Активність фактору фон Віллебранда людини (МО) вимірюють відповідно до активності кофактора ристоцетину (VWF:RCo) порівняно з Міжнародним стандартом на концентрат фактора фон Віллебранда (ВООЗ).</w:t>
              <w:br/>
              <w:t>**Активність фактору згортання VIII (МО) визначають за допомогою хромогенного аналізу згідно Європейській фармакопеї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ліофілізат для розчину для ін’єкцій по 500 МО; 1 флакон з ліофілізатом у комплекті з розчинником (вода для ін’єкцій) по 10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ПЛАЗМА", Україна (виробництво, первинне та вторинне пакування, контроль якості, випуск серій)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UA/16249/01/02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БІОКЛОТ 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Von Willebrand factor and coagulation factor VIII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фактор фон Віллебранда людини*;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фактор згортання VIII людини**,</w:t>
            </w:r>
            <w:r>
              <w:rPr>
                <w:rFonts w:cs="Arial" w:ascii="Arial" w:hAnsi="Arial"/>
                <w:i/>
                <w:sz w:val="16"/>
                <w:szCs w:val="16"/>
              </w:rPr>
              <w:br/>
              <w:t>*Активність фактору фон Віллебранда людини (МО) вимірюють відповідно до активності кофактора ристоцетину (VWF:RCo) порівняно з Міжнародним стандартом на концентрат фактора фон Віллебранда (ВООЗ).</w:t>
              <w:br/>
              <w:t>**Активність фактору згортання VIII (МО) визначають за допомогою хромогенного аналізу згідно Європейській фармакопеї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ліофілізат для розчину для ін’єкцій по 1000 МО; 1 флакон з ліофілізатом у комплекті з розчинником (вода для ін’єкцій) по 10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ПЛАЗМА", Україна (виробництво, первинне та вторинне пакування, контроль якості, випуск серій)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UA/16249/01/03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БІОКЛОТ 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Von Willebrand factor and coagulation factor VIII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фактор фон Віллебранда людини*;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фактор згортання VIII людини**,</w:t>
            </w:r>
            <w:r>
              <w:rPr>
                <w:rFonts w:cs="Arial" w:ascii="Arial" w:hAnsi="Arial"/>
                <w:i/>
                <w:sz w:val="16"/>
                <w:szCs w:val="16"/>
              </w:rPr>
              <w:br/>
              <w:t>*Активність фактору фон Віллебранда людини (МО) вимірюють відповідно до активності кофактора ристоцетину (VWF:RCo) порівняно з Міжнародним стандартом на концентрат фактора фон Віллебранда (ВООЗ).</w:t>
              <w:br/>
              <w:t>**Активність фактору згортання VIII (МО) визначають за допомогою хромогенного аналізу згідно Європейській фармакопеї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ПЛАЗМА", Україна (виробництво, первинне та вторинне пакування, контроль якості, випуск серій)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UA/16249/01/01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БІСОПРОЛ®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bisoprolol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бісопрололу фумарат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 мг; 10 таблеток у блістері; по 2, 3 або 5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UA/3214/01/01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БІСОПРОЛ®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bisoprolol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бісопрололу фумарат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 мг; 10 таблеток у блістері; по 2, 3 або 5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UA/3214/01/02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БІСОПРОЛ®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bisoprolol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бісопрололу фумарат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2,5 мг; 10 таблеток у блістері; по 2, 3 або 5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UA/3214/01/03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БІСОПРОЛОЛ-ТЕВА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bisoprolol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бісопрололу фумарат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Фармацевтичний завод Тева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UA/6407/01/01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БІСОПРОЛОЛ-ТЕВА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bisoprolol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бісопрололу фумарат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Фармацевтичний завод Тева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UA/6407/01/02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ВАНКОМІЦИН-ВІСТА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vancomycin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ванкоміцину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J01XA01, A07AA09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ліофілізат для розчину для інфузій по 500 мг; 1 скляний флакон з ліофілізатом, місткістю 10 мл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ВЕМ Ілач Сан. ве Тік. А.С.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UA/18265/01/01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ВАНКОМІЦИН-ВІСТА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vancomycin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ванкоміцину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J01XA01, A07AA09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ліофілізат для розчину для інфузій по 1000 мг; 1 скляний флакон з ліофілізатом, місткістю 20 мл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ВЕМ Ілач Сан. ве Тік. А.С.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UA/18265/01/02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ВЕРЗЕНІО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abemaciclib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абемацикліб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L01EF03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100 мг; по 14 таблеток у блістері,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Елі Ліллі Недерленд Б.В.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первинна та вторинна упаковка, контроль якості, випуск серії: Ліллі С.А., Іспанія; виробництво готової лікарської форми, контроль якості: Ліллі дель Карібе Інк., США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США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UA/20387/01/02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ВЕРЗЕНІО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abemaciclib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абемацикліб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L01EF03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150 мг; по 14 таблеток у блістері,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Елі Ліллі Недерленд Б.В.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первинна та вторинна упаковка, контроль якості, випуск серії: Ліллі С.А., Іспанія; виробництво готової лікарської форми, контроль якості: Ліллі дель Карібе Інк., США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США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UA/20387/01/03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ВЕРЗЕНІО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abemaciclib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абемацикліб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L01EF03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50 мг; по 14 таблеток у блістері,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Елі Ліллі Недерленд Б.В.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первинна та вторинна упаковка, контроль якості, випуск серії: Ліллі С.А., Іспанія; виробництво готової лікарської форми, контроль якості: Ліллі дель Карібе Інк., США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США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UA/20387/01/01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ВІЗКЬЮ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brolucizumab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бролуцизумаб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S01LA06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120 мг/мл; по 0,23 мл у флаконі; по 1 флакону в комплекті з голкою фільтрувальною в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Оверсіз Інвестментс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серій: Новартіс Мануфактурінг НВ, Бельгія; випуск серій: Новартіс Фармасьютика, С.А., Іспанія; випуск серії, вторинне пакування: Лек Фармасьютикалс д.д., Словенія; виробництво готового лікарського засобу, включаючи контроль якості, первинне та вторинне пакування: Новартіс Фарма Штейн АГ, Швейцарія; контроль якості: Новартіс Фарма АГ,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Словенія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UA/18833/01/01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ВІКС АНТИГРИП КОМПЛЕКС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парацетамол, гвайфенезин, фенілефрину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орального розчину; по 5 або 10 саше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Проктер енд Гембл Інтернешнл Оперейшнз 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Рафтон Лабораторіз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умов відпуску в наказі МОЗ України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UA/11414/01/01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ГАЗІВА®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obinutuzumab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обінутузумаб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L01FA03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концентрат для розчину для інфузій, 1000 мг/40 мл; по 40 мл у флаконі; по 1 флакону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пакування, випробування контролю якості: Рош Діагностикс ГмбХ, Німеччина</w:t>
              <w:br/>
              <w:t xml:space="preserve">Вторинне пакування, випуск серії: Ф.Хоффманн-Ля Рош Лтд, Швейцарія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UA/14232/01/01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ГАЗІВА®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obinutuzumab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обінутузумаб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L01FA03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1000 мг/40 мл; по 40 мл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пакування, випробування контролю якості: Рош Діагностикс ГмбХ, Німеччина;</w:t>
              <w:br/>
              <w:t>Вторинне пакування, випуск серії: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UA/14232/01/01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>Diphtheria-haemophilus influenzae B-pertussis-poliomyelitis-tetanus-hepatitis 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дифтерійний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 w:ascii="Arial" w:hAnsi="Arial"/>
                <w:sz w:val="16"/>
                <w:szCs w:val="16"/>
              </w:rPr>
              <w:t>анатоксин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правцевий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 w:ascii="Arial" w:hAnsi="Arial"/>
                <w:sz w:val="16"/>
                <w:szCs w:val="16"/>
              </w:rPr>
              <w:t>анатоксин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антигени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en-US"/>
              </w:rPr>
              <w:t>Bordetella pertussis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: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кашлюковий анатоксин;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філаментний гемаглютинін;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інактивований поліовірус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5</w:t>
            </w:r>
            <w:r>
              <w:rPr>
                <w:rFonts w:cs="Arial" w:ascii="Arial" w:hAnsi="Arial"/>
                <w:sz w:val="16"/>
                <w:szCs w:val="16"/>
              </w:rPr>
              <w:t>: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типу 1 (штам Mahoney);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типу 2 (штам MEF-1);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типу 3 (штам Saukett);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поверхневий антиген вірусу гепатиту В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7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полісахарид 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Haemophilus influenzae</w:t>
            </w:r>
            <w:r>
              <w:rPr>
                <w:rFonts w:cs="Arial" w:ascii="Arial" w:hAnsi="Arial"/>
                <w:sz w:val="16"/>
                <w:szCs w:val="16"/>
              </w:rPr>
              <w:t> типу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 xml:space="preserve"> b </w:t>
            </w:r>
            <w:r>
              <w:rPr>
                <w:rFonts w:cs="Arial" w:ascii="Arial" w:hAnsi="Arial"/>
                <w:sz w:val="16"/>
                <w:szCs w:val="16"/>
              </w:rPr>
              <w:t>(полірибозилрибітол фосфат), кон’югований з правцевим протеїном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5</w:t>
            </w:r>
            <w:r>
              <w:rPr>
                <w:rFonts w:cs="Arial" w:ascii="Arial" w:hAnsi="Arial"/>
                <w:sz w:val="16"/>
                <w:szCs w:val="16"/>
              </w:rPr>
              <w:t> Культивовані на клітинах 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Vero</w:t>
            </w:r>
            <w:r>
              <w:rPr>
                <w:rFonts w:cs="Arial" w:ascii="Arial" w:hAnsi="Arial"/>
                <w:sz w:val="16"/>
                <w:szCs w:val="16"/>
              </w:rPr>
              <w:t>.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7</w:t>
            </w:r>
            <w:r>
              <w:rPr>
                <w:rFonts w:cs="Arial" w:ascii="Arial" w:hAnsi="Arial"/>
                <w:sz w:val="16"/>
                <w:szCs w:val="16"/>
              </w:rPr>
              <w:t xml:space="preserve"> Отриманий на клітинах дріжджів 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Hansenula polymorpha</w:t>
            </w:r>
            <w:r>
              <w:rPr>
                <w:rFonts w:cs="Arial" w:ascii="Arial" w:hAnsi="Arial"/>
                <w:sz w:val="16"/>
                <w:szCs w:val="16"/>
              </w:rPr>
              <w:t xml:space="preserve"> за допомогою рекомбінантної ДНК-технології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J07CA09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ін’єкцій; по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флаконів в стандартно-експортній упаковці, яка міститься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Вінтроп Індастрі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нерозфасованого продукту, вторинне пакування (шприци), контроль якості, випуск серій: Санофі Вінтроп Індастрі, Франція; виробництво готового нерозфасованого продукту, заповнення, вторинне пакування, контроль якості, випуск серій:</w:t>
              <w:br/>
              <w:t>Санофі Вінтроп Індастрі, Франція; випуск серій: Санофі-Авентіс Зрт., Угорщина; контроль якості (шприци): Інтернешнл Драг Девелопмент-Експерт, Франція; вторинне пакування: Кюне + Нагель Кфт.,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UA/13080/01/01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ГЕМЛІБРА®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emicizumab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еміцизумаб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B02BX06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 по 30 мг/1 мл; по 1 мл (30 мг) у флаконі; по 1 флакону в картонній коробці; по 0,4 мл (12 мг)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нерозфасованої продукції, первинне пакування, випробування контролю якості: Чугай Фарма Мануфектуринг Ко, Лтд, Японія; Самсунг БіоЛоджикс Ко, Лтд, Інчеон, Республіка Корея; випробування контролю якості: Чугай Фарма Мануфектуринг Ко, Лтд, Японiя; випробування контролю якості, вторинне пакування, випуск серії: Ф.Хоффманн-Ля Рош Лтд, Швейцарія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Японія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Республіка Корея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UA/16914/01/01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ГЕМЛІБРА®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emicizumab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еміцизумаб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B02BX06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 по 150 мг/1 мл; по 0,4 мл (60 мг); по 0,7 мл (105 мг); по 1 мл (150 мг)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нерозфасованої продукції, первинне пакування, випробування контролю якості: Чугай Фарма Мануфектуринг Ко, Лтд, Японія; Самсунг БіоЛоджикс Ко, Лтд, Республіка Корея; випробування контролю якості: Чугай Фарма Мануфектуринг Ко, Лтд, Японiя; випробування контролю якості, вторинне пакування, випуск серії: Ф.Хоффманн-Ля Рош Лтд, Швейцарія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Японія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Республіка Корея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UA/16914/01/02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ДЕАКУРА®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biotin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біотин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A11HA05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 мг; по 50 або по 100 таблеток у флаконі; по 1 флакону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«МІБЕ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мібе ГмбХ Арцнайміттель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UA/11339/01/01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ДЕРЕВІЮ ТРАВА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деревію трава (Millefolii herba)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B02BX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трава по 50 г у пачках з внутрішнім пакетом; по 1,5 г у фільтр-пакеті; по 20 фільтр-пакетів у пачці або у пачці з внутрішнім пакетом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"Ліктрави"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"Ліктрави"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UA/5671/01/01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ДИНАСТАТ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parecoxib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парекоксиб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M01AH04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ліофілізат для розчину для ін'єкцій по 40 мг; 5 флаконів з ліофілізатом у комплекті з 5 ампулами розчинника по 2 мл (натрію хлорид, вода для ін’єкцій)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вторинне пакування, випуск серії: Пфайзер Менюфекчуринг Бельгія НВ, Бельгія; виробництво in bulk, первинне пакування: Фармація і Апджон Компані ЛЛС , США; виробник для розчинника: повний цикл виробництва та випуск: Пфайзер Менюфекчуринг Бельгія НВ, Бельгія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Бельгія/ США/ Бельгія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UA/2525/01/01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ДИНАСТАТ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parecoxib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парекоксиб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M01AH04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ліофілізат для розчину для ін'єкцій по 40 мг; 10 флаконів з ліофілізатом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вторинне пакування, випуск серії: Пфайзер Менюфекчуринг Бельгія НВ, Бельгія; виробництво in bulk, первинне пакування: </w:t>
              <w:br/>
              <w:t xml:space="preserve">Фармація і Апджон Компані ЛЛС, США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Бельгія/ США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UA/2286/01/02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ДИСПОРТ®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botulinum toxin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комплекс ботулінічний токсин типу А-гемаглютинін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M03AX01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500 ОД; 1 флакон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ІПСЕН ФАРМА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ІПСЕН БІОФАРМ 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UA/13719/01/01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ДИСПОРТ®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botulinum toxin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комплекс ботулінічний токсин типу А-гемаглютинін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M03AX01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300 ОД; 1 флакон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ІПСЕН ФАРМА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ІПСЕН БІОФАРМ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UA/13719/01/02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ДОКСОРУБІЦИН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doxorubicin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доксорубіцину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L01DB01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 2 мг/мл по 5 мл (10 мг), 10 мл (20 мг), 25 мл (50 мг), 50 мл (100 мг), 100 мл (200 мг) у флаконі, по 1 флакону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Аккорд Хелскеа Полска Сп. з.о.о.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контроль якості, первинне та вторинне пакування: Інтас Фармасьютікалс Лімітед, Індія; виробництво, контроль якості, первинне та вторинне пакування: Інтас Фармасьютікалс Лімітед, Індія; відповідальний за випуск серії: Аккорд Хелскеа Лімітед, Велика Британія; вторинне пакування: Аккорд Хелскеа Лімітед, Велика Британія; вторинне пакування, контроль якості серії: Аккорд Хелскеа Сінгл Мембер С.А., Греція; контроль якості серій: Єврофінс Біофарма Продакт Тестінг Будапешт Кфт., Угорщина; контроль якості серії: Фармавалід Кфт., Угорщина; Відповідальний за випуск серії: Аккорд Хелскеа Полска Сп. з о.о. Склад Імпортера,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Велика Британія/ Греція/ Угорщина/ 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UA/17439/01/01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ЕГІСТРОЗОЛ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anastrozole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анастрозол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L02BG03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 мг по 14 таблеток у блістері, по 2 блістери в картонній упаковці; по 10 таблеток у блістері; по 3 або по 9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ЗАТ Фармацевтичний завод ЕГІС, Угорщина; </w:t>
              <w:br/>
              <w:t>Сінтон Хіспанія, С.Л.,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Польща/ Іспанія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UA/9959/01/01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ЕМАПЛАГ®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рекомбінантного тромбопоетину людини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B02BX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по 15 000 ОД/мл по 1 мл у флаконі; по 1 флакону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Шеньян Саншайн Фармасьютікал Ко.,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Китайська Народна Республіка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мнн в наказі МОЗ України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UA/15181/01/01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ЕПІПЕН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epinephrine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адреналін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C01CA24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0,3 мг/дозу; по 2 мл розчину у попередньо наповненій ручці; по 1 попередньо наповненій ручці в тубі; по 1 тубі в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Віатріс Хелскеа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відповідальний за виробництво нерозфасованої продукції (підготовка, асептична фільтрація, наповнення та укупорка): Мерідіан Медікал Текнолоджис, США; виробник, відповідальний за тестування та комплектацію: Мерідіан Медікал Текнолоджис, ЛЛС, США; виробник, відповідальний за маркування та вторинну упаковку: МПФ Б.В. (Мануфактурінг Пекеджинг Фармака), Нідерланди; компанія, що відповідає за проведення контролю якості: Єврофінс Біофарма Продакт Тестінг, Данiя; виробник, відповідальний за випуск серії: МЕДА Фарма ГмбХ енд Ко. КГ, Німеччина; альтернативний виробник, відповідальний за маркування та вторинну упаковку: РОШ-ДЕЛЬТА ГмбХ енд Ко. КГ, Німеччина; альтернативний виробник, відповідальний за маркування та вторинну упаковку: ФармЛог Фарма Логістик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США/ Нідерланди/ Данiя/ 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UA/14931/01/01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ЕСПУМІЗАН®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silicones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симетикон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A03AX13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м'які по 40 мг; по 25 капсул м'яких у блістері; по 1, або по 2, або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БЕРЛІН-ХЕМІ АГ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м'яких капсул "in bulk": Каталент Німеччина Ебербах ГмбХ, Німеччина;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АЕНОВА РОМАНІЯ СРЛ, Румунія;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Пакування:</w:t>
              <w:br/>
              <w:t>БЕРЛІН-ХЕМІ АГ, Німеччина;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Менаріні - Фон Хейден ГмбХ, Німеччина;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Свісс Кепс ГмбХ, Німеччина;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Контроль серії:</w:t>
              <w:br/>
              <w:t>БЕРЛІН-ХЕМІ АГ, Німеччина;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Каталент Німеччина Ебербах ГмбХ, Німеччина;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Драгенофарм Апотекер Пюшль ГмбХ, Німеччина;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Випуск серії:</w:t>
              <w:br/>
              <w:t>БЕРЛІН-ХЕМІ АГ, Німеччина</w:t>
              <w:br/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Румунія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UA/0152/02/01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ЄВРОЗИДИМ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ceftazidime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цефтазидим (у формі цефтазидиму пентагідрату)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ін'єкцій по 1,0 г; 1 або 10 флаконів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Євро Лайфкер Лтд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autoSpaceDE w:val="false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  <w:t>виробник відповідальний за: контроль якості цефтазидиму пентагідрату з натрію карбонатом для ін'єкцій, контроль первинного пакувального матеріалу, наповненя флаконів, пакування, контроль у процесі, контроль та випуск готового лікарського засобу:</w:t>
            </w:r>
          </w:p>
          <w:p>
            <w:pPr>
              <w:pStyle w:val="Normal"/>
              <w:autoSpaceDE w:val="false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  <w:t>ЕйСіЕс Добфар С.П.А., Італія;</w:t>
            </w:r>
          </w:p>
          <w:p>
            <w:pPr>
              <w:pStyle w:val="Normal"/>
              <w:autoSpaceDE w:val="false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</w:r>
          </w:p>
          <w:p>
            <w:pPr>
              <w:pStyle w:val="Normal"/>
              <w:autoSpaceDE w:val="false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  <w:t>виробник цефтазидиму пентагідрату з натрію карбонатом для ін'єкцій (для двох ділянок: 1. Нуклео Індустріале С. Атто (лок. С. Ніколо' А Тордіно), - 64100, Терамо (ТЕ), Італія; 2. Віа Алессандро Флемінг, 2, Верона (ВР), 37135, Італія):</w:t>
            </w:r>
          </w:p>
          <w:p>
            <w:pPr>
              <w:pStyle w:val="Normal"/>
              <w:autoSpaceDE w:val="false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  <w:t>Ханмі Файн Кемікал Ко., Лтд., Корея;</w:t>
            </w:r>
          </w:p>
          <w:p>
            <w:pPr>
              <w:pStyle w:val="Normal"/>
              <w:autoSpaceDE w:val="false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</w:r>
          </w:p>
          <w:p>
            <w:pPr>
              <w:pStyle w:val="Normal"/>
              <w:autoSpaceDE w:val="false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  <w:t>виробник цефтазидиму пентагідрату з натрію карбонатом для ін'єкцій (альтернативний постачальник для виробника готового лікарського засобу ЕйСіЕс Добфар С.П.А., Віа Алессандро Флемінг, 2, Верона (ВР), 37135, Італія):</w:t>
            </w:r>
          </w:p>
          <w:p>
            <w:pPr>
              <w:pStyle w:val="Normal"/>
              <w:autoSpaceDE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  <w:t>ЕйСіЕс ДОБФАР С.п.А., Італія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  <w:t>Італія/ Корея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UA/14073/01/01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ЗЕРКАЛІН® ІНТЕНСИВ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clindamycin,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кліндаміцин (у вигляді кліндаміцину фосфату); бензоїлу пероксид безводний (у вигляді бензоїлу пероксиду водного)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D10AF51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гель 10 мг/г + 30 мг/г; по 30 г або по 60 г гелю у тубі; по 1 тубі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Ядран-Галенський Лабораторій д.д.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Хорватія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Ядран-Галенський Лабораторій д.д.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Хорватія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UA/20316/01/02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ЗІПЕЛОР®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benzydamine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бензидаміну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R02AX03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льодяники зі смаком меду та апельсину по 3,0 мг по 10 або 12 льодяників у блістері; по 1, 2 або 3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готової продукції, випуск серії, первинне і вторинне пакування: ЛОЗІ'С ФАРМАСЬЮТИКАЛЗ С.Л., Іспанiя; виробництво готової продукції, первинне та вторинне пакування: ДР. МЕД. АУФДЕРМАУР АГ, Швейцарія; контроль серій, випуск серій:</w:t>
              <w:br/>
              <w:t>ІНФАРМЕЙД, С.Л., Іспанія; контроль серій: ЛАБОРАТОРІО ЕЧІВАРНЕ, С.А., Іспанія; контроль серій: КІМОС С.Л., Іспанiя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Іспанiя/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UA/18683/01/01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ЗОНІК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150 мг in bulk: № 5292 (14х378): по 14 капсул у блістері; по 378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номера реєстраційного посвідчення в наказі МОЗ України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UA/21114/01/01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ІБУПРОМ ДЛЯ ДІТЕЙ ФОРТЕ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оральна по 200 мг/5 мл; по 30 мл, 100 мл, 150 мл або 200 мл у флаконі; по 1 флакону в комплекті зі шприцом-дозатором по 5 мл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Юнілаб, ЛП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готової продукції, випуск серії, первинне і вторинне пакування, контроль серій: ЛОЗІ'С ФАРМАСЬЮТИКАЛЗ С.Л., Іспанiя; виробництво готової продукції, первинне та вторинне пакування: ДР. МЕД. АУФДЕРМАУР АГ, Швейцарія; контроль серій, випуск серій: ІНФАРМЕЙД, С.Л., Іспанія; контроль серій: ЛАБОРАТОРІО ЕЧІВАРНЕ, С.А., Іспанія; контроль серій: КІМОС С.Л., Іспанiя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Іспанія/ Нідерланди/ 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UA/15878/01/02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ІНСПРА®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eplerenone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еплеренон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C03DA04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25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Віатріс Спешелті ЛЛС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препарату "in bulk", та контроль якості:</w:t>
              <w:br/>
              <w:t>Віатріс Фармасютікалз ЛЛС, США;</w:t>
              <w:br/>
              <w:t>Випуск серії, пакування, маркування, контроль якості при випуску:</w:t>
              <w:br/>
              <w:t>Фарева Амбуаз,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США/ 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UA/3752/01/01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ІНСПРА®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eplerenone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еплеренон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C03DA04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Віатріс Спешелті ЛЛС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препарату "in bulk", та контроль якості:</w:t>
              <w:br/>
              <w:t>Віатріс Фармасютікалз ЛЛС, США;</w:t>
              <w:br/>
              <w:t>Випуск серії, пакування, маркування, контроль якості при випуску:</w:t>
              <w:br/>
              <w:t>Фарева Амбуаз,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США/ 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UA/3752/01/02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ІНСПРА®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eplerenone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еплеренон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C03DA04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25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Віатріс Спешелті ЛЛС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препарату "in bulk", та контроль якості: Віатріс Фармасютікалз ЛЛС, США; Випуск серії, пакування, маркування, контроль якості при випуску: Фарева Амбуаз, Франція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США/ 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UA/3752/01/01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ІНСПРА®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eplerenone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еплеренон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C03DA04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Віатріс Спешелті ЛЛС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препарату "in bulk", та контроль якості: Віатріс Фармасютікалз ЛЛС, США; Випуск серії, пакування, маркування, контроль якості при випуску: Фарева Амбуаз,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США/ 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UA/3752/01/02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КЛЕКСАН®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enoxaparin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еноксапарин натрію*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* Еноксапарин натрію - це біологічна речовина, яку отримують шляхом лужної деполімеризації бензилового ефіру гепарину, який походить зі слизової оболонки кишечника свиней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B01AB05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розчин для ін'єкцій, 10 000 анти-Ха МО/1мл; </w:t>
              <w:br/>
              <w:t xml:space="preserve">№ 2: по 0,8 мл у шприц-дозі із захисною системою голки ERIS; по 2 шприц-дози у блістері; по 1 блістеру в картонній коробці; </w:t>
              <w:br/>
              <w:t xml:space="preserve">№ 2: по 0,8 мл у шприц-дозі із захисною системою голки PREVENTIS; по 2 шприц-дози у блістері; по 1 блістеру в картонній коробці; </w:t>
              <w:br/>
              <w:t xml:space="preserve">№ 2: по 0,8 мл у шприц-дозі без захисної системи голки; по 2 шприц-дози у блістері; по 1 блістеру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"Санофі-Авентіс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ВІНТРОП ІНДАСТРІА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UA/7181/01/01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КЛЕКСАН®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enoxaparin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еноксапарин натрію*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* Еноксапарин натрію - це біологічна речовина, яку отримують шляхом лужної деполімеризації бензилового ефіру гепарину, який походить зі слизової оболонки кишечника свиней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B01AB05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10 000 анти-Ха МО/мл № 10 (2х5): по 0,2 мл у шприц-дозі із захисною системою голки ERIS; по 2 шприц-дози у блістері; по 5 блістерів у картонній коробці; по 0,2 мл у шприц-дозі із захисною системою голки PREVENTIS; по 2 шприц-дози у блістері; по 5 блістерів у картонній коробці; по 0,2 мл у шприц-дозі без захисної системи голки; по 2 шприц-дози у блістері; по 5 блістерів у картонній коробці; по 0,4 мл у шприц-дозі із захисною системою голки ERIS; по 2 шприц-дози у блістері; по 5 блістерів у картонній коробці; по 0,4 мл у шприц-дозі із захисною системою голки PREVENTIS; по 2 шприц-дози у блістері; по 5 блістерів у картонній коробці; по 0,4 мл у шприц-дозі без захисної системи голки; по 2 шприц-дози у блістері; по 5 блістерів у картонній коробці; по 1 мл у шприц-дозі із захисною системою голки ERIS; по 2 шприц-дози у блістері; по 5 блістерів у картонній коробці; по 1 мл у шприц-дозі із захисною системою голки PREVENTIS; по 2 шприц-дози у блістері; по 5 блістерів у картонній коробці; по 1 мл у шприц-дозі без захисної системи голки; по 2 шприц-дози у блістері; по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"Санофі-Авентіс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ВІНТРОП ІНДАСТРІА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UA/7182/01/01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КОТЕЛЛІК®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cobimetinib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кобіметиніб у формі кобіметинібу геміфумарату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L01EE02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мг; по 21 таблетці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нерозфасованої продукції, випробування контролю якості при випуску (мікробіологічна чистота): Ф.Хоффманн-Ля Рош Лтд, Швейцарія; Виробництво нерозфасованої продукції, випробування контролю якості при стабільності та випуску (окрім мікробіологічної чистоти): Екселла ГмбХ енд Ко. КГ, Німеччина; Випробування контролю якості при випуску: Ф.Хоффманн-Ля Рош Лтд, Швейцарія; Випробування контролю якості при стабільності та випуску (мікробіологічна чистота): Лабор ЛС СЕ енд Ко. КГ, Німеччина </w:t>
              <w:br/>
              <w:t>Первинне та вторинне пакування, випробування контролю якості при стабільності: Дельфарм Мілано, С.Р.Л., Італія; Випуск серії:</w:t>
              <w:br/>
              <w:t>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Швейцарія/ 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UA/15199/01/01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ЛЕВАМІЗОЛ-ЗДОРОВ'Я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levamisole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левамізолу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P02CE01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150 мг; по 1 таблетці у блістері; по 1 блістеру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всі стадії виробництва, контроль якості, випуск серії: ТОВАРИСТВО З ОБМЕЖЕНОЮ ВІДПОВІДАЛЬНІСТЮ «КОРПОРАЦІЯ «ЗДОРОВ'Я», Україна; всі стадії виробництва, контроль якості: Товариство з обмеженою відповідальністю "ФАРМЕКС ГРУП",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UA/6389/01/01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ЛОРАНО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loratadine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лоратадин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 мг; по 7 таблеток у блістері; по 1 блістеру в картонній коробці; по 10 таблеток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in bulk, пакування, випуск серії: Салютас Фарма ГмбХ, Німеччина; пакування, випуск серії: Лек С. А.,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умов відпуску в наказі МОЗ України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UA/6985/02/01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МАВЕНКЛАД®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cladribine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кладрибін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L04AA40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 мг; по 1, 4 або 6 таблеток в алюмінієвому блістері, запечатаному у картонну обкладинку, яку вміщують у контурну чарункову упаковку та вкладають у картонну коробку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Арес Трейдінг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(виробництво нерозфасованого препарату, первинне та вторинне пакування, контроль якості, випуск серій):</w:t>
              <w:br/>
              <w:t>НерФарМа С.Р.Л., Італія; Виробник (контроль якості: визначення елементних домішок): Єврофінс Біолаб С.Р.Л., Італія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UA/17515/01/01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МЕЛОКСИКАМ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meloxicam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мелоксикам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M01AC06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15 мг; по 10 таблеток у блістері; по 1 або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АТ "Лубнифарм"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АТ "Лубнифарм"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UA/18276/01/02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МЕЛОКСИКАМ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meloxicam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мелоксикам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M01AC06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7,5 мг; по 10 таблеток у блістері; по 1 або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АТ "Лубнифарм"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АТ "Лубнифарм"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UA/18276/01/01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МІОРЕЛЬ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thiocolchicoside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тіоколхікозид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M03BX05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4 мг/2 мл; по 2 мл в ампулі, по 5 ампул в контурній чарунковій упаковці та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"ФОРС-ФАРМА ДИСТРИБЮШН"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Біомедіка Фоскама Індастріа Хіміко-Фармасьютіка С.п.А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UA/20865/01/01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МОНДЕКС®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Mesalazine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месалазин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A07EC02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по 1000 мг; по 5 супозиторіїв у стрипі; по 2 або 6 стрипів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пакування, вторинне пакування, контроль якості, випуск серії або виробництво продукції in bulk:</w:t>
              <w:br/>
              <w:t>КУСУМ ХЕЛТХКЕР ПВТ ЛТД, Індія;</w:t>
              <w:br/>
              <w:t>вторинне пакування, випуск серії з продукції in bulk:</w:t>
              <w:br/>
              <w:t>ТОВ "КУСУМ", Україна;</w:t>
              <w:br/>
              <w:t>контроль якості:</w:t>
              <w:br/>
              <w:t>ТОВ "КУСУМ",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UA/20490/01/01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МОНДЕКС®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Mesalazine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месалазин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A07EC02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по 1000 мг; in bulk №1440 (5х288): по 5 супозиторіїв у стрипі, по 288 стрипів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UA/21117/01/01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М-СПРЕЙ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mometasone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мометазону фуроату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R01AD09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спрей назальний, дозований, 50 мкг/доза; по 16 г (120 доз) або 18 г (140 доз) суспензії у поліетиленовій пляшці високої щільності, об’ємом 20 мл, з дозуючим насосом-розпилювачем, закритим назальним аплікатором з ковпачком, по 1 пляшці в картонній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ФАРМЕА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UA/18617/01/01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НАТРІЮ ХЛОРИД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sodium chloride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натрію хлориду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B05XA03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інфузій, 9 мг/мл по 100 мл, 200 мл або 400 мл в пляшках скляних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UA/4131/02/01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НАТРІЮ ХЛОРИД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sodium chloride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натрію 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B05XA03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9 мг/мл; по 5 мл або 10 мл в ампулі; по 10 ампул в коробці; по 5 мл або 10 мл в ампулі; по 5 ампул у блістері; по 2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UA/4131/01/01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НЕКСАВАР®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sorafenib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сорафенібу тозилат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L01EX02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200 мг; по 28 таблеток у блістері; по 4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Байєр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цикл виробництва: Байєр АГ, Німеччина; виробництво in-bulk, контроль якості: Патеон Франція,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UA/7141/01/01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НЕО-АНГІН® ВИШНЯ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2,4-дихлорбензиловий спирт; амілметакрезол; левоментол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R02AA20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льодяники; по 12 льодяників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Дивафарма ГмбХ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та вторинне пакування, контроль якості, випуск серії:</w:t>
              <w:br/>
              <w:t>Клостерфрау Берлін ГмбХ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UA/10762/01/01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НЕО-АНГІН® ШАВЛІЯ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2,4-дихлорбензиловий спирт; амілметакрезол; левоментол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R02AA20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льодяники; по 12 льодяників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Дивафарма ГмбХ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та вторинне пакування, контроль якості, випуск серії:</w:t>
              <w:br/>
              <w:t>Клостерфрау Берлін ГмбХ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UA/10972/01/01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НЕО-АНГІН® ШАВЛІЯ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2,4-дихлорбензиловий спирт; амілметакрезол; левоментол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R02AA20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льодяники; по 12 льодяників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Дивафарма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відповідає за випуск серії: Дивафарма ГмбХ, Німеччина; виробництво нерозфасованої продукції: Клостерфрау Берлін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UA/10972/01/01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НЕФАМ®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nefopam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нефопаму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N02BG06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20 мг/мл; по 1 мл у попередньо наповненому скляному шприці з голкою; по 1 або по 2 шприци з голкою у блістері; по 1 блістеру у пачці; по 1 мл у попередньо наповненому скляному шприці з голкою; по 1 шприцу з голкою у тубусі; по 1 або 10 тубусів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UA/20099/01/01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НЕФАМ®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nefopam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нефопаму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N02BG06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20 мг/мл; по 1 мл у попередньо наповненому скляному шприці з голкою; по 1 або по 2 шприци з голкою у блістері; по 1 блістеру у пачці; по 1 мл у попередньо наповненому скляному шприці з голкою; по 1 шприцу з голкою у тубусі; по 1 або 10 тубусів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UA/20099/01/01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ОЗЕМПІК®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semaglutide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семаглутид – аналог людського глюкагоноподібного пептиду-1 (ГПП-1), виготовлений в Saccharomyces cerevisiae за технологією рекомбінантної ДНК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A10BJ06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1,34 мг/мл; 0,25 мг/0,5 мг: по 1,5 мл у картриджах, вкладених у попередньо заповнену багатодозову одноразову шприц-ручку; 1 попередньо заповнена шприц-ручка та 6 одноразових голок НовоФайн® Плюс в картонній коробці; 1 мг: по 3 мл у картриджах, вкладених у попередньо заповнену багатодозову одноразову шприц-ручку; 1 попередньо заповнена шприц-ручка та 4 одноразових голки НовоФайн® Плюс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А/Т Ново Нордіск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продукту, наповнення картриджу та контроль якості продукції in bulk; хімічні/фізичні випробування, мікробіологічні - стерильність та мікробіологічні - мікробіологічна чистота. Випуск серії: А/Т Ново Нордіск, Данія; Виробництво продукту, наповнення картриджу та перевірка якості продукції in bulk; комплектування, маркування та вторинне пакування готового лікарського засобу (семаглутид 1,34 мг/мл, розчин для ін'єкцій, шприц-ручка PDS290), контроль якості (хімічні/фізичні випробування) продукції in bulk та готового лікарського засобу: А/Т Ново Нордіск, Данiя; Виробництво продукту, наповнення картриджу та перевірка якості продукції in bulk (в картриджі по 3 мл); контроль якості продукції in bulk (в картриджі по 3 мл); хімічні/фізичні випробування, мікробіологічні – стерильність та мікробіологічні – мікробіологічна чистота. Комплектування готового лікарського засобу (семаглутид 1,34 мг/мл, розчин для ін’єкцій, шприц-ручка PDS290) (для 1 мг): Ново Нордіск (Китай) Фармасьютікалз Ко., Лтд., Китайська Народна Республіка; </w:t>
              <w:br/>
              <w:t>Комплектування, маркування та вторинне пакування готового лікарського засобу (семаглутид 1,34 мг/мл, розчин для ін’єкцій, шприц-ручка PDS290), контроль якості готового лікарського засобу; фізичні випробування. Випуск серії (для 1 мг): Ново Нордіск Продюксьон САС, Франція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Данія/ Китайська Народна Республіка/ 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UA/19176/01/01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ОКСИТОЦИН-БІОЛІК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oxytocin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окситоцин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H01BB02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5 МО/мл по 1 мл в ампулі; по 10 ампул в пачці; по 1 мл в ампулі; по 5 ампул у блістері; по 2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"БІОЛІК 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"БІОЛІК ФАРМА"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UA/5369/01/01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ОЛФЕН® ГІДРОГЕЛЬ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M02AA15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гель 1 % по 20 г або 50 г, або 100 г гелю в тубі; по 1 тубі в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який відповідає за виробництво продукту in bulk, первинне пакування, вторинне пакування, контроль серії: Меркле ГмбХ, Німеччина; виробник, який відповідає за випуск серії: Меркле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UA/0646/02/01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ОМНАДРЕН® 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testosterone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тестостерону пропіонат; тестостерону фенілпропіонат; тестостерону ізокапронат; тестостерону капрінат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G03BA03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олійний для ін'єкцій; по 1 мл у ампулі; по 5 ампул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"БАУШ ХЕЛС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Фармзавод Єльфа А.Т.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UA/5204/01/01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ПАНКРЕАТИН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Multienzymes (lipase, protease etc.)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панкреатин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A09AA02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кишковорозчинні по 250 мг; по 10 таблеток у блістері; по 1, або по 2, або по 5, або по 6 блістерів у пачці з картону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"ВІТАМІНИ"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"ВІТАМІНИ"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UA/0337/01/03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ПОЛ-ПАЛА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ерви шерстистої трава (Aervae lanatae herba)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C03BX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трава; по 40 г або 50 г у пачках з внутрішнім пакетом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"Ліктрави"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"Ліктрави"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UA/8884/01/01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ПОСТЕРИЗАН 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стандартизована суспензія культури бактерій (містить 5,0 х 10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8</w:t>
            </w:r>
            <w:r>
              <w:rPr>
                <w:rFonts w:cs="Arial" w:ascii="Arial" w:hAnsi="Arial"/>
                <w:sz w:val="16"/>
                <w:szCs w:val="16"/>
              </w:rPr>
              <w:t xml:space="preserve"> E.coli, убитих і законсервованих у 3,3 мг зрідженого фенолу), гідрокортизон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C05AA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мазь; по 25 г у тубі алюмінієвій з аплікатором; по 1 тубі в картонній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Др. Каде Фармацевтична Фабрика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Др. Каде Фармацевтична Фабрика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UA/4864/01/02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РАНСЕЛЕКС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celecoxib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целекоксиб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M01AH01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по 100 мг; по 10 капсул у блістері; по 1 блістеру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 Фармасьютикал Індастріз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 Фармасьютикал Індастріз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UA/6370/01/01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РАНСЕЛЕКС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celecoxib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целекоксиб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M01AH01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по 200 мг; по 10 капсул у блістері; по 1 блістеру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 Фармасьютикал Індастріз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 Фармасьютикал Індастріз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UA/6370/01/02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РЕМЕНС®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Cimicifuga D1, Sanguinaria D6, Jaborandi D6, Sepia D12, Lachesis D12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оральні по 20 мл або 50 мл, або 100 мл у флаконах-крапельницях; по 1 флакону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«ПЕРРІГО УКРАЇНА»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Ріхард Біттнер ГмбХ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UA/2164/02/01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РИКСАТОН 10 МГ/МЛ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rituximab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ритуксимаб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L01FA01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10 мг/мл; по 10 мл (100 мг) у флаконі; 2 флакони в картонній коробці або по 50 мл (500 мг)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серій: Єврофінс ФАСТ ГмбХ, Німеччина; повний цикл виробництва: Лек Фармацевтична компанія д.д., Словенія; контроль серій: Новартіс Фарма АГ, Швейцарія; виробництво in bulk: Новартіс Фармасьютікал Мануфактуринг ЛЛС, Словенія; контроль серій:</w:t>
              <w:br/>
              <w:t>Новартіс Фармасьютікал Мануфактуринг ЛЛС, Словенія; випуск серії: Сандоз ГмбХ – Виробнича дільниця Асептичні лікарські засоби Шафтенау (Асептичні ЛЗШ), Австрія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Словенія/ Австрія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UA/21079/01/01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РОЗУВАСТАТИН КРКА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(у вигляді кальцію розувастатину)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30 мг; по 10 таблеток у блістері; по 3, 6 або 9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"in bulk", первинне та вторинне пакування, контроль серії та випуск серії: КРКА, д.д., Ново место, Словенія;</w:t>
              <w:br/>
              <w:t>контроль серії: КРКА, д.д., Ново место, Словенія; контроль серії: Лабена д.о.о., Словенія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UA/14745/01/02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РОЗУВАСТАТИН КРКА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(у вигляді кальцію розувастатину)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15 мг; по 10 таблеток у блістері; по 3, 6 або 9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"in bulk", первинне та вторинне пакування, контроль серії та випуск серії: КРКА, д.д., Ново место, Словенія;</w:t>
              <w:br/>
              <w:t>контроль серії: КРКА, д.д., Ново место, Словенія; контроль серії: Лабена д.о.о.,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UA/14745/01/01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РОЗУЛІП® ПЛЮС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 and ezetimibe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(у вигляді розувастатину цинку) та езетиміб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C10BA06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20 мг/10 мг, по 10 капсул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повний цикл виробництва, включаючи випуск серії: ЗАТ Фармацевтичний завод ЕГІС, Угорщина; повний цикл виробництва, включаючи випуск серії: ЗАТ Фармацевтичний завод  ЕГІС, Угорщина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UA/16807/01/01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СЕРМІОН®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nicergoline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ніцерголін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C04AE02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ліофілізат для розчину для ін'єкцій по 4 мг; </w:t>
              <w:br/>
              <w:t>2 флакони з порошком та по 2 ампули з розчинником по 4 мл (натрію хлорид, бензалконію хлорид, вода для ін’єкцій) у чарунковій упаковці; по 2 чарункові упаковки в картонній коробці; 1 флакон з порошком та по 1 ампулі з розчинником (натрію хлорид, бензалконію хлорид, вода для ін’єкцій) в картонній коробці; по 4 картонні коробки, упаковані разом в картонну коробку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Віатріс Спешелті ЛЛС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контроль якості, первинне пакування, випуск серії для порошку: Ваєт Фарма, С.А., Іспанія; </w:t>
              <w:br/>
              <w:t>Виробництво, контроль якості, первинне пакування, випуск серії для розчинника; вторинне пакування та випуск серії для кінцевого продукту: Пфайзер Менюфекчуринг Бельгія, Бельгія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Іспанія/ Бельгія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UA/5183/02/01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СИМВАСТАТИН САНДОЗ® 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симвастатин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in bulk: Сандоз Груп Саглик Урунлері Ілакларі Сан. ве Тік. А.С. Туреччина; первинне та вторинне пакування, контроль/випробування серій, випуск серій: Лек С.А.,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Туреччина/ 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UA/21254/01/01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СИМВАСТАТИН САНДОЗ®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симвастатин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40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in bulk: Сандоз Груп Саглик Урунлері Ілакларі Сан. ве Тік. А.С. Туреччина; первинне та вторинне пакування, контроль/випробування серій, випуск серій: Лек С.А.,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Туреччина/ 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UA/21254/01/02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СІБРАВА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inclisiran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натрію інклісіран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284 мг/1,5 мл; по 1,5 мл розчину у попередньо наповненому шприці; по 1 попередньо наповненому шприцу в блістері; по 1 блістеру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Оверсіз Інвестментс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контроль якості (частковий), первинне пакування, вторинне пакування, випуск серії: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Фармасьютикал Мануфактурінг ГмбХ, Австрія;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контроль якості (частковий), первинне пакування: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Корден Фарма С.п.А., Італія;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вторинне пакування: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Корден Фарма С.п.А., Італія;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 (частковий):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Фармасьютикал Мануфактурінг ГмбХ, Австрія;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 (частковий):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Лек Фармасьютикалс д.д., Словенія;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 (частковий):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Фармасьютикал Мануфактурінг ЛЛС, Словенія;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 (частковий):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 Штейн АГ , Швейцарія;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 (частковий):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Челаб С.р.л., Італія;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Вторинне пакування: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Фармлог Фарма Лоджистік ГмбХ, Німеччина;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Вторинне пакування: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Юпс Хелскер Італія С.р.л., Італія;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 (частковий):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Фармасьютикал Мануфактурінг ЛЛС, Словенія;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 (частковий):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ГмбХ, Австрія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Австрія/ Італія/ Словенія/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UA/20570/01/01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СКАФО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secukinumab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секукінумаб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L04AC10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ін'єкцій, по 150 мг; по 1 флакону з порошком в коробці з картону пакувального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Оверсіз Інвестментс АГ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пакування, контроль якості окрім кількісного визначення, вторинне пакування, випуск серій:</w:t>
              <w:br/>
              <w:t>Новартіс Фарма Штейн АГ, Швейцарія</w:t>
              <w:br/>
              <w:t>контроль якості (кількісне визначення):</w:t>
              <w:br/>
              <w:t>Новартіс Фарма АГ, Швейцарія</w:t>
              <w:br/>
              <w:t>альтернативне вторинне пакування:</w:t>
              <w:br/>
              <w:t>Делфарм Хюнінг САС, Францiя</w:t>
              <w:br/>
              <w:t>альтернативне вторинне пакування:</w:t>
              <w:br/>
              <w:t>ФармЛог Фарма Лоджистік ГмбХ, Німеччина</w:t>
              <w:br/>
              <w:t>альтернативне вторинне пакування:</w:t>
              <w:br/>
              <w:t xml:space="preserve">ЮПС Хелскер Італія С.Р.Л., Італія </w:t>
              <w:br/>
              <w:t>альтернативне вторинне пакування:</w:t>
              <w:br/>
              <w:t xml:space="preserve">ЮПС Хелскер Італія С.Р.Л., Італiя </w:t>
              <w:br/>
              <w:t>вторинне пакування, випуск серії:</w:t>
              <w:br/>
              <w:t xml:space="preserve">Лек Фармасьютикалс д.д., Словенія </w:t>
              <w:br/>
              <w:t>випуск серій:</w:t>
              <w:br/>
              <w:t>Новартіс Фармасьютика, С.А.,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Швейцарія/ Францiя/ Німеччина/ Італія/ Іспанія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UA/18625/01/01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СКІНОРЕН®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azelaic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мікронізована азелаїнова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D10AX03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 20 %; по 30 г у тубі; по 1 тубі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ЛЕО Фарма А/С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ЛЕО Фарма Мануфактурінг Італі СРЛ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UA/1074/02/01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ТАНАКАН®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Ginkgo folium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Гінкго білоба сухий екстракт, очищений і кількісно визначений (EGb 761), отриманий з Ginkgo biloba L. folium (листки Гінкго)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N06DX02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оральний, 40 мг/мл; по 30 мл у флаконі; по 1 флакону у комплекті з дозатором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МАЙОЛІ ФАРМА ФРАНС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МАЙОЛІ ІНДУСТРІ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UA/9843/01/01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ТАНАКАН®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Ginkgo folium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Гінкго білоба сухий екстракт, очищений і кількісно визначений (EGb 761), отриманий з Ginkgo biloba L. folium (листки Гінкго)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N06DX02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оральний, 40 мг/мл; по 30 мл у флаконі; по 1 флакону у комплекті з дозатором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МАЙОЛІ ФАРМА ФРАНС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МАЙОЛІ ІНДУСТРІ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UA/9843/01/01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ТЕЦЕНТРИК®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atezolizumab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атезолізумаб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L01FF05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 по 1200 мг/20 мл по 20 мл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пакування, випробування контролю якості: Рош Діагностикс ГмбХ, Німеччина; Виробництво нерозфасованої продукції, первинне пакування, вторинне пакування, випробування контролю якості, випуск серії:</w:t>
              <w:br/>
              <w:t xml:space="preserve">Ф.Хоффманн-Ля Рош Лтд, Швейцарія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UA/15872/01/01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ТРАНЕМАКС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tranexamic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транексамова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B02AA02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1000 мг; по 10 таблеток у блістері,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«Адамед Фарма»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виробництво, первинне та вторинне пакування, контроль та випуск серії: АТ «Адамед Фарма»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UA/21312/01/01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ТРИКАРДИН СЕРЦЕВІ КРАПЛІ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валеріани настойка (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tinctura Valerianae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), глоду настойка (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tinctura Сrataegi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), пустирника настойка (</w:t>
            </w: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tinctura Leonuri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C01EX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оральні по 25 мл у скляному флаконі-крапельниці або у флаконі полімерному з пробкою-крапельницею; по 1 флакону в пачці; по 25 мл у скляному флаконі з пробкою-крапельницею; по 1 флакону в пачці; по 50 мл у флаконах скляних або у флаконах полімерних з пробкою-крапельницею; по 1 флакону в пачці; по 50 мл у скляному флаконі з пробкою-крапельницею; по 1 флакону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"Тернофарм"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"Тернофарм"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контролю згідно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UA/8447/01/01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ТРІБЕСТАН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якірців сланких трави екстракт сухий (Tribulus terrestris herba extractum siccum)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G04BX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250 мг; по 10 таблеток у блістері, по 6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UA/4050/01/01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ТРІБЕСТАН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якірців сланких трави екстракт сухий (Tribulus terrestris herba extractum siccum)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250 мг; in bulk № 1590: по 10 таблеток у блістері; по 159 блістерів у поліпропіленовій коробці; in bulk № 1620: по 10 таблеток у блістері; по 162 блістери у поліпропіленовій коробці; in bulk № 1650: по 10 таблеток у блістері; по 165 блістерів у поліпропіленовій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UA/13251/01/01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УРСОФАЛЬК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ursodeoxycholic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урсодезоксихолева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A05AA02, A05B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250 мг по 10 капсул у блістері; по 1 блістеру в коробці з картону; по 25 капсул у блістері; по 2 або 4 блістери в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Др. Фальк Фарма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випуск серій кінцевого продукту: Др. Фальк Фарма ГмбХ, Німеччина; виробники дозованої форми, первинне та вторинне пакування, контроль якості: Лозан Фарма ГмбХ, Німеччина; аллфамед ФАРБІЛ Арцнайміттель ГмбХ, Німеччина; Виробник, відповідальний за первинне, вторинне пакування та контроль якості: Лозан Фарма ГмбХ, Німеччина; Виробник, відповідальний за контроль якості: Приватний науково-дослідний інститут Хеппелер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UA/3746/02/01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ФЛЮДІТЕК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carbocisteine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карбоцистеїн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R05CB03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розчин оральний, 750 мг/10 мл; по 10 мл у саше; по 15 саше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Лабораторія Іннотек Інтернасьйональ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відповідальний за випуск серії:</w:t>
              <w:br/>
              <w:t xml:space="preserve">Іннотера Шузі, Франція; </w:t>
              <w:br/>
              <w:t>Виробник відповідальний за "in bulk", первинне та вторинне пакування, контроль серії:</w:t>
              <w:br/>
              <w:t>Юнітер Ліквід Мануфекчурінг, Франція;</w:t>
              <w:br/>
              <w:t>Виробник відповідальний за контроль серії (додатковий):</w:t>
              <w:br/>
              <w:t>Юнітер Девелоппман Бордо, Францiя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UA/8082/02/01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ФОКОРТ®-ДАРНИЦЯ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Triamcinolone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триамцинолону ацетонід мікронізований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D07AB09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крем, 1 мг/г; по 15 г у тубі; по 1 тубі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UA/4936/01/01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ФОЛІЄВА КИСЛОТА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folic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кислота фолієва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B03BB01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 мг; по 50 таблеток у контейнері; по 1 контейнеру в пачці; по 10 таблеток у блістері; по 5 блістерів у пачці;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"Технолог"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"Технолог"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UA/4380/01/01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ФОЛІЄВА КИСЛОТА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folic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кислота фолієва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B03BB01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 мг; по 50 таблеток у контейнері; по 1 контейнеру в пачці; по 10 таблеток у блістері; по 5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"Технолог"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"Технолог"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UA/4380/01/02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ФОСФО-СОДА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Sodium phosphate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динатрію фосфат додекагідрат; натрію дигідрофосфат дигідрат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A06AD17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оральний; по 45 мл у флаконі; по 2 флакони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Касен Рекордаті, С.Л.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Касен Рекордаті, С.Л.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Технічна помилка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UA/9143/01/01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ФОСФО-СОДА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Sodium phosphate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динатрію фосфат додекагідрат; натрію дигідрофосфат дигідрат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A06AD17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оральний; по 45 мл у флаконі; по 2 флакони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Касен Рекордаті, С.Л.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Касен Рекордаті, С.Л.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Технічна помилка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UA/9143/01/01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ХУМІРА®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adalimumab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адалімумаб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40 мг/0,4 мл; по 0,4 мл розчину у попередньо наповненому однодозовому шприці; по 1 шприцу разом з 1 серветкою, просякнутою 70 % ізопропіловим спиртом (в ламінованому поліетиленом папері), вміщені у контурну чарункову упаковку; по 2 шприци (у контурній чарунковій упаковці з 1 серветкою кожен)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ЕббВі Біофармасьютікалз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лікарського засобу, первинне пакування попередньо наповнених шприців bulk, тестування (стерильність та бактеріальні ендотоксини): Веттер Фарма-Фертігунг ГмбХ і Ко. КГ, Німеччина; вторинне пакування попередньо наповнених шприців bulk, тестування (стерильність та бактеріальні ендотоксини): Веттер Фарма-Фертігунг ГмбХ і Ко. КГ, Німеччина; тестування (при випуску серії, тестування під час випробувань стабільності): Еббві Дойчленд ГмбХ і Ко. КГ, Німеччина; виробництво лікарського засобу, первинне пакування попередньо наповнених шприців bulk, тестування (візуальний контроль якості, тестування при випуску серії, тестування під час випробувань стабільності: ЕббВі Біотекнолоджі ЛТД, США; вторинне пакування: Еббві С.р.л., Італія; випуск серії: Еббві Біотекнолоджі ГмбХ, Німеччина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UA/16818/01/02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ХУМІРА®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adalimumab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адалімумаб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20 мг/0,2 мл; по 0,2 мл розчину у попередньо наповненому однодозовому шприці, по 1 шприцу разом з 1 серветкою, просякнутою 70 % ізопропіловим спиртом (в ламінованому поліетиленом папері), вміщують у контурну чарункову упаковку; по 2 шприци (у контурній чарунковій упаковці з 1 серветкою кожен)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ЕббВі Біофармасьютікалз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лікарського засобу, первинне пакування попередньо наповнених шприців bulk, тестування (стерильність та бактеріальні ендотоксини): Веттер Фарма-Фертігунг ГмбХ і Ко. КГ, Німеччина; вторинне пакування попередньо наповнених шприців bulk, тестування (стерильність та бактеріальні ендотоксини): Веттер Фарма-Фертігунг ГмбХ і Ко. КГ, Німеччина; тестування (при випуску серії, тестування під час випробувань стабільності): Еббві Дойчленд ГмбХ і Ко. КГ, Німеччина; тестування (тестування при випуску серії, тестування під час випробувань стабільності): ЕббВі Біотекнолоджі ЛТД, США; випуск серії: Еббві Біотекнолоджі ГмбХ, Німеччина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UA/16818/01/01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ЦЕФАЗОЛІН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cefazolin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цефазолін (у вигляді цефазоліну натрію)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ін’єкцій по 1,0 г 1 або 5, або 50 флаконів з порошком у пачці з картону; по 1 або 5 флаконів з порошком у блістері; по 1 блістеру в пачці з картону; 1 флакон з порошком та 1 ампула з розчинником (вода для ін’єкцій по 10 мл в ампулі) в блістері; по 1 блістеру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Приватне акціонерне товариство «Лекхім-Харків»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«Лекхім-Харків», Україна</w:t>
              <w:br/>
              <w:t xml:space="preserve">(пакування із форми in bulk фірми-виробника Квілу Фармацеутікал Ко., Лтд., Китай); ТОВ «Лекхім-Обухів», </w:t>
              <w:br/>
              <w:t>Україна</w:t>
              <w:br/>
              <w:t>(пакування із форми in bulk фірми-виробника Квілу Фармацеутікал Ко., Лтд., Китай)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UA/15387/01/01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ЦИМДУЛОКС®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duloxetine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дулоксетину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N06AX21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гастрорезистентні, по 30 мг; по 7 таблеток у блістері, по 4 блістери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«ЗДРАВО»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"грануляту":</w:t>
              <w:br/>
              <w:t xml:space="preserve">Aдамед Фарма С.А., Польща; </w:t>
              <w:br/>
              <w:t>виробництво "грануляту", готового лікарського засобу, первинне та вторинне пакування, контроль якості та випуск серії:</w:t>
              <w:br/>
              <w:t>Адамед Фарма С.А.,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написання лікарської форми та назви одног з виробників у наказі МОЗ України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UA/21209/01/01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ЦИМДУЛОКС®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duloxetine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дулоксетину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N06AX21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гастрорезистентні, по 60 мг; по 7 таблеток у блістері, по 4 блістери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«ЗДРАВО»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"грануляту":</w:t>
              <w:br/>
              <w:t xml:space="preserve">Aдамед Фарма С.А., Польща; </w:t>
              <w:br/>
              <w:t>виробництво "грануляту", готового лікарського засобу, первинне та вторинне пакування, контроль якості та випуск серії:</w:t>
              <w:br/>
              <w:t>Адамед Фарма С.А.,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написання лікарської форми та назви одног з виробників у наказі МОЗ України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UA/21209/01/02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ЦИТОЦЕРТ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meldonium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3-(2,2,2-триметилгідразиній) пропіонату дигідрат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C01EB22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100 мг/мл по 5 мл в ампулі, по 5 ампул у блістері, по 2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Товариство з обмеженою відповідальністю "ФАРМАХЕЛС"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пакування, контроль та випуск серії:</w:t>
              <w:br/>
              <w:t>Приватне акціонерне товариство "Лекхім - Харків",</w:t>
              <w:br/>
              <w:t xml:space="preserve">Україна;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серії, не включаючи контроль серії:</w:t>
              <w:br/>
              <w:t>Товариство з обмеженою відповідальністю «ФАРМАХЕЛС»,</w:t>
              <w:br/>
              <w:t>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UA/18404/01/01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ЦМИНУ ПІЩАНОГО КВІТКИ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цмину піщаного квітки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A05AX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квітки по 25 г або по 50 г у пачках з внутрішнім пакетом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"Ліктрави"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"Ліктрави"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UA/8896/01/01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6">
        <w:r>
          <w:rPr>
            <w:rStyle w:val="Hyper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Hyper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ind w:right="20"/>
        <w:rPr/>
      </w:pPr>
      <w:r>
        <w:rPr>
          <w:rFonts w:cs="Arial" w:ascii="Arial" w:hAnsi="Arial"/>
          <w:i/>
          <w:sz w:val="16"/>
          <w:szCs w:val="16"/>
        </w:rPr>
        <w:t>**</w:t>
      </w:r>
      <w:r>
        <w:rPr/>
        <w:t>у разі внесення змін до інструкції про медичне застосування</w:t>
      </w:r>
    </w:p>
    <w:tbl>
      <w:tblPr>
        <w:tblW w:w="148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</w:tcPr>
          <w:p>
            <w:pPr>
              <w:pStyle w:val="Normal"/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  <w:tcBorders/>
          </w:tcPr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pStyle w:val="11"/>
        <w:rPr>
          <w:rStyle w:val="cs7864ebcf1"/>
          <w:rFonts w:ascii="Arial" w:hAnsi="Arial" w:cs="Arial"/>
          <w:color w:val="000000"/>
          <w:sz w:val="16"/>
          <w:szCs w:val="16"/>
          <w:lang w:val="uk-UA"/>
        </w:rPr>
      </w:pPr>
      <w:r>
        <w:rPr/>
      </w:r>
      <w:r>
        <w:br w:type="page"/>
      </w:r>
    </w:p>
    <w:p>
      <w:pPr>
        <w:pStyle w:val="Normal"/>
        <w:tabs>
          <w:tab w:val="clear" w:pos="708"/>
          <w:tab w:val="left" w:pos="1985" w:leader="none"/>
        </w:tabs>
        <w:rPr>
          <w:rStyle w:val="cs7864ebcf1"/>
          <w:rFonts w:ascii="Arial" w:hAnsi="Arial" w:cs="Arial"/>
          <w:color w:val="000000"/>
          <w:sz w:val="16"/>
          <w:szCs w:val="16"/>
        </w:rPr>
      </w:pPr>
      <w:r>
        <w:rPr/>
      </w:r>
    </w:p>
    <w:tbl>
      <w:tblPr>
        <w:tblW w:w="3828" w:type="dxa"/>
        <w:jc w:val="left"/>
        <w:tblInd w:w="114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</w:tblGrid>
      <w:tr>
        <w:trPr/>
        <w:tc>
          <w:tcPr>
            <w:tcW w:w="3828" w:type="dxa"/>
            <w:tcBorders/>
          </w:tcPr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Додаток 4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до наказу Міністерства охорони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здоров’я України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both"/>
              <w:rPr/>
            </w:pPr>
            <w:r>
              <w:rPr>
                <w:rFonts w:cs="Arial" w:ascii="Arial" w:hAnsi="Arial"/>
                <w:b/>
                <w:sz w:val="18"/>
                <w:szCs w:val="18"/>
              </w:rPr>
              <w:t>від ________________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</w:rPr>
              <w:t xml:space="preserve"> № _____</w:t>
            </w:r>
          </w:p>
        </w:tc>
      </w:tr>
    </w:tbl>
    <w:p>
      <w:pPr>
        <w:pStyle w:val="Normal"/>
        <w:tabs>
          <w:tab w:val="clear" w:pos="708"/>
          <w:tab w:val="left" w:pos="12600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ПЕРЕЛІК</w:t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ЛІКАРСЬКИХ ЗАСОБІВ, ЯКІ НЕ РЕКОМЕНДОВАНІ ДО ДЕРЖАВНОЇ РЕЄСТРАЦІЇ, ПЕРЕРЕЄСТРАЦІЇ ТА ВНЕСЕННЯ ЗМІН ДО РЕЄСТРАЦІЙНИХ МАТЕРІАЛІВ </w:t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15330" w:type="dxa"/>
        <w:jc w:val="left"/>
        <w:tblInd w:w="8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1771"/>
        <w:gridCol w:w="1843"/>
        <w:gridCol w:w="1559"/>
        <w:gridCol w:w="1134"/>
        <w:gridCol w:w="1559"/>
        <w:gridCol w:w="1134"/>
        <w:gridCol w:w="1985"/>
        <w:gridCol w:w="3798"/>
      </w:tblGrid>
      <w:tr>
        <w:trPr/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eastAsia="en-US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п/п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fill="E5E5E5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Назва лікарського засобу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fill="E5E5E5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Форма випуску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fill="E5E5E5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fill="E5E5E5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fill="E5E5E5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fill="E5E5E5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fill="E5E5E5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Підстава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fill="E5E5E5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  <w:t>Процедура</w:t>
            </w:r>
          </w:p>
        </w:tc>
      </w:tr>
      <w:tr>
        <w:trPr>
          <w:trHeight w:val="557" w:hRule="atLeast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АЦИКЛОВІР 200 СТАДА®, АЦИКЛОВІР 400 СТАДА®, АЦИКЛОВІР 800 СТАДА®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 по 200 мг, по 25 таблеток у блістері; по 4 блістери у картонній коробці; по 5 таблеток у блістері; по 5 блістерів у картонній коробці; таблетки по 400 мг, по 5 таблеток у блістері; по 5 або 7 блістерів у картонній коробці; таблетки по 800 мг, по 5 таблеток у блістері; по 7 блістерів у картонній коробці</w:t>
            </w:r>
          </w:p>
          <w:p>
            <w:pPr>
              <w:pStyle w:val="Normal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СТАДА Арцнайміттель АГ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51"/>
              <w:ind w:hanging="0" w:right="0"/>
              <w:jc w:val="center"/>
              <w:rPr>
                <w:rFonts w:cs="Arial"/>
                <w:b w:val="false"/>
                <w:iCs/>
                <w:sz w:val="16"/>
                <w:szCs w:val="16"/>
                <w:lang w:val="ru-RU"/>
              </w:rPr>
            </w:pPr>
            <w:r>
              <w:rPr>
                <w:rFonts w:cs="Arial"/>
                <w:b w:val="false"/>
                <w:sz w:val="16"/>
                <w:szCs w:val="16"/>
                <w:lang w:val="ru-RU"/>
              </w:rPr>
              <w:t>СТАДА Арцнайміттель АГ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before="0" w:after="0"/>
              <w:ind w:left="0" w:righ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410"/>
              <w:ind w:hanging="0" w:right="0"/>
              <w:jc w:val="left"/>
              <w:rPr>
                <w:rFonts w:cs="Arial"/>
                <w:b w:val="false"/>
                <w:iCs/>
                <w:sz w:val="16"/>
                <w:szCs w:val="16"/>
                <w:lang w:val="ru-RU"/>
              </w:rPr>
            </w:pPr>
            <w:r>
              <w:rPr>
                <w:rFonts w:cs="Arial"/>
                <w:b w:val="false"/>
                <w:iCs/>
                <w:sz w:val="16"/>
                <w:szCs w:val="16"/>
              </w:rPr>
              <w:t>засідання НТР № 41 від 15.10.2026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before="0" w:after="0"/>
              <w:ind w:left="0" w:righ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не рекомендувати до затвердження - </w:t>
            </w:r>
            <w:r>
              <w:rPr>
                <w:rFonts w:cs="Arial" w:ascii="Arial" w:hAnsi="Arial"/>
                <w:sz w:val="16"/>
                <w:szCs w:val="16"/>
              </w:rPr>
              <w:t>технічна помилка</w:t>
            </w:r>
          </w:p>
          <w:p>
            <w:pPr>
              <w:pStyle w:val="BodyTextIndent"/>
              <w:spacing w:before="0" w:after="0"/>
              <w:ind w:left="0" w:righ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BodyTextIndent"/>
              <w:spacing w:before="0" w:after="0"/>
              <w:ind w:left="0" w:righ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BodyTextIndent"/>
              <w:spacing w:before="0" w:after="0"/>
              <w:ind w:left="0" w:right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</w:p>
        </w:tc>
      </w:tr>
    </w:tbl>
    <w:p>
      <w:pPr>
        <w:pStyle w:val="11"/>
        <w:rPr/>
      </w:pPr>
      <w:r>
        <w:rPr/>
      </w:r>
    </w:p>
    <w:tbl>
      <w:tblPr>
        <w:tblW w:w="1462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3"/>
        <w:gridCol w:w="7284"/>
      </w:tblGrid>
      <w:tr>
        <w:trPr/>
        <w:tc>
          <w:tcPr>
            <w:tcW w:w="7343" w:type="dxa"/>
            <w:tcBorders/>
          </w:tcPr>
          <w:p>
            <w:pPr>
              <w:pStyle w:val="Normal"/>
              <w:snapToGrid w:val="false"/>
              <w:spacing w:lineRule="auto" w:line="254"/>
              <w:ind w:right="20"/>
              <w:rPr>
                <w:rStyle w:val="cs7864ebcf1"/>
                <w:rFonts w:ascii="Arial" w:hAnsi="Arial" w:cs="Arial"/>
                <w:sz w:val="28"/>
                <w:szCs w:val="28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spacing w:lineRule="auto" w:line="254"/>
              <w:ind w:right="20"/>
              <w:rPr>
                <w:rStyle w:val="cs95e872d01"/>
                <w:sz w:val="28"/>
                <w:szCs w:val="28"/>
              </w:rPr>
            </w:pPr>
            <w:r>
              <w:rPr>
                <w:rStyle w:val="cs7864ebcf1"/>
                <w:rFonts w:eastAsia="Arial" w:cs="Arial" w:ascii="Arial" w:hAnsi="Arial"/>
                <w:sz w:val="28"/>
                <w:szCs w:val="28"/>
              </w:rPr>
              <w:t xml:space="preserve"> </w:t>
            </w:r>
            <w:r>
              <w:rPr>
                <w:rStyle w:val="cs7864ebcf1"/>
                <w:rFonts w:cs="Arial" w:ascii="Arial" w:hAnsi="Arial"/>
                <w:sz w:val="28"/>
                <w:szCs w:val="28"/>
              </w:rPr>
              <w:t>Начальник</w:t>
            </w:r>
          </w:p>
          <w:p>
            <w:pPr>
              <w:pStyle w:val="Normal"/>
              <w:spacing w:lineRule="auto" w:line="254"/>
              <w:ind w:right="20"/>
              <w:rPr>
                <w:rStyle w:val="cs7864ebcf1"/>
                <w:rFonts w:ascii="Arial" w:hAnsi="Arial" w:cs="Arial"/>
                <w:sz w:val="28"/>
                <w:szCs w:val="28"/>
              </w:rPr>
            </w:pPr>
            <w:r>
              <w:rPr>
                <w:rStyle w:val="cs7864ebcf1"/>
                <w:rFonts w:eastAsia="Arial" w:cs="Arial" w:ascii="Arial" w:hAnsi="Arial"/>
                <w:sz w:val="28"/>
                <w:szCs w:val="28"/>
              </w:rPr>
              <w:t xml:space="preserve"> </w:t>
            </w:r>
            <w:r>
              <w:rPr>
                <w:rStyle w:val="cs7864ebcf1"/>
                <w:rFonts w:cs="Arial" w:ascii="Arial" w:hAnsi="Arial"/>
                <w:sz w:val="28"/>
                <w:szCs w:val="28"/>
              </w:rPr>
              <w:t xml:space="preserve">Фармацевтичного управління </w:t>
            </w:r>
            <w:r>
              <w:rPr>
                <w:rStyle w:val="cs188c92b51"/>
                <w:sz w:val="28"/>
                <w:szCs w:val="28"/>
              </w:rPr>
              <w:t>                                 </w:t>
            </w:r>
          </w:p>
        </w:tc>
        <w:tc>
          <w:tcPr>
            <w:tcW w:w="7284" w:type="dxa"/>
            <w:tcBorders/>
          </w:tcPr>
          <w:p>
            <w:pPr>
              <w:pStyle w:val="cs95e872d0"/>
              <w:snapToGrid w:val="false"/>
              <w:spacing w:lineRule="auto" w:line="254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  <w:r>
              <w:rPr/>
            </w:r>
          </w:p>
          <w:p>
            <w:pPr>
              <w:pStyle w:val="cs95e872d0"/>
              <w:spacing w:lineRule="auto" w:line="254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  <w:r>
              <w:rPr/>
            </w:r>
          </w:p>
          <w:p>
            <w:pPr>
              <w:pStyle w:val="cs95e872d0"/>
              <w:spacing w:lineRule="auto" w:line="254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  <w:r>
              <w:rPr/>
            </w:r>
          </w:p>
          <w:p>
            <w:pPr>
              <w:pStyle w:val="cs95e872d0"/>
              <w:spacing w:lineRule="auto" w:line="254"/>
              <w:jc w:val="center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Style w:val="cs7864ebcf1"/>
                <w:rFonts w:eastAsia="Arial" w:cs="Arial" w:ascii="Arial" w:hAnsi="Arial"/>
                <w:sz w:val="28"/>
                <w:szCs w:val="28"/>
                <w:lang w:val="uk-UA"/>
              </w:rPr>
              <w:t xml:space="preserve">                                             </w:t>
            </w:r>
            <w:r>
              <w:rPr>
                <w:rStyle w:val="cs7864ebcf1"/>
                <w:rFonts w:cs="Arial" w:ascii="Arial" w:hAnsi="Arial"/>
                <w:sz w:val="28"/>
                <w:szCs w:val="28"/>
                <w:lang w:val="uk-UA"/>
              </w:rPr>
              <w:t xml:space="preserve">Олександр ГРІЦЕНКО  </w:t>
            </w:r>
          </w:p>
        </w:tc>
      </w:tr>
    </w:tbl>
    <w:p>
      <w:pPr>
        <w:pStyle w:val="11"/>
        <w:rPr>
          <w:rStyle w:val="cs7864ebcf1"/>
          <w:rFonts w:ascii="Arial" w:hAnsi="Arial" w:cs="Arial"/>
          <w:sz w:val="28"/>
          <w:szCs w:val="28"/>
          <w:lang w:val="uk-UA"/>
        </w:rPr>
      </w:pPr>
      <w:r>
        <w:rPr/>
      </w:r>
    </w:p>
    <w:p>
      <w:pPr>
        <w:pStyle w:val="11"/>
        <w:rPr>
          <w:rStyle w:val="cs7864ebcf1"/>
          <w:rFonts w:ascii="Arial" w:hAnsi="Arial" w:cs="Arial"/>
          <w:color w:val="000000"/>
          <w:sz w:val="16"/>
          <w:szCs w:val="16"/>
        </w:rPr>
      </w:pPr>
      <w:r>
        <w:rPr/>
      </w:r>
    </w:p>
    <w:sectPr>
      <w:headerReference w:type="default" r:id="rId7"/>
      <w:headerReference w:type="first" r:id="rId8"/>
      <w:type w:val="nextPage"/>
      <w:pgSz w:orient="landscape" w:w="16838" w:h="11906"/>
      <w:pgMar w:left="1077" w:right="1134" w:gutter="0" w:header="709" w:top="907" w:footer="0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swiss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Tahoma">
    <w:charset w:val="cc"/>
    <w:family w:val="swiss"/>
    <w:pitch w:val="variable"/>
  </w:font>
  <w:font w:name="Segoe UI">
    <w:charset w:val="cc"/>
    <w:family w:val="swiss"/>
    <w:pitch w:val="variable"/>
  </w:font>
  <w:font w:name="Microsoft YaHei">
    <w:charset w:val="86"/>
    <w:family w:val="swiss"/>
    <w:pitch w:val="variable"/>
  </w:font>
  <w:font w:name="Calibri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58</w:t>
    </w:r>
    <w:r>
      <w:rPr/>
      <w:fldChar w:fldCharType="end"/>
    </w:r>
  </w:p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/>
    </w:lvl>
  </w:abstractNum>
  <w:abstractNum w:abstractNumId="5"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8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libri Light" w:hAnsi="Calibri Light" w:cs="Calibri Light"/>
      <w:b/>
      <w:bCs/>
      <w:kern w:val="2"/>
      <w:sz w:val="32"/>
      <w:szCs w:val="32"/>
    </w:rPr>
  </w:style>
  <w:style w:type="paragraph" w:styleId="Heading2">
    <w:name w:val="heading 2"/>
    <w:basedOn w:val="Normal"/>
    <w:next w:val="11"/>
    <w:qFormat/>
    <w:pPr>
      <w:keepNext w:val="true"/>
      <w:numPr>
        <w:ilvl w:val="1"/>
        <w:numId w:val="1"/>
      </w:numPr>
      <w:outlineLvl w:val="1"/>
    </w:pPr>
    <w:rPr>
      <w:rFonts w:ascii="Arial" w:hAnsi="Arial" w:cs="Arial"/>
      <w:b/>
      <w:caps/>
      <w:sz w:val="16"/>
      <w:szCs w:val="20"/>
    </w:rPr>
  </w:style>
  <w:style w:type="paragraph" w:styleId="Heading3">
    <w:name w:val="heading 3"/>
    <w:basedOn w:val="Normal"/>
    <w:next w:val="BodyText"/>
    <w:qFormat/>
    <w:pPr>
      <w:keepNext w:val="true"/>
      <w:numPr>
        <w:ilvl w:val="2"/>
        <w:numId w:val="1"/>
      </w:numPr>
      <w:outlineLvl w:val="2"/>
    </w:pPr>
    <w:rPr>
      <w:rFonts w:ascii="Arial" w:hAnsi="Arial" w:eastAsia="Calibri" w:cs="Arial"/>
      <w:b/>
      <w:bCs/>
      <w:lang w:val="en-US"/>
    </w:rPr>
  </w:style>
  <w:style w:type="paragraph" w:styleId="Heading4">
    <w:name w:val="heading 4"/>
    <w:basedOn w:val="Normal"/>
    <w:next w:val="11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cs="Arial"/>
      <w:b/>
      <w:sz w:val="20"/>
      <w:szCs w:val="20"/>
    </w:rPr>
  </w:style>
  <w:style w:type="paragraph" w:styleId="Heading6">
    <w:name w:val="heading 6"/>
    <w:basedOn w:val="Normal"/>
    <w:next w:val="BodyText"/>
    <w:qFormat/>
    <w:pPr>
      <w:numPr>
        <w:ilvl w:val="5"/>
        <w:numId w:val="1"/>
      </w:numPr>
      <w:spacing w:before="240" w:after="60"/>
      <w:outlineLvl w:val="5"/>
    </w:pPr>
    <w:rPr>
      <w:rFonts w:eastAsia="Calibri"/>
      <w:b/>
      <w:bCs/>
      <w:sz w:val="22"/>
      <w:szCs w:val="22"/>
      <w:lang w:val="en-US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/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/>
  </w:style>
  <w:style w:type="character" w:styleId="Style9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4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eading2Char">
    <w:name w:val="Heading 2 Char"/>
    <w:qFormat/>
    <w:rPr>
      <w:rFonts w:ascii="Arial" w:hAnsi="Arial" w:eastAsia="Times New Roman" w:cs="Times New Roman"/>
      <w:b/>
      <w:bCs w:val="false"/>
      <w:caps/>
      <w:sz w:val="16"/>
      <w:lang w:val="ru-RU"/>
    </w:rPr>
  </w:style>
  <w:style w:type="character" w:styleId="Heading4Char">
    <w:name w:val="Heading 4 Char"/>
    <w:qFormat/>
    <w:rPr>
      <w:rFonts w:ascii="Arial" w:hAnsi="Arial" w:eastAsia="Times New Roman" w:cs="Times New Roman"/>
      <w:b/>
      <w:bCs w:val="false"/>
      <w:lang w:val="ru-RU"/>
    </w:rPr>
  </w:style>
  <w:style w:type="character" w:styleId="csb3e8c9cf24">
    <w:name w:val="csb3e8c9cf2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1">
    <w:name w:val="Заголовок 1 Знак"/>
    <w:qFormat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styleId="Style10">
    <w:name w:val="Верх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1">
    <w:name w:val="Ниж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rPr/>
  </w:style>
  <w:style w:type="character" w:styleId="Style12">
    <w:name w:val="Текст выноски Знак"/>
    <w:qFormat/>
    <w:rPr>
      <w:rFonts w:ascii="Tahoma" w:hAnsi="Tahoma" w:eastAsia="Times New Roman" w:cs="Tahoma"/>
      <w:sz w:val="16"/>
      <w:szCs w:val="16"/>
      <w:lang w:val="ru-RU"/>
    </w:rPr>
  </w:style>
  <w:style w:type="character" w:styleId="BodyTextIndentChar">
    <w:name w:val="Body Text Indent Char"/>
    <w:qFormat/>
    <w:rPr>
      <w:rFonts w:ascii="Arial" w:hAnsi="Arial" w:eastAsia="Times New Roman" w:cs="Arial"/>
      <w:sz w:val="18"/>
      <w:lang w:val="ru-RU"/>
    </w:rPr>
  </w:style>
  <w:style w:type="character" w:styleId="csab6e076947">
    <w:name w:val="csab6e07694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6">
    <w:name w:val="csab6e07698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8">
    <w:name w:val="csf229d0ff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">
    <w:name w:val="csf229d0ff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">
    <w:name w:val="csf229d0ff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0">
    <w:name w:val="csab6e0769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7">
    <w:name w:val="csab6e076910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">
    <w:name w:val="csab6e0769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9">
    <w:name w:val="csab6e07692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">
    <w:name w:val="csf229d0ff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1">
    <w:name w:val="csab6e07698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2">
    <w:name w:val="csab6e0769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1">
    <w:name w:val="csf229d0ff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2">
    <w:name w:val="csf229d0ff3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82">
    <w:name w:val="csafaf57418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80">
    <w:name w:val="csab6e07698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3">
    <w:name w:val="csf229d0ff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8">
    <w:name w:val="csb3e8c9cf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1">
    <w:name w:val="csab6e07696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7">
    <w:name w:val="csf229d0ff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">
    <w:name w:val="csf229d0ff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22">
    <w:name w:val="csab6e07691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7">
    <w:name w:val="csab6e0769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1">
    <w:name w:val="csab6e07694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1">
    <w:name w:val="csab6e0769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56">
    <w:name w:val="csab6e07691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248">
    <w:name w:val="csafaf574124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276">
    <w:name w:val="csab6e07692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19">
    <w:name w:val="csab6e07692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1">
    <w:name w:val="csafaf57411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3">
    <w:name w:val="csf229d0ff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31">
    <w:name w:val="csab6e0769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99">
    <w:name w:val="csafaf57419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0">
    <w:name w:val="csafaf574110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Style13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csf229d0ff16">
    <w:name w:val="csf229d0ff1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188c92b51">
    <w:name w:val="cs188c92b5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6"/>
      <w:szCs w:val="26"/>
      <w:shd w:fill="auto" w:val="clear"/>
    </w:rPr>
  </w:style>
  <w:style w:type="character" w:styleId="3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csab6e076931">
    <w:name w:val="csab6e0769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8">
    <w:name w:val="csab6e0769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">
    <w:name w:val="csf229d0ff1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4">
    <w:name w:val="csafaf57413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25">
    <w:name w:val="csf229d0ff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e872d01">
    <w:name w:val="cs95e872d01"/>
    <w:qFormat/>
    <w:rPr/>
  </w:style>
  <w:style w:type="character" w:styleId="csb3e8c9cf10">
    <w:name w:val="csb3e8c9cf1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27">
    <w:name w:val="csafaf57412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0">
    <w:name w:val="csf229d0ff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3">
    <w:name w:val="csab6e076910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4">
    <w:name w:val="csab6e076910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05">
    <w:name w:val="csafaf574110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6">
    <w:name w:val="csafaf574110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216">
    <w:name w:val="csafaf574121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9">
    <w:name w:val="csf229d0ff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4">
    <w:name w:val="csf229d0ff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">
    <w:name w:val="csf229d0ff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31">
    <w:name w:val="Основной текст с отступом 3 Знак"/>
    <w:qFormat/>
    <w:rPr>
      <w:rFonts w:ascii="Times New Roman" w:hAnsi="Times New Roman" w:cs="Times New Roman"/>
      <w:sz w:val="16"/>
      <w:szCs w:val="16"/>
      <w:lang w:val="ru-RU"/>
    </w:rPr>
  </w:style>
  <w:style w:type="character" w:styleId="csab6e0769225">
    <w:name w:val="csab6e07692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3">
    <w:name w:val="csb3e8c9cf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b86c8cfe1">
    <w:name w:val="csb86c8cfe1"/>
    <w:qFormat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</w:rPr>
  </w:style>
  <w:style w:type="character" w:styleId="csf229d0ff21">
    <w:name w:val="csf229d0ff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csf229d0ff26">
    <w:name w:val="csf229d0ff2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8c2cf3831">
    <w:name w:val="cs8c2cf3831"/>
    <w:qFormat/>
    <w:rPr>
      <w:rFonts w:ascii="Arial" w:hAnsi="Arial" w:cs="Arial"/>
      <w:b/>
      <w:bCs/>
      <w:i/>
      <w:iCs/>
      <w:color w:val="102B56"/>
      <w:sz w:val="18"/>
      <w:szCs w:val="18"/>
      <w:shd w:fill="auto" w:val="clear"/>
    </w:rPr>
  </w:style>
  <w:style w:type="character" w:styleId="csd71f5e5a1">
    <w:name w:val="csd71f5e5a1"/>
    <w:qFormat/>
    <w:rPr>
      <w:rFonts w:ascii="Arial" w:hAnsi="Arial" w:cs="Arial"/>
      <w:b w:val="false"/>
      <w:bCs w:val="false"/>
      <w:i/>
      <w:iCs/>
      <w:color w:val="102B56"/>
      <w:sz w:val="18"/>
      <w:szCs w:val="18"/>
      <w:shd w:fill="auto" w:val="clear"/>
    </w:rPr>
  </w:style>
  <w:style w:type="character" w:styleId="cs8f6c24af1">
    <w:name w:val="cs8f6c24af1"/>
    <w:qFormat/>
    <w:rPr>
      <w:rFonts w:ascii="Arial" w:hAnsi="Arial" w:cs="Arial"/>
      <w:b/>
      <w:bCs/>
      <w:i w:val="false"/>
      <w:iCs w:val="false"/>
      <w:color w:val="102B56"/>
      <w:sz w:val="18"/>
      <w:szCs w:val="18"/>
      <w:shd w:fill="auto" w:val="clear"/>
    </w:rPr>
  </w:style>
  <w:style w:type="character" w:styleId="csa5a0f5421">
    <w:name w:val="csa5a0f5421"/>
    <w:qFormat/>
    <w:rPr>
      <w:rFonts w:ascii="Arial" w:hAnsi="Arial" w:cs="Arial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3f9137501">
    <w:name w:val="cs3f9137501"/>
    <w:qFormat/>
    <w:rPr>
      <w:rFonts w:ascii="Arial" w:hAnsi="Arial" w:cs="Arial"/>
      <w:b w:val="false"/>
      <w:bCs w:val="false"/>
      <w:i/>
      <w:iCs/>
      <w:color w:val="102B56"/>
      <w:sz w:val="18"/>
      <w:szCs w:val="18"/>
      <w:u w:val="single"/>
      <w:shd w:fill="auto" w:val="clear"/>
    </w:rPr>
  </w:style>
  <w:style w:type="character" w:styleId="LineNumber">
    <w:name w:val="line number"/>
    <w:rPr>
      <w:rFonts w:ascii="Segoe UI" w:hAnsi="Segoe UI" w:cs="Segoe UI"/>
      <w:color w:val="000000"/>
      <w:sz w:val="18"/>
      <w:szCs w:val="18"/>
    </w:rPr>
  </w:style>
  <w:style w:type="character" w:styleId="Hyperlink">
    <w:name w:val="Hyperlink"/>
    <w:rPr>
      <w:rFonts w:ascii="Segoe UI" w:hAnsi="Segoe UI" w:cs="Segoe UI"/>
      <w:color w:val="0000FF"/>
      <w:sz w:val="18"/>
      <w:szCs w:val="18"/>
      <w:u w:val="single"/>
    </w:rPr>
  </w:style>
  <w:style w:type="character" w:styleId="csa939b0971">
    <w:name w:val="csa939b0971"/>
    <w:qFormat/>
    <w:rPr>
      <w:rFonts w:ascii="Times New Roman" w:hAnsi="Times New Roman" w:cs="Times New Roman"/>
      <w:b/>
      <w:bCs/>
      <w:i/>
      <w:iCs/>
      <w:color w:val="000000"/>
      <w:sz w:val="20"/>
      <w:szCs w:val="20"/>
      <w:shd w:fill="auto" w:val="clear"/>
    </w:rPr>
  </w:style>
  <w:style w:type="character" w:styleId="Style14">
    <w:name w:val="Знак примечания"/>
    <w:qFormat/>
    <w:rPr>
      <w:sz w:val="16"/>
      <w:szCs w:val="16"/>
    </w:rPr>
  </w:style>
  <w:style w:type="character" w:styleId="Style15">
    <w:name w:val="Текст примечания Знак"/>
    <w:qFormat/>
    <w:rPr>
      <w:rFonts w:ascii="Times New Roman" w:hAnsi="Times New Roman" w:eastAsia="Times New Roman" w:cs="Times New Roman"/>
    </w:rPr>
  </w:style>
  <w:style w:type="character" w:styleId="Style16">
    <w:name w:val="Тема примечания Знак"/>
    <w:qFormat/>
    <w:rPr>
      <w:rFonts w:ascii="Times New Roman" w:hAnsi="Times New Roman" w:eastAsia="Times New Roman" w:cs="Times New Roman"/>
      <w:b/>
      <w:bCs/>
    </w:rPr>
  </w:style>
  <w:style w:type="character" w:styleId="csb3e8c9cf69">
    <w:name w:val="csb3e8c9cf6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64">
    <w:name w:val="csf229d0ff6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d398459525">
    <w:name w:val="csd398459525"/>
    <w:qFormat/>
    <w:rPr>
      <w:rFonts w:ascii="Arial" w:hAnsi="Arial" w:cs="Arial"/>
      <w:b/>
      <w:bCs/>
      <w:i/>
      <w:iCs/>
      <w:color w:val="000000"/>
      <w:sz w:val="18"/>
      <w:szCs w:val="18"/>
      <w:u w:val="single"/>
      <w:shd w:fill="auto" w:val="clear"/>
    </w:rPr>
  </w:style>
  <w:style w:type="character" w:styleId="csd3c90d4325">
    <w:name w:val="csd3c90d4325"/>
    <w:qFormat/>
    <w:rPr>
      <w:rFonts w:ascii="Arial" w:hAnsi="Arial" w:cs="Arial"/>
      <w:b w:val="false"/>
      <w:bCs w:val="false"/>
      <w:i/>
      <w:iCs/>
      <w:color w:val="000000"/>
      <w:sz w:val="18"/>
      <w:szCs w:val="18"/>
      <w:shd w:fill="auto" w:val="clear"/>
    </w:rPr>
  </w:style>
  <w:style w:type="character" w:styleId="csb86c8cfe3">
    <w:name w:val="csb86c8cfe3"/>
    <w:qFormat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  <w:shd w:fill="auto" w:val="clear"/>
    </w:rPr>
  </w:style>
  <w:style w:type="character" w:styleId="csab6e076977">
    <w:name w:val="csab6e07697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0a40401">
    <w:name w:val="cs9f0a40401"/>
    <w:qFormat/>
    <w:rPr>
      <w:rFonts w:ascii="Arial" w:hAnsi="Arial" w:cs="Arial"/>
      <w:b w:val="false"/>
      <w:bCs w:val="false"/>
      <w:i w:val="false"/>
      <w:iCs w:val="false"/>
      <w:color w:val="000000"/>
      <w:sz w:val="20"/>
      <w:szCs w:val="20"/>
      <w:shd w:fill="auto" w:val="clear"/>
    </w:rPr>
  </w:style>
  <w:style w:type="character" w:styleId="csb3e8c9cf23">
    <w:name w:val="csb3e8c9cf2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607602ac2">
    <w:name w:val="cs607602ac2"/>
    <w:qFormat/>
    <w:rPr>
      <w:rFonts w:ascii="Arial" w:hAnsi="Arial" w:cs="Arial"/>
      <w:b/>
      <w:bCs/>
      <w:i w:val="false"/>
      <w:iCs w:val="false"/>
      <w:color w:val="000000"/>
      <w:sz w:val="18"/>
      <w:szCs w:val="18"/>
      <w:u w:val="single"/>
      <w:shd w:fill="auto" w:val="clear"/>
    </w:rPr>
  </w:style>
  <w:style w:type="character" w:styleId="csab6e0769291">
    <w:name w:val="csab6e07692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219">
    <w:name w:val="csafaf57412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562b92915">
    <w:name w:val="csf562b92915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eed234731">
    <w:name w:val="cseed234731"/>
    <w:qFormat/>
    <w:rPr>
      <w:rFonts w:ascii="Arial" w:hAnsi="Arial" w:cs="Arial"/>
      <w:b/>
      <w:bCs/>
      <w:i/>
      <w:iCs/>
      <w:color w:val="000000"/>
      <w:sz w:val="12"/>
      <w:szCs w:val="12"/>
      <w:shd w:fill="auto" w:val="clear"/>
    </w:rPr>
  </w:style>
  <w:style w:type="character" w:styleId="csb3e8c9cf35">
    <w:name w:val="csb3e8c9cf3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b3e8c9cf28">
    <w:name w:val="csb3e8c9cf2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562b9296">
    <w:name w:val="csf562b9296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ab6e076930">
    <w:name w:val="csab6e07693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14">
    <w:name w:val="Основной текст (14)_"/>
    <w:qFormat/>
    <w:rPr>
      <w:rFonts w:ascii="Times New Roman" w:hAnsi="Times New Roman" w:cs="Times New Roman"/>
      <w:sz w:val="21"/>
      <w:szCs w:val="21"/>
      <w:shd w:fill="FFFFFF" w:val="clear"/>
    </w:rPr>
  </w:style>
  <w:style w:type="character" w:styleId="csab6e076965">
    <w:name w:val="csab6e07696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3">
    <w:name w:val="csf229d0ff3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0">
    <w:name w:val="csab6e0769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8">
    <w:name w:val="csf229d0ff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0">
    <w:name w:val="csf229d0ff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2">
    <w:name w:val="csf229d0ff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3">
    <w:name w:val="csf229d0ff8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76">
    <w:name w:val="csf229d0ff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0">
    <w:name w:val="csf229d0ff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">
    <w:name w:val="csab6e0769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94">
    <w:name w:val="csb3e8c9cf9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91">
    <w:name w:val="csf229d0ff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21">
    <w:name w:val="Заголовок 2 Знак1"/>
    <w:qFormat/>
    <w:rPr>
      <w:rFonts w:ascii="Arial" w:hAnsi="Arial" w:eastAsia="Times New Roman" w:cs="Arial"/>
      <w:b/>
      <w:caps/>
      <w:sz w:val="16"/>
      <w:lang w:val="ru-RU"/>
    </w:rPr>
  </w:style>
  <w:style w:type="character" w:styleId="41">
    <w:name w:val="Заголовок 4 Знак1"/>
    <w:qFormat/>
    <w:rPr>
      <w:rFonts w:ascii="Arial" w:hAnsi="Arial" w:eastAsia="Times New Roman" w:cs="Arial"/>
      <w:b/>
      <w:lang w:val="ru-RU"/>
    </w:rPr>
  </w:style>
  <w:style w:type="character" w:styleId="csf229d0ff74">
    <w:name w:val="csf229d0ff7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7">
    <w:name w:val="csf229d0ff9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9">
    <w:name w:val="csab6e07693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7">
    <w:name w:val="csf229d0ff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9">
    <w:name w:val="csf229d0ff1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5">
    <w:name w:val="csf229d0ff6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32">
    <w:name w:val="csf229d0ff13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6">
    <w:name w:val="csf229d0ff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8">
    <w:name w:val="csf229d0ff14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6">
    <w:name w:val="csf229d0ff1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1">
    <w:name w:val="csf229d0ff2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8">
    <w:name w:val="csf229d0ff2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7">
    <w:name w:val="csf229d0ff1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1">
    <w:name w:val="csab6e07695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43">
    <w:name w:val="csf229d0ff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8d30211">
    <w:name w:val="cs958d30211"/>
    <w:qFormat/>
    <w:rPr>
      <w:rFonts w:ascii="Microsoft YaHei" w:hAnsi="Microsoft YaHei" w:eastAsia="Microsoft YaHei" w:cs="Microsoft YaHei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">
    <w:name w:val="csab6e076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93">
    <w:name w:val="csf229d0ff1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2">
    <w:name w:val="csab6e0769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6">
    <w:name w:val="csab6e0769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5">
    <w:name w:val="csab6e0769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00">
    <w:name w:val="csf229d0ff20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a294252">
    <w:name w:val="csba294252"/>
    <w:qFormat/>
    <w:rPr>
      <w:rFonts w:ascii="Segoe UI" w:hAnsi="Segoe UI" w:cs="Segoe UI"/>
      <w:b/>
      <w:bCs/>
      <w:i/>
      <w:iCs/>
      <w:color w:val="102B56"/>
      <w:sz w:val="18"/>
      <w:szCs w:val="18"/>
      <w:shd w:fill="auto" w:val="clear"/>
    </w:rPr>
  </w:style>
  <w:style w:type="character" w:styleId="csf229d0ff131">
    <w:name w:val="csf229d0ff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4">
    <w:name w:val="csf229d0ff15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5a0f5422">
    <w:name w:val="csa5a0f5422"/>
    <w:qFormat/>
    <w:rPr>
      <w:rFonts w:ascii="Arial" w:hAnsi="Arial" w:cs="Arial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f229d0ff153">
    <w:name w:val="csf229d0ff1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7ca65d8c1">
    <w:name w:val="cs7ca65d8c1"/>
    <w:qFormat/>
    <w:rPr>
      <w:rFonts w:ascii="Segoe UI" w:hAnsi="Segoe UI" w:cs="Segoe UI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f229d0ff166">
    <w:name w:val="csf229d0ff16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7">
    <w:name w:val="csf229d0ff17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4">
    <w:name w:val="csf229d0ff10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6">
    <w:name w:val="csf229d0ff1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7">
    <w:name w:val="csab6e0769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5">
    <w:name w:val="csab6e07693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4">
    <w:name w:val="csab6e07693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1">
    <w:name w:val="csf229d0ff1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5">
    <w:name w:val="csf229d0ff10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6">
    <w:name w:val="csab6e0769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9">
    <w:name w:val="csf229d0ff1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8">
    <w:name w:val="csab6e0769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3">
    <w:name w:val="csf562b9293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44">
    <w:name w:val="csf229d0ff14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18">
    <w:name w:val="csf229d0ff3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4">
    <w:name w:val="csf562b9294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22">
    <w:name w:val="csf229d0ff1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7">
    <w:name w:val="csf229d0ff16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2">
    <w:name w:val="csf229d0ff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8">
    <w:name w:val="csf229d0ff6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38">
    <w:name w:val="csf229d0ff1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0">
    <w:name w:val="csf229d0ff16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06730b61">
    <w:name w:val="csf06730b61"/>
    <w:qFormat/>
    <w:rPr>
      <w:rFonts w:ascii="Times New Roman" w:hAnsi="Times New Roman" w:cs="Times New Roman"/>
      <w:b/>
      <w:bCs/>
      <w:i w:val="false"/>
      <w:iCs w:val="false"/>
      <w:color w:val="000000"/>
      <w:sz w:val="16"/>
      <w:szCs w:val="16"/>
      <w:shd w:fill="auto" w:val="clear"/>
    </w:rPr>
  </w:style>
  <w:style w:type="character" w:styleId="csab6e076955">
    <w:name w:val="csab6e07695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1">
    <w:name w:val="csf229d0ff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66">
    <w:name w:val="csb3e8c9cf6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Arial9">
    <w:name w:val="Arial9(без отступов) Знак"/>
    <w:qFormat/>
    <w:rPr>
      <w:rFonts w:ascii="Arial" w:hAnsi="Arial" w:cs="Arial"/>
      <w:sz w:val="18"/>
      <w:szCs w:val="18"/>
      <w:lang w:val="ru-RU"/>
    </w:rPr>
  </w:style>
  <w:style w:type="character" w:styleId="csf229d0ff178">
    <w:name w:val="csf229d0ff17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163">
    <w:name w:val="csb3e8c9cf16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7864ebcf1">
    <w:name w:val="cs7864ebcf1"/>
    <w:qFormat/>
    <w:rPr>
      <w:rFonts w:ascii="Times New Roman" w:hAnsi="Times New Roman" w:cs="Times New Roman"/>
      <w:b/>
      <w:bCs/>
      <w:i w:val="false"/>
      <w:iCs w:val="false"/>
      <w:color w:val="000000"/>
      <w:sz w:val="26"/>
      <w:szCs w:val="26"/>
      <w:shd w:fill="auto" w:val="clear"/>
    </w:rPr>
  </w:style>
  <w:style w:type="character" w:styleId="csf229d0ff8">
    <w:name w:val="csf229d0ff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b006263">
    <w:name w:val="cs9b006263"/>
    <w:qFormat/>
    <w:rPr>
      <w:rFonts w:ascii="Arial" w:hAnsi="Arial" w:cs="Arial"/>
      <w:b/>
      <w:bCs/>
      <w:i w:val="false"/>
      <w:iCs w:val="false"/>
      <w:color w:val="000000"/>
      <w:sz w:val="20"/>
      <w:szCs w:val="20"/>
      <w:shd w:fill="auto" w:val="clear"/>
    </w:rPr>
  </w:style>
  <w:style w:type="character" w:styleId="csf229d0ff36">
    <w:name w:val="csf229d0ff3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0">
    <w:name w:val="csf229d0ff10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10">
    <w:name w:val="csf229d0ff1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5">
    <w:name w:val="csf229d0ff1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0">
    <w:name w:val="csf229d0ff8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2">
    <w:name w:val="csf229d0ff10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49">
    <w:name w:val="csf229d0ff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4">
    <w:name w:val="csab6e07695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5">
    <w:name w:val="csf562b9295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42">
    <w:name w:val="csf229d0ff1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2">
    <w:name w:val="csf229d0ff1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5">
    <w:name w:val="csf229d0ff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2">
    <w:name w:val="csab6e07699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5">
    <w:name w:val="csab6e07697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">
    <w:name w:val="csf229d0ff2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4">
    <w:name w:val="csab6e07694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6">
    <w:name w:val="csab6e07694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3">
    <w:name w:val="csf229d0ff10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2">
    <w:name w:val="csf229d0ff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1">
    <w:name w:val="csf229d0ff10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108">
    <w:name w:val="csb3e8c9cf10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07">
    <w:name w:val="csf229d0ff10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1">
    <w:name w:val="csf562b9291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ab6e076993">
    <w:name w:val="csab6e0769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Arial96">
    <w:name w:val="Arial9+6пт Знак"/>
    <w:qFormat/>
    <w:rPr>
      <w:rFonts w:ascii="Arial" w:hAnsi="Arial" w:cs="Arial"/>
      <w:sz w:val="18"/>
      <w:lang w:val="en-US"/>
    </w:rPr>
  </w:style>
  <w:style w:type="character" w:styleId="csf229d0ff86">
    <w:name w:val="csf229d0ff8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a2942511">
    <w:name w:val="csba2942511"/>
    <w:qFormat/>
    <w:rPr>
      <w:rFonts w:ascii="Segoe UI" w:hAnsi="Segoe UI" w:cs="Segoe UI"/>
      <w:b/>
      <w:bCs/>
      <w:i/>
      <w:iCs/>
      <w:color w:val="102B56"/>
      <w:sz w:val="18"/>
      <w:szCs w:val="18"/>
      <w:shd w:fill="auto" w:val="clear"/>
    </w:rPr>
  </w:style>
  <w:style w:type="character" w:styleId="csab6e076914">
    <w:name w:val="csab6e0769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csf229d0ff134">
    <w:name w:val="csf229d0ff13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ed36d4af2">
    <w:name w:val="csed36d4af2"/>
    <w:qFormat/>
    <w:rPr>
      <w:rFonts w:ascii="Arial" w:hAnsi="Arial" w:cs="Arial"/>
      <w:b/>
      <w:bCs/>
      <w:i/>
      <w:iCs/>
      <w:color w:val="000000"/>
      <w:sz w:val="20"/>
      <w:szCs w:val="20"/>
      <w:shd w:fill="auto" w:val="clear"/>
    </w:rPr>
  </w:style>
  <w:style w:type="character" w:styleId="32">
    <w:name w:val="Заголовок 3 Знак"/>
    <w:qFormat/>
    <w:rPr>
      <w:rFonts w:ascii="Arial" w:hAnsi="Arial" w:cs="Arial"/>
      <w:b/>
      <w:bCs/>
      <w:sz w:val="24"/>
      <w:szCs w:val="24"/>
    </w:rPr>
  </w:style>
  <w:style w:type="character" w:styleId="6">
    <w:name w:val="Заголовок 6 Знак"/>
    <w:qFormat/>
    <w:rPr>
      <w:rFonts w:ascii="Times New Roman" w:hAnsi="Times New Roman" w:cs="Times New Roman"/>
      <w:b/>
      <w:bCs/>
      <w:sz w:val="22"/>
      <w:szCs w:val="22"/>
    </w:rPr>
  </w:style>
  <w:style w:type="character" w:styleId="FollowedHyperlink">
    <w:name w:val="FollowedHyperlink"/>
    <w:rPr>
      <w:color w:val="954F72"/>
      <w:u w:val="single"/>
    </w:rPr>
  </w:style>
  <w:style w:type="character" w:styleId="Style17">
    <w:name w:val="Заголовок Знак"/>
    <w:qFormat/>
    <w:rPr>
      <w:rFonts w:ascii="Times New Roman" w:hAnsi="Times New Roman" w:cs="Times New Roman"/>
      <w:sz w:val="24"/>
      <w:szCs w:val="24"/>
    </w:rPr>
  </w:style>
  <w:style w:type="character" w:styleId="22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styleId="Style18">
    <w:name w:val="Название Знак"/>
    <w:qFormat/>
    <w:rPr>
      <w:rFonts w:ascii="Cambria" w:hAnsi="Cambria" w:cs="Cambria"/>
      <w:color w:val="17365D"/>
      <w:spacing w:val="5"/>
    </w:rPr>
  </w:style>
  <w:style w:type="character" w:styleId="Style19">
    <w:name w:val="Верхній колонтитул Знак"/>
    <w:qFormat/>
    <w:rPr/>
  </w:style>
  <w:style w:type="character" w:styleId="Style20">
    <w:name w:val="Нижній колонтитул Знак"/>
    <w:qFormat/>
    <w:rPr/>
  </w:style>
  <w:style w:type="character" w:styleId="Style21">
    <w:name w:val="Назва Знак"/>
    <w:qFormat/>
    <w:rPr>
      <w:rFonts w:ascii="Calibri Light" w:hAnsi="Calibri Light" w:cs="Calibri Light"/>
      <w:spacing w:val="-10"/>
    </w:rPr>
  </w:style>
  <w:style w:type="character" w:styleId="23">
    <w:name w:val="Основний текст 2 Знак"/>
    <w:qFormat/>
    <w:rPr/>
  </w:style>
  <w:style w:type="character" w:styleId="Style22">
    <w:name w:val="Текст у виносці Знак"/>
    <w:qFormat/>
    <w:rPr>
      <w:rFonts w:ascii="Segoe UI" w:hAnsi="Segoe UI" w:cs="Segoe UI"/>
    </w:rPr>
  </w:style>
  <w:style w:type="character" w:styleId="emailstyle45">
    <w:name w:val="emailstyle45"/>
    <w:qFormat/>
    <w:rPr>
      <w:rFonts w:ascii="Calibri" w:hAnsi="Calibri" w:cs="Calibri"/>
      <w:color w:val="000000"/>
    </w:rPr>
  </w:style>
  <w:style w:type="character" w:styleId="error">
    <w:name w:val="error"/>
    <w:qFormat/>
    <w:rPr/>
  </w:style>
  <w:style w:type="character" w:styleId="TimesNewRoman121">
    <w:name w:val="Стиль Times New Roman 12 пт1"/>
    <w:qFormat/>
    <w:rPr>
      <w:rFonts w:ascii="Times New Roman" w:hAnsi="Times New Roman" w:cs="Times New Roman"/>
    </w:rPr>
  </w:style>
  <w:style w:type="character" w:styleId="cs95e872d03">
    <w:name w:val="cs95e872d03"/>
    <w:qFormat/>
    <w:rPr/>
  </w:style>
  <w:style w:type="character" w:styleId="cs7a65ad241">
    <w:name w:val="cs7a65ad241"/>
    <w:qFormat/>
    <w:rPr>
      <w:rFonts w:ascii="Times New Roman" w:hAnsi="Times New Roman" w:cs="Times New Roman"/>
      <w:b/>
      <w:bCs/>
      <w:i w:val="false"/>
      <w:iCs w:val="false"/>
      <w:color w:val="000000"/>
      <w:sz w:val="26"/>
      <w:szCs w:val="26"/>
    </w:rPr>
  </w:style>
  <w:style w:type="character" w:styleId="csccf5e31620">
    <w:name w:val="csccf5e3162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0">
    <w:name w:val="cs9ff1b611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1">
    <w:name w:val="cs9ff1b611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05">
    <w:name w:val="cs9ff1b61120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73">
    <w:name w:val="csab6e076917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1">
    <w:name w:val="cs9ff1b611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19">
    <w:name w:val="csccf5e3162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10">
    <w:name w:val="cs9ff1b6112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0">
    <w:name w:val="csab6e07697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52">
    <w:name w:val="cs9ff1b611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e1a752c62">
    <w:name w:val="cse1a752c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9">
    <w:name w:val="cs9ff1b61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38">
    <w:name w:val="cs9ff1b611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d30b5e52">
    <w:name w:val="csbd30b5e52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2">
    <w:name w:val="cs176e94eb2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2">
    <w:name w:val="cscc47389a2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bd30b5e54">
    <w:name w:val="csbd30b5e54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4">
    <w:name w:val="cs176e94eb4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4">
    <w:name w:val="cscc47389a4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786de70b1">
    <w:name w:val="cs786de70b1"/>
    <w:qFormat/>
    <w:rPr>
      <w:rFonts w:ascii="Segoe UI" w:hAnsi="Segoe UI" w:cs="Segoe UI"/>
      <w:b w:val="false"/>
      <w:bCs w:val="false"/>
      <w:i w:val="false"/>
      <w:iCs w:val="false"/>
      <w:color w:val="000000"/>
      <w:sz w:val="18"/>
      <w:szCs w:val="18"/>
    </w:rPr>
  </w:style>
  <w:style w:type="character" w:styleId="csbd30b5e56">
    <w:name w:val="csbd30b5e56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6">
    <w:name w:val="cs176e94eb6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6">
    <w:name w:val="cscc47389a6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9ff1b61195">
    <w:name w:val="cs9ff1b611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">
    <w:name w:val="csab6e0769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">
    <w:name w:val="csab6e0769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9">
    <w:name w:val="csafaf574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">
    <w:name w:val="csafaf57411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1">
    <w:name w:val="csab6e0769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2">
    <w:name w:val="csafaf57411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2">
    <w:name w:val="csab6e07691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3">
    <w:name w:val="csafaf57411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3">
    <w:name w:val="csab6e0769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4">
    <w:name w:val="csafaf57411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5">
    <w:name w:val="csafaf57411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5">
    <w:name w:val="csab6e07691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">
    <w:name w:val="csafaf5741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">
    <w:name w:val="csab6e076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">
    <w:name w:val="csafaf5741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">
    <w:name w:val="csab6e076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">
    <w:name w:val="csafaf5741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8">
    <w:name w:val="csafaf5741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ccf5e316113">
    <w:name w:val="csccf5e31611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113">
    <w:name w:val="cs9ff1b6111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bf81471">
    <w:name w:val="cs95bf8147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6"/>
      <w:szCs w:val="26"/>
      <w:shd w:fill="auto" w:val="clear"/>
    </w:rPr>
  </w:style>
  <w:style w:type="character" w:styleId="csab6e076921">
    <w:name w:val="csab6e0769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40">
    <w:name w:val="cs9ff1b61114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42">
    <w:name w:val="cs9ff1b6111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59">
    <w:name w:val="cs9ff1b6115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9">
    <w:name w:val="csab6e076910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43">
    <w:name w:val="cs9ff1b611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2c72e392">
    <w:name w:val="csb2c72e392"/>
    <w:qFormat/>
    <w:rPr>
      <w:rFonts w:ascii="Segoe UI" w:hAnsi="Segoe UI" w:cs="Segoe UI"/>
      <w:b/>
      <w:bCs/>
      <w:i w:val="false"/>
      <w:iCs w:val="false"/>
      <w:color w:val="000000"/>
      <w:sz w:val="24"/>
      <w:szCs w:val="24"/>
      <w:shd w:fill="auto" w:val="clear"/>
    </w:rPr>
  </w:style>
  <w:style w:type="character" w:styleId="csab6e076924">
    <w:name w:val="csab6e0769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9">
    <w:name w:val="csab6e07695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8">
    <w:name w:val="csccf5e316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27">
    <w:name w:val="csab6e07691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5">
    <w:name w:val="csccf5e3162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4">
    <w:name w:val="cs9ff1b611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6">
    <w:name w:val="csab6e07691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2e2c6f9f1">
    <w:name w:val="cs2e2c6f9f1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9ff1b61157">
    <w:name w:val="cs9ff1b611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4">
    <w:name w:val="cs9ff1b61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93">
    <w:name w:val="cs9ff1b611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01">
    <w:name w:val="cs9ff1b61110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8">
    <w:name w:val="cs9ff1b611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e872d02">
    <w:name w:val="cs95e872d02"/>
    <w:qFormat/>
    <w:rPr/>
  </w:style>
  <w:style w:type="character" w:styleId="cs237f67f12">
    <w:name w:val="cs237f67f12"/>
    <w:qFormat/>
    <w:rPr>
      <w:rFonts w:ascii="Segoe UI" w:hAnsi="Segoe UI" w:cs="Segoe UI"/>
      <w:b w:val="false"/>
      <w:bCs w:val="false"/>
      <w:i w:val="false"/>
      <w:iCs w:val="false"/>
      <w:color w:val="000000"/>
      <w:sz w:val="24"/>
      <w:szCs w:val="24"/>
      <w:shd w:fill="auto" w:val="clear"/>
    </w:rPr>
  </w:style>
  <w:style w:type="character" w:styleId="cs9ff1b6118">
    <w:name w:val="cs9ff1b61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arial91">
    <w:name w:val="arial9(жирнбез интерв) Знак"/>
    <w:qFormat/>
    <w:rPr>
      <w:rFonts w:ascii="Arial" w:hAnsi="Arial" w:cs="Arial"/>
      <w:b/>
      <w:sz w:val="18"/>
      <w:lang w:val="ru-RU"/>
    </w:rPr>
  </w:style>
  <w:style w:type="character" w:styleId="csccf5e316151">
    <w:name w:val="csccf5e31615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150">
    <w:name w:val="cs9ff1b6111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e0413f64">
    <w:name w:val="csae0413f6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55">
    <w:name w:val="cs9ff1b6115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82">
    <w:name w:val="cs9ff1b611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83">
    <w:name w:val="cs9ff1b6118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spelle">
    <w:name w:val="spelle"/>
    <w:qFormat/>
    <w:rPr/>
  </w:style>
  <w:style w:type="character" w:styleId="cs4df2502e8">
    <w:name w:val="cs4df2502e8"/>
    <w:qFormat/>
    <w:rPr>
      <w:rFonts w:ascii="Arial" w:hAnsi="Arial" w:cs="Arial"/>
      <w:b w:val="false"/>
      <w:bCs w:val="false"/>
      <w:i/>
      <w:iCs/>
      <w:color w:val="000000"/>
      <w:sz w:val="18"/>
      <w:szCs w:val="18"/>
      <w:shd w:fill="auto" w:val="clear"/>
    </w:rPr>
  </w:style>
  <w:style w:type="character" w:styleId="cscc47389a1">
    <w:name w:val="cscc47389a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176e94eb1">
    <w:name w:val="cs176e94eb1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5">
    <w:name w:val="csafaf57413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6">
    <w:name w:val="csafaf57413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36">
    <w:name w:val="csab6e07693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7">
    <w:name w:val="csafaf57413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37">
    <w:name w:val="csab6e07693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8">
    <w:name w:val="csafaf57413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9">
    <w:name w:val="csafaf57413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0">
    <w:name w:val="csafaf57414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0">
    <w:name w:val="csab6e07694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1">
    <w:name w:val="csafaf57414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2">
    <w:name w:val="csafaf57414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2">
    <w:name w:val="csab6e0769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3">
    <w:name w:val="csafaf57414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3">
    <w:name w:val="csab6e0769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4">
    <w:name w:val="csafaf57414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5">
    <w:name w:val="csafaf57414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5">
    <w:name w:val="csab6e07694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6">
    <w:name w:val="csafaf57414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7">
    <w:name w:val="csafaf57414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8">
    <w:name w:val="csafaf57414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8">
    <w:name w:val="csab6e07694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9">
    <w:name w:val="csafaf57414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9">
    <w:name w:val="csab6e0769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0">
    <w:name w:val="csafaf57415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1">
    <w:name w:val="csafaf57415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2">
    <w:name w:val="csafaf57415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2">
    <w:name w:val="csab6e0769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3">
    <w:name w:val="csafaf57415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3">
    <w:name w:val="csab6e0769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4">
    <w:name w:val="csafaf57415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5">
    <w:name w:val="csafaf57415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6">
    <w:name w:val="csafaf57415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6">
    <w:name w:val="csab6e0769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7">
    <w:name w:val="csafaf57415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8">
    <w:name w:val="csafaf57415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8">
    <w:name w:val="csab6e07695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9">
    <w:name w:val="csafaf57415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0">
    <w:name w:val="csafaf57416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0">
    <w:name w:val="csab6e07696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3">
    <w:name w:val="csafaf57416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3">
    <w:name w:val="csab6e07696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4">
    <w:name w:val="csafaf57416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4">
    <w:name w:val="csab6e07696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5">
    <w:name w:val="csafaf57416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6">
    <w:name w:val="csafaf57416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6">
    <w:name w:val="csab6e07696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7">
    <w:name w:val="csafaf57416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7">
    <w:name w:val="csab6e07696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8">
    <w:name w:val="csafaf57416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8">
    <w:name w:val="csab6e07696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9">
    <w:name w:val="csafaf57416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9">
    <w:name w:val="csab6e0769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0">
    <w:name w:val="csafaf57417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1">
    <w:name w:val="csafaf57417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1">
    <w:name w:val="csab6e07697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2">
    <w:name w:val="csafaf57417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2">
    <w:name w:val="csab6e07697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3">
    <w:name w:val="csafaf57417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3">
    <w:name w:val="csab6e07697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4">
    <w:name w:val="csafaf57417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4">
    <w:name w:val="csab6e07697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5">
    <w:name w:val="csafaf57417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6">
    <w:name w:val="csafaf57417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7">
    <w:name w:val="csafaf57417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69">
    <w:name w:val="cs9ff1b611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16174ba1">
    <w:name w:val="csa16174ba1"/>
    <w:qFormat/>
    <w:rPr>
      <w:rFonts w:ascii="Arial" w:hAnsi="Arial" w:cs="Arial"/>
      <w:b w:val="false"/>
      <w:bCs w:val="false"/>
      <w:i w:val="false"/>
      <w:iCs w:val="false"/>
      <w:color w:val="000000"/>
      <w:sz w:val="20"/>
      <w:szCs w:val="20"/>
      <w:shd w:fill="auto" w:val="clear"/>
    </w:rPr>
  </w:style>
  <w:style w:type="character" w:styleId="csafaf574161">
    <w:name w:val="csafaf57416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2">
    <w:name w:val="csafaf57416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2">
    <w:name w:val="csab6e0769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33">
    <w:name w:val="cs9ff1b6113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9">
    <w:name w:val="csccf5e3162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9">
    <w:name w:val="cs9ff1b6112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7">
    <w:name w:val="cs9ff1b611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31">
    <w:name w:val="csccf5e3163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31">
    <w:name w:val="cs9ff1b61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">
    <w:name w:val="csab6e0769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paragraph" w:styleId="Heading">
    <w:name w:val="Heading"/>
    <w:basedOn w:val="Normal"/>
    <w:next w:val="BodyText"/>
    <w:qFormat/>
    <w:pPr/>
    <w:rPr>
      <w:rFonts w:eastAsia="Calibri"/>
      <w:lang w:val="en-US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11">
    <w:name w:val="Обычный1"/>
    <w:basedOn w:val="Normal"/>
    <w:qFormat/>
    <w:pPr/>
    <w:rPr/>
  </w:style>
  <w:style w:type="paragraph" w:styleId="msolistparagraph">
    <w:name w:val="msolist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Encryption">
    <w:name w:val="Encryption"/>
    <w:basedOn w:val="Normal"/>
    <w:qFormat/>
    <w:pPr>
      <w:jc w:val="both"/>
    </w:pPr>
    <w:rPr>
      <w:b/>
      <w:bCs/>
      <w:i/>
      <w:iCs/>
    </w:rPr>
  </w:style>
  <w:style w:type="paragraph" w:styleId="211">
    <w:name w:val="Заголовок 21"/>
    <w:basedOn w:val="Normal"/>
    <w:qFormat/>
    <w:pPr/>
    <w:rPr/>
  </w:style>
  <w:style w:type="paragraph" w:styleId="411">
    <w:name w:val="Заголовок 41"/>
    <w:basedOn w:val="Normal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23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BodyTextIndent2">
    <w:name w:val="Body Text Indent2"/>
    <w:basedOn w:val="Normal"/>
    <w:qFormat/>
    <w:pPr>
      <w:jc w:val="center"/>
    </w:pPr>
    <w:rPr>
      <w:rFonts w:ascii="Arial" w:hAnsi="Arial" w:cs="Arial"/>
      <w:b/>
      <w:i/>
      <w:sz w:val="18"/>
      <w:szCs w:val="20"/>
    </w:rPr>
  </w:style>
  <w:style w:type="paragraph" w:styleId="12">
    <w:name w:val="Основной текст с отступом1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cs95e872d0">
    <w:name w:val="cs95e872d0"/>
    <w:basedOn w:val="Normal"/>
    <w:qFormat/>
    <w:pPr/>
    <w:rPr>
      <w:lang w:val="ru-RU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>
      <w:lang w:val="ru-RU"/>
    </w:rPr>
  </w:style>
  <w:style w:type="paragraph" w:styleId="33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24">
    <w:name w:val="Основной текст с отступом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4">
    <w:name w:val="Основной текст с отступом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2">
    <w:name w:val="Основной текст с отступом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">
    <w:name w:val="Основной текст с отступом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cse71256d6">
    <w:name w:val="cse71256d6"/>
    <w:basedOn w:val="Normal"/>
    <w:qFormat/>
    <w:pPr>
      <w:ind w:hanging="0" w:left="1440" w:right="0"/>
    </w:pPr>
    <w:rPr/>
  </w:style>
  <w:style w:type="paragraph" w:styleId="61">
    <w:name w:val="Основной текст с отступом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">
    <w:name w:val="Основной текст с отступом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">
    <w:name w:val="Основной текст с отступом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">
    <w:name w:val="Основной текст с отступом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1">
    <w:name w:val="Основной текст с отступом1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">
    <w:name w:val="Основной текст с отступом1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2">
    <w:name w:val="Обычный11"/>
    <w:basedOn w:val="Normal"/>
    <w:qFormat/>
    <w:pPr/>
    <w:rPr/>
  </w:style>
  <w:style w:type="paragraph" w:styleId="110">
    <w:name w:val="Основной текст с отступом11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2"/>
    </w:rPr>
  </w:style>
  <w:style w:type="paragraph" w:styleId="35">
    <w:name w:val="Основной текст с отступом 3"/>
    <w:basedOn w:val="Normal"/>
    <w:qFormat/>
    <w:pPr>
      <w:spacing w:before="0" w:after="120"/>
      <w:ind w:hanging="0" w:left="283" w:right="0"/>
    </w:pPr>
    <w:rPr>
      <w:rFonts w:eastAsia="Calibri"/>
      <w:sz w:val="16"/>
      <w:szCs w:val="16"/>
      <w:lang w:val="ru-RU"/>
    </w:rPr>
  </w:style>
  <w:style w:type="paragraph" w:styleId="121">
    <w:name w:val="Основной текст с отступом1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">
    <w:name w:val="Основной текст с отступом1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41">
    <w:name w:val="Основной текст с отступом1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5">
    <w:name w:val="Основной текст с отступом1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6">
    <w:name w:val="Основной текст с отступом1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7">
    <w:name w:val="Основной текст с отступом1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8">
    <w:name w:val="Основной текст с отступом1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9">
    <w:name w:val="Основной текст с отступом1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20">
    <w:name w:val="Основной текст с отступом2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cs80d9435b">
    <w:name w:val="cs80d9435b"/>
    <w:basedOn w:val="Normal"/>
    <w:qFormat/>
    <w:pPr>
      <w:jc w:val="both"/>
    </w:pPr>
    <w:rPr>
      <w:rFonts w:ascii="Arial" w:hAnsi="Arial" w:cs="Arial"/>
    </w:rPr>
  </w:style>
  <w:style w:type="paragraph" w:styleId="212">
    <w:name w:val="Основной текст с отступом2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231">
    <w:name w:val="Основной текст с отступом2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26">
    <w:name w:val="Основной текст с отступом2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28">
    <w:name w:val="Основной текст с отступом2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29">
    <w:name w:val="Основной текст с отступом2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11">
    <w:name w:val="Основной текст с отступом3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21">
    <w:name w:val="Основной текст с отступом3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31">
    <w:name w:val="Основной текст с отступом3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51">
    <w:name w:val="Основной текст с отступом3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41">
    <w:name w:val="Основной текст с отступом3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6">
    <w:name w:val="Основной текст с отступом3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7">
    <w:name w:val="Основной текст с отступом3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Style24">
    <w:name w:val="Текст примечания"/>
    <w:basedOn w:val="Normal"/>
    <w:qFormat/>
    <w:pPr/>
    <w:rPr>
      <w:sz w:val="20"/>
      <w:szCs w:val="20"/>
    </w:rPr>
  </w:style>
  <w:style w:type="paragraph" w:styleId="Style25">
    <w:name w:val="Тема примечания"/>
    <w:basedOn w:val="Style24"/>
    <w:next w:val="Style24"/>
    <w:qFormat/>
    <w:pPr/>
    <w:rPr>
      <w:b/>
      <w:bCs/>
    </w:rPr>
  </w:style>
  <w:style w:type="paragraph" w:styleId="Style26">
    <w:name w:val="Рецензия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csfeeeeb43">
    <w:name w:val="csfeeeeb43"/>
    <w:basedOn w:val="Normal"/>
    <w:qFormat/>
    <w:pPr/>
    <w:rPr>
      <w:rFonts w:ascii="Arial" w:hAnsi="Arial" w:cs="Arial"/>
    </w:rPr>
  </w:style>
  <w:style w:type="paragraph" w:styleId="38">
    <w:name w:val="Основной текст с отступом3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9">
    <w:name w:val="Основной текст с отступом3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0">
    <w:name w:val="Основной текст с отступом4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12">
    <w:name w:val="Основной текст с отступом4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21">
    <w:name w:val="Основной текст с отступом4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3">
    <w:name w:val="Основной текст с отступом4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4">
    <w:name w:val="Основной текст с отступом4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5">
    <w:name w:val="Основной текст с отступом4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6">
    <w:name w:val="Основной текст с отступом4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7">
    <w:name w:val="Основной текст с отступом4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8">
    <w:name w:val="Основной текст с отступом4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9">
    <w:name w:val="Основной текст с отступом4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0">
    <w:name w:val="Основной текст с отступом5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2">
    <w:name w:val="Основной текст с отступом5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3">
    <w:name w:val="Основной текст с отступом5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4">
    <w:name w:val="Основной текст с отступом5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7">
    <w:name w:val="Основной текст с отступом5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9">
    <w:name w:val="Основной текст с отступом5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0">
    <w:name w:val="Основной текст с отступом6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11">
    <w:name w:val="Основной текст с отступом6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25">
    <w:name w:val="Обычный2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uk-UA" w:bidi="ar-SA" w:eastAsia="zh-CN"/>
    </w:rPr>
  </w:style>
  <w:style w:type="paragraph" w:styleId="221">
    <w:name w:val="Основной текст с отступом22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222">
    <w:name w:val="Заголовок 22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422">
    <w:name w:val="Заголовок 42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310">
    <w:name w:val="Обычный3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uk-UA" w:bidi="ar-SA" w:eastAsia="zh-CN"/>
    </w:rPr>
  </w:style>
  <w:style w:type="paragraph" w:styleId="241">
    <w:name w:val="Основной текст с отступом24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232">
    <w:name w:val="Заголовок 23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431">
    <w:name w:val="Заголовок 43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BodyTextIndent1">
    <w:name w:val="Body Text Indent1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WW-Heading2">
    <w:name w:val="WW-Heading 2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WW-Heading4">
    <w:name w:val="WW-Heading 4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62">
    <w:name w:val="Основной текст с отступом6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4">
    <w:name w:val="Основной текст с отступом6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3">
    <w:name w:val="Основной текст с отступом6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5">
    <w:name w:val="Основной текст с отступом6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6">
    <w:name w:val="Основной текст с отступом6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7">
    <w:name w:val="Основной текст с отступом6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8">
    <w:name w:val="Основной текст с отступом6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9">
    <w:name w:val="Основной текст с отступом6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0">
    <w:name w:val="Основной текст с отступом7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1">
    <w:name w:val="Основной текст с отступом7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2">
    <w:name w:val="Основной текст с отступом7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42">
    <w:name w:val="Основной текст (14)"/>
    <w:basedOn w:val="Normal"/>
    <w:qFormat/>
    <w:pPr>
      <w:widowControl w:val="false"/>
      <w:shd w:fill="FFFFFF" w:val="clear"/>
      <w:spacing w:lineRule="exact" w:line="278"/>
      <w:jc w:val="center"/>
    </w:pPr>
    <w:rPr>
      <w:rFonts w:eastAsia="Calibri"/>
      <w:sz w:val="21"/>
      <w:szCs w:val="21"/>
    </w:rPr>
  </w:style>
  <w:style w:type="paragraph" w:styleId="73">
    <w:name w:val="Основной текст с отступом7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4">
    <w:name w:val="Основной текст с отступом7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5">
    <w:name w:val="Основной текст с отступом7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6">
    <w:name w:val="Основной текст с отступом7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7">
    <w:name w:val="Основной текст с отступом7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8">
    <w:name w:val="Основной текст с отступом7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9">
    <w:name w:val="Основной текст с отступом7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1">
    <w:name w:val="Основной текст с отступом8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2">
    <w:name w:val="Основной текст с отступом8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4">
    <w:name w:val="Основной текст с отступом8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5">
    <w:name w:val="Основной текст с отступом8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6">
    <w:name w:val="Основной текст с отступом8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7">
    <w:name w:val="Основной текст с отступом8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8">
    <w:name w:val="Основной текст с отступом8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9">
    <w:name w:val="Основной текст с отступом8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1">
    <w:name w:val="Основной текст с отступом9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2">
    <w:name w:val="Основной текст с отступом9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3">
    <w:name w:val="Основной текст с отступом9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4">
    <w:name w:val="Основной текст с отступом9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5">
    <w:name w:val="Основной текст с отступом9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7">
    <w:name w:val="Основной текст с отступом9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9">
    <w:name w:val="Основной текст с отступом9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0">
    <w:name w:val="Основной текст с отступом10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1">
    <w:name w:val="Основной текст с отступом10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2">
    <w:name w:val="Основной текст с отступом10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3">
    <w:name w:val="Основной текст с отступом10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4">
    <w:name w:val="Основной текст с отступом10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5">
    <w:name w:val="Основной текст с отступом10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7">
    <w:name w:val="Основной текст с отступом10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9">
    <w:name w:val="Основной текст с отступом10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11">
    <w:name w:val="Основной текст с отступом11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21">
    <w:name w:val="Основной текст с отступом11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3">
    <w:name w:val="Основной текст с отступом11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4">
    <w:name w:val="Основной текст с отступом11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5">
    <w:name w:val="Основной текст с отступом11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6">
    <w:name w:val="Основной текст с отступом11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7">
    <w:name w:val="Основной текст с отступом11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8">
    <w:name w:val="Основной текст с отступом11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9">
    <w:name w:val="Основной текст с отступом11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0">
    <w:name w:val="Основной текст с отступом12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11">
    <w:name w:val="Основной текст с отступом12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2">
    <w:name w:val="Основной текст с отступом12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5">
    <w:name w:val="Основной текст с отступом12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4">
    <w:name w:val="Основной текст с отступом12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6">
    <w:name w:val="Основной текст с отступом12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7">
    <w:name w:val="Основной текст с отступом12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8">
    <w:name w:val="Основной текст с отступом12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9">
    <w:name w:val="Основной текст с отступом12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0">
    <w:name w:val="Основной текст с отступом13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1">
    <w:name w:val="Основной текст с отступом13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3">
    <w:name w:val="Основной текст с отступом13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2">
    <w:name w:val="Основной текст с отступом13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5">
    <w:name w:val="Основной текст с отступом13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6">
    <w:name w:val="Основной текст с отступом13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7">
    <w:name w:val="Основной текст с отступом13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8">
    <w:name w:val="Основной текст с отступом13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9">
    <w:name w:val="Основной текст с отступом13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40">
    <w:name w:val="Основной текст с отступом14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411">
    <w:name w:val="Основной текст с отступом14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Arial92">
    <w:name w:val="Arial9(без отступов)"/>
    <w:qFormat/>
    <w:pPr>
      <w:widowControl/>
      <w:bidi w:val="0"/>
      <w:ind w:hanging="0" w:left="-113" w:right="0"/>
    </w:pPr>
    <w:rPr>
      <w:rFonts w:ascii="Arial" w:hAnsi="Arial" w:eastAsia="Calibri" w:cs="Arial"/>
      <w:color w:val="auto"/>
      <w:sz w:val="18"/>
      <w:szCs w:val="18"/>
      <w:lang w:val="ru-RU" w:bidi="ar-SA" w:eastAsia="zh-CN"/>
    </w:rPr>
  </w:style>
  <w:style w:type="paragraph" w:styleId="Style27">
    <w:name w:val="Абзац списка"/>
    <w:basedOn w:val="Normal"/>
    <w:qFormat/>
    <w:pPr>
      <w:snapToGrid w:val="false"/>
      <w:spacing w:before="0" w:after="0"/>
      <w:ind w:hanging="0" w:left="720" w:right="0"/>
      <w:contextualSpacing/>
    </w:pPr>
    <w:rPr>
      <w:rFonts w:ascii="Arial" w:hAnsi="Arial" w:cs="Arial"/>
      <w:sz w:val="28"/>
      <w:szCs w:val="20"/>
      <w:lang w:val="ru-RU"/>
    </w:rPr>
  </w:style>
  <w:style w:type="paragraph" w:styleId="Arial93">
    <w:name w:val="Arial9(жирн)"/>
    <w:qFormat/>
    <w:pPr>
      <w:keepNext w:val="true"/>
      <w:widowControl/>
      <w:tabs>
        <w:tab w:val="clear" w:pos="708"/>
        <w:tab w:val="left" w:pos="210" w:leader="none"/>
      </w:tabs>
      <w:autoSpaceDE w:val="false"/>
      <w:bidi w:val="0"/>
      <w:spacing w:before="120" w:after="0"/>
    </w:pPr>
    <w:rPr>
      <w:rFonts w:ascii="Arial" w:hAnsi="Arial" w:eastAsia="Times New Roman" w:cs="Arial"/>
      <w:b/>
      <w:bCs/>
      <w:color w:val="auto"/>
      <w:sz w:val="18"/>
      <w:szCs w:val="20"/>
      <w:lang w:val="en-US" w:bidi="ar-SA" w:eastAsia="zh-CN"/>
    </w:rPr>
  </w:style>
  <w:style w:type="paragraph" w:styleId="Arial961">
    <w:name w:val="Arial9+6пт"/>
    <w:basedOn w:val="Normal"/>
    <w:qFormat/>
    <w:pPr>
      <w:snapToGrid w:val="false"/>
      <w:spacing w:before="120" w:after="0"/>
    </w:pPr>
    <w:rPr>
      <w:rFonts w:ascii="Arial" w:hAnsi="Arial" w:eastAsia="Calibri" w:cs="Arial"/>
      <w:sz w:val="18"/>
      <w:szCs w:val="20"/>
      <w:lang w:val="en-US"/>
    </w:rPr>
  </w:style>
  <w:style w:type="paragraph" w:styleId="msonormal">
    <w:name w:val="msonormal"/>
    <w:basedOn w:val="Normal"/>
    <w:qFormat/>
    <w:pPr>
      <w:spacing w:before="280" w:after="280"/>
    </w:pPr>
    <w:rPr>
      <w:rFonts w:eastAsia="Calibri"/>
      <w:lang w:val="en-US"/>
    </w:rPr>
  </w:style>
  <w:style w:type="paragraph" w:styleId="27">
    <w:name w:val="Основной текст 2"/>
    <w:basedOn w:val="Normal"/>
    <w:qFormat/>
    <w:pPr/>
    <w:rPr>
      <w:rFonts w:eastAsia="Calibri"/>
      <w:lang w:val="en-US"/>
    </w:rPr>
  </w:style>
  <w:style w:type="paragraph" w:styleId="Style28">
    <w:name w:val="Название"/>
    <w:basedOn w:val="Normal"/>
    <w:qFormat/>
    <w:pPr/>
    <w:rPr>
      <w:rFonts w:ascii="Cambria" w:hAnsi="Cambria" w:eastAsia="Calibri" w:cs="Cambria"/>
      <w:color w:val="17365D"/>
      <w:spacing w:val="5"/>
      <w:sz w:val="20"/>
      <w:szCs w:val="20"/>
      <w:lang w:val="en-US"/>
    </w:rPr>
  </w:style>
  <w:style w:type="paragraph" w:styleId="210">
    <w:name w:val="Верхній колонтитул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3">
    <w:name w:val="Нижній колонтитул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4">
    <w:name w:val="Назва2"/>
    <w:basedOn w:val="Normal"/>
    <w:qFormat/>
    <w:pPr/>
    <w:rPr>
      <w:rFonts w:ascii="Calibri Light" w:hAnsi="Calibri Light" w:eastAsia="Calibri" w:cs="Calibri Light"/>
      <w:spacing w:val="-10"/>
      <w:sz w:val="20"/>
      <w:szCs w:val="20"/>
      <w:lang w:val="en-US"/>
    </w:rPr>
  </w:style>
  <w:style w:type="paragraph" w:styleId="223">
    <w:name w:val="Основний текст 2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5">
    <w:name w:val="Текст у виносці2"/>
    <w:basedOn w:val="Normal"/>
    <w:qFormat/>
    <w:pPr/>
    <w:rPr>
      <w:rFonts w:ascii="Segoe UI" w:hAnsi="Segoe UI" w:eastAsia="Calibri" w:cs="Segoe UI"/>
      <w:sz w:val="20"/>
      <w:szCs w:val="20"/>
      <w:lang w:val="en-US"/>
    </w:rPr>
  </w:style>
  <w:style w:type="paragraph" w:styleId="143">
    <w:name w:val="Основной текст с отступом14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4">
    <w:name w:val="Основной текст с отступом14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5">
    <w:name w:val="Основной текст с отступом14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7">
    <w:name w:val="Основной текст с отступом14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8">
    <w:name w:val="Основной текст с отступом14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9">
    <w:name w:val="Основной текст с отступом14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Arial94">
    <w:name w:val="Стиль Arial9(жирн) + не полужирный"/>
    <w:basedOn w:val="Normal"/>
    <w:qFormat/>
    <w:pPr>
      <w:keepNext w:val="true"/>
      <w:tabs>
        <w:tab w:val="clear" w:pos="708"/>
        <w:tab w:val="left" w:pos="210" w:leader="none"/>
      </w:tabs>
      <w:autoSpaceDE w:val="false"/>
      <w:spacing w:before="120" w:after="0"/>
    </w:pPr>
    <w:rPr>
      <w:rFonts w:ascii="Arial" w:hAnsi="Arial" w:eastAsia="Calibri" w:cs="Arial"/>
      <w:b/>
      <w:sz w:val="18"/>
      <w:szCs w:val="20"/>
      <w:lang w:val="en-US"/>
    </w:rPr>
  </w:style>
  <w:style w:type="paragraph" w:styleId="150">
    <w:name w:val="Основной текст с отступом15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6">
    <w:name w:val="Основной текст с отступом15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7">
    <w:name w:val="Основной текст с отступом15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2">
    <w:name w:val="Основной текст с отступом16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3">
    <w:name w:val="Основной текст с отступом16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5">
    <w:name w:val="Основной текст с отступом16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8">
    <w:name w:val="Основной текст с отступом16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9">
    <w:name w:val="Основной текст с отступом16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0">
    <w:name w:val="Основной текст с отступом17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1">
    <w:name w:val="Основной текст с отступом17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2">
    <w:name w:val="Основной текст с отступом17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3">
    <w:name w:val="Основной текст с отступом17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4">
    <w:name w:val="Основной текст с отступом17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5">
    <w:name w:val="Основной текст с отступом17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6">
    <w:name w:val="Основной текст с отступом17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7">
    <w:name w:val="Основной текст с отступом17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8">
    <w:name w:val="Основной текст с отступом17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9">
    <w:name w:val="Основной текст с отступом17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0">
    <w:name w:val="Основной текст с отступом18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1">
    <w:name w:val="Основной текст с отступом18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2">
    <w:name w:val="Основной текст с отступом18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23">
    <w:name w:val="Верхній колонтитул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34">
    <w:name w:val="Нижній колонтитул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46">
    <w:name w:val="Назва1"/>
    <w:basedOn w:val="Normal"/>
    <w:qFormat/>
    <w:pPr/>
    <w:rPr>
      <w:rFonts w:ascii="Calibri Light" w:hAnsi="Calibri Light" w:eastAsia="Calibri" w:cs="Calibri Light"/>
      <w:spacing w:val="-10"/>
      <w:sz w:val="20"/>
      <w:szCs w:val="20"/>
      <w:lang w:val="en-US"/>
    </w:rPr>
  </w:style>
  <w:style w:type="paragraph" w:styleId="216">
    <w:name w:val="Основний текст 2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51">
    <w:name w:val="Текст у виносці1"/>
    <w:basedOn w:val="Normal"/>
    <w:qFormat/>
    <w:pPr/>
    <w:rPr>
      <w:rFonts w:ascii="Segoe UI" w:hAnsi="Segoe UI" w:eastAsia="Calibri" w:cs="Segoe UI"/>
      <w:sz w:val="20"/>
      <w:szCs w:val="20"/>
      <w:lang w:val="en-US"/>
    </w:rPr>
  </w:style>
  <w:style w:type="paragraph" w:styleId="164">
    <w:name w:val="Основной текст с отступом16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arial95">
    <w:name w:val="arial9(жирнбез интерв)"/>
    <w:basedOn w:val="Normal"/>
    <w:qFormat/>
    <w:pPr/>
    <w:rPr>
      <w:rFonts w:ascii="Arial" w:hAnsi="Arial" w:eastAsia="Calibri" w:cs="Arial"/>
      <w:b/>
      <w:sz w:val="18"/>
      <w:szCs w:val="20"/>
      <w:lang w:val="ru-RU"/>
    </w:rPr>
  </w:style>
  <w:style w:type="paragraph" w:styleId="203">
    <w:name w:val="Основной текст с отступом20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04">
    <w:name w:val="Основной текст с отступом20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7">
    <w:name w:val="Основний текст з відступом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2">
    <w:name w:val="Основний текст з відступом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07">
    <w:name w:val="Основной текст с отступом20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01">
    <w:name w:val="Основной текст с отступом21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312">
    <w:name w:val="Основний текст з відступом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71">
    <w:name w:val="Основной текст с отступом21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8">
    <w:name w:val="Основной текст с отступом21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9">
    <w:name w:val="Основной текст с отступом21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20">
    <w:name w:val="Основной текст с отступом22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Style29">
    <w:name w:val="Без интервала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2211">
    <w:name w:val="Основной текст с отступом22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231">
    <w:name w:val="Основной текст с отступом22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410">
    <w:name w:val="Основний текст з відступом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51">
    <w:name w:val="Основний текст з відступом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whocc.no/atc_ddd_index/" TargetMode="External"/><Relationship Id="rId3" Type="http://schemas.openxmlformats.org/officeDocument/2006/relationships/hyperlink" Target="https://www.whocc.no/atc_ddd_index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yperlink" Target="https://www.whocc.no/atc_ddd_index/" TargetMode="Externa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2026-10-27T14:00:00Z</dcterms:created>
  <dc:creator>Vitaliya</dc:creator>
  <dc:description/>
  <cp:keywords/>
  <dc:language>en-US</dc:language>
  <cp:lastModifiedBy>Кунцевич Олена Іванівна</cp:lastModifiedBy>
  <cp:lastPrinted>2021-12-06T14:34:00Z</cp:lastPrinted>
  <dcterms:modified xsi:type="dcterms:W3CDTF">2026-10-28T11:29:00Z</dcterms:modified>
  <cp:revision>11</cp:revision>
  <dc:subject/>
  <dc:title/>
</cp:coreProperties>
</file>