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Arial" w:hAnsi="Arial" w:eastAsia="Times New Roman" w:cs="Arial"/>
          <w:b/>
          <w:sz w:val="24"/>
          <w:szCs w:val="24"/>
          <w:lang w:val="uk-UA" w:eastAsia="uk-UA"/>
        </w:rPr>
      </w:pPr>
      <w:r>
        <w:rPr>
          <w:rFonts w:eastAsia="Times New Roman" w:cs="Arial" w:ascii="Arial" w:hAnsi="Arial"/>
          <w:b/>
          <w:sz w:val="24"/>
          <w:szCs w:val="24"/>
          <w:lang w:val="uk-UA" w:eastAsia="uk-UA"/>
        </w:rPr>
        <w:t>ПЕРЕЛІК</w:t>
      </w:r>
    </w:p>
    <w:p>
      <w:pPr>
        <w:pStyle w:val="Normal"/>
        <w:spacing w:lineRule="auto" w:line="240" w:before="0" w:after="0"/>
        <w:jc w:val="center"/>
        <w:rPr/>
      </w:pPr>
      <w:r>
        <w:rPr>
          <w:rFonts w:eastAsia="Times New Roman" w:cs="Arial" w:ascii="Arial" w:hAnsi="Arial"/>
          <w:b/>
          <w:sz w:val="24"/>
          <w:szCs w:val="24"/>
          <w:lang w:val="uk-UA" w:eastAsia="uk-UA"/>
        </w:rPr>
        <w:t xml:space="preserve">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 </w:t>
      </w:r>
      <w:r>
        <w:rPr>
          <w:rFonts w:eastAsia="Times New Roman" w:cs="Arial" w:ascii="Arial" w:hAnsi="Arial"/>
          <w:b/>
          <w:sz w:val="24"/>
          <w:szCs w:val="24"/>
          <w:u w:val="single"/>
          <w:lang w:val="uk-UA" w:eastAsia="uk-UA"/>
        </w:rPr>
        <w:t>ЯКІ ЗАРЕЄСТРОВАНІ</w:t>
      </w:r>
      <w:r>
        <w:rPr>
          <w:rFonts w:eastAsia="Times New Roman" w:cs="Arial" w:ascii="Arial" w:hAnsi="Arial"/>
          <w:b/>
          <w:sz w:val="24"/>
          <w:szCs w:val="24"/>
          <w:lang w:val="uk-UA" w:eastAsia="uk-UA"/>
        </w:rPr>
        <w:t xml:space="preserve"> </w:t>
      </w:r>
      <w:r>
        <w:rPr>
          <w:rFonts w:eastAsia="Times New Roman" w:cs="Arial" w:ascii="Arial" w:hAnsi="Arial"/>
          <w:b/>
          <w:sz w:val="24"/>
          <w:szCs w:val="24"/>
          <w:u w:val="single"/>
          <w:lang w:val="uk-UA" w:eastAsia="uk-UA"/>
        </w:rPr>
        <w:t xml:space="preserve">КОМПЕТЕНТНИМИ ОРГАНАМИ </w:t>
      </w:r>
      <w:r>
        <w:rPr>
          <w:rFonts w:eastAsia="Times New Roman" w:cs="Arial" w:ascii="Arial" w:hAnsi="Arial"/>
          <w:b/>
          <w:sz w:val="24"/>
          <w:szCs w:val="24"/>
          <w:lang w:val="uk-UA" w:eastAsia="uk-UA"/>
        </w:rPr>
        <w:t xml:space="preserve">СПОЛУЧЕНИХ ШТАТІВ АМЕРИКИ, </w:t>
      </w:r>
      <w:r>
        <w:rPr>
          <w:rFonts w:cs="Arial" w:ascii="Arial" w:hAnsi="Arial"/>
          <w:b/>
          <w:sz w:val="24"/>
          <w:szCs w:val="24"/>
          <w:lang w:val="uk-UA" w:eastAsia="ru-RU"/>
        </w:rPr>
        <w:t>ВЕЛИКОЇ БРИТАНІЇ</w:t>
      </w:r>
      <w:r>
        <w:rPr>
          <w:rFonts w:cs="Arial" w:ascii="Arial" w:hAnsi="Arial"/>
          <w:sz w:val="24"/>
          <w:szCs w:val="24"/>
          <w:lang w:val="uk-UA" w:eastAsia="ru-RU"/>
        </w:rPr>
        <w:t xml:space="preserve">, </w:t>
      </w:r>
      <w:r>
        <w:rPr>
          <w:rFonts w:eastAsia="Times New Roman" w:cs="Arial" w:ascii="Arial" w:hAnsi="Arial"/>
          <w:b/>
          <w:sz w:val="24"/>
          <w:szCs w:val="24"/>
          <w:lang w:val="uk-UA"/>
        </w:rPr>
        <w:t>ШВЕЙЦАРСЬКОЇ КОНФЕДЕРАЦІЇ</w:t>
      </w:r>
      <w:r>
        <w:rPr>
          <w:rFonts w:eastAsia="Times New Roman" w:cs="Arial" w:ascii="Arial" w:hAnsi="Arial"/>
          <w:b/>
          <w:sz w:val="24"/>
          <w:szCs w:val="24"/>
          <w:lang w:val="uk-UA" w:eastAsia="uk-UA"/>
        </w:rPr>
        <w:t xml:space="preserve">, ЯПОНІЇ, АВСТРАЛІЇ, КАНАДИ, ЛІКАРСЬКИХ ЗАСОБІВ, ЩО ЗА ЦЕНТРАЛІЗОВАНОЮ ПРОЦЕДУРОЮ ЗАРЕЄСТРОВАНІ КОМПЕТЕНТНИМ ОРГАНОМ </w:t>
      </w:r>
      <w:r>
        <w:rPr>
          <w:rFonts w:eastAsia="Times New Roman" w:cs="Arial" w:ascii="Arial" w:hAnsi="Arial"/>
          <w:b/>
          <w:sz w:val="24"/>
          <w:szCs w:val="24"/>
          <w:u w:val="single"/>
          <w:lang w:val="uk-UA" w:eastAsia="uk-UA"/>
        </w:rPr>
        <w:t>ЄВРОПЕЙСЬКОГО СОЮЗУ</w:t>
      </w:r>
    </w:p>
    <w:p>
      <w:pPr>
        <w:pStyle w:val="Normal"/>
        <w:spacing w:lineRule="auto" w:line="240" w:before="0" w:after="0"/>
        <w:jc w:val="center"/>
        <w:rPr>
          <w:rFonts w:ascii="Arial" w:hAnsi="Arial" w:eastAsia="Times New Roman" w:cs="Arial"/>
          <w:b/>
          <w:sz w:val="24"/>
          <w:szCs w:val="24"/>
          <w:u w:val="single"/>
          <w:lang w:val="uk-UA" w:eastAsia="uk-UA"/>
        </w:rPr>
      </w:pPr>
      <w:r>
        <w:rPr>
          <w:rFonts w:eastAsia="Times New Roman" w:cs="Arial" w:ascii="Arial" w:hAnsi="Arial"/>
          <w:b/>
          <w:sz w:val="24"/>
          <w:szCs w:val="24"/>
          <w:u w:val="single"/>
          <w:lang w:val="uk-UA" w:eastAsia="uk-UA"/>
        </w:rPr>
      </w:r>
    </w:p>
    <w:tbl>
      <w:tblPr>
        <w:tblW w:w="15735" w:type="dxa"/>
        <w:jc w:val="left"/>
        <w:tblInd w:w="108" w:type="dxa"/>
        <w:tblLayout w:type="fixed"/>
        <w:tblCellMar>
          <w:top w:w="0" w:type="dxa"/>
          <w:left w:w="108" w:type="dxa"/>
          <w:bottom w:w="0" w:type="dxa"/>
          <w:right w:w="108" w:type="dxa"/>
        </w:tblCellMar>
      </w:tblPr>
      <w:tblGrid>
        <w:gridCol w:w="561"/>
        <w:gridCol w:w="1282"/>
        <w:gridCol w:w="992"/>
        <w:gridCol w:w="993"/>
        <w:gridCol w:w="708"/>
        <w:gridCol w:w="1843"/>
        <w:gridCol w:w="1276"/>
        <w:gridCol w:w="1134"/>
        <w:gridCol w:w="1417"/>
        <w:gridCol w:w="1134"/>
        <w:gridCol w:w="1701"/>
        <w:gridCol w:w="1134"/>
        <w:gridCol w:w="1560"/>
      </w:tblGrid>
      <w:tr>
        <w:trPr>
          <w:tblHeader w:val="true"/>
        </w:trPr>
        <w:tc>
          <w:tcPr>
            <w:tcW w:w="561"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12600" w:leader="none"/>
              </w:tabs>
              <w:spacing w:lineRule="auto" w:line="240" w:before="0" w:after="0"/>
              <w:jc w:val="center"/>
              <w:rPr>
                <w:rFonts w:ascii="Arial" w:hAnsi="Arial" w:cs="Arial"/>
                <w:b/>
                <w:i/>
                <w:i/>
                <w:sz w:val="16"/>
                <w:szCs w:val="16"/>
                <w:lang w:val="uk-UA" w:eastAsia="uk-UA"/>
              </w:rPr>
            </w:pPr>
            <w:r>
              <w:rPr>
                <w:rFonts w:eastAsia="Times New Roman" w:cs="Arial" w:ascii="Arial" w:hAnsi="Arial"/>
                <w:b/>
                <w:i/>
                <w:sz w:val="16"/>
                <w:szCs w:val="16"/>
                <w:lang w:val="uk-UA" w:eastAsia="uk-UA"/>
              </w:rPr>
              <w:t>№</w:t>
            </w:r>
            <w:r>
              <w:rPr>
                <w:rFonts w:eastAsia="Arial" w:cs="Arial" w:ascii="Arial" w:hAnsi="Arial"/>
                <w:b/>
                <w:i/>
                <w:sz w:val="16"/>
                <w:szCs w:val="16"/>
                <w:lang w:val="uk-UA" w:eastAsia="uk-UA"/>
              </w:rPr>
              <w:t xml:space="preserve"> </w:t>
            </w:r>
            <w:r>
              <w:rPr>
                <w:rFonts w:eastAsia="Times New Roman" w:cs="Arial" w:ascii="Arial" w:hAnsi="Arial"/>
                <w:b/>
                <w:i/>
                <w:sz w:val="16"/>
                <w:szCs w:val="16"/>
                <w:lang w:val="uk-UA" w:eastAsia="uk-UA"/>
              </w:rPr>
              <w:t>п/п</w:t>
            </w:r>
          </w:p>
        </w:tc>
        <w:tc>
          <w:tcPr>
            <w:tcW w:w="1282"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12600" w:leader="none"/>
              </w:tabs>
              <w:spacing w:lineRule="auto" w:line="240" w:before="0" w:after="0"/>
              <w:jc w:val="center"/>
              <w:rPr>
                <w:rFonts w:ascii="Arial" w:hAnsi="Arial" w:eastAsia="Times New Roman" w:cs="Arial"/>
                <w:b/>
                <w:i/>
                <w:i/>
                <w:sz w:val="16"/>
                <w:szCs w:val="16"/>
                <w:lang w:val="uk-UA" w:eastAsia="uk-UA"/>
              </w:rPr>
            </w:pPr>
            <w:r>
              <w:rPr>
                <w:rFonts w:eastAsia="Times New Roman" w:cs="Arial" w:ascii="Arial" w:hAnsi="Arial"/>
                <w:b/>
                <w:i/>
                <w:sz w:val="16"/>
                <w:szCs w:val="16"/>
                <w:lang w:val="uk-UA" w:eastAsia="uk-UA"/>
              </w:rPr>
              <w:t>Назва лікарського засобу</w:t>
            </w:r>
          </w:p>
        </w:tc>
        <w:tc>
          <w:tcPr>
            <w:tcW w:w="992"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12600" w:leader="none"/>
              </w:tabs>
              <w:spacing w:lineRule="auto" w:line="240" w:before="0" w:after="160"/>
              <w:jc w:val="center"/>
              <w:rPr>
                <w:rFonts w:ascii="Arial" w:hAnsi="Arial" w:cs="Arial"/>
                <w:b/>
                <w:i/>
                <w:i/>
                <w:sz w:val="16"/>
                <w:szCs w:val="16"/>
              </w:rPr>
            </w:pPr>
            <w:r>
              <w:rPr>
                <w:rFonts w:cs="Arial" w:ascii="Arial" w:hAnsi="Arial"/>
                <w:b/>
                <w:i/>
                <w:sz w:val="16"/>
                <w:szCs w:val="16"/>
              </w:rPr>
              <w:t>Міжнародна непатентована назва*</w:t>
            </w:r>
          </w:p>
        </w:tc>
        <w:tc>
          <w:tcPr>
            <w:tcW w:w="993"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12600" w:leader="none"/>
              </w:tabs>
              <w:spacing w:lineRule="auto" w:line="240" w:before="0" w:after="160"/>
              <w:jc w:val="center"/>
              <w:rPr>
                <w:rFonts w:ascii="Arial" w:hAnsi="Arial" w:cs="Arial"/>
                <w:b/>
                <w:i/>
                <w:i/>
                <w:sz w:val="16"/>
                <w:szCs w:val="16"/>
              </w:rPr>
            </w:pPr>
            <w:r>
              <w:rPr>
                <w:rFonts w:cs="Arial" w:ascii="Arial" w:hAnsi="Arial"/>
                <w:b/>
                <w:i/>
                <w:sz w:val="16"/>
                <w:szCs w:val="16"/>
              </w:rPr>
              <w:t>Назва діючої речовини</w:t>
            </w:r>
          </w:p>
        </w:tc>
        <w:tc>
          <w:tcPr>
            <w:tcW w:w="708"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12600" w:leader="none"/>
              </w:tabs>
              <w:spacing w:lineRule="auto" w:line="240" w:before="0" w:after="160"/>
              <w:jc w:val="center"/>
              <w:rPr>
                <w:rFonts w:ascii="Arial" w:hAnsi="Arial" w:cs="Arial"/>
                <w:b/>
                <w:i/>
                <w:i/>
                <w:sz w:val="16"/>
                <w:szCs w:val="16"/>
              </w:rPr>
            </w:pPr>
            <w:r>
              <w:rPr>
                <w:rFonts w:cs="Arial" w:ascii="Arial" w:hAnsi="Arial"/>
                <w:b/>
                <w:i/>
                <w:sz w:val="16"/>
                <w:szCs w:val="16"/>
              </w:rPr>
              <w:t>Код АТХ</w:t>
            </w:r>
          </w:p>
        </w:tc>
        <w:tc>
          <w:tcPr>
            <w:tcW w:w="1843"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12600" w:leader="none"/>
              </w:tabs>
              <w:spacing w:lineRule="auto" w:line="240" w:before="0" w:after="0"/>
              <w:jc w:val="center"/>
              <w:rPr>
                <w:rFonts w:ascii="Arial" w:hAnsi="Arial" w:eastAsia="Times New Roman" w:cs="Arial"/>
                <w:b/>
                <w:i/>
                <w:i/>
                <w:sz w:val="16"/>
                <w:szCs w:val="16"/>
                <w:lang w:val="uk-UA" w:eastAsia="uk-UA"/>
              </w:rPr>
            </w:pPr>
            <w:r>
              <w:rPr>
                <w:rFonts w:eastAsia="Times New Roman" w:cs="Arial" w:ascii="Arial" w:hAnsi="Arial"/>
                <w:b/>
                <w:i/>
                <w:sz w:val="16"/>
                <w:szCs w:val="16"/>
                <w:lang w:val="uk-UA" w:eastAsia="uk-UA"/>
              </w:rPr>
              <w:t>Форма випуску (лікарська форма, упаковка)</w:t>
            </w:r>
          </w:p>
        </w:tc>
        <w:tc>
          <w:tcPr>
            <w:tcW w:w="1276"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12600" w:leader="none"/>
              </w:tabs>
              <w:spacing w:lineRule="auto" w:line="240" w:before="0" w:after="0"/>
              <w:jc w:val="center"/>
              <w:rPr>
                <w:rFonts w:ascii="Arial" w:hAnsi="Arial" w:eastAsia="Times New Roman" w:cs="Arial"/>
                <w:b/>
                <w:i/>
                <w:i/>
                <w:sz w:val="16"/>
                <w:szCs w:val="16"/>
                <w:lang w:val="uk-UA" w:eastAsia="uk-UA"/>
              </w:rPr>
            </w:pPr>
            <w:r>
              <w:rPr>
                <w:rFonts w:eastAsia="Times New Roman" w:cs="Arial" w:ascii="Arial" w:hAnsi="Arial"/>
                <w:b/>
                <w:i/>
                <w:sz w:val="16"/>
                <w:szCs w:val="16"/>
                <w:lang w:val="uk-UA" w:eastAsia="uk-UA"/>
              </w:rPr>
              <w:t>Заявник</w:t>
            </w:r>
          </w:p>
        </w:tc>
        <w:tc>
          <w:tcPr>
            <w:tcW w:w="1134"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12600" w:leader="none"/>
              </w:tabs>
              <w:spacing w:lineRule="auto" w:line="240" w:before="0" w:after="0"/>
              <w:jc w:val="center"/>
              <w:rPr>
                <w:rFonts w:ascii="Arial" w:hAnsi="Arial" w:eastAsia="Times New Roman" w:cs="Arial"/>
                <w:b/>
                <w:i/>
                <w:i/>
                <w:sz w:val="16"/>
                <w:szCs w:val="16"/>
                <w:lang w:val="uk-UA" w:eastAsia="uk-UA"/>
              </w:rPr>
            </w:pPr>
            <w:r>
              <w:rPr>
                <w:rFonts w:eastAsia="Times New Roman" w:cs="Arial" w:ascii="Arial" w:hAnsi="Arial"/>
                <w:b/>
                <w:i/>
                <w:sz w:val="16"/>
                <w:szCs w:val="16"/>
                <w:lang w:val="uk-UA" w:eastAsia="uk-UA"/>
              </w:rPr>
              <w:t>Країна</w:t>
            </w:r>
          </w:p>
        </w:tc>
        <w:tc>
          <w:tcPr>
            <w:tcW w:w="1417"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12600" w:leader="none"/>
              </w:tabs>
              <w:spacing w:lineRule="auto" w:line="240" w:before="0" w:after="0"/>
              <w:jc w:val="center"/>
              <w:rPr>
                <w:rFonts w:ascii="Arial" w:hAnsi="Arial" w:eastAsia="Times New Roman" w:cs="Arial"/>
                <w:b/>
                <w:i/>
                <w:i/>
                <w:sz w:val="16"/>
                <w:szCs w:val="16"/>
                <w:lang w:val="uk-UA" w:eastAsia="uk-UA"/>
              </w:rPr>
            </w:pPr>
            <w:r>
              <w:rPr>
                <w:rFonts w:eastAsia="Times New Roman" w:cs="Arial" w:ascii="Arial" w:hAnsi="Arial"/>
                <w:b/>
                <w:i/>
                <w:sz w:val="16"/>
                <w:szCs w:val="16"/>
                <w:lang w:val="uk-UA" w:eastAsia="uk-UA"/>
              </w:rPr>
              <w:t>Виробник</w:t>
            </w:r>
          </w:p>
        </w:tc>
        <w:tc>
          <w:tcPr>
            <w:tcW w:w="1134"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12600" w:leader="none"/>
              </w:tabs>
              <w:spacing w:lineRule="auto" w:line="240" w:before="0" w:after="0"/>
              <w:jc w:val="center"/>
              <w:rPr>
                <w:rFonts w:ascii="Arial" w:hAnsi="Arial" w:eastAsia="Times New Roman" w:cs="Arial"/>
                <w:b/>
                <w:i/>
                <w:i/>
                <w:sz w:val="16"/>
                <w:szCs w:val="16"/>
                <w:lang w:val="uk-UA" w:eastAsia="uk-UA"/>
              </w:rPr>
            </w:pPr>
            <w:r>
              <w:rPr>
                <w:rFonts w:eastAsia="Times New Roman" w:cs="Arial" w:ascii="Arial" w:hAnsi="Arial"/>
                <w:b/>
                <w:i/>
                <w:sz w:val="16"/>
                <w:szCs w:val="16"/>
                <w:lang w:val="uk-UA" w:eastAsia="uk-UA"/>
              </w:rPr>
              <w:t>Країна</w:t>
            </w:r>
          </w:p>
        </w:tc>
        <w:tc>
          <w:tcPr>
            <w:tcW w:w="1701"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12600" w:leader="none"/>
              </w:tabs>
              <w:spacing w:lineRule="auto" w:line="240" w:before="0" w:after="0"/>
              <w:jc w:val="center"/>
              <w:rPr>
                <w:rFonts w:ascii="Arial" w:hAnsi="Arial" w:eastAsia="Times New Roman" w:cs="Arial"/>
                <w:b/>
                <w:i/>
                <w:i/>
                <w:sz w:val="16"/>
                <w:szCs w:val="16"/>
                <w:lang w:val="uk-UA" w:eastAsia="uk-UA"/>
              </w:rPr>
            </w:pPr>
            <w:r>
              <w:rPr>
                <w:rFonts w:eastAsia="Times New Roman" w:cs="Arial" w:ascii="Arial" w:hAnsi="Arial"/>
                <w:b/>
                <w:i/>
                <w:sz w:val="16"/>
                <w:szCs w:val="16"/>
                <w:lang w:val="uk-UA" w:eastAsia="uk-UA"/>
              </w:rPr>
              <w:t>Реєстраційна процедура</w:t>
            </w:r>
          </w:p>
        </w:tc>
        <w:tc>
          <w:tcPr>
            <w:tcW w:w="1134"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12600" w:leader="none"/>
              </w:tabs>
              <w:spacing w:lineRule="auto" w:line="240" w:before="0" w:after="0"/>
              <w:jc w:val="center"/>
              <w:rPr>
                <w:rFonts w:ascii="Arial" w:hAnsi="Arial" w:eastAsia="Times New Roman" w:cs="Arial"/>
                <w:b/>
                <w:i/>
                <w:i/>
                <w:sz w:val="16"/>
                <w:szCs w:val="16"/>
                <w:lang w:val="uk-UA" w:eastAsia="uk-UA"/>
              </w:rPr>
            </w:pPr>
            <w:r>
              <w:rPr>
                <w:rFonts w:eastAsia="Times New Roman" w:cs="Arial" w:ascii="Arial" w:hAnsi="Arial"/>
                <w:b/>
                <w:i/>
                <w:sz w:val="16"/>
                <w:szCs w:val="16"/>
                <w:lang w:val="uk-UA" w:eastAsia="uk-UA"/>
              </w:rPr>
              <w:t>Умови відпуску</w:t>
            </w:r>
          </w:p>
        </w:tc>
        <w:tc>
          <w:tcPr>
            <w:tcW w:w="1560" w:type="dxa"/>
            <w:tcBorders>
              <w:top w:val="single" w:sz="4" w:space="0" w:color="000000"/>
              <w:left w:val="single" w:sz="4" w:space="0" w:color="000000"/>
              <w:bottom w:val="single" w:sz="4" w:space="0" w:color="000000"/>
              <w:right w:val="single" w:sz="4" w:space="0" w:color="000000"/>
            </w:tcBorders>
            <w:shd w:fill="BFBFBF" w:val="clear"/>
          </w:tcPr>
          <w:p>
            <w:pPr>
              <w:pStyle w:val="Normal"/>
              <w:tabs>
                <w:tab w:val="clear" w:pos="720"/>
                <w:tab w:val="left" w:pos="12600" w:leader="none"/>
              </w:tabs>
              <w:spacing w:lineRule="auto" w:line="240" w:before="0" w:after="0"/>
              <w:jc w:val="center"/>
              <w:rPr>
                <w:rFonts w:ascii="Arial" w:hAnsi="Arial" w:eastAsia="Times New Roman" w:cs="Arial"/>
                <w:b/>
                <w:i/>
                <w:i/>
                <w:sz w:val="16"/>
                <w:szCs w:val="16"/>
                <w:lang w:val="uk-UA" w:eastAsia="uk-UA"/>
              </w:rPr>
            </w:pPr>
            <w:r>
              <w:rPr>
                <w:rFonts w:eastAsia="Times New Roman" w:cs="Arial" w:ascii="Arial" w:hAnsi="Arial"/>
                <w:b/>
                <w:i/>
                <w:sz w:val="16"/>
                <w:szCs w:val="16"/>
                <w:lang w:val="uk-UA" w:eastAsia="uk-UA"/>
              </w:rPr>
              <w:t>Номер реєстраційного посвідчення</w:t>
            </w:r>
          </w:p>
        </w:tc>
      </w:tr>
      <w:tr>
        <w:trPr>
          <w:trHeight w:val="433" w:hRule="atLeast"/>
        </w:trPr>
        <w:tc>
          <w:tcPr>
            <w:tcW w:w="561" w:type="dxa"/>
            <w:tcBorders>
              <w:top w:val="single" w:sz="4" w:space="0" w:color="000000"/>
              <w:left w:val="single" w:sz="4" w:space="0" w:color="000000"/>
              <w:bottom w:val="single" w:sz="4" w:space="0" w:color="000000"/>
              <w:right w:val="single" w:sz="4" w:space="0" w:color="000000"/>
            </w:tcBorders>
            <w:shd w:fill="FFFFFF" w:val="clear"/>
          </w:tcPr>
          <w:p>
            <w:pPr>
              <w:pStyle w:val="Normal"/>
              <w:numPr>
                <w:ilvl w:val="0"/>
                <w:numId w:val="1"/>
              </w:numPr>
              <w:tabs>
                <w:tab w:val="clear" w:pos="720"/>
                <w:tab w:val="left" w:pos="12600" w:leader="none"/>
              </w:tabs>
              <w:snapToGrid w:val="false"/>
              <w:spacing w:lineRule="auto" w:line="240" w:before="0" w:after="0"/>
              <w:contextualSpacing/>
              <w:rPr>
                <w:rFonts w:ascii="Arial" w:hAnsi="Arial" w:eastAsia="Times New Roman" w:cs="Arial"/>
                <w:b/>
                <w:sz w:val="16"/>
                <w:szCs w:val="16"/>
                <w:lang w:val="uk-UA"/>
              </w:rPr>
            </w:pPr>
            <w:r>
              <w:rPr>
                <w:rFonts w:eastAsia="Times New Roman" w:cs="Arial" w:ascii="Arial" w:hAnsi="Arial"/>
                <w:b/>
                <w:i/>
                <w:sz w:val="16"/>
                <w:szCs w:val="16"/>
                <w:lang w:val="uk-UA" w:eastAsia="ru-RU"/>
              </w:rPr>
            </w:r>
          </w:p>
        </w:tc>
        <w:tc>
          <w:tcPr>
            <w:tcW w:w="1282" w:type="dxa"/>
            <w:tcBorders>
              <w:top w:val="single" w:sz="4" w:space="0" w:color="000000"/>
              <w:left w:val="single" w:sz="4" w:space="0" w:color="000000"/>
              <w:bottom w:val="single" w:sz="4" w:space="0" w:color="000000"/>
              <w:right w:val="single" w:sz="4" w:space="0" w:color="000000"/>
            </w:tcBorders>
            <w:shd w:fill="FFFFFF" w:val="clear"/>
          </w:tcPr>
          <w:p>
            <w:pPr>
              <w:pStyle w:val="Style18"/>
              <w:tabs>
                <w:tab w:val="clear" w:pos="720"/>
                <w:tab w:val="left" w:pos="12600" w:leader="none"/>
              </w:tabs>
              <w:jc w:val="center"/>
              <w:rPr>
                <w:rFonts w:ascii="Arial" w:hAnsi="Arial" w:cs="Arial"/>
                <w:b/>
                <w:i/>
                <w:i/>
                <w:color w:val="000000"/>
                <w:sz w:val="16"/>
                <w:szCs w:val="16"/>
                <w:lang w:val="uk-UA"/>
              </w:rPr>
            </w:pPr>
            <w:r>
              <w:rPr>
                <w:rFonts w:cs="Arial" w:ascii="Arial" w:hAnsi="Arial"/>
                <w:b/>
                <w:sz w:val="16"/>
                <w:szCs w:val="16"/>
              </w:rPr>
              <w:t>ТРІМБОУ</w:t>
            </w:r>
          </w:p>
        </w:tc>
        <w:tc>
          <w:tcPr>
            <w:tcW w:w="992" w:type="dxa"/>
            <w:tcBorders>
              <w:top w:val="single" w:sz="4" w:space="0" w:color="000000"/>
              <w:left w:val="single" w:sz="4" w:space="0" w:color="000000"/>
              <w:bottom w:val="single" w:sz="4" w:space="0" w:color="000000"/>
              <w:right w:val="single" w:sz="4" w:space="0" w:color="000000"/>
            </w:tcBorders>
          </w:tcPr>
          <w:p>
            <w:pPr>
              <w:pStyle w:val="Style18"/>
              <w:tabs>
                <w:tab w:val="clear" w:pos="720"/>
                <w:tab w:val="left" w:pos="12600" w:leader="none"/>
              </w:tabs>
              <w:jc w:val="center"/>
              <w:rPr>
                <w:rFonts w:ascii="Arial" w:hAnsi="Arial" w:cs="Arial"/>
                <w:color w:val="000000"/>
                <w:sz w:val="16"/>
                <w:szCs w:val="16"/>
              </w:rPr>
            </w:pPr>
            <w:r>
              <w:rPr>
                <w:rFonts w:cs="Arial" w:ascii="Arial" w:hAnsi="Arial"/>
                <w:color w:val="000000"/>
                <w:sz w:val="16"/>
                <w:szCs w:val="16"/>
              </w:rPr>
              <w:t>Formoterol, glycopyrronium bromide and beclometasone</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Style18"/>
              <w:tabs>
                <w:tab w:val="clear" w:pos="720"/>
                <w:tab w:val="left" w:pos="12600" w:leader="none"/>
              </w:tabs>
              <w:jc w:val="center"/>
              <w:rPr>
                <w:rFonts w:ascii="Arial" w:hAnsi="Arial" w:cs="Arial"/>
                <w:color w:val="000000"/>
                <w:sz w:val="16"/>
                <w:szCs w:val="16"/>
              </w:rPr>
            </w:pPr>
            <w:r>
              <w:rPr>
                <w:rFonts w:cs="Arial" w:ascii="Arial" w:hAnsi="Arial"/>
                <w:color w:val="000000"/>
                <w:sz w:val="16"/>
                <w:szCs w:val="16"/>
              </w:rPr>
              <w:t>беклометазону дипропіонат, формотеролу фумарату дигідрат та глікопіроній (у вигляді глікопіронію броміду)</w:t>
            </w:r>
          </w:p>
        </w:tc>
        <w:tc>
          <w:tcPr>
            <w:tcW w:w="708" w:type="dxa"/>
            <w:tcBorders>
              <w:top w:val="single" w:sz="4" w:space="0" w:color="000000"/>
              <w:left w:val="single" w:sz="4" w:space="0" w:color="000000"/>
              <w:bottom w:val="single" w:sz="4" w:space="0" w:color="000000"/>
              <w:right w:val="single" w:sz="4" w:space="0" w:color="000000"/>
            </w:tcBorders>
            <w:shd w:fill="FFFFFF" w:val="clear"/>
          </w:tcPr>
          <w:p>
            <w:pPr>
              <w:pStyle w:val="Style18"/>
              <w:tabs>
                <w:tab w:val="clear" w:pos="720"/>
                <w:tab w:val="left" w:pos="12600" w:leader="none"/>
              </w:tabs>
              <w:jc w:val="center"/>
              <w:rPr>
                <w:rFonts w:ascii="Arial" w:hAnsi="Arial" w:cs="Arial"/>
                <w:color w:val="000000"/>
                <w:sz w:val="16"/>
                <w:szCs w:val="16"/>
              </w:rPr>
            </w:pPr>
            <w:r>
              <w:rPr>
                <w:rFonts w:cs="Arial" w:ascii="Arial" w:hAnsi="Arial"/>
                <w:color w:val="000000"/>
                <w:sz w:val="16"/>
                <w:szCs w:val="16"/>
              </w:rPr>
              <w:t>R03AL09</w:t>
            </w:r>
          </w:p>
        </w:tc>
        <w:tc>
          <w:tcPr>
            <w:tcW w:w="1843" w:type="dxa"/>
            <w:tcBorders>
              <w:top w:val="single" w:sz="4" w:space="0" w:color="000000"/>
              <w:left w:val="single" w:sz="4" w:space="0" w:color="000000"/>
              <w:bottom w:val="single" w:sz="4" w:space="0" w:color="000000"/>
              <w:right w:val="single" w:sz="4" w:space="0" w:color="000000"/>
            </w:tcBorders>
            <w:shd w:fill="FFFFFF" w:val="clear"/>
          </w:tcPr>
          <w:p>
            <w:pPr>
              <w:pStyle w:val="Style18"/>
              <w:tabs>
                <w:tab w:val="clear" w:pos="720"/>
                <w:tab w:val="left" w:pos="12600" w:leader="none"/>
              </w:tabs>
              <w:jc w:val="center"/>
              <w:rPr/>
            </w:pPr>
            <w:r>
              <w:rPr>
                <w:rFonts w:cs="Arial" w:ascii="Arial" w:hAnsi="Arial"/>
                <w:color w:val="000000"/>
                <w:sz w:val="16"/>
                <w:szCs w:val="16"/>
              </w:rPr>
              <w:t xml:space="preserve">розчин для інгаляцій під тиском, 87+5+9 мкг/дозу; </w:t>
              <w:br/>
              <w:t xml:space="preserve">по 120 доз у контейнері; по 1 контейнеру з дозуючим клапаном в пластиковому інгаляторі із вбудованими лічильником доз і розпилюючою насадкою та захисним ковпачком у картонній коробці з маркуванням іноземними мовами зі стикером українською мовою; </w:t>
              <w:br/>
              <w:t>по 180 доз у контейнері; по 1 контейнеру з дозуючим клапаном в пластиковому інгаляторі із вбудованим індикатором доз і розпилюючою насадкою та захисним ковпачком у картонній коробці з маркуванням іноземними мовами зі стикером українською мовою;</w:t>
              <w:br/>
              <w:t xml:space="preserve">по 120 доз у контейнері; по 1 контейнеру з дозуючим клапаном в пластиковому інгаляторі із вбудованими лічильником доз і розпилюючою насадкою та захисним ковпачком у картонній коробці з маркуванням українською мовою; </w:t>
              <w:br/>
              <w:t>по 180 доз у контейнері; по 1 контейнеру з дозуючим клапаном в пластиковому інгаляторі із вбудованим індикатором доз і розпилюючою насадкою та захисним ковпачком у картонній коробці з маркуванням українською мовою</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Style18"/>
              <w:tabs>
                <w:tab w:val="clear" w:pos="720"/>
                <w:tab w:val="left" w:pos="12600" w:leader="none"/>
              </w:tabs>
              <w:jc w:val="center"/>
              <w:rPr>
                <w:rFonts w:ascii="Arial" w:hAnsi="Arial" w:cs="Arial"/>
                <w:color w:val="000000"/>
                <w:sz w:val="16"/>
                <w:szCs w:val="16"/>
              </w:rPr>
            </w:pPr>
            <w:r>
              <w:rPr>
                <w:rFonts w:cs="Arial" w:ascii="Arial" w:hAnsi="Arial"/>
                <w:color w:val="000000"/>
                <w:sz w:val="16"/>
                <w:szCs w:val="16"/>
              </w:rPr>
              <w:t>К'єзі Фармас'ютікелз ГмбХ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Style18"/>
              <w:tabs>
                <w:tab w:val="clear" w:pos="720"/>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Style18"/>
              <w:tabs>
                <w:tab w:val="clear" w:pos="720"/>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(збір наповнених контейнерів та пакування):</w:t>
              <w:br/>
              <w:t>Г.Л. Фарма ГмбХ, Австрія;</w:t>
              <w:br/>
              <w:t>Виробництво, первинне пакування, вторинне пакування (збір наповнених контейнерів та пакування), контроль серії, випуск серії:</w:t>
              <w:br/>
              <w:t>К’єзі С.А.С., Францiя;</w:t>
              <w:br/>
              <w:t>Випуск серії:</w:t>
              <w:br/>
              <w:t>К'єзі Фармас'ютікелз ГмбХ, Австрія;</w:t>
              <w:br/>
              <w:t>Виробництво, первинне пакування, вторинне пакування (збір наповнених контейнерів та пакування), контроль серії, випуск серії:</w:t>
              <w:br/>
              <w:t>К'єзі Фармацеутиці С.п.А., Італія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Style18"/>
              <w:tabs>
                <w:tab w:val="clear" w:pos="720"/>
                <w:tab w:val="left" w:pos="12600" w:leader="none"/>
              </w:tabs>
              <w:jc w:val="center"/>
              <w:rPr>
                <w:rFonts w:ascii="Arial" w:hAnsi="Arial" w:cs="Arial"/>
                <w:color w:val="000000"/>
                <w:sz w:val="16"/>
                <w:szCs w:val="16"/>
              </w:rPr>
            </w:pPr>
            <w:r>
              <w:rPr>
                <w:rFonts w:cs="Arial" w:ascii="Arial" w:hAnsi="Arial"/>
                <w:color w:val="000000"/>
                <w:sz w:val="16"/>
                <w:szCs w:val="16"/>
              </w:rPr>
              <w:t>Австрія/ Францiя/ Італія</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Style18"/>
              <w:tabs>
                <w:tab w:val="clear" w:pos="720"/>
                <w:tab w:val="left" w:pos="12600" w:leader="none"/>
              </w:tabs>
              <w:jc w:val="center"/>
              <w:rPr>
                <w:rFonts w:ascii="Arial" w:hAnsi="Arial" w:cs="Arial"/>
                <w:color w:val="000000"/>
                <w:sz w:val="16"/>
                <w:szCs w:val="16"/>
              </w:rPr>
            </w:pPr>
            <w:r>
              <w:rPr>
                <w:rFonts w:cs="Arial" w:ascii="Arial" w:hAnsi="Arial"/>
                <w:color w:val="000000"/>
                <w:sz w:val="16"/>
                <w:szCs w:val="16"/>
              </w:rPr>
              <w:t>Type II - B.II.b.3.b: Substantial changes to a manufacturing process that may have a significant impact on the quality, safety and efficacy of the medicinal product - Substantial changes to the manufacturing process of the finished product related to reversing the order of active substance and HCI addition in the bulk manufacturing of the inhalation solution and to introduce a filtration step in the bulk solution preparation phase. Both changes are aimed at reducing the potential formation of undissolved formoterol- related particles in the finished product.</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Style18"/>
              <w:tabs>
                <w:tab w:val="clear" w:pos="720"/>
                <w:tab w:val="left" w:pos="12600" w:leader="none"/>
              </w:tabs>
              <w:ind w:left="-185" w:right="0"/>
              <w:jc w:val="center"/>
              <w:rPr>
                <w:rFonts w:ascii="Arial" w:hAnsi="Arial" w:cs="Arial"/>
                <w:b/>
                <w:i/>
                <w:i/>
                <w:color w:val="000000"/>
                <w:sz w:val="16"/>
                <w:szCs w:val="16"/>
              </w:rPr>
            </w:pPr>
            <w:r>
              <w:rPr>
                <w:rFonts w:cs="Arial" w:ascii="Arial" w:hAnsi="Arial"/>
                <w:i/>
                <w:sz w:val="16"/>
                <w:szCs w:val="16"/>
              </w:rPr>
              <w:t>за рецептом</w:t>
            </w:r>
          </w:p>
        </w:tc>
        <w:tc>
          <w:tcPr>
            <w:tcW w:w="1560" w:type="dxa"/>
            <w:tcBorders>
              <w:top w:val="single" w:sz="4" w:space="0" w:color="000000"/>
              <w:left w:val="single" w:sz="4" w:space="0" w:color="000000"/>
              <w:bottom w:val="single" w:sz="4" w:space="0" w:color="000000"/>
              <w:right w:val="single" w:sz="4" w:space="0" w:color="000000"/>
            </w:tcBorders>
          </w:tcPr>
          <w:p>
            <w:pPr>
              <w:pStyle w:val="Style18"/>
              <w:tabs>
                <w:tab w:val="clear" w:pos="720"/>
                <w:tab w:val="left" w:pos="12600" w:leader="none"/>
              </w:tabs>
              <w:jc w:val="center"/>
              <w:rPr>
                <w:rFonts w:ascii="Arial" w:hAnsi="Arial" w:cs="Arial"/>
                <w:sz w:val="16"/>
                <w:szCs w:val="16"/>
              </w:rPr>
            </w:pPr>
            <w:r>
              <w:rPr>
                <w:rFonts w:cs="Arial" w:ascii="Arial" w:hAnsi="Arial"/>
                <w:sz w:val="16"/>
                <w:szCs w:val="16"/>
              </w:rPr>
              <w:t>UA/21075/01/01</w:t>
            </w:r>
          </w:p>
        </w:tc>
      </w:tr>
    </w:tbl>
    <w:p>
      <w:pPr>
        <w:pStyle w:val="Normal"/>
        <w:spacing w:lineRule="auto" w:line="240" w:before="0" w:after="0"/>
        <w:rPr>
          <w:rFonts w:ascii="Arial" w:hAnsi="Arial" w:cs="Arial"/>
          <w:sz w:val="16"/>
          <w:szCs w:val="16"/>
        </w:rPr>
      </w:pPr>
      <w:r>
        <w:rPr>
          <w:rFonts w:cs="Arial" w:ascii="Arial" w:hAnsi="Arial"/>
          <w:sz w:val="16"/>
          <w:szCs w:val="16"/>
        </w:rPr>
      </w:r>
    </w:p>
    <w:sectPr>
      <w:footerReference w:type="default" r:id="rId2"/>
      <w:footerReference w:type="first" r:id="rId3"/>
      <w:type w:val="nextPage"/>
      <w:pgSz w:orient="landscape" w:w="16838" w:h="11906"/>
      <w:pgMar w:left="851" w:right="851" w:gutter="0" w:header="0" w:top="1134" w:footer="709" w:bottom="85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cc"/>
    <w:family w:val="swiss"/>
    <w:pitch w:val="variable"/>
  </w:font>
  <w:font w:name="Segoe UI">
    <w:charset w:val="cc"/>
    <w:family w:val="swiss"/>
    <w:pitch w:val="variable"/>
  </w:font>
  <w:font w:name="Liberation Sans">
    <w:altName w:val="Arial"/>
    <w:charset w:val="01"/>
    <w:family w:val="swiss"/>
    <w:pitch w:val="variable"/>
  </w:font>
  <w:font w:name="Times New Roman">
    <w:charset w:val="cc"/>
    <w:family w:val="roman"/>
    <w:pitch w:val="variable"/>
  </w:font>
  <w:font w:name="Arial">
    <w:charset w:val="cc"/>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w:t>
    </w:r>
    <w:r>
      <w:rPr/>
      <w:fldChar w:fldCharType="end"/>
    </w:r>
  </w:p>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57" w:before="0" w:after="160"/>
    </w:pPr>
    <w:rPr>
      <w:rFonts w:ascii="Calibri" w:hAnsi="Calibri" w:eastAsia="Calibri" w:cs="Times New Roman"/>
      <w:color w:val="auto"/>
      <w:sz w:val="22"/>
      <w:szCs w:val="22"/>
      <w:lang w:val="en-US" w:bidi="ar-SA" w:eastAsia="zh-CN"/>
    </w:rPr>
  </w:style>
  <w:style w:type="character" w:styleId="WW8Num3z0">
    <w:name w:val="WW8Num3z0"/>
    <w:qFormat/>
    <w:rPr>
      <w:rFonts w:cs="Times New Roman"/>
    </w:rPr>
  </w:style>
  <w:style w:type="character" w:styleId="Style14">
    <w:name w:val="Основной шрифт абзаца"/>
    <w:qFormat/>
    <w:rPr/>
  </w:style>
  <w:style w:type="character" w:styleId="Style15">
    <w:name w:val="Текст выноски Знак"/>
    <w:qFormat/>
    <w:rPr>
      <w:rFonts w:ascii="Segoe UI" w:hAnsi="Segoe UI" w:cs="Segoe UI"/>
      <w:sz w:val="18"/>
      <w:szCs w:val="18"/>
    </w:rPr>
  </w:style>
  <w:style w:type="character" w:styleId="Hyperlink">
    <w:name w:val="Hyperlink"/>
    <w:rPr>
      <w:color w:val="0000FF"/>
      <w:u w:val="single"/>
    </w:rPr>
  </w:style>
  <w:style w:type="character" w:styleId="Style16">
    <w:name w:val="Верхний колонтитул Знак"/>
    <w:qFormat/>
    <w:rPr>
      <w:sz w:val="22"/>
      <w:szCs w:val="22"/>
    </w:rPr>
  </w:style>
  <w:style w:type="character" w:styleId="Style17">
    <w:name w:val="Нижний колонтитул Знак"/>
    <w:qFormat/>
    <w:rPr>
      <w:sz w:val="22"/>
      <w:szCs w:val="22"/>
    </w:rPr>
  </w:style>
  <w:style w:type="character" w:styleId="2">
    <w:name w:val="Основной текст (2)_"/>
    <w:qFormat/>
    <w:rPr>
      <w:sz w:val="22"/>
      <w:szCs w:val="22"/>
      <w:shd w:fill="FFFFFF" w:val="clear"/>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Style18">
    <w:name w:val="Звичайний"/>
    <w:qFormat/>
    <w:pPr>
      <w:widowControl/>
      <w:bidi w:val="0"/>
    </w:pPr>
    <w:rPr>
      <w:rFonts w:ascii="Times New Roman" w:hAnsi="Times New Roman" w:eastAsia="Times New Roman" w:cs="Times New Roman"/>
      <w:color w:val="auto"/>
      <w:sz w:val="24"/>
      <w:szCs w:val="24"/>
      <w:lang w:val="en-US" w:bidi="ar-SA" w:eastAsia="zh-CN"/>
    </w:rPr>
  </w:style>
  <w:style w:type="paragraph" w:styleId="Style19">
    <w:name w:val="Текст выноски"/>
    <w:basedOn w:val="Normal"/>
    <w:qFormat/>
    <w:pPr>
      <w:spacing w:lineRule="auto" w:line="240" w:before="0" w:after="0"/>
    </w:pPr>
    <w:rPr>
      <w:rFonts w:ascii="Segoe UI" w:hAnsi="Segoe UI" w:cs="Segoe UI"/>
      <w:sz w:val="18"/>
      <w:szCs w:val="18"/>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tabs>
        <w:tab w:val="clear" w:pos="720"/>
        <w:tab w:val="center" w:pos="4844" w:leader="none"/>
        <w:tab w:val="right" w:pos="9689" w:leader="none"/>
      </w:tabs>
    </w:pPr>
    <w:rPr/>
  </w:style>
  <w:style w:type="paragraph" w:styleId="Footer">
    <w:name w:val="footer"/>
    <w:basedOn w:val="Normal"/>
    <w:pPr>
      <w:tabs>
        <w:tab w:val="clear" w:pos="720"/>
        <w:tab w:val="center" w:pos="4844" w:leader="none"/>
        <w:tab w:val="right" w:pos="9689" w:leader="none"/>
      </w:tabs>
    </w:pPr>
    <w:rPr/>
  </w:style>
  <w:style w:type="paragraph" w:styleId="21">
    <w:name w:val="Основной текст (2)1"/>
    <w:basedOn w:val="Normal"/>
    <w:qFormat/>
    <w:pPr>
      <w:widowControl w:val="false"/>
      <w:shd w:fill="FFFFFF" w:val="clear"/>
      <w:spacing w:lineRule="exact" w:line="250" w:before="0" w:after="480"/>
      <w:ind w:hanging="600" w:left="0" w:right="0"/>
      <w:jc w:val="both"/>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2026-10-22T08:40:00Z</dcterms:created>
  <dc:creator>RePack by Diakov</dc:creator>
  <dc:description/>
  <cp:keywords/>
  <dc:language>en-US</dc:language>
  <cp:lastModifiedBy>Сайчук Світлана Анатоліївна</cp:lastModifiedBy>
  <cp:lastPrinted>2022-04-14T11:34:00Z</cp:lastPrinted>
  <dcterms:modified xsi:type="dcterms:W3CDTF">2026-10-22T08:40:00Z</dcterms:modified>
  <cp:revision>3</cp:revision>
  <dc:subject/>
  <dc:title/>
</cp:coreProperties>
</file>