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jc w:val="center"/>
        <w:rPr>
          <w:rFonts w:ascii="Arial" w:hAnsi="Arial" w:cs="Arial"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  <w:t>ПЕРЕЛІК</w:t>
      </w:r>
    </w:p>
    <w:p>
      <w:pPr>
        <w:pStyle w:val="Normal1"/>
        <w:jc w:val="center"/>
        <w:rPr>
          <w:rFonts w:ascii="Arial" w:hAnsi="Arial" w:cs="Arial"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  <w:t xml:space="preserve">ЛІКАРСЬКИХ ЗАСОБІВ, НА ЯКІ ЗАВЕРШЕНО ПЕРЕВІРКУ РЕЄСТРАЦІЙНИХ МАТЕРІАЛІВ НА ЇХ АВТЕНТИЧНІСТЬ НА ЛІКАРСЬКИЙ ЗАСІБ, ЯКИЙ ПОДАЄТЬСЯ НА ДЕРЖАВНУ РЕЄСТРАЦІЮ З МЕТОЮ ЙОГО ЗАКУПІВЛІ ОСОБОЮ, УПОВНОВАЖЕНОЮ НА ЗДІЙСНЕННЯ ЗАКУПІВЕЛЬ У СФЕРІ ОХОРОНИ ЗДОРОВ'Я, </w:t>
        <w:br/>
        <w:t xml:space="preserve">ТА ПОДАЄТЬСЯ НА ДЕРЖАВНУ РЕЄСТРАЦІЮ ПІСЛЯ ВИЗНАЧЕННЯ ПЕРЕМОЖЦЯ ПРОЦЕДУРИ ЗАКУПІВЛІ </w:t>
      </w:r>
    </w:p>
    <w:p>
      <w:pPr>
        <w:pStyle w:val="Normal1"/>
        <w:jc w:val="center"/>
        <w:rPr>
          <w:rFonts w:ascii="Arial" w:hAnsi="Arial" w:cs="Arial"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</w:r>
    </w:p>
    <w:tbl>
      <w:tblPr>
        <w:tblW w:w="15735" w:type="dxa"/>
        <w:jc w:val="left"/>
        <w:tblInd w:w="-1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1134"/>
        <w:gridCol w:w="992"/>
        <w:gridCol w:w="709"/>
        <w:gridCol w:w="992"/>
        <w:gridCol w:w="1134"/>
        <w:gridCol w:w="1134"/>
        <w:gridCol w:w="850"/>
        <w:gridCol w:w="2127"/>
        <w:gridCol w:w="992"/>
        <w:gridCol w:w="1559"/>
        <w:gridCol w:w="1134"/>
        <w:gridCol w:w="991"/>
        <w:gridCol w:w="1561"/>
      </w:tblGrid>
      <w:tr>
        <w:trPr>
          <w:tblHeader w:val="true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№</w:t>
            </w:r>
            <w:r>
              <w:rPr>
                <w:rFonts w:eastAsia="Arial" w:cs="Arial" w:ascii="Arial" w:hAnsi="Arial"/>
                <w:b/>
                <w:i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b/>
                <w:i/>
                <w:sz w:val="16"/>
                <w:szCs w:val="16"/>
              </w:rPr>
              <w:t>п/п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Назва лікарського засобу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Міжнародна непатентована назва*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Назва діючої речовини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Код АТХ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Форма випуску (лікарська форма, упаковка)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Заявник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Країна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Виробник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Країна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Реєстраційна процедура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Умови відпуску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Рекламування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Номер реєстраційного посвідчення</w:t>
            </w:r>
          </w:p>
        </w:tc>
      </w:tr>
      <w:tr>
        <w:trPr>
          <w:tblHeader w:val="true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b/>
                <w:i/>
                <w:i/>
                <w:sz w:val="16"/>
                <w:szCs w:val="16"/>
                <w:lang w:val="ru-RU" w:eastAsia="en-US"/>
              </w:rPr>
            </w:pPr>
            <w:r>
              <w:rPr>
                <w:rFonts w:eastAsia="Calibri" w:cs="Arial" w:ascii="Arial" w:hAnsi="Arial"/>
                <w:b/>
                <w:i/>
                <w:sz w:val="16"/>
                <w:szCs w:val="16"/>
                <w:lang w:val="ru-RU" w:eastAsia="en-US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  <w:lang w:eastAsia="en-US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  <w:lang w:eastAsia="en-US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</w:tr>
      <w:tr>
        <w:trPr>
          <w:trHeight w:val="1187" w:hRule="atLeast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msolistparagraph"/>
              <w:numPr>
                <w:ilvl w:val="0"/>
                <w:numId w:val="3"/>
              </w:numPr>
              <w:tabs>
                <w:tab w:val="clear" w:pos="708"/>
                <w:tab w:val="left" w:pos="12600" w:leader="none"/>
              </w:tabs>
              <w:snapToGrid w:val="false"/>
              <w:ind w:hanging="360" w:left="360" w:right="0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eastAsia="Calibri" w:cs="Arial" w:ascii="Arial" w:hAnsi="Arial"/>
                <w:b/>
                <w:sz w:val="16"/>
                <w:szCs w:val="16"/>
                <w:lang w:val="ru-RU" w:eastAsia="en-US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БІКАЛУТАМІД АККОРД / BICALUTAMIDE ACCORD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bicalutamide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бікалутамід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L02B B03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tabs>
                <w:tab w:val="clear" w:pos="708"/>
                <w:tab w:val="left" w:pos="12600" w:leader="none"/>
              </w:tabs>
              <w:jc w:val="center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 по, 50 мг по 14 таблеток у блістері; по 2 блістери та листок вкладиш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Аккорд Хелскеа Полска Сп. з.о.о.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tabs>
                <w:tab w:val="clear" w:pos="708"/>
                <w:tab w:val="left" w:pos="12600" w:leader="none"/>
              </w:tabs>
              <w:jc w:val="center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випуск серії в ЄС, імпортер, що здійснює випуск серії в ЄС:</w:t>
              <w:br/>
              <w:t xml:space="preserve">Аккорд Хелскеа Б.В., Нідерланди </w:t>
              <w:br/>
              <w:br/>
              <w:t>вторинне пакування:</w:t>
              <w:br/>
              <w:t>Аккорд Хелскеа Лімітед, Велика Британія</w:t>
              <w:br/>
              <w:br/>
              <w:t>випуск серії в ЄС, імпортер, що здійснює випуск серії в ЄС:</w:t>
              <w:br/>
              <w:t>Аккорд Хелскеа Полска Сп. з о.о., Польща</w:t>
              <w:br/>
              <w:br/>
              <w:t>випуск серії в ЄС, контроль якості, вторинне пакування, імпортер, що здійснює випуск серії в ЄС:</w:t>
              <w:br/>
              <w:t>Аккорд Хелскеа Сінгл Мембер С.А., Греція</w:t>
              <w:br/>
              <w:br/>
              <w:t>контроль якості:</w:t>
              <w:br/>
              <w:t>Єврофінс Біофарма Продакт Тестінг Будапешт Кфт., Угорщина</w:t>
              <w:br/>
              <w:br/>
              <w:t>виробництво лікарського засобу, первинне та вторинне пакування:</w:t>
              <w:br/>
              <w:t>Інтас Фармасьютікалc Лімітед, Індія</w:t>
              <w:br/>
              <w:br/>
              <w:t>контроль якості:</w:t>
              <w:br/>
              <w:t>Лаб Аналізіс с.р.л., Італія</w:t>
              <w:br/>
              <w:br/>
              <w:t>виробництво лікарського засобу, первинне та вторинне пакування:</w:t>
              <w:br/>
              <w:t>Сакар Хелскеа Лімітед, Індія</w:t>
              <w:br/>
              <w:br/>
              <w:t>контроль якості:</w:t>
              <w:br/>
              <w:t>Фармавалід Кфт., Угорщина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tabs>
                <w:tab w:val="clear" w:pos="708"/>
                <w:tab w:val="left" w:pos="12600" w:leader="none"/>
              </w:tabs>
              <w:jc w:val="center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Нідерланди/ Велика Британія/ Польща/Греція/Угорщина/Індія/ Італія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реєстрація до введення в дію Закону України від 28 липня 2022 року № 2469-IX «Про лікарські засоби»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tabs>
                <w:tab w:val="clear" w:pos="708"/>
                <w:tab w:val="left" w:pos="12600" w:leader="none"/>
              </w:tabs>
              <w:ind w:left="-185" w:right="0"/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 xml:space="preserve">за </w:t>
            </w:r>
          </w:p>
          <w:p>
            <w:pPr>
              <w:pStyle w:val="Normal1"/>
              <w:tabs>
                <w:tab w:val="clear" w:pos="708"/>
                <w:tab w:val="left" w:pos="12600" w:leader="none"/>
              </w:tabs>
              <w:ind w:left="-185" w:right="0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рецептом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UA/21515/01/0</w:t>
            </w:r>
            <w:r>
              <w:rPr>
                <w:rFonts w:cs="Arial" w:ascii="Arial" w:hAnsi="Arial"/>
                <w:b/>
                <w:sz w:val="16"/>
                <w:szCs w:val="16"/>
                <w:lang w:val="en-US"/>
              </w:rPr>
              <w:t>1</w:t>
            </w:r>
          </w:p>
        </w:tc>
      </w:tr>
    </w:tbl>
    <w:p>
      <w:pPr>
        <w:pStyle w:val="Normal"/>
        <w:rPr>
          <w:rFonts w:ascii="Arial" w:hAnsi="Arial" w:cs="Arial"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sectPr>
      <w:type w:val="nextPage"/>
      <w:pgSz w:orient="landscape" w:w="16838" w:h="11906"/>
      <w:pgMar w:left="850" w:right="850" w:gutter="0" w:header="0" w:top="1417" w:footer="0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swiss"/>
    <w:pitch w:val="variable"/>
  </w:font>
  <w:font w:name="Cambria">
    <w:charset w:val="cc"/>
    <w:family w:val="roman"/>
    <w:pitch w:val="variable"/>
  </w:font>
  <w:font w:name="Segoe UI">
    <w:charset w:val="cc"/>
    <w:family w:val="swiss"/>
    <w:pitch w:val="variable"/>
  </w:font>
  <w:font w:name="Liberation Sans">
    <w:altName w:val="Arial"/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num w:numId="1">
    <w:abstractNumId w:val="1"/>
  </w:num>
  <w:num w:numId="2">
    <w:abstractNumId w:val="2"/>
  </w:num>
  <w:num w:numId="3">
    <w:abstractNumId w:val="2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92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uk-UA" w:bidi="ar-SA" w:eastAsia="zh-CN"/>
    </w:rPr>
  </w:style>
  <w:style w:type="paragraph" w:styleId="Heading2">
    <w:name w:val="heading 2"/>
    <w:basedOn w:val="Normal"/>
    <w:next w:val="Normal1"/>
    <w:qFormat/>
    <w:pPr>
      <w:keepNext w:val="true"/>
      <w:numPr>
        <w:ilvl w:val="1"/>
        <w:numId w:val="1"/>
      </w:numPr>
      <w:outlineLvl w:val="1"/>
    </w:pPr>
    <w:rPr>
      <w:rFonts w:ascii="Arial" w:hAnsi="Arial" w:eastAsia="Times New Roman" w:cs="Arial"/>
      <w:b/>
      <w:caps/>
      <w:sz w:val="16"/>
      <w:szCs w:val="20"/>
    </w:rPr>
  </w:style>
  <w:style w:type="paragraph" w:styleId="Heading4">
    <w:name w:val="heading 4"/>
    <w:basedOn w:val="Normal"/>
    <w:next w:val="Normal1"/>
    <w:qFormat/>
    <w:pPr>
      <w:keepNext w:val="true"/>
      <w:numPr>
        <w:ilvl w:val="3"/>
        <w:numId w:val="1"/>
      </w:numPr>
      <w:jc w:val="center"/>
      <w:outlineLvl w:val="3"/>
    </w:pPr>
    <w:rPr>
      <w:rFonts w:ascii="Arial" w:hAnsi="Arial" w:eastAsia="Times New Roman" w:cs="Arial"/>
      <w:b/>
      <w:sz w:val="20"/>
      <w:szCs w:val="20"/>
    </w:rPr>
  </w:style>
  <w:style w:type="character" w:styleId="Style12">
    <w:name w:val="Основной шрифт абзаца"/>
    <w:qFormat/>
    <w:rPr/>
  </w:style>
  <w:style w:type="character" w:styleId="2">
    <w:name w:val="Заголовок 2 Знак"/>
    <w:qFormat/>
    <w:rPr>
      <w:rFonts w:ascii="Cambria" w:hAnsi="Cambria" w:eastAsia="Times New Roman" w:cs="Times New Roman"/>
      <w:b/>
      <w:bCs/>
      <w:color w:val="4F81BD"/>
      <w:sz w:val="26"/>
      <w:szCs w:val="26"/>
    </w:rPr>
  </w:style>
  <w:style w:type="character" w:styleId="4">
    <w:name w:val="Заголовок 4 Знак"/>
    <w:qFormat/>
    <w:rPr>
      <w:rFonts w:ascii="Cambria" w:hAnsi="Cambria" w:eastAsia="Times New Roman" w:cs="Times New Roman"/>
      <w:b/>
      <w:bCs/>
      <w:i/>
      <w:iCs/>
      <w:color w:val="4F81BD"/>
      <w:sz w:val="24"/>
      <w:szCs w:val="24"/>
    </w:rPr>
  </w:style>
  <w:style w:type="character" w:styleId="Heading2Char">
    <w:name w:val="Heading 2 Char"/>
    <w:qFormat/>
    <w:rPr>
      <w:rFonts w:ascii="Arial" w:hAnsi="Arial" w:eastAsia="Times New Roman" w:cs="Times New Roman"/>
      <w:b/>
      <w:bCs w:val="false"/>
      <w:caps/>
      <w:sz w:val="16"/>
      <w:lang w:val="ru-RU"/>
    </w:rPr>
  </w:style>
  <w:style w:type="character" w:styleId="Heading4Char">
    <w:name w:val="Heading 4 Char"/>
    <w:qFormat/>
    <w:rPr>
      <w:rFonts w:ascii="Arial" w:hAnsi="Arial" w:eastAsia="Times New Roman" w:cs="Times New Roman"/>
      <w:b/>
      <w:bCs w:val="false"/>
      <w:lang w:val="ru-RU"/>
    </w:rPr>
  </w:style>
  <w:style w:type="character" w:styleId="Style13">
    <w:name w:val="Текст выноски Знак"/>
    <w:qFormat/>
    <w:rPr>
      <w:rFonts w:ascii="Segoe UI" w:hAnsi="Segoe UI" w:eastAsia="Times New Roman" w:cs="Segoe UI"/>
      <w:sz w:val="18"/>
      <w:szCs w:val="18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ejaVu Sans" w:cs="DejaVu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Normal1">
    <w:name w:val="Normal1"/>
    <w:basedOn w:val="Normal"/>
    <w:qFormat/>
    <w:pPr/>
    <w:rPr/>
  </w:style>
  <w:style w:type="paragraph" w:styleId="msolistparagraph">
    <w:name w:val="msolistparagraph"/>
    <w:basedOn w:val="Normal"/>
    <w:qFormat/>
    <w:pPr>
      <w:spacing w:before="0" w:after="0"/>
      <w:ind w:hanging="0" w:left="720" w:right="0"/>
      <w:contextualSpacing/>
    </w:pPr>
    <w:rPr/>
  </w:style>
  <w:style w:type="paragraph" w:styleId="Encryption">
    <w:name w:val="Encryption"/>
    <w:basedOn w:val="Normal"/>
    <w:qFormat/>
    <w:pPr>
      <w:jc w:val="both"/>
    </w:pPr>
    <w:rPr>
      <w:b/>
      <w:bCs/>
      <w:i/>
      <w:iCs/>
    </w:rPr>
  </w:style>
  <w:style w:type="paragraph" w:styleId="WW-Heading2">
    <w:name w:val="WW-Heading 2"/>
    <w:basedOn w:val="Normal"/>
    <w:qFormat/>
    <w:pPr/>
    <w:rPr/>
  </w:style>
  <w:style w:type="paragraph" w:styleId="WW-Heading4">
    <w:name w:val="WW-Heading 4"/>
    <w:basedOn w:val="Normal"/>
    <w:qFormat/>
    <w:pPr/>
    <w:rPr/>
  </w:style>
  <w:style w:type="paragraph" w:styleId="Style14">
    <w:name w:val="Текст выноски"/>
    <w:basedOn w:val="Normal"/>
    <w:qFormat/>
    <w:pPr/>
    <w:rPr>
      <w:rFonts w:ascii="Segoe UI" w:hAnsi="Segoe UI" w:cs="Segoe UI"/>
      <w:sz w:val="18"/>
      <w:szCs w:val="18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2026-11-04T13:28:00Z</dcterms:created>
  <dc:creator>Vitaliya</dc:creator>
  <dc:description/>
  <cp:keywords/>
  <dc:language>en-US</dc:language>
  <cp:lastModifiedBy>Сайчук Світлана Анатоліївна</cp:lastModifiedBy>
  <cp:lastPrinted>2021-07-15T10:59:00Z</cp:lastPrinted>
  <dcterms:modified xsi:type="dcterms:W3CDTF">2026-11-05T08:47:00Z</dcterms:modified>
  <cp:revision>4</cp:revision>
  <dc:subject/>
  <dc:title/>
</cp:coreProperties>
</file>