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AC2" w:rsidRPr="00553D84" w:rsidRDefault="00B33AC2" w:rsidP="00B33AC2">
      <w:pPr>
        <w:spacing w:after="0" w:line="240" w:lineRule="auto"/>
        <w:ind w:right="-23"/>
        <w:jc w:val="center"/>
        <w:rPr>
          <w:b/>
          <w:color w:val="auto"/>
          <w:sz w:val="20"/>
          <w:szCs w:val="20"/>
        </w:rPr>
      </w:pPr>
    </w:p>
    <w:p w:rsidR="00B33AC2" w:rsidRPr="00553D84" w:rsidRDefault="00B33AC2" w:rsidP="00B33AC2">
      <w:pPr>
        <w:widowControl w:val="0"/>
        <w:tabs>
          <w:tab w:val="left" w:pos="486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iCs/>
          <w:color w:val="auto"/>
          <w:lang w:eastAsia="ru-RU"/>
        </w:rPr>
      </w:pPr>
      <w:r w:rsidRPr="00553D84">
        <w:rPr>
          <w:rFonts w:eastAsia="Times New Roman"/>
          <w:b/>
          <w:color w:val="auto"/>
          <w:lang w:eastAsia="ru-RU"/>
        </w:rPr>
        <w:t>Технічні (якісні) вимоги до предмета закупівлі:</w:t>
      </w:r>
    </w:p>
    <w:p w:rsidR="009E6EE6" w:rsidRPr="009E6EE6" w:rsidRDefault="009E6EE6" w:rsidP="009E6EE6">
      <w:pPr>
        <w:suppressAutoHyphens/>
        <w:spacing w:after="0" w:line="232" w:lineRule="auto"/>
        <w:jc w:val="center"/>
        <w:rPr>
          <w:color w:val="auto"/>
          <w:sz w:val="24"/>
          <w:szCs w:val="24"/>
          <w:lang w:val="ru-RU"/>
        </w:rPr>
      </w:pPr>
      <w:proofErr w:type="spellStart"/>
      <w:r w:rsidRPr="009E6EE6">
        <w:rPr>
          <w:color w:val="auto"/>
          <w:sz w:val="24"/>
          <w:szCs w:val="24"/>
          <w:lang w:val="ru-RU"/>
        </w:rPr>
        <w:t>Пакети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мережевого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програмного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забезпечення</w:t>
      </w:r>
      <w:proofErr w:type="spellEnd"/>
    </w:p>
    <w:p w:rsidR="009E6EE6" w:rsidRPr="009E6EE6" w:rsidRDefault="009E6EE6" w:rsidP="009E6EE6">
      <w:pPr>
        <w:suppressAutoHyphens/>
        <w:spacing w:after="0" w:line="232" w:lineRule="auto"/>
        <w:jc w:val="center"/>
        <w:rPr>
          <w:color w:val="auto"/>
          <w:sz w:val="24"/>
          <w:szCs w:val="24"/>
          <w:lang w:val="ru-RU"/>
        </w:rPr>
      </w:pPr>
      <w:r w:rsidRPr="009E6EE6">
        <w:rPr>
          <w:color w:val="auto"/>
          <w:sz w:val="24"/>
          <w:szCs w:val="24"/>
          <w:lang w:val="ru-RU"/>
        </w:rPr>
        <w:t xml:space="preserve">ДК 021:2015: 48210000-3 — </w:t>
      </w:r>
      <w:proofErr w:type="spellStart"/>
      <w:r w:rsidRPr="009E6EE6">
        <w:rPr>
          <w:color w:val="auto"/>
          <w:sz w:val="24"/>
          <w:szCs w:val="24"/>
          <w:lang w:val="ru-RU"/>
        </w:rPr>
        <w:t>Пакети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мережевого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програмного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забезпечення</w:t>
      </w:r>
      <w:proofErr w:type="spellEnd"/>
      <w:r>
        <w:rPr>
          <w:color w:val="auto"/>
          <w:sz w:val="24"/>
          <w:szCs w:val="24"/>
          <w:lang w:val="ru-RU"/>
        </w:rPr>
        <w:t>.</w:t>
      </w:r>
    </w:p>
    <w:p w:rsidR="00B33AC2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b/>
          <w:sz w:val="24"/>
          <w:szCs w:val="24"/>
        </w:rPr>
      </w:pPr>
    </w:p>
    <w:p w:rsidR="00B33AC2" w:rsidRPr="00553D84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553D84">
        <w:rPr>
          <w:b/>
          <w:color w:val="auto"/>
        </w:rPr>
        <w:t>Очікувана вартість предмета закупівлі</w:t>
      </w:r>
      <w:r w:rsidRPr="00553D84">
        <w:rPr>
          <w:rFonts w:eastAsia="Times New Roman"/>
          <w:b/>
          <w:color w:val="auto"/>
          <w:lang w:eastAsia="ar-SA"/>
        </w:rPr>
        <w:t xml:space="preserve">: </w:t>
      </w:r>
      <w:r>
        <w:rPr>
          <w:rFonts w:eastAsia="Times New Roman"/>
          <w:b/>
          <w:color w:val="auto"/>
          <w:lang w:eastAsia="ar-SA"/>
        </w:rPr>
        <w:t>50</w:t>
      </w:r>
      <w:r w:rsidRPr="00553D84">
        <w:rPr>
          <w:rFonts w:eastAsia="Times New Roman"/>
          <w:b/>
          <w:color w:val="auto"/>
          <w:lang w:eastAsia="ar-SA"/>
        </w:rPr>
        <w:t>0 000,00 грн.</w:t>
      </w:r>
    </w:p>
    <w:p w:rsidR="00B33AC2" w:rsidRPr="00553D84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553D84">
        <w:rPr>
          <w:rFonts w:eastAsia="Times New Roman"/>
          <w:b/>
          <w:color w:val="auto"/>
          <w:lang w:eastAsia="ar-SA"/>
        </w:rPr>
        <w:t xml:space="preserve">Ідентифікатор закупівлі: </w:t>
      </w:r>
      <w:r w:rsidR="009E6EE6" w:rsidRPr="009E6EE6">
        <w:rPr>
          <w:rFonts w:eastAsia="Times New Roman"/>
          <w:b/>
          <w:color w:val="auto"/>
          <w:lang w:eastAsia="ar-SA"/>
        </w:rPr>
        <w:t>UA-2021-02-05-012264-a</w:t>
      </w:r>
      <w:r w:rsidRPr="00553D84">
        <w:rPr>
          <w:rFonts w:eastAsia="Times New Roman"/>
          <w:b/>
          <w:color w:val="auto"/>
          <w:lang w:eastAsia="ar-SA"/>
        </w:rPr>
        <w:t>.</w:t>
      </w:r>
    </w:p>
    <w:p w:rsidR="00B33AC2" w:rsidRPr="00553D84" w:rsidRDefault="00B33AC2" w:rsidP="00B33AC2">
      <w:pPr>
        <w:suppressAutoHyphens/>
        <w:spacing w:after="0" w:line="230" w:lineRule="auto"/>
        <w:ind w:left="-142"/>
        <w:jc w:val="both"/>
        <w:rPr>
          <w:b/>
          <w:sz w:val="24"/>
          <w:szCs w:val="24"/>
          <w:lang w:eastAsia="ar-SA"/>
        </w:rPr>
      </w:pPr>
    </w:p>
    <w:p w:rsidR="00B33AC2" w:rsidRPr="00553D84" w:rsidRDefault="00B33AC2" w:rsidP="00B33AC2">
      <w:pPr>
        <w:suppressAutoHyphens/>
        <w:spacing w:after="0" w:line="232" w:lineRule="auto"/>
        <w:ind w:left="-426"/>
        <w:rPr>
          <w:b/>
          <w:sz w:val="24"/>
          <w:szCs w:val="24"/>
          <w:lang w:eastAsia="ar-SA"/>
        </w:rPr>
      </w:pPr>
      <w:r w:rsidRPr="00553D84">
        <w:rPr>
          <w:b/>
          <w:sz w:val="24"/>
          <w:szCs w:val="24"/>
          <w:lang w:eastAsia="ar-SA"/>
        </w:rPr>
        <w:t>При проведенні даної процедури закупівлі Замовник встановлює наступні технічні, якісні та кількісні критерії предмету закупівлі:</w:t>
      </w:r>
    </w:p>
    <w:p w:rsidR="009E6EE6" w:rsidRPr="009E6EE6" w:rsidRDefault="009E6EE6" w:rsidP="009E6EE6">
      <w:pPr>
        <w:suppressAutoHyphens/>
        <w:spacing w:after="0" w:line="232" w:lineRule="auto"/>
        <w:ind w:left="-426"/>
        <w:jc w:val="both"/>
        <w:rPr>
          <w:color w:val="auto"/>
          <w:sz w:val="24"/>
          <w:szCs w:val="24"/>
          <w:lang w:val="ru-RU"/>
        </w:rPr>
      </w:pPr>
      <w:r w:rsidRPr="009E6EE6">
        <w:rPr>
          <w:color w:val="auto"/>
          <w:sz w:val="24"/>
          <w:szCs w:val="24"/>
          <w:lang w:val="ru-RU"/>
        </w:rPr>
        <w:t>7 штуки</w:t>
      </w:r>
      <w:r>
        <w:rPr>
          <w:color w:val="auto"/>
          <w:sz w:val="24"/>
          <w:szCs w:val="24"/>
          <w:lang w:val="ru-RU"/>
        </w:rPr>
        <w:t>.</w:t>
      </w:r>
    </w:p>
    <w:p w:rsidR="009E6EE6" w:rsidRPr="009E6EE6" w:rsidRDefault="009E6EE6" w:rsidP="009E6EE6">
      <w:pPr>
        <w:suppressAutoHyphens/>
        <w:spacing w:after="0" w:line="232" w:lineRule="auto"/>
        <w:ind w:left="-426"/>
        <w:jc w:val="both"/>
        <w:rPr>
          <w:color w:val="auto"/>
          <w:sz w:val="24"/>
          <w:szCs w:val="24"/>
          <w:lang w:val="ru-RU"/>
        </w:rPr>
      </w:pPr>
      <w:proofErr w:type="spellStart"/>
      <w:r w:rsidRPr="009E6EE6">
        <w:rPr>
          <w:color w:val="auto"/>
          <w:sz w:val="24"/>
          <w:szCs w:val="24"/>
          <w:lang w:val="ru-RU"/>
        </w:rPr>
        <w:t>Місце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поставки </w:t>
      </w:r>
      <w:proofErr w:type="spellStart"/>
      <w:r w:rsidRPr="009E6EE6">
        <w:rPr>
          <w:color w:val="auto"/>
          <w:sz w:val="24"/>
          <w:szCs w:val="24"/>
          <w:lang w:val="ru-RU"/>
        </w:rPr>
        <w:t>товарів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або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місце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виконання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робіт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чи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надання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послуг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: 03057, </w:t>
      </w:r>
      <w:proofErr w:type="spellStart"/>
      <w:r w:rsidRPr="009E6EE6">
        <w:rPr>
          <w:color w:val="auto"/>
          <w:sz w:val="24"/>
          <w:szCs w:val="24"/>
          <w:lang w:val="ru-RU"/>
        </w:rPr>
        <w:t>Україна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, м. </w:t>
      </w:r>
      <w:proofErr w:type="spellStart"/>
      <w:r w:rsidRPr="009E6EE6">
        <w:rPr>
          <w:color w:val="auto"/>
          <w:sz w:val="24"/>
          <w:szCs w:val="24"/>
          <w:lang w:val="ru-RU"/>
        </w:rPr>
        <w:t>Київ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, м. </w:t>
      </w:r>
      <w:proofErr w:type="spellStart"/>
      <w:r w:rsidRPr="009E6EE6">
        <w:rPr>
          <w:color w:val="auto"/>
          <w:sz w:val="24"/>
          <w:szCs w:val="24"/>
          <w:lang w:val="ru-RU"/>
        </w:rPr>
        <w:t>Київ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, </w:t>
      </w:r>
      <w:proofErr w:type="spellStart"/>
      <w:r w:rsidRPr="009E6EE6">
        <w:rPr>
          <w:color w:val="auto"/>
          <w:sz w:val="24"/>
          <w:szCs w:val="24"/>
          <w:lang w:val="ru-RU"/>
        </w:rPr>
        <w:t>вул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. </w:t>
      </w:r>
      <w:proofErr w:type="spellStart"/>
      <w:r w:rsidRPr="009E6EE6">
        <w:rPr>
          <w:color w:val="auto"/>
          <w:sz w:val="24"/>
          <w:szCs w:val="24"/>
          <w:lang w:val="ru-RU"/>
        </w:rPr>
        <w:t>Смоленська</w:t>
      </w:r>
      <w:proofErr w:type="spellEnd"/>
      <w:r w:rsidRPr="009E6EE6">
        <w:rPr>
          <w:color w:val="auto"/>
          <w:sz w:val="24"/>
          <w:szCs w:val="24"/>
          <w:lang w:val="ru-RU"/>
        </w:rPr>
        <w:t>, 10</w:t>
      </w:r>
      <w:r w:rsidRPr="009E6EE6">
        <w:rPr>
          <w:color w:val="auto"/>
          <w:sz w:val="24"/>
          <w:szCs w:val="24"/>
          <w:lang w:val="ru-RU"/>
        </w:rPr>
        <w:t>.</w:t>
      </w:r>
    </w:p>
    <w:p w:rsidR="009E6EE6" w:rsidRPr="009E6EE6" w:rsidRDefault="009E6EE6" w:rsidP="009E6EE6">
      <w:pPr>
        <w:suppressAutoHyphens/>
        <w:spacing w:after="0" w:line="232" w:lineRule="auto"/>
        <w:ind w:left="-426"/>
        <w:jc w:val="both"/>
        <w:rPr>
          <w:color w:val="auto"/>
          <w:sz w:val="24"/>
          <w:szCs w:val="24"/>
          <w:lang w:val="ru-RU"/>
        </w:rPr>
      </w:pPr>
      <w:r w:rsidRPr="009E6EE6">
        <w:rPr>
          <w:color w:val="auto"/>
          <w:sz w:val="24"/>
          <w:szCs w:val="24"/>
          <w:lang w:val="ru-RU"/>
        </w:rPr>
        <w:t xml:space="preserve">Строк поставки </w:t>
      </w:r>
      <w:proofErr w:type="spellStart"/>
      <w:r w:rsidRPr="009E6EE6">
        <w:rPr>
          <w:color w:val="auto"/>
          <w:sz w:val="24"/>
          <w:szCs w:val="24"/>
          <w:lang w:val="ru-RU"/>
        </w:rPr>
        <w:t>товарів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, </w:t>
      </w:r>
      <w:proofErr w:type="spellStart"/>
      <w:r w:rsidRPr="009E6EE6">
        <w:rPr>
          <w:color w:val="auto"/>
          <w:sz w:val="24"/>
          <w:szCs w:val="24"/>
          <w:lang w:val="ru-RU"/>
        </w:rPr>
        <w:t>виконання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робіт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чи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надання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9E6EE6">
        <w:rPr>
          <w:color w:val="auto"/>
          <w:sz w:val="24"/>
          <w:szCs w:val="24"/>
          <w:lang w:val="ru-RU"/>
        </w:rPr>
        <w:t>послуг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: 31 </w:t>
      </w:r>
      <w:proofErr w:type="spellStart"/>
      <w:r w:rsidRPr="009E6EE6">
        <w:rPr>
          <w:color w:val="auto"/>
          <w:sz w:val="24"/>
          <w:szCs w:val="24"/>
          <w:lang w:val="ru-RU"/>
        </w:rPr>
        <w:t>грудня</w:t>
      </w:r>
      <w:proofErr w:type="spellEnd"/>
      <w:r w:rsidRPr="009E6EE6">
        <w:rPr>
          <w:color w:val="auto"/>
          <w:sz w:val="24"/>
          <w:szCs w:val="24"/>
          <w:lang w:val="ru-RU"/>
        </w:rPr>
        <w:t xml:space="preserve"> 2021</w:t>
      </w:r>
      <w:r w:rsidRPr="009E6EE6">
        <w:rPr>
          <w:color w:val="auto"/>
          <w:sz w:val="24"/>
          <w:szCs w:val="24"/>
          <w:lang w:val="ru-RU"/>
        </w:rPr>
        <w:t>.</w:t>
      </w:r>
    </w:p>
    <w:p w:rsidR="00B33AC2" w:rsidRDefault="00B33AC2" w:rsidP="00B33AC2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zh-CN"/>
        </w:rPr>
      </w:pPr>
    </w:p>
    <w:p w:rsidR="009E6EE6" w:rsidRPr="009E6EE6" w:rsidRDefault="009E6EE6" w:rsidP="009E6EE6">
      <w:pPr>
        <w:widowControl w:val="0"/>
        <w:numPr>
          <w:ilvl w:val="1"/>
          <w:numId w:val="1"/>
        </w:numPr>
        <w:tabs>
          <w:tab w:val="left" w:pos="993"/>
        </w:tabs>
        <w:spacing w:before="40" w:after="0" w:line="240" w:lineRule="auto"/>
        <w:ind w:left="-426" w:firstLine="426"/>
        <w:jc w:val="both"/>
        <w:outlineLvl w:val="1"/>
        <w:rPr>
          <w:rFonts w:eastAsia="Times New Roman"/>
          <w:color w:val="auto"/>
          <w:sz w:val="22"/>
          <w:szCs w:val="22"/>
          <w:lang w:eastAsia="uk-UA"/>
        </w:rPr>
      </w:pPr>
      <w:r w:rsidRPr="009E6EE6">
        <w:rPr>
          <w:rFonts w:eastAsia="Times New Roman"/>
          <w:color w:val="auto"/>
          <w:sz w:val="22"/>
          <w:szCs w:val="22"/>
          <w:lang w:eastAsia="uk-UA"/>
        </w:rPr>
        <w:t xml:space="preserve">Ліцензія на використання програмного забезпечення закуповується до наявного у Замовника обладнання компаній-виробників </w:t>
      </w:r>
      <w:proofErr w:type="spellStart"/>
      <w:r w:rsidRPr="009E6EE6">
        <w:rPr>
          <w:rFonts w:eastAsia="Times New Roman"/>
          <w:color w:val="auto"/>
          <w:sz w:val="22"/>
          <w:szCs w:val="22"/>
          <w:lang w:eastAsia="uk-UA"/>
        </w:rPr>
        <w:t>Fortinet</w:t>
      </w:r>
      <w:proofErr w:type="spellEnd"/>
      <w:r w:rsidRPr="009E6EE6">
        <w:rPr>
          <w:rFonts w:eastAsia="Times New Roman"/>
          <w:color w:val="auto"/>
          <w:sz w:val="22"/>
          <w:szCs w:val="22"/>
          <w:lang w:eastAsia="uk-UA"/>
        </w:rPr>
        <w:t xml:space="preserve"> (FortiGate-60E, FortiGate-60D, FortiGate-100D, FortiGate-300D, FortiAnalyzer-400E) та HPE (HPE </w:t>
      </w:r>
      <w:proofErr w:type="spellStart"/>
      <w:r w:rsidRPr="009E6EE6">
        <w:rPr>
          <w:rFonts w:eastAsia="Times New Roman"/>
          <w:color w:val="auto"/>
          <w:sz w:val="22"/>
          <w:szCs w:val="22"/>
          <w:lang w:eastAsia="uk-UA"/>
        </w:rPr>
        <w:t>Aruba</w:t>
      </w:r>
      <w:proofErr w:type="spellEnd"/>
      <w:r w:rsidRPr="009E6EE6">
        <w:rPr>
          <w:rFonts w:eastAsia="Times New Roman"/>
          <w:color w:val="auto"/>
          <w:sz w:val="22"/>
          <w:szCs w:val="22"/>
          <w:lang w:eastAsia="uk-UA"/>
        </w:rPr>
        <w:t xml:space="preserve"> 7030 (RW) 64 AP </w:t>
      </w:r>
      <w:proofErr w:type="spellStart"/>
      <w:r w:rsidRPr="009E6EE6">
        <w:rPr>
          <w:rFonts w:eastAsia="Times New Roman"/>
          <w:color w:val="auto"/>
          <w:sz w:val="22"/>
          <w:szCs w:val="22"/>
          <w:lang w:eastAsia="uk-UA"/>
        </w:rPr>
        <w:t>Branch</w:t>
      </w:r>
      <w:proofErr w:type="spellEnd"/>
      <w:r w:rsidRPr="009E6EE6">
        <w:rPr>
          <w:rFonts w:eastAsia="Times New Roman"/>
          <w:color w:val="auto"/>
          <w:sz w:val="22"/>
          <w:szCs w:val="22"/>
          <w:lang w:eastAsia="uk-UA"/>
        </w:rPr>
        <w:t xml:space="preserve"> </w:t>
      </w:r>
      <w:proofErr w:type="spellStart"/>
      <w:r w:rsidRPr="009E6EE6">
        <w:rPr>
          <w:rFonts w:eastAsia="Times New Roman"/>
          <w:color w:val="auto"/>
          <w:sz w:val="22"/>
          <w:szCs w:val="22"/>
          <w:lang w:eastAsia="uk-UA"/>
        </w:rPr>
        <w:t>Cntlr</w:t>
      </w:r>
      <w:proofErr w:type="spellEnd"/>
      <w:r w:rsidRPr="009E6EE6">
        <w:rPr>
          <w:rFonts w:eastAsia="Times New Roman"/>
          <w:color w:val="auto"/>
          <w:sz w:val="22"/>
          <w:szCs w:val="22"/>
          <w:lang w:eastAsia="uk-UA"/>
        </w:rPr>
        <w:t xml:space="preserve"> (JW686A)) із технічною підтримкою протягом 1 (одного) року.</w:t>
      </w:r>
    </w:p>
    <w:p w:rsidR="009E6EE6" w:rsidRPr="009E6EE6" w:rsidRDefault="009E6EE6" w:rsidP="009E6EE6">
      <w:pPr>
        <w:widowControl w:val="0"/>
        <w:numPr>
          <w:ilvl w:val="1"/>
          <w:numId w:val="1"/>
        </w:numPr>
        <w:tabs>
          <w:tab w:val="left" w:pos="993"/>
        </w:tabs>
        <w:spacing w:before="40" w:after="0" w:line="240" w:lineRule="auto"/>
        <w:ind w:left="-426" w:firstLine="426"/>
        <w:jc w:val="both"/>
        <w:outlineLvl w:val="1"/>
        <w:rPr>
          <w:rFonts w:eastAsia="Times New Roman"/>
          <w:color w:val="auto"/>
          <w:sz w:val="22"/>
          <w:szCs w:val="22"/>
          <w:lang w:eastAsia="uk-UA"/>
        </w:rPr>
      </w:pPr>
      <w:r w:rsidRPr="009E6EE6">
        <w:rPr>
          <w:rFonts w:eastAsia="Times New Roman"/>
          <w:color w:val="auto"/>
          <w:sz w:val="22"/>
          <w:szCs w:val="22"/>
          <w:lang w:eastAsia="uk-UA"/>
        </w:rPr>
        <w:t xml:space="preserve">Всі посилання на конкретну торгівельну марку чи фірму, патент, конструкцію або тип предмета закупівлі, джерело його походження або виробника, слід читати з виразом «або еквівалент». Технічні та якісні характеристики еквіваленту не повинні бути гіршими, а запропонована ліцензія на використання програмного забезпечення обов’язково повинно бути повністю сумісним з наявним у замовника обладнанням компанії-виробника </w:t>
      </w:r>
      <w:proofErr w:type="spellStart"/>
      <w:r w:rsidRPr="009E6EE6">
        <w:rPr>
          <w:rFonts w:eastAsia="Times New Roman"/>
          <w:color w:val="auto"/>
          <w:sz w:val="22"/>
          <w:szCs w:val="22"/>
          <w:lang w:eastAsia="uk-UA"/>
        </w:rPr>
        <w:t>Fortinet</w:t>
      </w:r>
      <w:proofErr w:type="spellEnd"/>
      <w:r w:rsidRPr="009E6EE6">
        <w:rPr>
          <w:rFonts w:eastAsia="Times New Roman"/>
          <w:color w:val="auto"/>
          <w:sz w:val="22"/>
          <w:szCs w:val="22"/>
          <w:lang w:eastAsia="uk-UA"/>
        </w:rPr>
        <w:t>, НРЕ та забезпечувати повноцінну роботу всіх його функцій).</w:t>
      </w:r>
    </w:p>
    <w:p w:rsidR="009E6EE6" w:rsidRPr="009E6EE6" w:rsidRDefault="009E6EE6" w:rsidP="009E6EE6">
      <w:pPr>
        <w:widowControl w:val="0"/>
        <w:numPr>
          <w:ilvl w:val="1"/>
          <w:numId w:val="1"/>
        </w:numPr>
        <w:tabs>
          <w:tab w:val="left" w:pos="993"/>
        </w:tabs>
        <w:spacing w:before="40" w:after="0" w:line="240" w:lineRule="auto"/>
        <w:ind w:left="-426" w:firstLine="426"/>
        <w:jc w:val="both"/>
        <w:outlineLvl w:val="1"/>
        <w:rPr>
          <w:rFonts w:eastAsia="Times New Roman"/>
          <w:color w:val="auto"/>
          <w:sz w:val="22"/>
          <w:szCs w:val="22"/>
          <w:lang w:eastAsia="uk-UA"/>
        </w:rPr>
      </w:pPr>
      <w:r w:rsidRPr="009E6EE6">
        <w:rPr>
          <w:rFonts w:eastAsia="Times New Roman"/>
          <w:color w:val="auto"/>
          <w:sz w:val="22"/>
          <w:szCs w:val="22"/>
          <w:lang w:eastAsia="uk-UA"/>
        </w:rPr>
        <w:t>Учасники процедури закупівлі повинні надати в складі тендерних пропозицій інформацію та документи, які підтверджують відповідність тендерної пропозиції Учасника технічним, якісним, кількісним та іншим вимогам до предмета закупівлі, наведеним у цьому додатку тендерної документації.</w:t>
      </w:r>
    </w:p>
    <w:p w:rsidR="009E6EE6" w:rsidRPr="009E6EE6" w:rsidRDefault="009E6EE6" w:rsidP="009E6EE6">
      <w:pPr>
        <w:widowControl w:val="0"/>
        <w:numPr>
          <w:ilvl w:val="1"/>
          <w:numId w:val="1"/>
        </w:numPr>
        <w:tabs>
          <w:tab w:val="left" w:pos="993"/>
        </w:tabs>
        <w:spacing w:before="40" w:after="0" w:line="240" w:lineRule="auto"/>
        <w:ind w:left="-426" w:firstLine="426"/>
        <w:jc w:val="both"/>
        <w:outlineLvl w:val="1"/>
        <w:rPr>
          <w:rFonts w:eastAsia="Times New Roman"/>
          <w:color w:val="auto"/>
          <w:sz w:val="22"/>
          <w:szCs w:val="22"/>
          <w:lang w:eastAsia="uk-UA"/>
        </w:rPr>
      </w:pPr>
      <w:r w:rsidRPr="009E6EE6">
        <w:rPr>
          <w:rFonts w:eastAsia="Times New Roman"/>
          <w:color w:val="auto"/>
          <w:sz w:val="22"/>
          <w:szCs w:val="22"/>
          <w:lang w:eastAsia="uk-UA"/>
        </w:rPr>
        <w:t>Невідповідність пропозиції Учасника торгів вимогам цього додатку тендерної документації призводить до її відхилення. Неповні пропозиції відхиляються та участі у конкурсній процедурі не беруть.</w:t>
      </w:r>
    </w:p>
    <w:p w:rsidR="009E6EE6" w:rsidRPr="009E6EE6" w:rsidRDefault="009E6EE6" w:rsidP="009E6EE6">
      <w:pPr>
        <w:widowControl w:val="0"/>
        <w:numPr>
          <w:ilvl w:val="1"/>
          <w:numId w:val="1"/>
        </w:numPr>
        <w:tabs>
          <w:tab w:val="left" w:pos="993"/>
        </w:tabs>
        <w:spacing w:before="40" w:after="0" w:line="240" w:lineRule="auto"/>
        <w:ind w:left="-426" w:firstLine="426"/>
        <w:jc w:val="both"/>
        <w:outlineLvl w:val="1"/>
        <w:rPr>
          <w:rFonts w:eastAsia="Times New Roman"/>
          <w:color w:val="auto"/>
          <w:sz w:val="22"/>
          <w:szCs w:val="22"/>
          <w:lang w:eastAsia="uk-UA"/>
        </w:rPr>
      </w:pPr>
      <w:r w:rsidRPr="009E6EE6">
        <w:rPr>
          <w:rFonts w:eastAsia="Times New Roman"/>
          <w:color w:val="auto"/>
          <w:sz w:val="22"/>
          <w:szCs w:val="22"/>
          <w:lang w:eastAsia="uk-UA"/>
        </w:rPr>
        <w:t>Відповідність технічних, якісних та кількості характеристик запропонованих товарів вимогам замовника повинна бути підтверджена учасником шляхом надання у складі тендерної пропозиції довідки, яка має містити порівняльну таблицю технічних, якісних та кількісних характеристик товару, що пропонується учасником, які мають бути не гіршими за наведені в «Технічних, якісних та кількості вимогах (характеристиках) до предмету закупівлі», що викладені у цьому додатку тендерної документації, із обов‘язковим зазначенням типу, марки, моделі, назви товару, що пропонується Учасником.</w:t>
      </w:r>
    </w:p>
    <w:p w:rsidR="009E6EE6" w:rsidRPr="009E6EE6" w:rsidRDefault="009E6EE6" w:rsidP="009E6EE6">
      <w:pPr>
        <w:widowControl w:val="0"/>
        <w:numPr>
          <w:ilvl w:val="1"/>
          <w:numId w:val="1"/>
        </w:numPr>
        <w:tabs>
          <w:tab w:val="left" w:pos="993"/>
        </w:tabs>
        <w:spacing w:before="40" w:after="0" w:line="240" w:lineRule="auto"/>
        <w:ind w:left="-426" w:firstLine="426"/>
        <w:jc w:val="both"/>
        <w:outlineLvl w:val="1"/>
        <w:rPr>
          <w:rFonts w:eastAsia="Times New Roman"/>
          <w:color w:val="auto"/>
          <w:sz w:val="22"/>
          <w:szCs w:val="22"/>
          <w:lang w:eastAsia="uk-UA"/>
        </w:rPr>
      </w:pPr>
      <w:r w:rsidRPr="009E6EE6">
        <w:rPr>
          <w:rFonts w:eastAsia="Times New Roman"/>
          <w:color w:val="auto"/>
          <w:sz w:val="22"/>
          <w:szCs w:val="22"/>
          <w:lang w:eastAsia="uk-UA"/>
        </w:rPr>
        <w:t>Учасники процедури закупівлі повинні надати в складі тендерних пропозицій документ/копію документу від виробника/офіційного представника виробника програмного забезпечення (сертифікат/</w:t>
      </w:r>
      <w:proofErr w:type="spellStart"/>
      <w:r w:rsidRPr="009E6EE6">
        <w:rPr>
          <w:rFonts w:eastAsia="Times New Roman"/>
          <w:color w:val="auto"/>
          <w:sz w:val="22"/>
          <w:szCs w:val="22"/>
          <w:lang w:eastAsia="uk-UA"/>
        </w:rPr>
        <w:t>авторизаційний</w:t>
      </w:r>
      <w:proofErr w:type="spellEnd"/>
      <w:r w:rsidRPr="009E6EE6">
        <w:rPr>
          <w:rFonts w:eastAsia="Times New Roman"/>
          <w:color w:val="auto"/>
          <w:sz w:val="22"/>
          <w:szCs w:val="22"/>
          <w:lang w:eastAsia="uk-UA"/>
        </w:rPr>
        <w:t xml:space="preserve"> лист/ інший документ) про надання учаснику процедури закупівлі відповідного статусу (дилер/партнер/інший статус) та повноважень на постачання/продаж програмного забезпечення із зазначенням номеру закупівлі у системі </w:t>
      </w:r>
      <w:proofErr w:type="spellStart"/>
      <w:r w:rsidRPr="009E6EE6">
        <w:rPr>
          <w:rFonts w:eastAsia="Times New Roman"/>
          <w:color w:val="auto"/>
          <w:sz w:val="22"/>
          <w:szCs w:val="22"/>
          <w:lang w:eastAsia="uk-UA"/>
        </w:rPr>
        <w:t>Prozorro</w:t>
      </w:r>
      <w:proofErr w:type="spellEnd"/>
      <w:r w:rsidRPr="009E6EE6">
        <w:rPr>
          <w:rFonts w:eastAsia="Times New Roman"/>
          <w:color w:val="auto"/>
          <w:sz w:val="22"/>
          <w:szCs w:val="22"/>
          <w:lang w:eastAsia="uk-UA"/>
        </w:rPr>
        <w:t xml:space="preserve"> та найменування Замовника. </w:t>
      </w:r>
    </w:p>
    <w:p w:rsidR="009E6EE6" w:rsidRPr="009E6EE6" w:rsidRDefault="009E6EE6" w:rsidP="009E6EE6">
      <w:pPr>
        <w:widowControl w:val="0"/>
        <w:tabs>
          <w:tab w:val="left" w:pos="284"/>
        </w:tabs>
        <w:spacing w:before="240" w:after="120" w:line="240" w:lineRule="auto"/>
        <w:jc w:val="center"/>
        <w:outlineLvl w:val="1"/>
        <w:rPr>
          <w:rFonts w:eastAsia="Times New Roman"/>
          <w:b/>
          <w:color w:val="auto"/>
          <w:sz w:val="22"/>
          <w:szCs w:val="24"/>
          <w:lang w:eastAsia="uk-UA"/>
        </w:rPr>
      </w:pPr>
      <w:r w:rsidRPr="009E6EE6">
        <w:rPr>
          <w:rFonts w:eastAsia="Times New Roman"/>
          <w:b/>
          <w:color w:val="auto"/>
          <w:sz w:val="22"/>
          <w:szCs w:val="24"/>
          <w:lang w:eastAsia="uk-UA"/>
        </w:rPr>
        <w:t>ТЕХНІЧНІ</w:t>
      </w:r>
      <w:r w:rsidRPr="009E6EE6">
        <w:rPr>
          <w:rFonts w:eastAsia="Times New Roman"/>
          <w:b/>
          <w:caps/>
          <w:color w:val="auto"/>
          <w:sz w:val="22"/>
          <w:szCs w:val="24"/>
          <w:lang w:eastAsia="uk-UA"/>
        </w:rPr>
        <w:t>,</w:t>
      </w:r>
      <w:r w:rsidRPr="009E6EE6">
        <w:rPr>
          <w:rFonts w:ascii="Calibri" w:eastAsia="Times New Roman" w:hAnsi="Calibri"/>
          <w:caps/>
          <w:color w:val="auto"/>
          <w:sz w:val="22"/>
          <w:szCs w:val="22"/>
        </w:rPr>
        <w:t xml:space="preserve"> </w:t>
      </w:r>
      <w:r w:rsidRPr="009E6EE6">
        <w:rPr>
          <w:rFonts w:eastAsia="Times New Roman"/>
          <w:b/>
          <w:caps/>
          <w:color w:val="auto"/>
          <w:sz w:val="22"/>
          <w:szCs w:val="24"/>
          <w:lang w:eastAsia="uk-UA"/>
        </w:rPr>
        <w:t>якіснІ та кількісні ВИМ</w:t>
      </w:r>
      <w:r w:rsidRPr="009E6EE6">
        <w:rPr>
          <w:rFonts w:eastAsia="Times New Roman"/>
          <w:b/>
          <w:color w:val="auto"/>
          <w:sz w:val="22"/>
          <w:szCs w:val="24"/>
          <w:lang w:eastAsia="uk-UA"/>
        </w:rPr>
        <w:t>ОГИ (</w:t>
      </w:r>
      <w:r w:rsidRPr="009E6EE6">
        <w:rPr>
          <w:rFonts w:eastAsia="Times New Roman"/>
          <w:b/>
          <w:caps/>
          <w:color w:val="auto"/>
          <w:sz w:val="22"/>
          <w:szCs w:val="24"/>
          <w:lang w:eastAsia="uk-UA"/>
        </w:rPr>
        <w:t>характеристики</w:t>
      </w:r>
      <w:r w:rsidRPr="009E6EE6">
        <w:rPr>
          <w:rFonts w:eastAsia="Times New Roman"/>
          <w:b/>
          <w:color w:val="auto"/>
          <w:sz w:val="22"/>
          <w:szCs w:val="24"/>
          <w:lang w:eastAsia="uk-UA"/>
        </w:rPr>
        <w:t>) ДО ПРЕДМЕТУ ЗАКУПІВЛІ</w:t>
      </w:r>
    </w:p>
    <w:p w:rsidR="009E6EE6" w:rsidRPr="009E6EE6" w:rsidRDefault="009E6EE6" w:rsidP="009E6EE6">
      <w:pPr>
        <w:widowControl w:val="0"/>
        <w:spacing w:after="0" w:line="240" w:lineRule="auto"/>
        <w:rPr>
          <w:rFonts w:eastAsia="Times New Roman"/>
          <w:b/>
          <w:color w:val="FF0000"/>
          <w:sz w:val="20"/>
          <w:szCs w:val="20"/>
        </w:rPr>
      </w:pPr>
      <w:bookmarkStart w:id="0" w:name="MainTable"/>
      <w:bookmarkEnd w:id="0"/>
      <w:r w:rsidRPr="009E6EE6">
        <w:rPr>
          <w:rFonts w:ascii="Calibri Light" w:eastAsia="Times New Roman" w:hAnsi="Calibri Light" w:cs="Calibri Light"/>
          <w:color w:val="auto"/>
          <w:sz w:val="2"/>
          <w:szCs w:val="2"/>
        </w:rPr>
        <w:br w:type="textWrapping" w:clear="all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1831"/>
        <w:gridCol w:w="6622"/>
        <w:gridCol w:w="596"/>
      </w:tblGrid>
      <w:tr w:rsidR="009E6EE6" w:rsidRPr="009E6EE6" w:rsidTr="009E6EE6">
        <w:trPr>
          <w:trHeight w:val="666"/>
          <w:tblHeader/>
          <w:jc w:val="center"/>
        </w:trPr>
        <w:tc>
          <w:tcPr>
            <w:tcW w:w="325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№</w:t>
            </w:r>
          </w:p>
        </w:tc>
        <w:tc>
          <w:tcPr>
            <w:tcW w:w="946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Найменування програмного забезпечення</w:t>
            </w:r>
          </w:p>
        </w:tc>
        <w:tc>
          <w:tcPr>
            <w:tcW w:w="3421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Опис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програмного забезпечення</w:t>
            </w:r>
          </w:p>
        </w:tc>
        <w:tc>
          <w:tcPr>
            <w:tcW w:w="308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Кіл-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ть</w:t>
            </w:r>
            <w:proofErr w:type="spellEnd"/>
          </w:p>
        </w:tc>
      </w:tr>
      <w:tr w:rsidR="009E6EE6" w:rsidRPr="009E6EE6" w:rsidTr="009E6EE6">
        <w:trPr>
          <w:jc w:val="center"/>
        </w:trPr>
        <w:tc>
          <w:tcPr>
            <w:tcW w:w="325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946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Ліцензія на використання програмного </w:t>
            </w: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lastRenderedPageBreak/>
              <w:t xml:space="preserve">забезпечення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Fortinet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(FC-10-0060E-950-02-12) FortiGate-60E 1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Year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Unified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Threat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Protection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(UTP) 24x7</w:t>
            </w:r>
          </w:p>
        </w:tc>
        <w:tc>
          <w:tcPr>
            <w:tcW w:w="3421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lastRenderedPageBreak/>
              <w:t>Сумістність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 xml:space="preserve"> з </w:t>
            </w: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FortiGate-60E</w:t>
            </w:r>
            <w:r w:rsidRPr="009E6EE6">
              <w:rPr>
                <w:rFonts w:eastAsia="Times New Roman"/>
                <w:b/>
                <w:sz w:val="20"/>
                <w:szCs w:val="20"/>
              </w:rPr>
              <w:br/>
              <w:t>Ідентифікація та контроль застосувань (AC/ AVC)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Інспектування та застосування дій до мережевого трафіку на основі сигнатурного аналізу </w:t>
            </w:r>
            <w:r w:rsidRPr="009E6EE6">
              <w:rPr>
                <w:rFonts w:eastAsia="Times New Roman"/>
                <w:sz w:val="20"/>
                <w:szCs w:val="20"/>
              </w:rPr>
              <w:lastRenderedPageBreak/>
              <w:t>та певної категорії додатків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application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control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/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application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visibility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control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Конфігурація відповідних до користувацького оточення AC/AVC-сенсорів з необхідним набором сигнатур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t>Захист від загроз на основі сигнатурного аналізу (IPS)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ab/>
              <w:t>Інспектування та застосування дій до мережевого трафіку на основі сигнатурного аналізу та виявлення відомих атак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intrusion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prevention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system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Конфігурація відповідних до користувацького оточення IPS-сенсорів з необхідним набором сигнатур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Конфігурація виключень у діях з певними сигнатурами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exemption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/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override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)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t xml:space="preserve">Захист від </w:t>
            </w: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malware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Antivirus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>/AMP)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Anti-Virus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/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Anti-malware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захист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Виявлення та блокування небажаних програм або файлів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grayware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Захист від зловмисних програм для мобільних пристроїв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Web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 xml:space="preserve"> та DNS-фільтрація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  <w:t>Інспектування URL-запитів та можливість блокування їх на основі відношення до певної категорії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Web-фильтрація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Інспектування запитів DNS та можливість блокування їх на основі відношення до певної категорії (DNS-фільтрація)</w:t>
            </w:r>
            <w:bookmarkStart w:id="1" w:name="_GoBack"/>
            <w:bookmarkEnd w:id="1"/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Виявлення та блокування DNS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запитыв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до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Botnet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мереж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t>Захист від невідомих загроз (0-day)</w:t>
            </w:r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  <w:t xml:space="preserve">Відправка файлів з користувацького трафіку на аналіз у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cloud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sandbox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 для виявлення невідомих загроз класу "0-day"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Ліцензування має дозволяти аналізувати у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cloud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sandbox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 не менше ніж 14 000 файлів на день (24 години)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t>Технічна сервісна підтримка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  <w:t>Обладнання повинно забезпечуватись технічною сервісною підтримкою строком 12 місяців у режимі 24*7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Постійний доступ (24*7) до центру технічної підтримки виробника через сайт, електронною поштою та за телефоном для реєстрації сервісних випадків та відкриття звернень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Постійний авторизований доступ (24*7) до сайту виробника, отримання актуальних репутаційних баз, сигнатур захисту веб-додатків та всіх необхідних оновлень для сервісів безпеки на протязі дії технічної сервісної підтримки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Отримання основних та проміжних релізів програмного забезпечення через сайт, підтримка програмних кодів у актуальному стані відповідно до рекомендацій виробника на протязі дії технічної сервісної підтримки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Можливість реєстрації сервісних випадків в режимі 24*7*365, доставку і заміну запасних частин у режимі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Next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Business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Day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в м. Київ (обладнання для заміни доставляється наступного дня після підтвердження заміни сервісом підтримки виробника)</w:t>
            </w:r>
          </w:p>
        </w:tc>
        <w:tc>
          <w:tcPr>
            <w:tcW w:w="308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lastRenderedPageBreak/>
              <w:t>2</w:t>
            </w:r>
          </w:p>
        </w:tc>
      </w:tr>
      <w:tr w:rsidR="009E6EE6" w:rsidRPr="009E6EE6" w:rsidTr="009E6EE6">
        <w:trPr>
          <w:jc w:val="center"/>
        </w:trPr>
        <w:tc>
          <w:tcPr>
            <w:tcW w:w="325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lastRenderedPageBreak/>
              <w:t>2</w:t>
            </w:r>
          </w:p>
        </w:tc>
        <w:tc>
          <w:tcPr>
            <w:tcW w:w="946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Ліцензія на використання програмного забезпечення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Fortinet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(FC-10-0060D-950-02-12) FortiGate-60D 1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Year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Unified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Threat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Protection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(UTP) 24x7</w:t>
            </w:r>
          </w:p>
        </w:tc>
        <w:tc>
          <w:tcPr>
            <w:tcW w:w="3421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Сумістність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 xml:space="preserve"> з</w:t>
            </w: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FortiGate-60D</w:t>
            </w:r>
            <w:r w:rsidRPr="009E6EE6">
              <w:rPr>
                <w:rFonts w:eastAsia="Times New Roman"/>
                <w:b/>
                <w:sz w:val="20"/>
                <w:szCs w:val="20"/>
              </w:rPr>
              <w:br/>
              <w:t>Ідентифікація та контроль застосувань (AC/ AVC)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>Інспектування та застосування дій до мережевого трафіку на основі сигнатурного аналізу та певної категорії додатків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application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control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/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application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visibility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control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Конфігурація відповідних до користувацького оточення AC/AVC-сенсорів з необхідним набором сигнатур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t>Захист від загроз на основі сигнатурного аналізу (IPS)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ab/>
              <w:t>Інспектування та застосування дій до мережевого трафіку на основі сигнатурного аналізу та виявлення відомих атак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intrusion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prevention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system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Конфігурація відповідних до користувацького оточення IPS-сенсорів з необхідним набором сигнатур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lastRenderedPageBreak/>
              <w:t>Конфігурація виключень у діях з певними сигнатурами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exemption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/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override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)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t xml:space="preserve">Захист від </w:t>
            </w: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malware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Antivirus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>/AMP)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Anti-Virus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/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Anti-malware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захист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Виявлення та блокування небажаних програм або файлів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grayware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Захист від зловмисних програм для мобільних пристроїв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Web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 xml:space="preserve"> та DNS-фільтрація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  <w:t>Інспектування URL-запитів та можливість блокування їх на основі відношення до певної категорії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Web-фильтрація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Інспектування запитів DNS та можливість блокування їх на основі відношення до певної категорії (DNS-фільтрація)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Виявлення та блокування DNS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запитыв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до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Botnet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мереж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t>Захист від невідомих загроз (0-day)</w:t>
            </w:r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  <w:t xml:space="preserve">Відправка файлів з користувацького трафіку на аналіз у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cloud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sandbox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 для виявлення невідомих загроз класу "0-day"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Ліцензування має дозволяти аналізувати у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cloud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sandbox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 не менше ніж 14 000 файлів на день (24 години)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t>Технічна сервісна підтримка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  <w:t>Обладнання повинно забезпечуватись технічною сервісною підтримкою строком 12 місяців у режимі 24*7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Постійний доступ (24*7) до центру технічної підтримки виробника через сайт, електронною поштою та за телефоном для реєстрації сервісних випадків та відкриття звернень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Постійний авторизований доступ (24*7) до сайту виробника, отримання актуальних репутаційних баз, сигнатур захисту веб-додатків та всіх необхідних оновлень для сервісів безпеки на протязі дії технічної сервісної підтримки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Отримання основних та проміжних релізів програмного забезпечення через сайт, підтримка програмних кодів у актуальному стані відповідно до рекомендацій виробника на протязі дії технічної сервісної підтримки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Можливість реєстрації сервісних випадків в режимі 24*7*365, доставку і заміну запасних частин у режимі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Next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Business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Day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в м. Київ (обладнання для заміни доставляється наступного дня після підтвердження заміни сервісом підтримки виробника)</w:t>
            </w:r>
          </w:p>
        </w:tc>
        <w:tc>
          <w:tcPr>
            <w:tcW w:w="308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lastRenderedPageBreak/>
              <w:t>1</w:t>
            </w:r>
          </w:p>
        </w:tc>
      </w:tr>
      <w:tr w:rsidR="009E6EE6" w:rsidRPr="009E6EE6" w:rsidTr="009E6EE6">
        <w:trPr>
          <w:jc w:val="center"/>
        </w:trPr>
        <w:tc>
          <w:tcPr>
            <w:tcW w:w="325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lastRenderedPageBreak/>
              <w:t>3</w:t>
            </w:r>
          </w:p>
        </w:tc>
        <w:tc>
          <w:tcPr>
            <w:tcW w:w="946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Ліцензія на використання програмного забезпечення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Fortinet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(FC-10-00116-950-02-12) FortiGate-100D 1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Year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Unified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Threat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Protection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(UTP) 24x7</w:t>
            </w:r>
          </w:p>
        </w:tc>
        <w:tc>
          <w:tcPr>
            <w:tcW w:w="3421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Сумістність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 xml:space="preserve"> з </w:t>
            </w: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FortiGate-100D</w:t>
            </w:r>
            <w:r w:rsidRPr="009E6EE6">
              <w:rPr>
                <w:rFonts w:eastAsia="Times New Roman"/>
                <w:b/>
                <w:sz w:val="20"/>
                <w:szCs w:val="20"/>
              </w:rPr>
              <w:br/>
              <w:t>Ідентифікація та контроль застосувань (AC/ AVC)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>Інспектування та застосування дій до мережевого трафіку на основі сигнатурного аналізу та певної категорії додатків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application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control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/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application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visibility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control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Конфігурація відповідних до користувацького оточення AC/AVC-сенсорів з необхідним набором сигнатур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t>Захист від загроз на основі сигнатурного аналізу (IPS)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ab/>
              <w:t>Інспектування та застосування дій до мережевого трафіку на основі сигнатурного аналізу та виявлення відомих атак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intrusion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prevention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system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Конфігурація відповідних до користувацького оточення IPS-сенсорів з необхідним набором сигнатур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Конфігурація виключень у діях з певними сигнатурами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exemption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/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override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)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t xml:space="preserve">Захист від </w:t>
            </w: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malware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Antivirus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>/AMP)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Anti-Virus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/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Anti-malware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захист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Виявлення та блокування небажаних програм або файлів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grayware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Захист від зловмисних програм для мобільних пристроїв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Web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 xml:space="preserve"> та DNS-фільтрація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  <w:t>Інспектування URL-запитів та можливість блокування їх на основі відношення до певної категорії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Web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-фільтрація)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lastRenderedPageBreak/>
              <w:t>Інспектування запитів DNS та можливість блокування їх на основі відношення до певної категорії (DNS-фільтрація)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Виявлення та блокування DNS запитів до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Botnet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мереж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t>Захист від невідомих загроз (0-day)</w:t>
            </w:r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  <w:t xml:space="preserve">Відправка файлів з користувацького трафіку на аналіз у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cloud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sandbox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 для виявлення невідомих загроз класу "0-day"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Ліцензування має дозволяти аналізувати у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cloud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sandbox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 не менше ніж 14 000 файлів на день (24 години)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t>Технічна сервісна підтримка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  <w:t>Обладнання повинно забезпечуватись технічною сервісною підтримкою строком 12 місяців у режимі 24*7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Постійний доступ (24*7) до центру технічної підтримки виробника через сайт, електронною поштою та за телефоном для реєстрації сервісних випадків та відкриття звернень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Постійний авторизований доступ (24*7) до сайту виробника, отримання актуальних репутаційних баз, сигнатур захисту веб-додатків та всіх необхідних оновлень для сервісів безпеки на протязі дії технічної сервісної підтримки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Отримання основних та проміжних релізів програмного забезпечення через сайт, підтримка програмних кодів у актуальному стані відповідно до рекомендацій виробника на протязі дії технічної сервісної підтримки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Можливість реєстрації сервісних випадків в режимі 24*7*365, доставку і заміну запасних частин у режимі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Next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Business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Day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в м. Київ (обладнання для заміни доставляється наступного дня після підтвердження заміни сервісом підтримки виробника)</w:t>
            </w:r>
          </w:p>
          <w:p w:rsidR="009E6EE6" w:rsidRPr="009E6EE6" w:rsidRDefault="009E6EE6" w:rsidP="009E6EE6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lastRenderedPageBreak/>
              <w:t>1</w:t>
            </w:r>
          </w:p>
        </w:tc>
      </w:tr>
      <w:tr w:rsidR="009E6EE6" w:rsidRPr="009E6EE6" w:rsidTr="009E6EE6">
        <w:trPr>
          <w:jc w:val="center"/>
        </w:trPr>
        <w:tc>
          <w:tcPr>
            <w:tcW w:w="325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lastRenderedPageBreak/>
              <w:t>4</w:t>
            </w:r>
          </w:p>
        </w:tc>
        <w:tc>
          <w:tcPr>
            <w:tcW w:w="946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Ліцензія на використання програмного забезпечення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Fortinet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(FC-10-00305-950-02-12) FortiGate-300D 1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Year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Unified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Threat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Protection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(UTP) 24x7</w:t>
            </w:r>
          </w:p>
        </w:tc>
        <w:tc>
          <w:tcPr>
            <w:tcW w:w="3421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b/>
                <w:color w:val="auto"/>
                <w:sz w:val="20"/>
                <w:szCs w:val="20"/>
              </w:rPr>
            </w:pP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Сумістність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 xml:space="preserve"> з </w:t>
            </w: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FortiGate-300D</w:t>
            </w:r>
            <w:r w:rsidRPr="009E6EE6">
              <w:rPr>
                <w:rFonts w:eastAsia="Times New Roman"/>
                <w:b/>
                <w:sz w:val="20"/>
                <w:szCs w:val="20"/>
              </w:rPr>
              <w:br/>
              <w:t>Ідентифікація та контроль застосувань (AC/ AVC)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>Інспектування та застосування дій до мережевого трафіку на основі сигнатурного аналізу та певної категорії додатків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application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control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/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application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visibility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control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Конфігурація відповідних до користувацького оточення AC/AVC-сенсорів з необхідним набором сигнатур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t>Захист від загроз на основі сигнатурного аналізу (IPS)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ab/>
              <w:t>Інспектування та застосування дій до мережевого трафіку на основі сигнатурного аналізу та виявлення відомих атак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intrusion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prevention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system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Конфігурація відповідних до користувацького оточення IPS-сенсорів з необхідним набором сигнатур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Конфігурація виключень у діях з певними сигнатурами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exemption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/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override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)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t xml:space="preserve">Захист від </w:t>
            </w: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malware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Antivirus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>/AMP)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Anti-Virus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/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Anti-malware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захист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Виявлення та блокування небажаних програм або файлів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grayware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Захист від зловмисних програм для мобільних пристроїв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Web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 xml:space="preserve"> та DNS-фільтрація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  <w:t>Інспектування URL-запитів та можливість блокування їх на основі відношення до певної категорії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Web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-фільтрація)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Інспектування запитів DNS та можливість блокування їх на основі відношення до певної категорії (DNS-фільтрація)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Виявлення та блокування DNS запитів до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Botnet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мереж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t>Захист від невідомих загроз (0-day)</w:t>
            </w:r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  <w:t xml:space="preserve">Відправка файлів з користувацького трафіку на аналіз у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cloud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sandbox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 для виявлення невідомих загроз класу "0-day"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Ліцензування має дозволяти аналізувати у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cloud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sandbox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 не менше ніж 14 000 файлів на день (24 години)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sz w:val="20"/>
                <w:szCs w:val="20"/>
              </w:rPr>
              <w:lastRenderedPageBreak/>
              <w:t>Технічна сервісна підтримка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r w:rsidRPr="009E6EE6">
              <w:rPr>
                <w:rFonts w:eastAsia="Times New Roman"/>
                <w:sz w:val="20"/>
                <w:szCs w:val="20"/>
              </w:rPr>
              <w:br/>
              <w:t>Обладнання повинно забезпечуватись технічною сервісною підтримкою строком 12 місяців у режимі 24*7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Постійний доступ (24*7) до центру технічної підтримки виробника через сайт, електронною поштою та за телефоном для реєстрації сервісних випадків та відкриття звернень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Постійний авторизований доступ (24*7) до сайту виробника, отримання актуальних репутаційних баз, сигнатур захисту веб-додатків та всіх необхідних оновлень для сервісів безпеки на протязі дії технічної сервісної підтримки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Отримання основних та проміжних релізів програмного забезпечення через сайт, підтримка програмних кодів у актуальному стані відповідно до рекомендацій виробника на протязі дії технічної сервісної підтримки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Можливість реєстрації сервісних випадків в режимі 24*7*365, доставку і заміну запасних частин у режимі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Next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Business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Day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в м. Київ (обладнання для заміни доставляється наступного дня після підтвердження заміни сервісом підтримки виробника).</w:t>
            </w:r>
          </w:p>
        </w:tc>
        <w:tc>
          <w:tcPr>
            <w:tcW w:w="308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lastRenderedPageBreak/>
              <w:t>1</w:t>
            </w:r>
          </w:p>
        </w:tc>
      </w:tr>
      <w:tr w:rsidR="009E6EE6" w:rsidRPr="009E6EE6" w:rsidTr="009E6EE6">
        <w:trPr>
          <w:jc w:val="center"/>
        </w:trPr>
        <w:tc>
          <w:tcPr>
            <w:tcW w:w="325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lastRenderedPageBreak/>
              <w:t>5</w:t>
            </w:r>
          </w:p>
        </w:tc>
        <w:tc>
          <w:tcPr>
            <w:tcW w:w="946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Ліцензія на використання програмного забезпечення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Fortinet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(FC-10-L0401-247-02-12) FortiAnalyzer-400E 1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Year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24x7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FortiCare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Contract</w:t>
            </w:r>
            <w:proofErr w:type="spellEnd"/>
          </w:p>
        </w:tc>
        <w:tc>
          <w:tcPr>
            <w:tcW w:w="3421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proofErr w:type="spellStart"/>
            <w:r w:rsidRPr="009E6EE6">
              <w:rPr>
                <w:rFonts w:eastAsia="Times New Roman"/>
                <w:b/>
                <w:sz w:val="20"/>
                <w:szCs w:val="20"/>
              </w:rPr>
              <w:t>Сумістність</w:t>
            </w:r>
            <w:proofErr w:type="spellEnd"/>
            <w:r w:rsidRPr="009E6EE6">
              <w:rPr>
                <w:rFonts w:eastAsia="Times New Roman"/>
                <w:b/>
                <w:sz w:val="20"/>
                <w:szCs w:val="20"/>
              </w:rPr>
              <w:t xml:space="preserve"> з FortiAnalyzer-400E</w:t>
            </w:r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r w:rsidRPr="009E6EE6">
              <w:rPr>
                <w:rFonts w:eastAsia="Times New Roman"/>
                <w:sz w:val="20"/>
                <w:szCs w:val="20"/>
              </w:rPr>
              <w:br/>
            </w: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Технічна сервісна підтримка</w:t>
            </w:r>
            <w:r w:rsidRPr="009E6EE6">
              <w:rPr>
                <w:rFonts w:eastAsia="Times New Roman"/>
                <w:color w:val="auto"/>
                <w:sz w:val="20"/>
                <w:szCs w:val="20"/>
              </w:rPr>
              <w:tab/>
            </w:r>
            <w:r w:rsidRPr="009E6EE6">
              <w:rPr>
                <w:rFonts w:eastAsia="Times New Roman"/>
                <w:color w:val="auto"/>
                <w:sz w:val="20"/>
                <w:szCs w:val="20"/>
              </w:rPr>
              <w:br/>
              <w:t>Обладнання повинно забезпечуватись технічною сервісною підтримкою строком 12 місяців у режимі 24*7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color w:val="auto"/>
                <w:sz w:val="20"/>
                <w:szCs w:val="20"/>
              </w:rPr>
              <w:t>Постійний доступ (24*7) до центру технічної підтримки виробника через сайт, електронною поштою та за телефоном для реєстрації сервісних випадків та відкриття звернень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color w:val="auto"/>
                <w:sz w:val="20"/>
                <w:szCs w:val="20"/>
              </w:rPr>
              <w:t xml:space="preserve">Постійний авторизований доступ (24*7) до сайту виробника, отримання актуальних репутаційних баз, сигнатур захисту веб-додатків та всіх необхідних оновлень для сервісів безпеки на протязі дії технічної сервісної підтримки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color w:val="auto"/>
                <w:sz w:val="20"/>
                <w:szCs w:val="20"/>
              </w:rPr>
              <w:t xml:space="preserve">Отримання основних та проміжних релізів програмного забезпечення через сайт, підтримка програмних кодів у актуальному стані відповідно до рекомендацій виробника на протязі дії технічної сервісної підтримки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color w:val="auto"/>
                <w:sz w:val="20"/>
                <w:szCs w:val="20"/>
              </w:rPr>
              <w:t xml:space="preserve">Можливість реєстрації сервісних випадків в режимі 24*7*365, доставку і заміну запасних частин у режимі </w:t>
            </w:r>
            <w:proofErr w:type="spellStart"/>
            <w:r w:rsidRPr="009E6EE6">
              <w:rPr>
                <w:rFonts w:eastAsia="Times New Roman"/>
                <w:color w:val="auto"/>
                <w:sz w:val="20"/>
                <w:szCs w:val="20"/>
              </w:rPr>
              <w:t>Next</w:t>
            </w:r>
            <w:proofErr w:type="spellEnd"/>
            <w:r w:rsidRPr="009E6EE6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color w:val="auto"/>
                <w:sz w:val="20"/>
                <w:szCs w:val="20"/>
              </w:rPr>
              <w:t>Business</w:t>
            </w:r>
            <w:proofErr w:type="spellEnd"/>
            <w:r w:rsidRPr="009E6EE6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color w:val="auto"/>
                <w:sz w:val="20"/>
                <w:szCs w:val="20"/>
              </w:rPr>
              <w:t>Day</w:t>
            </w:r>
            <w:proofErr w:type="spellEnd"/>
            <w:r w:rsidRPr="009E6EE6">
              <w:rPr>
                <w:rFonts w:eastAsia="Times New Roman"/>
                <w:color w:val="auto"/>
                <w:sz w:val="20"/>
                <w:szCs w:val="20"/>
              </w:rPr>
              <w:t xml:space="preserve"> в м. Київ (обладнання для заміни доставляється наступного дня після підтвердження заміни сервісом підтримки виробника)</w:t>
            </w:r>
          </w:p>
        </w:tc>
        <w:tc>
          <w:tcPr>
            <w:tcW w:w="308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1</w:t>
            </w:r>
          </w:p>
        </w:tc>
      </w:tr>
      <w:tr w:rsidR="009E6EE6" w:rsidRPr="009E6EE6" w:rsidTr="009E6EE6">
        <w:trPr>
          <w:jc w:val="center"/>
        </w:trPr>
        <w:tc>
          <w:tcPr>
            <w:tcW w:w="325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6</w:t>
            </w:r>
          </w:p>
        </w:tc>
        <w:tc>
          <w:tcPr>
            <w:tcW w:w="946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Ліцензія на використання програмного забезпечення HPE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Aruba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ClearPass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Cx000V VM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Appl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E-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LTUw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\NL EY 100 CE E-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LTUw</w:t>
            </w:r>
            <w:proofErr w:type="spellEnd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\ 1Y FC 24x7 SVC </w:t>
            </w:r>
            <w:proofErr w:type="spellStart"/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t>Support</w:t>
            </w:r>
            <w:proofErr w:type="spellEnd"/>
          </w:p>
        </w:tc>
        <w:tc>
          <w:tcPr>
            <w:tcW w:w="3421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Сумістність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з HPE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Aruba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7030 (RW) 64 AP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Branch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Cntlr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(JW686A)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Загальні характеристики та архітектура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>Система управління політиками повинна мати можливість контролю доступу до дротової та бездротової мережі на основі ідентифікаційних даних користувача, типу та характеристик пристрою, стану програмного забезпечення на пристрої користувача;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Система повинна підтримувати розгортання в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віртуалізованому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середовищі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VMware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ESX/i та Microsoft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Hyper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-V і має опцію поставки у вигляді образу віртуальної машини підготовленої для розгортання у відповідному середовищі.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 xml:space="preserve">Система повинна підтримувати можливість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кластерізації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для забезпечення 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відмовостійкого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впровадження та масштабованості;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Система управління політиками по контролю доступу до дротової та бездротової мережі повинна підтримувати наступні основні функціональні можливості в запропонованій конфігурації: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Підтримку сервісів автентифікації, авторизації та обліку дій користувачів (ААА) за протоколами RADIUS,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Kerberos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Підтримка використання в якості зовнішнього джерела даних автентифікації та авторизації Microsoft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Active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Directory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, із можливістю </w:t>
            </w:r>
            <w:r w:rsidRPr="009E6EE6">
              <w:rPr>
                <w:rFonts w:eastAsia="Times New Roman"/>
                <w:sz w:val="20"/>
                <w:szCs w:val="20"/>
              </w:rPr>
              <w:lastRenderedPageBreak/>
              <w:t>роботи в декількох AD доменах;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>Підтримка використання в якості зовнішнього джерела даних автентифікації та авторизації будь-якого LDAP-сумісного каталогу;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>Підтримка використання в якості зовнішнього джерела даних автентифікації та авторизації  будь-якої ODBC-сумісної SQL бази даних;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>Підтримка використання в якості  джерела даних автентифікації та авторизації  вбудованої SQL бази даних;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>Підтримка  802.1X 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Підтримка протоколів PEAP (EAP-MSCHAPv2, EAP-GTC, EAP-TLS);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Підтримка протоколів EAP-TLS;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Підтримка протоколів EAP-FAST (EAP-MSCHAPv2, EAP-GTC, EAP-TLS);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Підтримка протоколів TTLS (EAP-MSCHAPv2, EAP-GTC, EAP- TLS, EAP-MD5, PAP, CHAP);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>Підтримка протоколів PAP, CHAP, MSCHAPv1, MSCHAPv2, EAP-MD5;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>Підтримка MAC автентифікації для неінтелектуальних пристроїв;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>Підтримка веб-автентифікації;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Підтримка профілювання та класифікації кінцевих пристроїв на основі MAC OUI, DHCP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fingerprint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, TCP, SNMP та інших методів;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Можливість розгортання гостьового порталу для веб-автентифікації та авторизації гостьових користувачів і надання їм тимчасових облікових записів та контрольованого доступу до мережі відповідно до встановлених політик. Наявна можливість організації  різних сценаріїв реєстрації гостьових користувачів в мережі, в тому числі: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створення гостьових облікових записів авторизованим нетехнічним персоналом із використанням спеціалізованого інтерфейсу системи;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самореєстрація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гостьового користувача на порталі із автоматичним сповіщенням відповідального співробітника  і активацією гостьового запису тільки після підтвердження з боку співробітника;  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самореєстрація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гостей через гостьовий портал із наступним відправленням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згенерованих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облікових даних на вказаний при реєстрації мобільний номер  за допомогою SMS повідомлення;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Підтримка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сервисів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Apple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Bonjour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: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AirPlay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AirPrint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mDNS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Вбудована система аналітики і генерації звітів, з використанням системних та створених користувачем шаблонів, можливість запуску за розкладом та автоматичного відправлення звітів по електронній пошті.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>Підтримка роботи із обладнанням різних виробників (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мультивендорність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), підтримка широкого переліку моделей дротового та бездротового обладнання (комутатори, контролери бездротового доступу та ін.) в якості NAS/NAD пристроїв.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>Забезпечується підтримка обладнання в пропозиції, а також обладнання, що використовується в мережі Замовника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Система управління політиками по контролю доступу до дротової та бездротової мережі повинна підтримувати наступні розширені функціональності системи (за умови придбання  додаткових ліцензій):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Вбудований центр сертифікації з можливістю його використання як в режимі автономного або  підлеглого центру сертифікатів  в корпоративній інфраструктурі;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Створення умов для безпечного доступу допоміжних мобільних робочих пристроїв співробітників (планшети, смартфони), яким за політиками дозволений такий  доступ, до корпоративної мережі шляхом автоматизації процесів настроювання допоміжних пристроїв для </w:t>
            </w:r>
            <w:r w:rsidRPr="009E6EE6">
              <w:rPr>
                <w:rFonts w:eastAsia="Times New Roman"/>
                <w:sz w:val="20"/>
                <w:szCs w:val="20"/>
              </w:rPr>
              <w:lastRenderedPageBreak/>
              <w:t xml:space="preserve">використання стійких методів автентифікації  і доставки на них атрибутів доступу (сертифікатів з внутрішньої або зовнішньої PKI), без безпосередньої участі адміністратора. Підтримуються засоби автоматизованого настроювання та доставки атрибутів для мобільних пристроїв під управлінням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Apple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iOS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Android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>, Windows.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Підтримка контролю стану кінцевого пристрою (версія операційної системи, наявність критичних оновлень, наявність антивірусу із оновленою базою сигнатур) в процесі авторизації при доступі до мережі, для операційних систем сімейства Microsoft Windows з використанням технології Microsoft NAP;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Підтримка контролю стану кінцевого пристрою (версія операційної системи, наявність критичних оновлень, наявність антивірусу із оновленою базою сигнатур) для операційних систем сімейства Microsoft Windows, операційних систем сімейства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MacOS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X, операційних систем  на базі </w:t>
            </w:r>
            <w:proofErr w:type="spellStart"/>
            <w:r w:rsidRPr="009E6EE6">
              <w:rPr>
                <w:rFonts w:eastAsia="Times New Roman"/>
                <w:sz w:val="20"/>
                <w:szCs w:val="20"/>
              </w:rPr>
              <w:t>Linux</w:t>
            </w:r>
            <w:proofErr w:type="spellEnd"/>
            <w:r w:rsidRPr="009E6EE6">
              <w:rPr>
                <w:rFonts w:eastAsia="Times New Roman"/>
                <w:sz w:val="20"/>
                <w:szCs w:val="20"/>
              </w:rPr>
              <w:t xml:space="preserve"> з використанням агентів, що завантажуються;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Сервісна підтримка: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 xml:space="preserve">Термін 12 місяців </w:t>
            </w:r>
          </w:p>
          <w:p w:rsidR="009E6EE6" w:rsidRPr="009E6EE6" w:rsidRDefault="009E6EE6" w:rsidP="009E6EE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9E6EE6">
              <w:rPr>
                <w:rFonts w:eastAsia="Times New Roman"/>
                <w:sz w:val="20"/>
                <w:szCs w:val="20"/>
              </w:rPr>
              <w:t>•</w:t>
            </w:r>
            <w:r w:rsidRPr="009E6EE6">
              <w:rPr>
                <w:rFonts w:eastAsia="Times New Roman"/>
                <w:sz w:val="20"/>
                <w:szCs w:val="20"/>
              </w:rPr>
              <w:tab/>
              <w:t>Включає доступ до оновлень ПЗ,  віддалену діагностику та підтримку з боку центру технічної підтримки виробника в режимі 24 х 7 з боку центру технічної підтримки виробника.</w:t>
            </w:r>
          </w:p>
        </w:tc>
        <w:tc>
          <w:tcPr>
            <w:tcW w:w="308" w:type="pct"/>
            <w:shd w:val="clear" w:color="auto" w:fill="auto"/>
          </w:tcPr>
          <w:p w:rsidR="009E6EE6" w:rsidRPr="009E6EE6" w:rsidRDefault="009E6EE6" w:rsidP="009E6EE6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9E6EE6">
              <w:rPr>
                <w:rFonts w:eastAsia="Times New Roman"/>
                <w:b/>
                <w:color w:val="auto"/>
                <w:sz w:val="20"/>
                <w:szCs w:val="20"/>
              </w:rPr>
              <w:lastRenderedPageBreak/>
              <w:t>1</w:t>
            </w:r>
          </w:p>
        </w:tc>
      </w:tr>
    </w:tbl>
    <w:p w:rsidR="009E6EE6" w:rsidRPr="009E6EE6" w:rsidRDefault="009E6EE6" w:rsidP="009E6EE6">
      <w:pPr>
        <w:widowControl w:val="0"/>
        <w:spacing w:after="0" w:line="240" w:lineRule="auto"/>
        <w:rPr>
          <w:rFonts w:eastAsia="Times New Roman"/>
          <w:b/>
          <w:color w:val="FF0000"/>
          <w:sz w:val="20"/>
          <w:szCs w:val="20"/>
        </w:rPr>
      </w:pPr>
    </w:p>
    <w:p w:rsidR="009E6EE6" w:rsidRDefault="009E6EE6" w:rsidP="009E6EE6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B33AC2">
        <w:rPr>
          <w:rFonts w:eastAsia="Times New Roman"/>
          <w:b/>
          <w:color w:val="auto"/>
          <w:sz w:val="24"/>
          <w:szCs w:val="24"/>
          <w:lang w:eastAsia="ru-RU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B33AC2">
        <w:rPr>
          <w:rFonts w:eastAsia="Times New Roman"/>
          <w:color w:val="auto"/>
          <w:sz w:val="24"/>
          <w:szCs w:val="24"/>
          <w:lang w:eastAsia="ru-RU"/>
        </w:rPr>
        <w:t xml:space="preserve">відповідати вимогам </w:t>
      </w:r>
      <w:r w:rsidRPr="00B33AC2">
        <w:rPr>
          <w:rFonts w:eastAsia="Times New Roman"/>
          <w:color w:val="auto"/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B33AC2">
        <w:rPr>
          <w:rFonts w:eastAsia="Times New Roman"/>
          <w:color w:val="auto"/>
          <w:sz w:val="24"/>
          <w:szCs w:val="24"/>
          <w:lang w:eastAsia="ru-RU"/>
        </w:rPr>
        <w:t xml:space="preserve">«Про забезпечення санітарного та епідеміологічного благополуччя населення» </w:t>
      </w:r>
      <w:r w:rsidRPr="00B33AC2">
        <w:rPr>
          <w:rFonts w:eastAsia="Times New Roman"/>
          <w:color w:val="auto"/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B33AC2">
        <w:rPr>
          <w:rFonts w:eastAsia="Times New Roman"/>
          <w:color w:val="auto"/>
          <w:sz w:val="24"/>
          <w:szCs w:val="24"/>
          <w:lang w:eastAsia="ru-RU"/>
        </w:rPr>
        <w:t>, пожежної та техногенної безпеки, охорони праці та виробничої санітарії.</w:t>
      </w:r>
    </w:p>
    <w:p w:rsidR="009E6EE6" w:rsidRDefault="009E6EE6" w:rsidP="009E6EE6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9E6EE6" w:rsidRDefault="009E6EE6" w:rsidP="009E6EE6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9E6EE6" w:rsidRPr="009E6EE6" w:rsidRDefault="009E6EE6" w:rsidP="009E6EE6">
      <w:pPr>
        <w:widowControl w:val="0"/>
        <w:rPr>
          <w:rFonts w:eastAsia="Times New Roman"/>
          <w:b/>
          <w:color w:val="auto"/>
          <w:sz w:val="24"/>
          <w:szCs w:val="24"/>
        </w:rPr>
      </w:pPr>
    </w:p>
    <w:p w:rsidR="00497A28" w:rsidRDefault="00497A28"/>
    <w:sectPr w:rsidR="00497A2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AC2"/>
    <w:rsid w:val="00497A28"/>
    <w:rsid w:val="009E6EE6"/>
    <w:rsid w:val="00B3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4332B"/>
  <w15:chartTrackingRefBased/>
  <w15:docId w15:val="{BFF4189A-9CB7-404B-9224-1AE4B83A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AC2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0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9507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3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3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61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895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628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6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88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3035</Words>
  <Characters>17302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Лісніченко Андрій Миколайович</dc:creator>
  <cp:keywords/>
  <dc:description/>
  <cp:lastModifiedBy>Лісніченко Андрій Миколайович</cp:lastModifiedBy>
  <cp:revision>2</cp:revision>
  <dcterms:created xsi:type="dcterms:W3CDTF">2021-03-18T15:01:00Z</dcterms:created>
  <dcterms:modified xsi:type="dcterms:W3CDTF">2021-03-18T15:35:00Z</dcterms:modified>
</cp:coreProperties>
</file>