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header6.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numbering.xml" ContentType="application/vnd.openxmlformats-officedocument.wordprocessingml.numbering+xml"/>
  <Override PartName="/word/footer8.xml" ContentType="application/vnd.openxmlformats-officedocument.wordprocessingml.footer+xml"/>
  <Override PartName="/word/_rels/document.xml.rels" ContentType="application/vnd.openxmlformats-package.relationships+xml"/>
  <Override PartName="/word/header8.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5.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en-US"/>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a:noFill/>
                  </pic:spPr>
                </pic:pic>
              </a:graphicData>
            </a:graphic>
          </wp:inline>
        </w:drawing>
      </w:r>
    </w:p>
    <w:p>
      <w:pPr>
        <w:pStyle w:val="Normal"/>
        <w:numPr>
          <w:ilvl w:val="0"/>
          <w:numId w:val="0"/>
        </w:numPr>
        <w:jc w:val="center"/>
        <w:outlineLvl w:val="0"/>
        <w:rPr>
          <w:b/>
          <w:sz w:val="32"/>
          <w:szCs w:val="32"/>
          <w:lang w:val="uk-UA"/>
        </w:rPr>
      </w:pPr>
      <w:r>
        <w:rPr>
          <w:b/>
          <w:sz w:val="32"/>
          <w:szCs w:val="32"/>
          <w:lang w:val="uk-UA"/>
        </w:rPr>
        <w:t>МІНІСТЕРСТВО ОХОРОНИ ЗДОРОВ’Я УКРАЇНИ</w:t>
      </w:r>
    </w:p>
    <w:p>
      <w:pPr>
        <w:pStyle w:val="Normal"/>
        <w:rPr>
          <w:b/>
          <w:sz w:val="32"/>
          <w:szCs w:val="32"/>
          <w:lang w:val="uk-UA"/>
        </w:rPr>
      </w:pPr>
      <w:r>
        <w:rPr>
          <w:b/>
          <w:sz w:val="32"/>
          <w:szCs w:val="32"/>
          <w:lang w:val="uk-UA"/>
        </w:rPr>
      </w:r>
    </w:p>
    <w:p>
      <w:pPr>
        <w:pStyle w:val="Normal"/>
        <w:numPr>
          <w:ilvl w:val="0"/>
          <w:numId w:val="0"/>
        </w:numPr>
        <w:jc w:val="center"/>
        <w:outlineLvl w:val="0"/>
        <w:rPr>
          <w:b/>
          <w:spacing w:val="60"/>
          <w:sz w:val="30"/>
          <w:szCs w:val="30"/>
          <w:lang w:val="uk-UA"/>
        </w:rPr>
      </w:pPr>
      <w:r>
        <w:rPr>
          <w:b/>
          <w:spacing w:val="60"/>
          <w:sz w:val="30"/>
          <w:szCs w:val="30"/>
          <w:lang w:val="uk-UA"/>
        </w:rPr>
        <w:t>НАКАЗ</w:t>
      </w:r>
    </w:p>
    <w:p>
      <w:pPr>
        <w:pStyle w:val="Normal"/>
        <w:rPr>
          <w:b/>
          <w:spacing w:val="60"/>
          <w:sz w:val="30"/>
          <w:szCs w:val="30"/>
          <w:lang w:val="uk-UA"/>
        </w:rPr>
      </w:pPr>
      <w:r>
        <w:rPr>
          <w:b/>
          <w:spacing w:val="60"/>
          <w:sz w:val="30"/>
          <w:szCs w:val="30"/>
          <w:lang w:val="uk-UA"/>
        </w:rPr>
      </w:r>
    </w:p>
    <w:tbl>
      <w:tblPr>
        <w:tblW w:w="10183" w:type="dxa"/>
        <w:jc w:val="left"/>
        <w:tblInd w:w="-72" w:type="dxa"/>
        <w:tblLayout w:type="fixed"/>
        <w:tblCellMar>
          <w:top w:w="0" w:type="dxa"/>
          <w:left w:w="108" w:type="dxa"/>
          <w:bottom w:w="0" w:type="dxa"/>
          <w:right w:w="108" w:type="dxa"/>
        </w:tblCellMar>
      </w:tblPr>
      <w:tblGrid>
        <w:gridCol w:w="3271"/>
        <w:gridCol w:w="2129"/>
        <w:gridCol w:w="4783"/>
      </w:tblGrid>
      <w:tr>
        <w:trPr>
          <w:trHeight w:val="924" w:hRule="atLeast"/>
        </w:trPr>
        <w:tc>
          <w:tcPr>
            <w:tcW w:w="3271" w:type="dxa"/>
            <w:tcBorders/>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 xml:space="preserve">22 жовтня 2026 року </w:t>
            </w:r>
          </w:p>
        </w:tc>
        <w:tc>
          <w:tcPr>
            <w:tcW w:w="2129" w:type="dxa"/>
            <w:tcBorders/>
          </w:tcPr>
          <w:p>
            <w:pPr>
              <w:pStyle w:val="Normal"/>
              <w:jc w:val="center"/>
              <w:rPr>
                <w:sz w:val="24"/>
                <w:szCs w:val="24"/>
                <w:lang w:val="uk-UA"/>
              </w:rPr>
            </w:pPr>
            <w:r>
              <w:rPr>
                <w:rFonts w:eastAsia="Times New Roman"/>
                <w:sz w:val="24"/>
                <w:szCs w:val="24"/>
                <w:lang w:val="uk-UA"/>
              </w:rPr>
              <w:t xml:space="preserve">                    </w:t>
            </w:r>
            <w:r>
              <w:rPr>
                <w:sz w:val="24"/>
                <w:szCs w:val="24"/>
                <w:lang w:val="uk-UA"/>
              </w:rPr>
              <w:t>Київ</w:t>
            </w:r>
          </w:p>
        </w:tc>
        <w:tc>
          <w:tcPr>
            <w:tcW w:w="4783" w:type="dxa"/>
            <w:tcBorders/>
          </w:tcPr>
          <w:p>
            <w:pPr>
              <w:pStyle w:val="Normal"/>
              <w:snapToGrid w:val="false"/>
              <w:ind w:firstLine="72" w:right="0"/>
              <w:jc w:val="center"/>
              <w:rPr>
                <w:sz w:val="28"/>
                <w:szCs w:val="28"/>
                <w:lang w:val="uk-UA"/>
              </w:rPr>
            </w:pPr>
            <w:r>
              <w:rPr>
                <w:sz w:val="28"/>
                <w:szCs w:val="28"/>
                <w:lang w:val="uk-UA"/>
              </w:rPr>
            </w:r>
          </w:p>
          <w:p>
            <w:pPr>
              <w:pStyle w:val="Normal"/>
              <w:ind w:firstLine="72" w:right="0"/>
              <w:jc w:val="center"/>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1624                                                </w:t>
            </w:r>
          </w:p>
          <w:p>
            <w:pPr>
              <w:pStyle w:val="Normal"/>
              <w:ind w:firstLine="72" w:right="0"/>
              <w:jc w:val="center"/>
              <w:rPr>
                <w:rFonts w:eastAsia="Times New Roman"/>
                <w:sz w:val="28"/>
                <w:szCs w:val="28"/>
                <w:lang w:val="uk-UA"/>
              </w:rPr>
            </w:pPr>
            <w:r>
              <w:rPr>
                <w:rFonts w:eastAsia="Times New Roman"/>
                <w:sz w:val="28"/>
                <w:szCs w:val="28"/>
                <w:lang w:val="uk-UA"/>
              </w:rPr>
              <w:t xml:space="preserve">                                             </w:t>
            </w:r>
          </w:p>
          <w:p>
            <w:pPr>
              <w:pStyle w:val="Normal"/>
              <w:ind w:firstLine="72" w:right="0"/>
              <w:jc w:val="center"/>
              <w:rPr/>
            </w:pPr>
            <w:r>
              <w:rPr>
                <w:rFonts w:eastAsia="Times New Roman"/>
                <w:sz w:val="28"/>
                <w:szCs w:val="28"/>
                <w:lang w:val="uk-UA"/>
              </w:rPr>
              <w:t xml:space="preserve">                   </w:t>
            </w:r>
            <w:r>
              <w:rPr>
                <w:rFonts w:eastAsia="Times New Roman"/>
                <w:sz w:val="28"/>
                <w:szCs w:val="28"/>
                <w:lang w:val="uk-UA"/>
              </w:rPr>
              <w:t xml:space="preserve">                             </w:t>
            </w:r>
          </w:p>
          <w:p>
            <w:pPr>
              <w:pStyle w:val="Normal"/>
              <w:ind w:firstLine="72" w:right="0"/>
              <w:jc w:val="center"/>
              <w:rPr>
                <w:sz w:val="28"/>
                <w:szCs w:val="28"/>
                <w:lang w:val="uk-UA"/>
              </w:rPr>
            </w:pPr>
            <w:r>
              <w:rPr>
                <w:sz w:val="28"/>
                <w:szCs w:val="28"/>
                <w:lang w:val="uk-UA"/>
              </w:rPr>
            </w:r>
          </w:p>
        </w:tc>
      </w:tr>
    </w:tbl>
    <w:p>
      <w:pPr>
        <w:pStyle w:val="Normal"/>
        <w:jc w:val="both"/>
        <w:rPr>
          <w:b/>
          <w:bCs/>
          <w:sz w:val="28"/>
          <w:szCs w:val="28"/>
          <w:lang w:val="uk-UA"/>
        </w:rPr>
      </w:pPr>
      <w:r>
        <w:rPr>
          <w:b/>
          <w:bCs/>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right="0"/>
        <w:jc w:val="both"/>
        <w:rPr>
          <w:b/>
          <w:bCs/>
          <w:sz w:val="16"/>
          <w:szCs w:val="16"/>
          <w:lang w:val="uk-UA"/>
        </w:rPr>
      </w:pPr>
      <w:r>
        <w:rPr>
          <w:b/>
          <w:bCs/>
          <w:sz w:val="16"/>
          <w:szCs w:val="16"/>
          <w:lang w:val="uk-UA"/>
        </w:rPr>
      </w:r>
    </w:p>
    <w:p>
      <w:pPr>
        <w:pStyle w:val="Normal"/>
        <w:ind w:firstLine="720" w:right="0"/>
        <w:jc w:val="both"/>
        <w:rPr>
          <w:sz w:val="16"/>
          <w:szCs w:val="16"/>
          <w:lang w:val="uk-UA"/>
        </w:rPr>
      </w:pPr>
      <w:r>
        <w:rPr>
          <w:sz w:val="16"/>
          <w:szCs w:val="16"/>
          <w:lang w:val="uk-UA"/>
        </w:rPr>
      </w:r>
    </w:p>
    <w:p>
      <w:pPr>
        <w:pStyle w:val="HTML1"/>
        <w:ind w:firstLine="720" w:right="0"/>
        <w:jc w:val="both"/>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r>
        <w:rPr>
          <w:sz w:val="28"/>
          <w:szCs w:val="28"/>
          <w:lang w:val="uk-UA"/>
        </w:rPr>
        <w:t xml:space="preserve"> </w:t>
      </w:r>
      <w:r>
        <w:rPr>
          <w:rFonts w:cs="Times New Roman" w:ascii="Times New Roman" w:hAnsi="Times New Roman"/>
          <w:sz w:val="28"/>
          <w:szCs w:val="28"/>
          <w:lang w:val="uk-UA"/>
        </w:rPr>
        <w:t>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16 жовтня 2026 року № 4441/22.2-26,</w:t>
      </w:r>
    </w:p>
    <w:p>
      <w:pPr>
        <w:pStyle w:val="HTML1"/>
        <w:ind w:firstLine="720" w:right="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33"/>
        <w:ind w:left="0" w:right="0"/>
        <w:rPr>
          <w:b/>
          <w:bCs/>
          <w:sz w:val="28"/>
          <w:szCs w:val="28"/>
          <w:lang w:val="uk-UA"/>
        </w:rPr>
      </w:pPr>
      <w:r>
        <w:rPr>
          <w:b/>
          <w:bCs/>
          <w:sz w:val="28"/>
          <w:szCs w:val="28"/>
          <w:lang w:val="uk-UA"/>
        </w:rPr>
        <w:t>НАКАЗУЮ:</w:t>
      </w:r>
    </w:p>
    <w:p>
      <w:pPr>
        <w:pStyle w:val="Normal"/>
        <w:tabs>
          <w:tab w:val="clear" w:pos="708"/>
          <w:tab w:val="left" w:pos="1080" w:leader="none"/>
        </w:tabs>
        <w:ind w:firstLine="720" w:right="0"/>
        <w:jc w:val="both"/>
        <w:rPr>
          <w:b/>
          <w:bCs/>
          <w:sz w:val="28"/>
          <w:szCs w:val="28"/>
          <w:lang w:val="uk-UA"/>
        </w:rPr>
      </w:pPr>
      <w:r>
        <w:rPr>
          <w:b/>
          <w:bCs/>
          <w:sz w:val="28"/>
          <w:szCs w:val="28"/>
          <w:lang w:val="uk-UA"/>
        </w:rPr>
      </w:r>
    </w:p>
    <w:p>
      <w:pPr>
        <w:pStyle w:val="Normal"/>
        <w:tabs>
          <w:tab w:val="clear" w:pos="708"/>
          <w:tab w:val="left" w:pos="1080" w:leader="none"/>
        </w:tabs>
        <w:ind w:firstLine="720" w:right="0"/>
        <w:jc w:val="both"/>
        <w:rPr/>
      </w:pPr>
      <w:r>
        <w:rPr>
          <w:sz w:val="28"/>
          <w:szCs w:val="28"/>
          <w:lang w:val="uk-UA"/>
        </w:rPr>
        <w:t xml:space="preserve">1. Зареєструвати </w:t>
      </w:r>
      <w:r>
        <w:rPr>
          <w:sz w:val="28"/>
          <w:szCs w:val="28"/>
          <w:lang w:val="uk-UA" w:eastAsia="en-US"/>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1080" w:leader="none"/>
        </w:tabs>
        <w:ind w:firstLine="720" w:right="0"/>
        <w:jc w:val="both"/>
        <w:rPr/>
      </w:pPr>
      <w:r>
        <w:rPr>
          <w:sz w:val="28"/>
          <w:szCs w:val="28"/>
          <w:lang w:val="uk-UA"/>
        </w:rPr>
        <w:t xml:space="preserve">2. Перереєструвати </w:t>
      </w:r>
      <w:r>
        <w:rPr>
          <w:sz w:val="28"/>
          <w:szCs w:val="28"/>
          <w:lang w:val="uk-UA" w:eastAsia="en-US"/>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1080" w:leader="none"/>
        </w:tabs>
        <w:ind w:firstLine="720" w:right="0"/>
        <w:jc w:val="both"/>
        <w:rPr/>
      </w:pPr>
      <w:r>
        <w:rPr>
          <w:sz w:val="28"/>
          <w:szCs w:val="28"/>
          <w:lang w:val="uk-UA"/>
        </w:rPr>
        <w:t xml:space="preserve">3. Внести зміни до реєстраційних матеріалів на </w:t>
      </w:r>
      <w:r>
        <w:rPr>
          <w:sz w:val="28"/>
          <w:szCs w:val="28"/>
          <w:lang w:val="uk-UA" w:eastAsia="en-US"/>
        </w:rPr>
        <w:t>лікарські засоби</w:t>
      </w:r>
      <w:r>
        <w:rPr>
          <w:sz w:val="28"/>
          <w:szCs w:val="28"/>
          <w:lang w:val="uk-UA"/>
        </w:rPr>
        <w:t xml:space="preserve"> (медичні імунобіологічні препарати) та до Державного реєстру лікарських засобів згідно з додатком 3.</w:t>
      </w:r>
    </w:p>
    <w:p>
      <w:pPr>
        <w:pStyle w:val="Normal"/>
        <w:tabs>
          <w:tab w:val="clear" w:pos="708"/>
          <w:tab w:val="left" w:pos="720" w:leader="none"/>
          <w:tab w:val="left" w:pos="993" w:leader="none"/>
        </w:tabs>
        <w:ind w:firstLine="720" w:right="0"/>
        <w:jc w:val="both"/>
        <w:rPr>
          <w:sz w:val="28"/>
          <w:szCs w:val="28"/>
          <w:lang w:val="uk-UA"/>
        </w:rPr>
      </w:pPr>
      <w:r>
        <w:rPr>
          <w:sz w:val="28"/>
          <w:szCs w:val="28"/>
          <w:lang w:val="uk-UA"/>
        </w:rPr>
      </w:r>
    </w:p>
    <w:p>
      <w:pPr>
        <w:pStyle w:val="Normal"/>
        <w:tabs>
          <w:tab w:val="clear" w:pos="708"/>
          <w:tab w:val="left" w:pos="720" w:leader="none"/>
          <w:tab w:val="left" w:pos="993" w:leader="none"/>
        </w:tabs>
        <w:ind w:firstLine="720" w:right="0"/>
        <w:jc w:val="both"/>
        <w:rPr/>
      </w:pPr>
      <w:r>
        <w:rPr>
          <w:sz w:val="28"/>
          <w:szCs w:val="28"/>
          <w:lang w:val="uk-UA"/>
        </w:rPr>
        <w:t>4.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720" w:leader="none"/>
          <w:tab w:val="left" w:pos="1080" w:leader="none"/>
        </w:tabs>
        <w:ind w:firstLine="720" w:right="0"/>
        <w:jc w:val="both"/>
        <w:rPr>
          <w:sz w:val="28"/>
          <w:szCs w:val="28"/>
          <w:lang w:val="uk-UA"/>
        </w:rPr>
      </w:pPr>
      <w:r>
        <w:rPr>
          <w:sz w:val="28"/>
          <w:szCs w:val="28"/>
          <w:lang w:val="uk-UA"/>
        </w:rPr>
        <w:t>5.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gutter="0" w:header="709" w:top="899" w:footer="709" w:bottom="1701"/>
          <w:pgNumType w:fmt="decimal"/>
          <w:formProt w:val="false"/>
          <w:titlePg/>
          <w:textDirection w:val="lrTb"/>
          <w:docGrid w:type="default" w:linePitch="360" w:charSpace="0"/>
        </w:sectPr>
        <w:pStyle w:val="33"/>
        <w:spacing w:before="0" w:after="0"/>
        <w:ind w:left="0" w:right="0"/>
        <w:rPr>
          <w:b/>
          <w:sz w:val="28"/>
          <w:szCs w:val="28"/>
          <w:lang w:val="uk-UA"/>
        </w:rPr>
      </w:pPr>
      <w:r>
        <w:rPr>
          <w:b/>
          <w:sz w:val="28"/>
          <w:szCs w:val="28"/>
          <w:lang w:val="uk-UA"/>
        </w:rPr>
        <w:t xml:space="preserve">Міністр                                                                                           Віктор ЛЯШКО   </w:t>
      </w:r>
    </w:p>
    <w:tbl>
      <w:tblPr>
        <w:tblW w:w="3825" w:type="dxa"/>
        <w:jc w:val="left"/>
        <w:tblInd w:w="11448" w:type="dxa"/>
        <w:tblLayout w:type="fixed"/>
        <w:tblCellMar>
          <w:top w:w="0" w:type="dxa"/>
          <w:left w:w="108" w:type="dxa"/>
          <w:bottom w:w="0" w:type="dxa"/>
          <w:right w:w="108" w:type="dxa"/>
        </w:tblCellMar>
      </w:tblPr>
      <w:tblGrid>
        <w:gridCol w:w="3825"/>
      </w:tblGrid>
      <w:tr>
        <w:trPr>
          <w:trHeight w:val="711" w:hRule="atLeast"/>
        </w:trPr>
        <w:tc>
          <w:tcPr>
            <w:tcW w:w="3825" w:type="dxa"/>
            <w:tcBorders/>
          </w:tcPr>
          <w:p>
            <w:pPr>
              <w:pStyle w:val="Heading4"/>
              <w:tabs>
                <w:tab w:val="clear" w:pos="708"/>
                <w:tab w:val="left" w:pos="12600" w:leader="none"/>
              </w:tabs>
              <w:spacing w:before="0" w:after="0"/>
              <w:ind w:hanging="0" w:left="0"/>
              <w:rPr>
                <w:sz w:val="18"/>
                <w:szCs w:val="18"/>
              </w:rPr>
            </w:pPr>
            <w:r>
              <w:rPr>
                <w:sz w:val="18"/>
                <w:szCs w:val="18"/>
              </w:rPr>
              <w:t>Додаток 1</w:t>
            </w:r>
          </w:p>
          <w:p>
            <w:pPr>
              <w:pStyle w:val="Heading4"/>
              <w:tabs>
                <w:tab w:val="clear" w:pos="708"/>
                <w:tab w:val="left" w:pos="12600" w:leader="none"/>
              </w:tabs>
              <w:spacing w:before="0" w:after="0"/>
              <w:ind w:hanging="0" w:left="0"/>
              <w:rPr>
                <w:sz w:val="18"/>
                <w:szCs w:val="18"/>
              </w:rPr>
            </w:pPr>
            <w:r>
              <w:rPr>
                <w:sz w:val="18"/>
                <w:szCs w:val="18"/>
              </w:rPr>
              <w:t>до наказу Міністерства охорони</w:t>
            </w:r>
          </w:p>
          <w:p>
            <w:pPr>
              <w:pStyle w:val="Heading4"/>
              <w:tabs>
                <w:tab w:val="clear" w:pos="708"/>
                <w:tab w:val="left" w:pos="12600" w:leader="none"/>
              </w:tabs>
              <w:spacing w:before="0" w:after="0"/>
              <w:ind w:hanging="0" w:left="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tabs>
                <w:tab w:val="clear" w:pos="708"/>
                <w:tab w:val="left" w:pos="12600" w:leader="none"/>
              </w:tabs>
              <w:spacing w:before="0" w:after="0"/>
              <w:ind w:hanging="0" w:left="0"/>
              <w:rPr>
                <w:rFonts w:cs="Arial"/>
              </w:rPr>
            </w:pPr>
            <w:r>
              <w:rPr>
                <w:bCs w:val="false"/>
                <w:iCs/>
                <w:sz w:val="18"/>
                <w:szCs w:val="18"/>
                <w:u w:val="single"/>
              </w:rPr>
              <w:t>від 22 жовтня 2026 року № 1624</w:t>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b/>
          <w:sz w:val="28"/>
          <w:szCs w:val="28"/>
        </w:rPr>
      </w:pPr>
      <w:r>
        <w:rPr>
          <w:b/>
          <w:caps/>
          <w:sz w:val="28"/>
          <w:szCs w:val="28"/>
        </w:rPr>
        <w:t>ПЕРЕЛІК</w:t>
      </w:r>
    </w:p>
    <w:p>
      <w:pPr>
        <w:pStyle w:val="Normal"/>
        <w:keepNext w:val="true"/>
        <w:numPr>
          <w:ilvl w:val="0"/>
          <w:numId w:val="0"/>
        </w:numPr>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caps/>
        </w:rPr>
      </w:pPr>
      <w:r>
        <w:rPr>
          <w:rFonts w:cs="Arial" w:ascii="Arial" w:hAnsi="Arial"/>
          <w:b/>
          <w:caps/>
        </w:rPr>
      </w:r>
    </w:p>
    <w:tbl>
      <w:tblPr>
        <w:tblW w:w="15876" w:type="dxa"/>
        <w:jc w:val="left"/>
        <w:tblInd w:w="-1026" w:type="dxa"/>
        <w:tblLayout w:type="fixed"/>
        <w:tblCellMar>
          <w:top w:w="0" w:type="dxa"/>
          <w:left w:w="108" w:type="dxa"/>
          <w:bottom w:w="0" w:type="dxa"/>
          <w:right w:w="108" w:type="dxa"/>
        </w:tblCellMar>
      </w:tblPr>
      <w:tblGrid>
        <w:gridCol w:w="567"/>
        <w:gridCol w:w="1560"/>
        <w:gridCol w:w="992"/>
        <w:gridCol w:w="850"/>
        <w:gridCol w:w="709"/>
        <w:gridCol w:w="1418"/>
        <w:gridCol w:w="992"/>
        <w:gridCol w:w="850"/>
        <w:gridCol w:w="1276"/>
        <w:gridCol w:w="992"/>
        <w:gridCol w:w="1560"/>
        <w:gridCol w:w="1417"/>
        <w:gridCol w:w="992"/>
        <w:gridCol w:w="1701"/>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156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41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БРОТМІН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6 або 12 блістерів в картонній коробці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та вторинне пакування:</w:t>
              <w:br/>
              <w:t>Медокемі (Фа Іст) Лтд., В’єтнам;</w:t>
              <w:br/>
              <w:t>контроль якості, випуск серії:</w:t>
              <w:br/>
              <w:t>Медокемі Лімітед, Кіпр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В’єтнам/</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ДІОКОР КОР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24 мг/26 мг, по 14 таблеток у блістері, по 2 блістери в картонній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Інструкція для медичного застосування лікарського засобу та текст маркування упаковки (eCTD верcія 0017). Методи контролю якості лікарського засобу (eCTD версія 0017).  Текст маркування упаковки лікарського засобу: для дозування 24 мг/26 мг (eCTD версія 0012). Звіт згідно додатку 29 Порядку (eCTD верcія 0014). Звіт згідно додатку 30 Порядку (eCTD верcія 0014). План управління ризиками версія 2.2 погоджена (eCTD послідовність № 0013).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ДІОКОР КОР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49 мг/51 мг, по 7 таблеток у блістері, по 4 блістери в картонній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Інструкція для медичного застосування лікарського засобу та текст маркування упаковки (eCTD верcія 0017). Методи контролю якості лікарського засобу (eCTD версія 0017).  Текст маркування упаковки лікарського засобу: для дозування 49 мг/51 мг (eCTD версія 0012). Звіт згідно додатку 29 Порядку (eCTD верcія 0014). Звіт згідно додатку 30 Порядку (eCTD верcія 0014). План управління ризиками версія 2.2 погоджена (eCTD послідовність № 0013).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UA/21484/01/0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ДІОКОР КОР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натрію)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C09DX04</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97 мг/103 мг, по 7 таблеток у блістері, по 4 або по 8 блістерів в картонній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Асіно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Ko. Інк.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Інструкція для медичного застосування лікарського засобу та текст маркування упаковки (eCTD верcія 0017). Методи контролю якості лікарського засобу (eCTD версія 0017).  Текст маркування упаковки лікарського засобу: для дозування 97 мг/103 мг (eCTD версія 0018). Звіт згідно додатку 29 Порядку (eCTD верcія 0014). Звіт згідно додатку 30 Порядку (eCTD верcія 0014). План управління ризиками версія 2.2 погоджена (eCTD послідовність № 0013).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UA/21484/01/0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sz w:val="16"/>
                <w:szCs w:val="16"/>
                <w:lang w:val="en-US"/>
              </w:rPr>
            </w:pPr>
            <w:r>
              <w:rPr>
                <w:rFonts w:cs="Arial" w:ascii="Arial" w:hAnsi="Arial"/>
                <w:b/>
                <w:sz w:val="16"/>
                <w:szCs w:val="16"/>
              </w:rPr>
              <w:t>ІБРУНАТ 140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ibrutinib</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ібрутиніб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L01E L01</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lang w:val="ru-RU"/>
              </w:rPr>
            </w:pPr>
            <w:r>
              <w:rPr>
                <w:rFonts w:cs="Arial" w:ascii="Arial" w:hAnsi="Arial"/>
                <w:sz w:val="16"/>
                <w:szCs w:val="16"/>
                <w:lang w:val="ru-RU"/>
              </w:rPr>
              <w:t>капсули тверді, по 140 мг, по 10 капсул твердих у блістері; по 3 блістери в картонній коробці; по 30 капсул твердих у флаконі; по 1 флакону в картонній коробці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lang w:val="ru-RU"/>
              </w:rPr>
            </w:pPr>
            <w:r>
              <w:rPr>
                <w:rFonts w:cs="Arial" w:ascii="Arial" w:hAnsi="Arial"/>
                <w:sz w:val="16"/>
                <w:szCs w:val="16"/>
                <w:lang w:val="ru-RU"/>
              </w:rPr>
              <w:t>Натко Фарма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Індія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Натко Фарма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Індія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МЕТАРА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mometasone, combinations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мометазону фуроату моногідрат мікронізований та оксиметазоліну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R01AD59</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по 18 г (140 доз) у поліетиленовому флаконі з насосом-дозатором та насадкою-розпилювачем із захисним ковпачком; по 1 флакону в картонній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ТОВ «ВАЛАРТІН ФАРМА»,</w:t>
              <w:br/>
              <w:t>Україна;</w:t>
              <w:br/>
              <w:t>виробництво, пакування, контроль якості:</w:t>
              <w:br/>
              <w:t>ТОВ «Мікрофарм»,</w:t>
              <w:br/>
              <w:t>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СУГАРЕЛЬ ІНТЕРА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sugammadex</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сугамадекс натрію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V03AB35</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ампулах скляних, по 5 ампул у чарунковій упаковці, по 1 або 2 чарункових упаковок у коробці з картону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Резюме плану управління ризиками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UA/21486/01/0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ФОСМІВЕН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fosfomycin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фосфоміцин натрію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J01XX01</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 г у флаконі, по 1 флакону в пачці; по 10 флаконів у контурній чарунковій упаковці, по 1 контурній чарунковій упаковці в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UA/21487/01/0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sz w:val="16"/>
                <w:szCs w:val="16"/>
              </w:rPr>
            </w:pPr>
            <w:r>
              <w:rPr>
                <w:rFonts w:cs="Arial" w:ascii="Arial" w:hAnsi="Arial"/>
                <w:b/>
                <w:sz w:val="16"/>
                <w:szCs w:val="16"/>
              </w:rPr>
              <w:t>ХОЛАНЕТА® 250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ursodeoxycholic acid</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урсодезоксихолева кислота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А05АА02; А05В</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таблетки, вкриті плівковою оболонкою, по 250 мг; по 10 таблеток у блістері, по 3 aбо 5 блістерів у пачці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АТ "Фармак"</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АТ "Фармак"</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Реєстрація на 5 років</w:t>
              <w:br/>
              <w:br/>
              <w:t>Інструкція для медичного застосування лікарського засобу (eCTD верія 0011) Текст маркування упаковки лікарського засобу (eCTD верія 0008) Методи контролю якості лікарського засобу (eCTD версія 0009) Звіт згідно додатку 29 Порядку (eCTD верcія 0000) Звіт згідно додатку 30 Порядку (eCTD верcія 0000) План управління ризиками версія 2.0 погоджена (eCTD послідовність № 0005).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sz w:val="16"/>
                <w:szCs w:val="16"/>
              </w:rPr>
            </w:pPr>
            <w:r>
              <w:rPr>
                <w:rFonts w:cs="Arial" w:ascii="Arial" w:hAnsi="Arial"/>
                <w:b/>
                <w:sz w:val="16"/>
                <w:szCs w:val="16"/>
              </w:rPr>
              <w:t>UA/21488/01/0</w:t>
            </w:r>
            <w:r>
              <w:rPr>
                <w:rFonts w:cs="Arial" w:ascii="Arial" w:hAnsi="Arial"/>
                <w:b/>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ЦЕФУРОКСИМ ЮРІЯ-ФАРМ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j01dc02</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lang w:val="ru-RU"/>
              </w:rPr>
              <w:t xml:space="preserve">порошок для розчину для ін’єкцій, по 750 мг, по 750 мг порошку у флаконі; </w:t>
            </w:r>
            <w:r>
              <w:rPr>
                <w:rFonts w:cs="Arial" w:ascii="Arial" w:hAnsi="Arial"/>
                <w:color w:val="000000"/>
                <w:sz w:val="16"/>
                <w:szCs w:val="16"/>
              </w:rPr>
              <w:t>in</w:t>
            </w:r>
            <w:r>
              <w:rPr>
                <w:rFonts w:cs="Arial" w:ascii="Arial" w:hAnsi="Arial"/>
                <w:color w:val="000000"/>
                <w:sz w:val="16"/>
                <w:szCs w:val="16"/>
                <w:lang w:val="ru-RU"/>
              </w:rPr>
              <w:t xml:space="preserve"> </w:t>
            </w:r>
            <w:r>
              <w:rPr>
                <w:rFonts w:cs="Arial" w:ascii="Arial" w:hAnsi="Arial"/>
                <w:color w:val="000000"/>
                <w:sz w:val="16"/>
                <w:szCs w:val="16"/>
              </w:rPr>
              <w:t>bulk</w:t>
            </w:r>
            <w:r>
              <w:rPr>
                <w:rFonts w:cs="Arial" w:ascii="Arial" w:hAnsi="Arial"/>
                <w:color w:val="000000"/>
                <w:sz w:val="16"/>
                <w:szCs w:val="16"/>
                <w:lang w:val="ru-RU"/>
              </w:rPr>
              <w:t>: по 207 флаконів у коробці з картону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sz w:val="16"/>
                <w:szCs w:val="16"/>
              </w:rPr>
            </w:pPr>
            <w:r>
              <w:rPr>
                <w:rFonts w:cs="Arial" w:ascii="Arial" w:hAnsi="Arial"/>
                <w:sz w:val="16"/>
                <w:szCs w:val="16"/>
              </w:rPr>
              <w:t>UA/21490/01/0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ЦЕФУРОКСИМ ЮРІЯ-ФАРМ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j01dc02</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lang w:val="ru-RU"/>
              </w:rPr>
              <w:t xml:space="preserve">порошок для розчину для ін’єкцій, по 1500 мг, по 1500 мг порошку у флаконі; </w:t>
            </w:r>
            <w:r>
              <w:rPr>
                <w:rFonts w:cs="Arial" w:ascii="Arial" w:hAnsi="Arial"/>
                <w:color w:val="000000"/>
                <w:sz w:val="16"/>
                <w:szCs w:val="16"/>
              </w:rPr>
              <w:t>in</w:t>
            </w:r>
            <w:r>
              <w:rPr>
                <w:rFonts w:cs="Arial" w:ascii="Arial" w:hAnsi="Arial"/>
                <w:color w:val="000000"/>
                <w:sz w:val="16"/>
                <w:szCs w:val="16"/>
                <w:lang w:val="ru-RU"/>
              </w:rPr>
              <w:t xml:space="preserve"> </w:t>
            </w:r>
            <w:r>
              <w:rPr>
                <w:rFonts w:cs="Arial" w:ascii="Arial" w:hAnsi="Arial"/>
                <w:color w:val="000000"/>
                <w:sz w:val="16"/>
                <w:szCs w:val="16"/>
              </w:rPr>
              <w:t>bulk</w:t>
            </w:r>
            <w:r>
              <w:rPr>
                <w:rFonts w:cs="Arial" w:ascii="Arial" w:hAnsi="Arial"/>
                <w:color w:val="000000"/>
                <w:sz w:val="16"/>
                <w:szCs w:val="16"/>
                <w:lang w:val="ru-RU"/>
              </w:rPr>
              <w:t>: по 119 флаконів у коробці з картону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sz w:val="16"/>
                <w:szCs w:val="16"/>
              </w:rPr>
            </w:pPr>
            <w:r>
              <w:rPr>
                <w:rFonts w:cs="Arial" w:ascii="Arial" w:hAnsi="Arial"/>
                <w:sz w:val="16"/>
                <w:szCs w:val="16"/>
              </w:rPr>
              <w:t>UA/21490/01/0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en-US"/>
              </w:rPr>
            </w:pPr>
            <w:r>
              <w:rPr>
                <w:rFonts w:cs="Arial" w:ascii="Arial" w:hAnsi="Arial"/>
                <w:b/>
                <w:sz w:val="16"/>
                <w:szCs w:val="16"/>
              </w:rPr>
              <w:t xml:space="preserve">ЦЕФУРОКСИМ ЮРІЯ-ФАРМ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J01DC02</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порошок для розчину для ін'єкцій по 1500 мг, по 1500 мг порошку у флаконі, по 10 флаконів у коробці з картону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t>(контроль якості);</w:t>
              <w:br/>
              <w:t>ТОВ "Юрія-Фарм"</w:t>
              <w:br/>
              <w:t>(пакування із форми in bulk,фірми-виробника Ацс Добфар С.п.А., Італія)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sz w:val="16"/>
                <w:szCs w:val="16"/>
              </w:rPr>
            </w:pPr>
            <w:r>
              <w:rPr>
                <w:rFonts w:cs="Arial" w:ascii="Arial" w:hAnsi="Arial"/>
                <w:sz w:val="16"/>
                <w:szCs w:val="16"/>
              </w:rPr>
              <w:t>UA/21491/01/0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3"/>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ЦЕФУРОКСИМ ЮРІЯ-ФАРМ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цефуроксим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J01DC02</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порошок для розчину для ін'єкцій по 750 мг, по 750 мг порошку у флаконі; по 10 флаконів у коробці з картону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lang w:val="ru-RU"/>
              </w:rPr>
              <w:t>ТОВ "Юрія-Фарм"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t>(контроль якості);</w:t>
              <w:br/>
              <w:t>ТОВ "Юрія-Фарм"</w:t>
              <w:br/>
              <w:t>(пакування із форми in bulk,фірми-виробника Ацс Добфар С.п.А., Італія)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lineRule="auto" w:line="276"/>
              <w:jc w:val="center"/>
              <w:rPr>
                <w:rFonts w:ascii="Arial" w:hAnsi="Arial" w:cs="Arial"/>
                <w:sz w:val="16"/>
                <w:szCs w:val="16"/>
              </w:rPr>
            </w:pPr>
            <w:r>
              <w:rPr>
                <w:rFonts w:cs="Arial" w:ascii="Arial" w:hAnsi="Arial"/>
                <w:sz w:val="16"/>
                <w:szCs w:val="16"/>
              </w:rPr>
              <w:t>UA/21491/01/0</w:t>
            </w:r>
            <w:r>
              <w:rPr>
                <w:rFonts w:cs="Arial" w:ascii="Arial" w:hAnsi="Arial"/>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Hyperlink"/>
            <w:i/>
            <w:color w:val="000000"/>
            <w:szCs w:val="16"/>
          </w:rPr>
          <w:t>https://www.whocc.no/atc_ddd_index/</w:t>
        </w:r>
      </w:hyperlink>
      <w:r>
        <w:rPr>
          <w:rStyle w:val="Hyperlink"/>
          <w:i/>
          <w:color w:val="000000"/>
          <w:szCs w:val="16"/>
        </w:rPr>
        <w:t>)</w:t>
      </w:r>
    </w:p>
    <w:p>
      <w:pPr>
        <w:pStyle w:val="Normal"/>
        <w:rPr>
          <w:rStyle w:val="Hyperlink"/>
          <w:i/>
          <w:i/>
          <w:color w:val="000000"/>
          <w:szCs w:val="16"/>
        </w:rPr>
      </w:pPr>
      <w:r>
        <w:rPr/>
      </w:r>
    </w:p>
    <w:p>
      <w:pPr>
        <w:pStyle w:val="Normal"/>
        <w:rPr>
          <w:rStyle w:val="Hyperlink"/>
          <w:i/>
          <w:i/>
          <w:color w:val="000000"/>
          <w:szCs w:val="16"/>
        </w:rPr>
      </w:pPr>
      <w:r>
        <w:rPr/>
      </w:r>
    </w:p>
    <w:p>
      <w:pPr>
        <w:pStyle w:val="Normal"/>
        <w:rPr>
          <w:rStyle w:val="Hyperlink"/>
          <w:i/>
          <w:i/>
          <w:color w:val="000000"/>
          <w:szCs w:val="16"/>
        </w:rPr>
      </w:pPr>
      <w:r>
        <w:rPr/>
      </w:r>
    </w:p>
    <w:p>
      <w:pPr>
        <w:pStyle w:val="Normal"/>
        <w:rPr/>
      </w:pPr>
      <w:r>
        <w:rPr>
          <w:rStyle w:val="Hyperlink"/>
          <w:rFonts w:cs="Times New Roman"/>
          <w:b/>
          <w:bCs/>
          <w:iCs/>
          <w:color w:val="000000"/>
          <w:sz w:val="28"/>
          <w:szCs w:val="28"/>
          <w:u w:val="none"/>
        </w:rPr>
        <w:t xml:space="preserve">Начальник </w:t>
      </w:r>
    </w:p>
    <w:p>
      <w:pPr>
        <w:sectPr>
          <w:headerReference w:type="default" r:id="rId8"/>
          <w:headerReference w:type="first" r:id="rId9"/>
          <w:footerReference w:type="default" r:id="rId10"/>
          <w:footerReference w:type="first" r:id="rId11"/>
          <w:type w:val="nextPage"/>
          <w:pgSz w:orient="landscape" w:w="16838" w:h="11906"/>
          <w:pgMar w:left="1701" w:right="902" w:gutter="0" w:header="709" w:top="851" w:footer="709" w:bottom="765"/>
          <w:pgNumType w:fmt="decimal"/>
          <w:formProt w:val="false"/>
          <w:titlePg/>
          <w:textDirection w:val="lrTb"/>
          <w:docGrid w:type="default" w:linePitch="360" w:charSpace="0"/>
        </w:sectPr>
        <w:pStyle w:val="Normal"/>
        <w:rPr/>
      </w:pPr>
      <w:r>
        <w:rPr>
          <w:rStyle w:val="Hyperlink"/>
          <w:rFonts w:cs="Times New Roman"/>
          <w:b/>
          <w:bCs/>
          <w:iCs/>
          <w:color w:val="000000"/>
          <w:sz w:val="28"/>
          <w:szCs w:val="28"/>
          <w:u w:val="none"/>
        </w:rPr>
        <w:t>Фармацевтичного управління                                                                                                Олександр ГРІЦЕНКО</w:t>
      </w:r>
    </w:p>
    <w:p>
      <w:pPr>
        <w:pStyle w:val="Normal"/>
        <w:rPr>
          <w:rStyle w:val="Hyperlink"/>
          <w:rFonts w:ascii="Arial" w:hAnsi="Arial" w:cs="Arial"/>
          <w:b/>
          <w:bCs/>
          <w:iCs/>
          <w:color w:val="000000"/>
          <w:sz w:val="16"/>
          <w:szCs w:val="16"/>
          <w:u w:val="none"/>
          <w:lang w:val="uk-UA"/>
        </w:rPr>
      </w:pPr>
      <w:r>
        <w:rPr/>
      </w:r>
    </w:p>
    <w:tbl>
      <w:tblPr>
        <w:tblW w:w="3825" w:type="dxa"/>
        <w:jc w:val="left"/>
        <w:tblInd w:w="11448" w:type="dxa"/>
        <w:tblLayout w:type="fixed"/>
        <w:tblCellMar>
          <w:top w:w="0" w:type="dxa"/>
          <w:left w:w="108" w:type="dxa"/>
          <w:bottom w:w="0" w:type="dxa"/>
          <w:right w:w="108" w:type="dxa"/>
        </w:tblCellMar>
      </w:tblPr>
      <w:tblGrid>
        <w:gridCol w:w="3825"/>
      </w:tblGrid>
      <w:tr>
        <w:trPr/>
        <w:tc>
          <w:tcPr>
            <w:tcW w:w="3825" w:type="dxa"/>
            <w:tcBorders/>
          </w:tcPr>
          <w:p>
            <w:pPr>
              <w:pStyle w:val="Heading4"/>
              <w:tabs>
                <w:tab w:val="clear" w:pos="708"/>
                <w:tab w:val="left" w:pos="12600" w:leader="none"/>
              </w:tabs>
              <w:spacing w:before="0" w:after="0"/>
              <w:ind w:hanging="0" w:left="0"/>
              <w:rPr>
                <w:bCs w:val="false"/>
                <w:iCs/>
                <w:sz w:val="18"/>
                <w:szCs w:val="18"/>
              </w:rPr>
            </w:pPr>
            <w:r>
              <w:rPr>
                <w:bCs w:val="false"/>
                <w:iCs/>
                <w:sz w:val="18"/>
                <w:szCs w:val="18"/>
              </w:rPr>
              <w:t>Додаток 2</w:t>
            </w:r>
          </w:p>
          <w:p>
            <w:pPr>
              <w:pStyle w:val="Heading4"/>
              <w:tabs>
                <w:tab w:val="clear" w:pos="708"/>
                <w:tab w:val="left" w:pos="12600" w:leader="none"/>
              </w:tabs>
              <w:spacing w:before="0" w:after="0"/>
              <w:ind w:hanging="0" w:left="0"/>
              <w:rPr>
                <w:bCs w:val="false"/>
                <w:iCs/>
                <w:sz w:val="18"/>
                <w:szCs w:val="18"/>
              </w:rPr>
            </w:pPr>
            <w:r>
              <w:rPr>
                <w:bCs w:val="false"/>
                <w:iCs/>
                <w:sz w:val="18"/>
                <w:szCs w:val="18"/>
              </w:rPr>
              <w:t>до наказу Міністерства охорони</w:t>
            </w:r>
          </w:p>
          <w:p>
            <w:pPr>
              <w:pStyle w:val="Heading4"/>
              <w:tabs>
                <w:tab w:val="clear" w:pos="708"/>
                <w:tab w:val="left" w:pos="12600" w:leader="none"/>
              </w:tabs>
              <w:spacing w:before="0" w:after="0"/>
              <w:ind w:hanging="0" w:left="0"/>
              <w:rPr>
                <w:bCs w:val="false"/>
                <w:iCs/>
                <w:sz w:val="18"/>
                <w:szCs w:val="18"/>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2"/>
              <w:rPr>
                <w:rFonts w:ascii="Arial" w:hAnsi="Arial" w:cs="Arial"/>
                <w:sz w:val="20"/>
                <w:szCs w:val="20"/>
              </w:rPr>
            </w:pPr>
            <w:r>
              <w:rPr>
                <w:b/>
                <w:bCs/>
                <w:iCs/>
                <w:sz w:val="18"/>
                <w:szCs w:val="18"/>
                <w:u w:val="single"/>
              </w:rPr>
              <w:t>від 22 жовтня 2026 року № 1624</w:t>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b/>
          <w:caps/>
          <w:sz w:val="28"/>
          <w:szCs w:val="28"/>
        </w:rPr>
      </w:pPr>
      <w:r>
        <w:rPr>
          <w:b/>
          <w:caps/>
          <w:sz w:val="28"/>
          <w:szCs w:val="28"/>
        </w:rPr>
        <w:t>ПЕРЕЛІК</w:t>
      </w:r>
    </w:p>
    <w:p>
      <w:pPr>
        <w:pStyle w:val="Normal"/>
        <w:keepNext w:val="true"/>
        <w:numPr>
          <w:ilvl w:val="0"/>
          <w:numId w:val="0"/>
        </w:numPr>
        <w:tabs>
          <w:tab w:val="clear" w:pos="708"/>
          <w:tab w:val="left" w:pos="12600" w:leader="none"/>
        </w:tabs>
        <w:jc w:val="center"/>
        <w:outlineLvl w:val="3"/>
        <w:rPr>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clear" w:pos="708"/>
          <w:tab w:val="left" w:pos="12600" w:leader="none"/>
        </w:tabs>
        <w:jc w:val="center"/>
        <w:outlineLvl w:val="3"/>
        <w:rPr>
          <w:rFonts w:ascii="Arial" w:hAnsi="Arial" w:cs="Arial"/>
          <w:b/>
          <w:caps/>
          <w:sz w:val="28"/>
          <w:szCs w:val="28"/>
        </w:rPr>
      </w:pPr>
      <w:r>
        <w:rPr>
          <w:rFonts w:cs="Arial" w:ascii="Arial" w:hAnsi="Arial"/>
          <w:b/>
          <w:caps/>
          <w:sz w:val="28"/>
          <w:szCs w:val="28"/>
        </w:rPr>
      </w:r>
    </w:p>
    <w:tbl>
      <w:tblPr>
        <w:tblW w:w="15593" w:type="dxa"/>
        <w:jc w:val="left"/>
        <w:tblInd w:w="-1026" w:type="dxa"/>
        <w:tblLayout w:type="fixed"/>
        <w:tblCellMar>
          <w:top w:w="0" w:type="dxa"/>
          <w:left w:w="108" w:type="dxa"/>
          <w:bottom w:w="0" w:type="dxa"/>
          <w:right w:w="108" w:type="dxa"/>
        </w:tblCellMar>
      </w:tblPr>
      <w:tblGrid>
        <w:gridCol w:w="567"/>
        <w:gridCol w:w="1276"/>
        <w:gridCol w:w="1276"/>
        <w:gridCol w:w="1134"/>
        <w:gridCol w:w="709"/>
        <w:gridCol w:w="1275"/>
        <w:gridCol w:w="993"/>
        <w:gridCol w:w="850"/>
        <w:gridCol w:w="1134"/>
        <w:gridCol w:w="1134"/>
        <w:gridCol w:w="1559"/>
        <w:gridCol w:w="1134"/>
        <w:gridCol w:w="993"/>
        <w:gridCol w:w="1559"/>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275"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ІНСУКОМБ</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Metformin and sulfonylureas</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метформіну гідрохлорид та глібенкламід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A10BD02</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500 мг/5 мг; по 15 таблеток у блістері, по 2 або 4 блістери в картонній коробці; по 20 таблеток у блістері, по 3 блістери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ТОВ «УОРЛД МЕДИЦИН»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rPr>
              <w:t>УОРЛД МЕДИЦИН ІЛАЧ САН. ВЕ ТІДЖ. A.Ш.</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Перереєстрація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необмежений</w:t>
            </w:r>
            <w:r>
              <w:rPr>
                <w:rFonts w:cs="Arial" w:ascii="Arial" w:hAnsi="Arial"/>
                <w:color w:val="000000"/>
                <w:sz w:val="16"/>
                <w:szCs w:val="16"/>
                <w:lang w:val="en-US"/>
              </w:rPr>
              <w:t xml:space="preserve"> </w:t>
            </w:r>
            <w:r>
              <w:rPr>
                <w:rFonts w:cs="Arial" w:ascii="Arial" w:hAnsi="Arial"/>
                <w:color w:val="000000"/>
                <w:sz w:val="16"/>
                <w:szCs w:val="16"/>
              </w:rPr>
              <w:t>термін</w:t>
            </w:r>
            <w:r>
              <w:rPr>
                <w:rFonts w:cs="Arial" w:ascii="Arial" w:hAnsi="Arial"/>
                <w:color w:val="000000"/>
                <w:sz w:val="16"/>
                <w:szCs w:val="16"/>
                <w:lang w:val="en-US"/>
              </w:rPr>
              <w:br/>
            </w:r>
            <w:r>
              <w:rPr>
                <w:rFonts w:cs="Arial" w:ascii="Arial" w:hAnsi="Arial"/>
                <w:color w:val="000000"/>
                <w:sz w:val="16"/>
                <w:szCs w:val="16"/>
              </w:rPr>
              <w:t>Оновлено</w:t>
            </w:r>
            <w:r>
              <w:rPr>
                <w:rFonts w:cs="Arial" w:ascii="Arial" w:hAnsi="Arial"/>
                <w:color w:val="000000"/>
                <w:sz w:val="16"/>
                <w:szCs w:val="16"/>
                <w:lang w:val="en-US"/>
              </w:rPr>
              <w:t xml:space="preserve"> </w:t>
            </w:r>
            <w:r>
              <w:rPr>
                <w:rFonts w:cs="Arial" w:ascii="Arial" w:hAnsi="Arial"/>
                <w:color w:val="000000"/>
                <w:sz w:val="16"/>
                <w:szCs w:val="16"/>
              </w:rPr>
              <w:t>інформацію</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розділах</w:t>
            </w:r>
            <w:r>
              <w:rPr>
                <w:rFonts w:cs="Arial" w:ascii="Arial" w:hAnsi="Arial"/>
                <w:color w:val="000000"/>
                <w:sz w:val="16"/>
                <w:szCs w:val="16"/>
                <w:lang w:val="en-US"/>
              </w:rPr>
              <w:t xml:space="preserve"> "</w:t>
            </w:r>
            <w:r>
              <w:rPr>
                <w:rFonts w:cs="Arial" w:ascii="Arial" w:hAnsi="Arial"/>
                <w:color w:val="000000"/>
                <w:sz w:val="16"/>
                <w:szCs w:val="16"/>
              </w:rPr>
              <w:t>Протипоказання</w:t>
            </w:r>
            <w:r>
              <w:rPr>
                <w:rFonts w:cs="Arial" w:ascii="Arial" w:hAnsi="Arial"/>
                <w:color w:val="000000"/>
                <w:sz w:val="16"/>
                <w:szCs w:val="16"/>
                <w:lang w:val="en-US"/>
              </w:rPr>
              <w:t>", "</w:t>
            </w:r>
            <w:r>
              <w:rPr>
                <w:rFonts w:cs="Arial" w:ascii="Arial" w:hAnsi="Arial"/>
                <w:color w:val="000000"/>
                <w:sz w:val="16"/>
                <w:szCs w:val="16"/>
              </w:rPr>
              <w:t>Взаємодія</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іншими</w:t>
            </w:r>
            <w:r>
              <w:rPr>
                <w:rFonts w:cs="Arial" w:ascii="Arial" w:hAnsi="Arial"/>
                <w:color w:val="000000"/>
                <w:sz w:val="16"/>
                <w:szCs w:val="16"/>
                <w:lang w:val="en-US"/>
              </w:rPr>
              <w:t xml:space="preserve"> </w:t>
            </w:r>
            <w:r>
              <w:rPr>
                <w:rFonts w:cs="Arial" w:ascii="Arial" w:hAnsi="Arial"/>
                <w:color w:val="000000"/>
                <w:sz w:val="16"/>
                <w:szCs w:val="16"/>
              </w:rPr>
              <w:t>лікарськими</w:t>
            </w:r>
            <w:r>
              <w:rPr>
                <w:rFonts w:cs="Arial" w:ascii="Arial" w:hAnsi="Arial"/>
                <w:color w:val="000000"/>
                <w:sz w:val="16"/>
                <w:szCs w:val="16"/>
                <w:lang w:val="en-US"/>
              </w:rPr>
              <w:t xml:space="preserve"> </w:t>
            </w:r>
            <w:r>
              <w:rPr>
                <w:rFonts w:cs="Arial" w:ascii="Arial" w:hAnsi="Arial"/>
                <w:color w:val="000000"/>
                <w:sz w:val="16"/>
                <w:szCs w:val="16"/>
              </w:rPr>
              <w:t>засобами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види</w:t>
            </w:r>
            <w:r>
              <w:rPr>
                <w:rFonts w:cs="Arial" w:ascii="Arial" w:hAnsi="Arial"/>
                <w:color w:val="000000"/>
                <w:sz w:val="16"/>
                <w:szCs w:val="16"/>
                <w:lang w:val="en-US"/>
              </w:rPr>
              <w:t xml:space="preserve"> </w:t>
            </w:r>
            <w:r>
              <w:rPr>
                <w:rFonts w:cs="Arial" w:ascii="Arial" w:hAnsi="Arial"/>
                <w:color w:val="000000"/>
                <w:sz w:val="16"/>
                <w:szCs w:val="16"/>
              </w:rPr>
              <w:t>взаємодій</w:t>
            </w:r>
            <w:r>
              <w:rPr>
                <w:rFonts w:cs="Arial" w:ascii="Arial" w:hAnsi="Arial"/>
                <w:color w:val="000000"/>
                <w:sz w:val="16"/>
                <w:szCs w:val="16"/>
                <w:lang w:val="en-US"/>
              </w:rPr>
              <w:t>", "</w:t>
            </w:r>
            <w:r>
              <w:rPr>
                <w:rFonts w:cs="Arial" w:ascii="Arial" w:hAnsi="Arial"/>
                <w:color w:val="000000"/>
                <w:sz w:val="16"/>
                <w:szCs w:val="16"/>
              </w:rPr>
              <w:t>Особливості</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w:t>
            </w:r>
            <w:r>
              <w:rPr>
                <w:rFonts w:cs="Arial" w:ascii="Arial" w:hAnsi="Arial"/>
                <w:color w:val="000000"/>
                <w:sz w:val="16"/>
                <w:szCs w:val="16"/>
              </w:rPr>
              <w:t>Побічні</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інформації</w:t>
            </w:r>
            <w:r>
              <w:rPr>
                <w:rFonts w:cs="Arial" w:ascii="Arial" w:hAnsi="Arial"/>
                <w:color w:val="000000"/>
                <w:sz w:val="16"/>
                <w:szCs w:val="16"/>
                <w:lang w:val="en-US"/>
              </w:rPr>
              <w:t xml:space="preserve"> </w:t>
            </w:r>
            <w:r>
              <w:rPr>
                <w:rFonts w:cs="Arial" w:ascii="Arial" w:hAnsi="Arial"/>
                <w:color w:val="000000"/>
                <w:sz w:val="16"/>
                <w:szCs w:val="16"/>
              </w:rPr>
              <w:t>референтного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(Glucovance 500 mg/2.5 mg, 500 mg/5 mg film-coated tablets, Merck B.V., Netherlands).</w:t>
              <w:br/>
              <w:br/>
            </w:r>
            <w:r>
              <w:rPr>
                <w:rFonts w:cs="Arial" w:ascii="Arial" w:hAnsi="Arial"/>
                <w:color w:val="000000"/>
                <w:sz w:val="16"/>
                <w:szCs w:val="16"/>
              </w:rPr>
              <w:t>Резюме</w:t>
            </w:r>
            <w:r>
              <w:rPr>
                <w:rFonts w:cs="Arial" w:ascii="Arial" w:hAnsi="Arial"/>
                <w:color w:val="000000"/>
                <w:sz w:val="16"/>
                <w:szCs w:val="16"/>
                <w:lang w:val="en-US"/>
              </w:rPr>
              <w:t xml:space="preserve"> </w:t>
            </w:r>
            <w:r>
              <w:rPr>
                <w:rFonts w:cs="Arial" w:ascii="Arial" w:hAnsi="Arial"/>
                <w:color w:val="000000"/>
                <w:sz w:val="16"/>
                <w:szCs w:val="16"/>
              </w:rPr>
              <w:t>плану</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версія</w:t>
            </w:r>
            <w:r>
              <w:rPr>
                <w:rFonts w:cs="Arial" w:ascii="Arial" w:hAnsi="Arial"/>
                <w:color w:val="000000"/>
                <w:sz w:val="16"/>
                <w:szCs w:val="16"/>
                <w:lang w:val="en-US"/>
              </w:rPr>
              <w:t xml:space="preserve"> 2.0 </w:t>
            </w:r>
            <w:r>
              <w:rPr>
                <w:rFonts w:cs="Arial" w:ascii="Arial" w:hAnsi="Arial"/>
                <w:color w:val="000000"/>
                <w:sz w:val="16"/>
                <w:szCs w:val="16"/>
              </w:rPr>
              <w:t>додається</w:t>
            </w:r>
            <w:r>
              <w:rPr>
                <w:rFonts w:cs="Arial" w:ascii="Arial" w:hAnsi="Arial"/>
                <w:color w:val="000000"/>
                <w:sz w:val="16"/>
                <w:szCs w:val="16"/>
                <w:lang w:val="en-US"/>
              </w:rPr>
              <w:t>.</w:t>
              <w:br/>
            </w:r>
            <w:r>
              <w:rPr>
                <w:rFonts w:cs="Arial" w:ascii="Arial" w:hAnsi="Arial"/>
                <w:color w:val="000000"/>
                <w:sz w:val="16"/>
                <w:szCs w:val="16"/>
              </w:rPr>
              <w:t>Періодичність</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регулярно</w:t>
            </w:r>
            <w:r>
              <w:rPr>
                <w:rFonts w:cs="Arial" w:ascii="Arial" w:hAnsi="Arial"/>
                <w:color w:val="000000"/>
                <w:sz w:val="16"/>
                <w:szCs w:val="16"/>
                <w:lang w:val="en-US"/>
              </w:rPr>
              <w:t xml:space="preserve"> </w:t>
            </w:r>
            <w:r>
              <w:rPr>
                <w:rFonts w:cs="Arial" w:ascii="Arial" w:hAnsi="Arial"/>
                <w:color w:val="000000"/>
                <w:sz w:val="16"/>
                <w:szCs w:val="16"/>
              </w:rPr>
              <w:t>оновлюваного</w:t>
            </w:r>
            <w:r>
              <w:rPr>
                <w:rFonts w:cs="Arial" w:ascii="Arial" w:hAnsi="Arial"/>
                <w:color w:val="000000"/>
                <w:sz w:val="16"/>
                <w:szCs w:val="16"/>
                <w:lang w:val="en-US"/>
              </w:rPr>
              <w:t xml:space="preserve"> </w:t>
            </w:r>
            <w:r>
              <w:rPr>
                <w:rFonts w:cs="Arial" w:ascii="Arial" w:hAnsi="Arial"/>
                <w:color w:val="000000"/>
                <w:sz w:val="16"/>
                <w:szCs w:val="16"/>
              </w:rPr>
              <w:t>звіту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Порядку</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наказом</w:t>
            </w:r>
            <w:r>
              <w:rPr>
                <w:rFonts w:cs="Arial" w:ascii="Arial" w:hAnsi="Arial"/>
                <w:color w:val="000000"/>
                <w:sz w:val="16"/>
                <w:szCs w:val="16"/>
                <w:lang w:val="en-US"/>
              </w:rPr>
              <w:t xml:space="preserve"> </w:t>
            </w:r>
            <w:r>
              <w:rPr>
                <w:rFonts w:cs="Arial" w:ascii="Arial" w:hAnsi="Arial"/>
                <w:color w:val="000000"/>
                <w:sz w:val="16"/>
                <w:szCs w:val="16"/>
              </w:rPr>
              <w:t>Міністерства</w:t>
            </w:r>
            <w:r>
              <w:rPr>
                <w:rFonts w:cs="Arial" w:ascii="Arial" w:hAnsi="Arial"/>
                <w:color w:val="000000"/>
                <w:sz w:val="16"/>
                <w:szCs w:val="16"/>
                <w:lang w:val="en-US"/>
              </w:rPr>
              <w:t xml:space="preserve"> </w:t>
            </w:r>
            <w:r>
              <w:rPr>
                <w:rFonts w:cs="Arial" w:ascii="Arial" w:hAnsi="Arial"/>
                <w:color w:val="000000"/>
                <w:sz w:val="16"/>
                <w:szCs w:val="16"/>
              </w:rPr>
              <w:t>охорони</w:t>
            </w:r>
            <w:r>
              <w:rPr>
                <w:rFonts w:cs="Arial" w:ascii="Arial" w:hAnsi="Arial"/>
                <w:color w:val="000000"/>
                <w:sz w:val="16"/>
                <w:szCs w:val="16"/>
                <w:lang w:val="en-US"/>
              </w:rPr>
              <w:t xml:space="preserve"> </w:t>
            </w:r>
            <w:r>
              <w:rPr>
                <w:rFonts w:cs="Arial" w:ascii="Arial" w:hAnsi="Arial"/>
                <w:color w:val="000000"/>
                <w:sz w:val="16"/>
                <w:szCs w:val="16"/>
              </w:rPr>
              <w:t>здоров</w:t>
            </w:r>
            <w:r>
              <w:rPr>
                <w:rFonts w:cs="Arial" w:ascii="Arial" w:hAnsi="Arial"/>
                <w:color w:val="000000"/>
                <w:sz w:val="16"/>
                <w:szCs w:val="16"/>
                <w:lang w:val="en-US"/>
              </w:rPr>
              <w:t>’</w:t>
            </w:r>
            <w:r>
              <w:rPr>
                <w:rFonts w:cs="Arial" w:ascii="Arial" w:hAnsi="Arial"/>
                <w:color w:val="000000"/>
                <w:sz w:val="16"/>
                <w:szCs w:val="16"/>
              </w:rPr>
              <w:t>я</w:t>
            </w:r>
            <w:r>
              <w:rPr>
                <w:rFonts w:cs="Arial" w:ascii="Arial" w:hAnsi="Arial"/>
                <w:color w:val="000000"/>
                <w:sz w:val="16"/>
                <w:szCs w:val="16"/>
                <w:lang w:val="en-US"/>
              </w:rPr>
              <w:t xml:space="preserve"> </w:t>
            </w:r>
            <w:r>
              <w:rPr>
                <w:rFonts w:cs="Arial" w:ascii="Arial" w:hAnsi="Arial"/>
                <w:color w:val="000000"/>
                <w:sz w:val="16"/>
                <w:szCs w:val="16"/>
              </w:rPr>
              <w:t>України</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27 </w:t>
            </w:r>
            <w:r>
              <w:rPr>
                <w:rFonts w:cs="Arial" w:ascii="Arial" w:hAnsi="Arial"/>
                <w:color w:val="000000"/>
                <w:sz w:val="16"/>
                <w:szCs w:val="16"/>
              </w:rPr>
              <w:t>грудня</w:t>
            </w:r>
            <w:r>
              <w:rPr>
                <w:rFonts w:cs="Arial" w:ascii="Arial" w:hAnsi="Arial"/>
                <w:color w:val="000000"/>
                <w:sz w:val="16"/>
                <w:szCs w:val="16"/>
                <w:lang w:val="en-US"/>
              </w:rPr>
              <w:t xml:space="preserve"> 2006 </w:t>
            </w:r>
            <w:r>
              <w:rPr>
                <w:rFonts w:cs="Arial" w:ascii="Arial" w:hAnsi="Arial"/>
                <w:color w:val="000000"/>
                <w:sz w:val="16"/>
                <w:szCs w:val="16"/>
              </w:rPr>
              <w:t>року</w:t>
            </w:r>
            <w:r>
              <w:rPr>
                <w:rFonts w:cs="Arial" w:ascii="Arial" w:hAnsi="Arial"/>
                <w:color w:val="000000"/>
                <w:sz w:val="16"/>
                <w:szCs w:val="16"/>
                <w:lang w:val="en-US"/>
              </w:rPr>
              <w:t xml:space="preserve"> № 898, </w:t>
            </w:r>
            <w:r>
              <w:rPr>
                <w:rFonts w:cs="Arial" w:ascii="Arial" w:hAnsi="Arial"/>
                <w:color w:val="000000"/>
                <w:sz w:val="16"/>
                <w:szCs w:val="16"/>
              </w:rPr>
              <w:t>зареєстрованого</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Міністерстві</w:t>
            </w:r>
            <w:r>
              <w:rPr>
                <w:rFonts w:cs="Arial" w:ascii="Arial" w:hAnsi="Arial"/>
                <w:color w:val="000000"/>
                <w:sz w:val="16"/>
                <w:szCs w:val="16"/>
                <w:lang w:val="en-US"/>
              </w:rPr>
              <w:t xml:space="preserve"> </w:t>
            </w:r>
            <w:r>
              <w:rPr>
                <w:rFonts w:cs="Arial" w:ascii="Arial" w:hAnsi="Arial"/>
                <w:color w:val="000000"/>
                <w:sz w:val="16"/>
                <w:szCs w:val="16"/>
              </w:rPr>
              <w:t>юстиції</w:t>
            </w:r>
            <w:r>
              <w:rPr>
                <w:rFonts w:cs="Arial" w:ascii="Arial" w:hAnsi="Arial"/>
                <w:color w:val="000000"/>
                <w:sz w:val="16"/>
                <w:szCs w:val="16"/>
                <w:lang w:val="en-US"/>
              </w:rPr>
              <w:t xml:space="preserve"> </w:t>
            </w:r>
            <w:r>
              <w:rPr>
                <w:rFonts w:cs="Arial" w:ascii="Arial" w:hAnsi="Arial"/>
                <w:color w:val="000000"/>
                <w:sz w:val="16"/>
                <w:szCs w:val="16"/>
              </w:rPr>
              <w:t>України</w:t>
            </w:r>
            <w:r>
              <w:rPr>
                <w:rFonts w:cs="Arial" w:ascii="Arial" w:hAnsi="Arial"/>
                <w:color w:val="000000"/>
                <w:sz w:val="16"/>
                <w:szCs w:val="16"/>
                <w:lang w:val="en-US"/>
              </w:rPr>
              <w:t xml:space="preserve"> 29 </w:t>
            </w:r>
            <w:r>
              <w:rPr>
                <w:rFonts w:cs="Arial" w:ascii="Arial" w:hAnsi="Arial"/>
                <w:color w:val="000000"/>
                <w:sz w:val="16"/>
                <w:szCs w:val="16"/>
              </w:rPr>
              <w:t>січня</w:t>
            </w:r>
            <w:r>
              <w:rPr>
                <w:rFonts w:cs="Arial" w:ascii="Arial" w:hAnsi="Arial"/>
                <w:color w:val="000000"/>
                <w:sz w:val="16"/>
                <w:szCs w:val="16"/>
                <w:lang w:val="en-US"/>
              </w:rPr>
              <w:t xml:space="preserve"> 2007 </w:t>
            </w:r>
            <w:r>
              <w:rPr>
                <w:rFonts w:cs="Arial" w:ascii="Arial" w:hAnsi="Arial"/>
                <w:color w:val="000000"/>
                <w:sz w:val="16"/>
                <w:szCs w:val="16"/>
              </w:rPr>
              <w:t>року</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 73/13340 (</w:t>
            </w:r>
            <w:r>
              <w:rPr>
                <w:rFonts w:cs="Arial" w:ascii="Arial" w:hAnsi="Arial"/>
                <w:color w:val="000000"/>
                <w:sz w:val="16"/>
                <w:szCs w:val="16"/>
              </w:rPr>
              <w:t>зі</w:t>
            </w:r>
            <w:r>
              <w:rPr>
                <w:rFonts w:cs="Arial" w:ascii="Arial" w:hAnsi="Arial"/>
                <w:color w:val="000000"/>
                <w:sz w:val="16"/>
                <w:szCs w:val="16"/>
                <w:lang w:val="en-US"/>
              </w:rPr>
              <w:t xml:space="preserve"> </w:t>
            </w:r>
            <w:r>
              <w:rPr>
                <w:rFonts w:cs="Arial" w:ascii="Arial" w:hAnsi="Arial"/>
                <w:color w:val="000000"/>
                <w:sz w:val="16"/>
                <w:szCs w:val="16"/>
              </w:rPr>
              <w:t>змінами</w:t>
            </w:r>
            <w:r>
              <w:rPr>
                <w:rFonts w:cs="Arial" w:ascii="Arial" w:hAnsi="Arial"/>
                <w:color w:val="000000"/>
                <w:sz w:val="16"/>
                <w:szCs w:val="16"/>
                <w:lang w:val="en-US"/>
              </w:rPr>
              <w:t xml:space="preserve">), </w:t>
            </w:r>
            <w:r>
              <w:rPr>
                <w:rFonts w:cs="Arial" w:ascii="Arial" w:hAnsi="Arial"/>
                <w:color w:val="000000"/>
                <w:sz w:val="16"/>
                <w:szCs w:val="16"/>
              </w:rPr>
              <w:t>становить</w:t>
            </w:r>
            <w:r>
              <w:rPr>
                <w:rFonts w:cs="Arial" w:ascii="Arial" w:hAnsi="Arial"/>
                <w:color w:val="000000"/>
                <w:sz w:val="16"/>
                <w:szCs w:val="16"/>
                <w:lang w:val="en-US"/>
              </w:rPr>
              <w:t xml:space="preserve">: </w:t>
            </w:r>
            <w:r>
              <w:rPr>
                <w:rFonts w:cs="Arial" w:ascii="Arial" w:hAnsi="Arial"/>
                <w:color w:val="000000"/>
                <w:sz w:val="16"/>
                <w:szCs w:val="16"/>
              </w:rPr>
              <w:t>згідно</w:t>
            </w:r>
            <w:r>
              <w:rPr>
                <w:rFonts w:cs="Arial" w:ascii="Arial" w:hAnsi="Arial"/>
                <w:color w:val="000000"/>
                <w:sz w:val="16"/>
                <w:szCs w:val="16"/>
                <w:lang w:val="en-US"/>
              </w:rPr>
              <w:t xml:space="preserve"> </w:t>
            </w:r>
            <w:r>
              <w:rPr>
                <w:rFonts w:cs="Arial" w:ascii="Arial" w:hAnsi="Arial"/>
                <w:color w:val="000000"/>
                <w:sz w:val="16"/>
                <w:szCs w:val="16"/>
              </w:rPr>
              <w:t>зі</w:t>
            </w:r>
            <w:r>
              <w:rPr>
                <w:rFonts w:cs="Arial" w:ascii="Arial" w:hAnsi="Arial"/>
                <w:color w:val="000000"/>
                <w:sz w:val="16"/>
                <w:szCs w:val="16"/>
                <w:lang w:val="en-US"/>
              </w:rPr>
              <w:t xml:space="preserve"> </w:t>
            </w:r>
            <w:r>
              <w:rPr>
                <w:rFonts w:cs="Arial" w:ascii="Arial" w:hAnsi="Arial"/>
                <w:color w:val="000000"/>
                <w:sz w:val="16"/>
                <w:szCs w:val="16"/>
              </w:rPr>
              <w:t>строками</w:t>
            </w:r>
            <w:r>
              <w:rPr>
                <w:rFonts w:cs="Arial" w:ascii="Arial" w:hAnsi="Arial"/>
                <w:color w:val="000000"/>
                <w:sz w:val="16"/>
                <w:szCs w:val="16"/>
                <w:lang w:val="en-US"/>
              </w:rPr>
              <w:t xml:space="preserve">, </w:t>
            </w:r>
            <w:r>
              <w:rPr>
                <w:rFonts w:cs="Arial" w:ascii="Arial" w:hAnsi="Arial"/>
                <w:color w:val="000000"/>
                <w:sz w:val="16"/>
                <w:szCs w:val="16"/>
              </w:rPr>
              <w:t>зазначеними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періодичності</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регулярних</w:t>
            </w:r>
            <w:r>
              <w:rPr>
                <w:rFonts w:cs="Arial" w:ascii="Arial" w:hAnsi="Arial"/>
                <w:color w:val="000000"/>
                <w:sz w:val="16"/>
                <w:szCs w:val="16"/>
                <w:lang w:val="en-US"/>
              </w:rPr>
              <w:t xml:space="preserve"> </w:t>
            </w:r>
            <w:r>
              <w:rPr>
                <w:rFonts w:cs="Arial" w:ascii="Arial" w:hAnsi="Arial"/>
                <w:color w:val="000000"/>
                <w:sz w:val="16"/>
                <w:szCs w:val="16"/>
              </w:rPr>
              <w:t>звітів</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UA/19200/01/02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ІНСУКОМБ</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Metformin and sulfonylureas</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метформіну гідрохлорид та глібенкламід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A10BD02</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500 мг/2,5 мг; по 15 таблеток у блістері, по 2 або 4 блістери в картонній коробці; по 20 таблеток у блістері, по 3 блістери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ТОВ «УОРЛД МЕДИЦИН»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rPr>
              <w:t>УОРЛД МЕДИЦИН ІЛАЧ САН. ВЕ ТІДЖ. A.Ш.</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(Glucovance 500 mg/2.5 mg, 500 mg/5 mg film-coated tablets, Merck B.V., Netherlands).</w:t>
              <w:br/>
              <w:br/>
              <w:t>Резюме плану управління ризиками версія 2.0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UA/19200/01/01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ХЛОРАМФЕНІКОЛ (ЛЕВОМІЦЕТИН)</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chloramphenicol</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хлорамфенікол (левоміцетин)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або кристали (субстанція) у пакетах подвійних поліетиленових для фармацевтичного застосування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Норзіст Фармас'ютикал Гроуп Ко.,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UA/19617/01/01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2">
        <w:r>
          <w:rPr>
            <w:rStyle w:val="Hyperlink"/>
            <w:i/>
            <w:color w:val="000000"/>
            <w:szCs w:val="16"/>
          </w:rPr>
          <w:t>https://www.whocc.no/atc_ddd_index/</w:t>
        </w:r>
      </w:hyperlink>
      <w:r>
        <w:rPr>
          <w:rStyle w:val="Hyperlink"/>
          <w:i/>
          <w:color w:val="000000"/>
          <w:szCs w:val="16"/>
        </w:rPr>
        <w:t>)</w:t>
      </w:r>
    </w:p>
    <w:p>
      <w:pPr>
        <w:pStyle w:val="Normal"/>
        <w:rPr>
          <w:rStyle w:val="Hyperlink"/>
          <w:i/>
          <w:i/>
          <w:color w:val="000000"/>
          <w:szCs w:val="16"/>
        </w:rPr>
      </w:pPr>
      <w:r>
        <w:rPr/>
      </w:r>
    </w:p>
    <w:p>
      <w:pPr>
        <w:pStyle w:val="Normal"/>
        <w:rPr>
          <w:rStyle w:val="Hyperlink"/>
          <w:rFonts w:ascii="Arial" w:hAnsi="Arial" w:cs="Arial"/>
          <w:i/>
          <w:i/>
          <w:color w:val="000000"/>
          <w:szCs w:val="16"/>
        </w:rPr>
      </w:pPr>
      <w:r>
        <w:rPr/>
      </w:r>
    </w:p>
    <w:p>
      <w:pPr>
        <w:pStyle w:val="12"/>
        <w:rPr/>
      </w:pPr>
      <w:r>
        <w:rPr>
          <w:rStyle w:val="cs7864ebcf1"/>
          <w:color w:val="000000"/>
          <w:sz w:val="28"/>
          <w:szCs w:val="28"/>
        </w:rPr>
        <w:t>Начальник</w:t>
      </w:r>
    </w:p>
    <w:p>
      <w:pPr>
        <w:sectPr>
          <w:headerReference w:type="default" r:id="rId13"/>
          <w:headerReference w:type="first" r:id="rId14"/>
          <w:footerReference w:type="default" r:id="rId15"/>
          <w:footerReference w:type="first" r:id="rId16"/>
          <w:type w:val="nextPage"/>
          <w:pgSz w:orient="landscape" w:w="16838" w:h="11906"/>
          <w:pgMar w:left="1701" w:right="902" w:gutter="0" w:header="709" w:top="851" w:footer="709" w:bottom="765"/>
          <w:pgNumType w:fmt="decimal"/>
          <w:formProt w:val="false"/>
          <w:titlePg/>
          <w:textDirection w:val="lrTb"/>
          <w:docGrid w:type="default" w:linePitch="360" w:charSpace="0"/>
        </w:sectPr>
        <w:pStyle w:val="12"/>
        <w:rPr/>
      </w:pPr>
      <w:r>
        <w:rPr/>
        <w:t>Фармацевтичного управління                                                                                                  Олександр ГРІЦЕНКО</w:t>
      </w:r>
    </w:p>
    <w:tbl>
      <w:tblPr>
        <w:tblW w:w="3828" w:type="dxa"/>
        <w:jc w:val="left"/>
        <w:tblInd w:w="11448" w:type="dxa"/>
        <w:tblLayout w:type="fixed"/>
        <w:tblCellMar>
          <w:top w:w="0" w:type="dxa"/>
          <w:left w:w="108" w:type="dxa"/>
          <w:bottom w:w="0" w:type="dxa"/>
          <w:right w:w="108" w:type="dxa"/>
        </w:tblCellMar>
      </w:tblPr>
      <w:tblGrid>
        <w:gridCol w:w="3828"/>
      </w:tblGrid>
      <w:tr>
        <w:trPr/>
        <w:tc>
          <w:tcPr>
            <w:tcW w:w="3828" w:type="dxa"/>
            <w:tcBorders/>
          </w:tcPr>
          <w:p>
            <w:pPr>
              <w:pStyle w:val="Normal"/>
              <w:keepNext w:val="true"/>
              <w:numPr>
                <w:ilvl w:val="0"/>
                <w:numId w:val="0"/>
              </w:numPr>
              <w:tabs>
                <w:tab w:val="clear" w:pos="708"/>
                <w:tab w:val="left" w:pos="12600" w:leader="none"/>
              </w:tabs>
              <w:outlineLvl w:val="3"/>
              <w:rPr>
                <w:b/>
                <w:iCs/>
                <w:sz w:val="18"/>
                <w:szCs w:val="18"/>
              </w:rPr>
            </w:pPr>
            <w:r>
              <w:rPr>
                <w:b/>
                <w:iCs/>
                <w:sz w:val="18"/>
                <w:szCs w:val="18"/>
              </w:rPr>
              <w:t>Додаток 3</w:t>
            </w:r>
          </w:p>
          <w:p>
            <w:pPr>
              <w:pStyle w:val="Heading4"/>
              <w:tabs>
                <w:tab w:val="clear" w:pos="708"/>
                <w:tab w:val="left" w:pos="12600" w:leader="none"/>
              </w:tabs>
              <w:spacing w:before="0" w:after="0"/>
              <w:ind w:hanging="0" w:left="0"/>
              <w:rPr>
                <w:iCs/>
                <w:sz w:val="18"/>
                <w:szCs w:val="18"/>
              </w:rPr>
            </w:pPr>
            <w:r>
              <w:rPr>
                <w:iCs/>
                <w:sz w:val="18"/>
                <w:szCs w:val="18"/>
              </w:rPr>
              <w:t>до наказу Міністерства охорони</w:t>
            </w:r>
          </w:p>
          <w:p>
            <w:pPr>
              <w:pStyle w:val="Heading4"/>
              <w:tabs>
                <w:tab w:val="clear" w:pos="708"/>
                <w:tab w:val="left" w:pos="12600" w:leader="none"/>
              </w:tabs>
              <w:spacing w:before="0" w:after="0"/>
              <w:ind w:hanging="0" w:left="0"/>
              <w:rPr>
                <w:iCs/>
                <w:sz w:val="18"/>
                <w:szCs w:val="18"/>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clear" w:pos="708"/>
                <w:tab w:val="left" w:pos="12600" w:leader="none"/>
              </w:tabs>
              <w:rPr>
                <w:rFonts w:ascii="Arial" w:hAnsi="Arial" w:cs="Arial"/>
                <w:b/>
              </w:rPr>
            </w:pPr>
            <w:r>
              <w:rPr>
                <w:b/>
                <w:iCs/>
                <w:sz w:val="18"/>
                <w:szCs w:val="18"/>
                <w:u w:val="single"/>
              </w:rPr>
              <w:t>від 22 жовтня 2026 року № 1624</w:t>
            </w:r>
          </w:p>
        </w:tc>
      </w:tr>
    </w:tbl>
    <w:p>
      <w:pPr>
        <w:pStyle w:val="Normal"/>
        <w:keepNext w:val="true"/>
        <w:numPr>
          <w:ilvl w:val="0"/>
          <w:numId w:val="0"/>
        </w:numPr>
        <w:jc w:val="center"/>
        <w:outlineLvl w:val="1"/>
        <w:rPr>
          <w:rFonts w:ascii="Arial" w:hAnsi="Arial" w:cs="Arial"/>
          <w:b/>
          <w:caps/>
          <w:sz w:val="16"/>
          <w:szCs w:val="16"/>
        </w:rPr>
      </w:pPr>
      <w:r>
        <w:rPr>
          <w:rFonts w:cs="Arial" w:ascii="Arial" w:hAnsi="Arial"/>
          <w:b/>
          <w:caps/>
          <w:sz w:val="16"/>
          <w:szCs w:val="16"/>
        </w:rPr>
      </w:r>
    </w:p>
    <w:p>
      <w:pPr>
        <w:pStyle w:val="310"/>
        <w:jc w:val="center"/>
        <w:rPr>
          <w:b/>
          <w:caps/>
          <w:sz w:val="28"/>
          <w:szCs w:val="28"/>
          <w:lang w:eastAsia="uk-UA"/>
        </w:rPr>
      </w:pPr>
      <w:r>
        <w:rPr>
          <w:b/>
          <w:caps/>
          <w:sz w:val="28"/>
          <w:szCs w:val="28"/>
          <w:lang w:eastAsia="uk-UA"/>
        </w:rPr>
        <w:t>ПЕРЕЛІК</w:t>
      </w:r>
    </w:p>
    <w:p>
      <w:pPr>
        <w:pStyle w:val="12"/>
        <w:jc w:val="center"/>
        <w:rPr>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2"/>
        <w:jc w:val="center"/>
        <w:rPr>
          <w:rFonts w:ascii="Arial" w:hAnsi="Arial" w:cs="Arial"/>
        </w:rPr>
      </w:pPr>
      <w:r>
        <w:rPr>
          <w:rFonts w:cs="Arial" w:ascii="Arial" w:hAnsi="Arial"/>
        </w:rPr>
      </w:r>
    </w:p>
    <w:tbl>
      <w:tblPr>
        <w:tblW w:w="16018" w:type="dxa"/>
        <w:jc w:val="left"/>
        <w:tblInd w:w="-1168" w:type="dxa"/>
        <w:tblLayout w:type="fixed"/>
        <w:tblCellMar>
          <w:top w:w="0" w:type="dxa"/>
          <w:left w:w="108" w:type="dxa"/>
          <w:bottom w:w="0" w:type="dxa"/>
          <w:right w:w="108" w:type="dxa"/>
        </w:tblCellMar>
      </w:tblPr>
      <w:tblGrid>
        <w:gridCol w:w="567"/>
        <w:gridCol w:w="1276"/>
        <w:gridCol w:w="993"/>
        <w:gridCol w:w="1275"/>
        <w:gridCol w:w="709"/>
        <w:gridCol w:w="992"/>
        <w:gridCol w:w="1134"/>
        <w:gridCol w:w="993"/>
        <w:gridCol w:w="1134"/>
        <w:gridCol w:w="1134"/>
        <w:gridCol w:w="2268"/>
        <w:gridCol w:w="1134"/>
        <w:gridCol w:w="992"/>
        <w:gridCol w:w="1417"/>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1275"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АЗИТРО САНДОЗ®</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J01FA10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3 або 6 таблеток у блістері; по 1 блістеру в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первинна та вторинна упаковка, контроль серії, дозвіл на випуск серії: </w:t>
              <w:br/>
              <w:t>Салютас Фарма ГмбХ, Німеччина;</w:t>
              <w:br/>
              <w:t>виробництво нерозфасованої продукції:</w:t>
              <w:br/>
              <w:t xml:space="preserve">Сандоз Ілак Санай ве Тікарет А.С., Туреччина; </w:t>
              <w:br/>
              <w:t>виробництво за повним циклом:</w:t>
              <w:br/>
              <w:t>Сандоз С.Р.Л., Румунія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оновленої інформації з безпеки діючої речовини.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UA/11332/01/02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АЗИТРО САНДОЗ®</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J01FA10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250 мг по 6 таблеток у блістері; по 1 блістеру в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первинна та вторинна упаковка, контроль серії, дозвіл на випуск серії: </w:t>
              <w:br/>
              <w:t>Салютас Фарма ГмбХ, Німеччина;</w:t>
              <w:br/>
              <w:t>виробництво нерозфасованої продукції:</w:t>
              <w:br/>
              <w:t xml:space="preserve">Сандоз Ілак Санай ве Тікарет А.С., Туреччина; </w:t>
              <w:br/>
              <w:t>виробництво за повним циклом:</w:t>
              <w:br/>
              <w:t>Сандоз С.Р.Л., Румунія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оновленої інформації з безпеки діючої речовини.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UA/11332/01/01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АІРТЕК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R03AK06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Гленмарк Фармасьютикалз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 матеріалів реєстраційного досьє вноситься інформація про імпортера Товариство з обмеженою відповідальністю «ГЛЕНМАРК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UA/13756/01/01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АКАПЕЛЛА®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N05BA</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0,02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затвердження спільної інструкції для медичного застосування лікарського засобу для дозування 0,05 г та вже зареєстрованого дозування 0,02 г з оновленням інформації у розділах «Склад», «Лікарська форма» відповідно до матеріалів реєстраційного досьє та інформації референтного лікарського засобу Гідазепам® ІС, таблетки. Інструкція для медичного застосування лікарського засобу (eCTD верія 0009)</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UA/21001/01/01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АКАПЕЛЛА®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N05BA</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0,02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Внесено зміни у текст маркування вторинної упаковки (п. 4, 12, 17) лікарського засобу та об'єднано текст маркування для всіх розмірів упаковок (по 10 та по 20 таблеток у пачці) (eCTD версія 0012).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UA/21001/01/01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АКАПЕЛЛА®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1-(гідразинокарбоніл)-метил-7-бром-5-феніл-1,2-дигідро-3Н-1,4-бенздіазепін-2-он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N05BA</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0,05 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що потребують нової реєстрації (генеричний ЛЗ) (згідно наказу МОЗ від 23.07.2015 № 460). Зміна сили дії, лікарської форми та способу застосування: додавання нової сили дії 0,05 г  (затверджено: АКАПЕЛЛА®, таблетки по 0,02 г запропоновано: АКАПЕЛЛА®, таблетки по 0,05 г). Як наслідок затвердження спільної інструкції для медичного застосування лікарського засобу для дозування 0,05 г та вже зареєстрованого дозування 0,02 г з оновленням інформації у розділах «Склад», «Лікарська форма» відповідно до матеріалів реєстраційного досьє та інформації референтного лікарського засобу Гідазепам® ІС, таблетки.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Інструкція для медичного застосування лікарського засобу (eCTD верія 0009) Текст маркування упаковки лікарського засобу (eCTD верія 0011) Методи контролю якості лікарського засобу (eCTD версія 0001) Звіт згідно додатку 29 Порядку (eCTD верcія 0001) Звіт згідно додатку 30 Порядку (eCTD верcія 0004)  Резюме ПУР версія RMP-PV-000282/6 погоджена (eCTD послідовність № 0001).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UA/21001/01/02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АЛАКОР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етилметилгідроксипіридину сукцинат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N07XX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 xml:space="preserve">Приватне акціонерне товариство "Лекхім-Харків", </w:t>
              <w:br/>
              <w:t>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 серії:</w:t>
              <w:br/>
              <w:t>Товариство з обмеженою відповідальністю "ФАРМАХЕЛС",</w:t>
              <w:b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w:t>
              <w:br/>
              <w:t xml:space="preserve">Додавання виробника Товариство з обмеженою відповідальністю «ФАРМАХЕЛС», Україна в якості додаткової виробничої дільниці, що здійснює випуск серії, не включаючи контроль серії.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UA/18493/01/01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АЛЗАНЦЕР ІЗІТАБ</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donepezil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донепезилу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N06DA02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10 мг по 7 таблеток у блістері; по 4 блістери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sz w:val="16"/>
                <w:szCs w:val="16"/>
              </w:rPr>
              <w:t>UA/20093/01/02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АЛЗАНЦЕР ІЗІТАБ</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donepezil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донепезилу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N06DA02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 мг по 7 таблеток у блістері; по 4 блістери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НОБЕЛ ІЛАЧ САНАЇ ВЕ ТІДЖАРЕТ А.Ш.</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UA/20093/01/01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АМБРОКСОЛ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ambroxol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амброксолу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R05CB06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30 мг, по 10 таблеток у блістері; по 2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2004-201-Rev 06 від уже затвердженого виробника АФІ амброксолу гідрохлориду, фірми Shilpa Pharma Lifesciences Limіted, Індія, що призводить до зміни розділів 3.2.S.4.1 та 3.2.S.4.2, редакційні правки. Затверджено: СЕР R1-2004-201-Rev 05 </w:t>
              <w:br/>
              <w:t>Запропоновано: СЕР 2004-201-Rev 06</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UA/1587/02/01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АМЛОДИПІН/ВАЛСАРТАН АУРОБІНДО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valsartan and amlodipine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 по 10 таблеток у блістері; по 3 блістери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Лімітед- Юніт VII</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"Передозування", "Побічні реакції" згідно з інформацією щодо медичного застосування референтного лікарського засобу (ЕКСФОРЖ).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UA/16657/01/01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АМЛОДИПІН/ВАЛСАРТАН АУРОБІНДО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valsartan and amlodipine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 по 10 таблеток у блістері; по 3 блістери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Лімітед- Юніт VII</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"Передозування", "Побічні реакції" згідно з інформацією щодо медичного застосування референтного лікарського засобу (ЕКСФОРЖ).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UA/16657/01/02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АНТАРЕС®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морфолінієвої солі тіазотна кислота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C01EB23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покритій плівкою, по 2 контурних чарункових упаковки, покритих плівкою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приведенням специфікації та методів контролю ГЛЗ АНТАРЕС®, розчин для ін’єкцій, 50 мг/мл, до монографії "МОРФОЛІНІЮ ТІАЗОТАТ РОЗЧИН ДЛЯ ІН'ЄКЦІЙ", ДФУ, діюче видання. Зміни вносяться в розділ 3.2.Р.5. "Контроль лікарського засобу" у показники: «Ідентифікація», «рН», «Супровідні домішки» та «Кількісне визначення» та відповідні зміни вносяться в розділ 3.2.Р.3.4 "Контроль критичних стадій і проміжної продукції". Зміни II типу - Зміни з якості. АФІ. (інші зміни) оновлення DMF виробника ДП «Завод хімічних реактивів» НТК «Інститут монокристалів» Національної академії наук України», Україна, для АФІ Морфолінієва сіль тіазотної кислоти, а саме в розділах: "3.2.S.1 Загальна інформація", "3.2.S.2 Виробництво", "3.2.S.3 Опис характеристик АФІ", 3.2.S.4 Контроль АФІ", "3.2.S.5 Стандартні зразки або препарати", "3.2.S.6 Система упаковка-укупорка", "3.2.S.7. Стабільність". Затверджено: DMF Редакція 001 на АФІ Морфолінієва сіль тіазотної кислоти виробника ДП «Завод хімічних реактивів» НТК «Інститут монокристалів» Національної академії наук України», Україна. Запропоновано: DMF Редакція 002 на АФІ Морфолінієва сіль тіазотної кислоти виробника ДП «Завод хімічних реактивів» НТК «Інститут монокристалів» Національної академії наук України», Україна. Зміни II типу - Зміни з якості. АФІ. (інші зміни) оновлення DMF виробника «Menadiona,S.L.», Іспанія, для АФІ Морфолінієва сіль тіазотної кислоти, а саме в розділах: "3.2.S.1 Загальна інформація", "3.2.S.2 Виробництво", "3.2.S.3 Опис характеристик АФІ", 3.2.S.4 Контроль АФІ", "3.2.S.5 Стандартні зразки або препарати", "3.2.S.6 Система упаковка-укупорка", "3.2.S.7. Стабільність". Затверджено: DMF Version 02/2011-01-30 на АФІ Морфолінієва сіль тіазотної кислоти виробника «Menadiona, S.L.», Іспанія. Запропоновано: DMF Version 02/2018-03-22 на АФІ Морфолінієва сіль тіазотної кислоти виробника «Menadiona, S.L.», Іспанія. оновлення DMF виробника ДП «Завод хімічних реактивів» НТК «Інститут монокристалів» Національної академії наук України», Україна, для АФІ Морфолінієва сіль тіазотної кислоти. Зміни II типу - Зміни з якості. АФІ. (інші зміни) </w:t>
              <w:br/>
              <w:t>подання оновленого DMF від діючого виробника АФІ «Еrregierre S.p.A.» Італія. Діючу редакцію DMF від 2011 року пропонується замінити на редакцію DMF від 2021 року. Затверджено: DMF Version - September 2011. Запропоновано: DMF Version - February 2021.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UA/16819/01/01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АСАКОЛ®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Mesalazine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месалазин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A07EC02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800 мг по 10 таблеток у  блістері; по 5 або по 6 блістерів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Тілотс Фарма 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первинна та вторинна упаковка: Хаупт Фарма Вюльфінг ГмбХ, Німеччина; Виробник, відповідальний за випуск серій: Тілотс Фарма АГ, 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Оновлення методики визначення розчинення при випускному контролі, яке було впроваджено виробником з метою уточнення окремих етапів виконання випробування та гармонізації процедури контролю якості.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вимог до випробування придатності хроматографічної системи (SST) методі визначення супутніх домішок для ГЛЗ.</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sz w:val="16"/>
                <w:szCs w:val="16"/>
              </w:rPr>
              <w:t>UA/4770/01/02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АТОНЗИЛ®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бензилдиметил[3-(мірістоіламіно)пропіл]амонію хлориду моногідрат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D08AJ</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оромукозний, 0,1 мг/мл по 20 мл або 50 мл у флаконі полімерному з розпилювачем, по 100 мл у флаконі полімерному; </w:t>
              <w:br/>
              <w:t xml:space="preserve">по 1 флакону в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"Славія 2000"</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Савченко Наталія Віталіївна. Пропонована редакція: Давидова Олена Миколаївна.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UA/18639/01/01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БАРАТОН®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2 або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або</w:t>
              <w:br/>
              <w:t xml:space="preserve">ТОВ «КУСУМ», 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з відповідними змінами в тексті маркування первинної (п. 5) та вторинної (п. 11) упаковок лікарського засобу.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UA/18781/01/01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БАРАТОН®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 мг, по 14 таблеток у блістері, по 2 або 6 блістерів у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або</w:t>
              <w:br/>
              <w:t xml:space="preserve">ТОВ «КУСУМ», 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з відповідними змінами в тексті маркування первинної (п. 5) та вторинної (п. 11) упаковок лікарського засобу.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UA/18781/01/02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БАРВІТОН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N06BX18</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0,005 г по 10 таблеток у блістері; по 3 або 5 блістерів в пачці; по 10 таблеток у блістері; по 50 або 100 блістерів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розділи "Протипоказання",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"Діти", "Передозування", "Побічні реакції" відповідно до оновленої інформації з безпеки застосування діючої речовини лікарського засобу.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UA/3218/01/01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БІОВЕН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Immunoglobulins, normal human, for intravascular adm.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імуноглобулін людини нормальний</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J06BA02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10 %; по 50 мл або 100 мл у флаконі; по 1 флакону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та вторинне пакування, контроль якості, випуск серій)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Оновлення методу випробування показника якості «Склад білків», а саме традиційний зональний електрофорез на плівках з ацетату целюлози замінено на зональний електрофорез в агарозному гелі. Приведення критерію прийнятності показника «Склад білків» у відповідність до формулювання, наведеного у монографії ДФУ/Ph. Eur. 0918.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випробування показника якості «Склад білків» для розчину імуноглобуліну людини 10%, а саме традиційний зональний електрофорез на плівках з ацетату целюлози замінено на зональний електрофорез в агарозному гелі.</w:t>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методу випробування за показником «Загальний білок», а саме уточнення фактично застосовуваної процедури та приведення аналітичної документації у відповідність до вимог ДФУ/Ph. Eur. і реальної лабораторної практики контролю якості. Внесення уточнення щодо застосування in-house методу на основі рекомендацій ДФУ/Ph. Eur. 2.5.33, метод 7 методика А та ДФУ/Ph. Eur. 2.5.9 замість посилання на ДФУ/Ph. Eur. 2.5.9 та ДФУ/Ph. Eur. 2.5.33, метод 7.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до методу випробування за показником «Загальний білок» для розчину імуноглобуліну людини 10%, а саме уточнення фактично застосовуваної процедури та приведення аналітичної документації у відповідність до вимог ДФУ/Ph. Eur. і реальної лабораторної практики контролю якості. Внесення уточнення щодо застосування in-house методу на основі рекомендацій ДФУ/Ph. Eur. 2.5.33, метод 7 методика А та ДФУ/Ph. Eur. 2.5.9 замість посилання на ДФУ/Ph. Eur. 2.5.9 та ДФУ/Ph. Eur. 2.5.33, метод 7.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методу контролю за показником "Пірогени" відповідно до вимог принципу 3R (Replace — заміна, Reduce —скорочення, Refine — вдосконалення) та Європейської Фармакопеї. 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у специфікацію ГЛЗ за показником «Бактеріальні ендотоксини», визначення якого здійснюється хромогенним кінетичним методом (метод D, ДФУ/Ph. Eur. 2.6.14), а саме-вилучення описової частини методу. Оскільки зазначений метод контролю якості є компендіальним, він не потребує детального опису в матеріалах розділу 3.2.P.5.2 реєстраційного досьє.</w:t>
              <w:br/>
              <w:t>МКЯ (версія 0003)</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UA/14526/01/02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БІОВЕН МОНО®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Immunoglobulins, normal human, for intravascular adm.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імуноглобулін людини нормальний</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J06BA02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5 %; по 50 мл або по 100 мл у флаконі; по 1 флакону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та вторинне пакування, контроль якості, випуск серій)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Зміна назви виробника для скляних флаконів тип ІІ з Bormioli Pharma S.p.A., Італія на Gerresheimer Moulded Glass Italy S.r.l., Італія.</w:t>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методу контролю за показником "Пірогени" відповідно до вимог принципу 3R (Replace — заміна, Reduce —скорочення, Refine — вдосконалення) та Європейської Фармакопеї</w:t>
              <w:br/>
              <w:t>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Вилучення описової частини методу для показника якості «Бактеріальні ендотоксини».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до методу випробування за показником «Загальний білок», а саме уточнення фактично застосовуваної процедури та приведення аналітичної документації у відповідність до вимог ДФУ/Ph. Eur. і реальної лабораторної практики контролю якості. Внесення уточнення щодо застосування in-house методу на основі рекомендацій ДФУ/Ph. Eur. 2.5.33, метод 7 методика А та ДФУ/Ph. Eur. 2.5.9 замість посилання на ДФУ/Ph. Eur. 2.5.9 та ДФУ/Ph. Eur. 2.5.33, метод 7.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Зміна до методу випробування за показником «Загальний білок» для розчину імуноглобуліну людини 5%, а саме уточнення фактично застосовуваної процедури та приведення аналітичної документації у відповідність до вимог ДФУ/Ph. Eur. і реальної лабораторної практики контролю якості. Внесення уточнення щодо застосування in-house методу на основі рекомендацій ДФУ/Ph. Eur. 2.5.33, метод 7 методика А та ДФУ/Ph. Eur. 2.5.9 замість посилання на ДФУ/Ph. Eur. 2.5.9 та ДФУ/Ph. Eur. 2.5.33, метод 7.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Оновлення методу випробування показника якості «Склад білків», а саме традиційний зональний електрофорез на плівках з ацетату целюлози замінено на зональний електрофорез в агарозному гелі. Приведення критерію прийнятності показника «Склад білків» у відповідність до формулювання, наведеного у монографії ДФУ/Ph. Eur. 0918.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Оновлення методу випробування показника якості «Склад білків» для нерозфасованого продукту (розчин імуноглобуліну людини для внутрішньовенного введення 5%), а саме традиційний зональний електрофорез на плівках з ацетату целюлози замінено на зональний електрофорез в агарозному гелі. Приведення критерію прийнятності показника «Склад білків» у відповідність до формулювання, наведеного у монографії ДФУ/Ph. Eur. 0918. Проект МКЯ (версія eCTD 0006)</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UA/14526/01/01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БЛОКМАКС РАПІД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ібупрофену лізин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684 мг; по 10 таблеток у блістері, по 1 або 2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ведення додаткового розміру серії 815 000 кг або 1 000 000 таблеток в доповнення до вже затвердженого розміру серій 81 500 кг або 100 000 таблеток та 366 750 кг або 450 000 таблеток для виробництва ГЛЗ</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UA/17954/01/01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ВЕКТИБІКС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panitumumab</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панітумумаб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L01FE02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5 мл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Амджен Європа Б.В.</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Маркування, вторинне пакування та випуск серії: Амджен Європа Б.В., Нідерланди; Виробництво, первинне пакування:</w:t>
              <w:br/>
              <w:t>Амджен Мануфактурінг Лімітед ЛЛС, 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UA/10806/01/01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ВЕРОНА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екстракт якірців сланких плодів сухого (Tribulus terrestris); екстракт вітанії снодійної коріння сухого (Withania Somnifera); екстракт мукуни пекучої насіння сухого (Mukuna Pruriens); екстракт аргіреї красивої насіння сухого (Argyreia speciosa)</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A16AX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 або 60 капсул у флаконі;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Хербіон Пакистан Прайвет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Пакистан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Хербіон Пакистан Прайвет Лімітед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Пакистан</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зокрема внесення редакційних правок по тексту та уточнення логотипу. Термін введення змін протягом 3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UA/9023/01/01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вихідної сировини UK-143, 108 (шлях 2 і 3) Megafine Pharma (P) Ltd , India. Затверджено: Plot No.31 to 35 &amp; 48 to 51/201, Lakmapur Tal. Dindori Nashik-422 202 India. Запропоновано: Plot No.1 to 5, 31 to 35, 48 to 51, 26 &amp; K/201, Lakmapur Tal. Dindori Nashik-422 202 India. Фактичне місцерозташування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альтернативного виробника вихідної сировини UK-143, 108 (шлях 2 і 3) з Euticals SAS (Zone industrielle de Laville, Bon Encontre, 47240, Франція) на Curia France SAS та відповідні оновлення у розділі «3.2.S.2.3 Контроль матеріалів» реєстраційного досьє. Адреса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місця провадження діяльності виробника вихідної речовини UK-84, 443-01 (Route 3 and Route 4) - Megafine Pharma (P) Ltd., India. Затверджено: Plot No.31 to 35 &amp; 48 to 51/201, Lakmapur Tal. Dindori Nashik-422 202 India. Запропоновано: Plot No.1 to 5, 31 to 35, 48 to 51, 26 &amp; K/201, Lakmapur Tal. Dindori Nashik-422 202 India. Фактичне розташування виробничої дільниці не змінилося.</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місця провадження діяльності виробника діючої речовини. </w:t>
              <w:br/>
              <w:t>Затверджено: Pfizer Ireland Pharmaceuticals Ringaskiddy API Plant P.O. Box 140 Ringaskiddy County Cork Ireland. Запропоновано: Pfizer Ireland Pharmaceuticals Unlimited Сompany Ringaskiddy API Plant Ringaskiddy County Cork P43 X336 Ireland.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Введення альтернативного виробника Pfizer Asia Manufacturing Pte Ltd, Сінгапур для діючої речовини силденафілу цитрат.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альтернативного виробника Pfizer Asia Manufacturing Pte Ltd, Сінгапур відповідального за контроль якості та випуск серії діючої речовини силденафілу цитрат.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для видалення посилання у досьє щодо використання відновлених розчинників зі змішаних процесних потоків.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толуен , що використовується у процесі виробництва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2-бутанон, що використовується у процесі виробництва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аналітичної процедури Test Method: TM-0932A - Determination of Identity, Potency and Purity of Sildenafil Citrate By HPLC. Зокрема внесення уточнень щодо розрахунку вмісту домішок, формули розрахунку неідентифікованих домішок та внесення уточнень до формули розрахунку вмісту індивідуальних домішок за виключенням домішки 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аналітичної процедури для методу випробування визначення розміру частинок P47.95, який використовується у виробничому процесі діючої речовини на дільниці Ringaskiddy API, щоб включити модернізоване обладнання Malvern Mastersizer 3000 та оновити відповідні процедурні інструкції. Зміни І типу - Зміни з якості. АФІ. Система контейнер/закупорювальний засіб. Зміна у безпосередній упаковці АФІ (якісні та/або кількісні зміни складу) Зміна опису якісного складу безпосередньої упаковки діючої речовини силденафілу цитрат, а саме додавання інформації щодо осушувача (силікагелю) у пакунок між внутрішньою та зовнішньою частинами упаковки у зв’язку з виробничою необхідністю.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методу контролю визначення розміру частинок (TM-9420A) для активної речовини Силденафіл цитрат виробництва Pfizer Asia Manufacturing Pte Ltd, Сінгапур. Зміни І типу - Зміни з якості. Готовий лікарський засіб. Контроль готового лікарського засобу (інші зміни) Переклад затверджених Методів контролю якості з російської мови на українську мову відповідно до вимог Наказу МОЗ №1528 від 27 червня 2019 року згідно якого необхідно надавати документи українською чи англійською мовами. проект МКЯ ЛЗ (eCTD версія 0001)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UA/0313/01/02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вихідної сировини UK-143, 108 (шлях 2 і 3) Megafine Pharma (P) Ltd , India. Затверджено: Plot No.31 to 35 &amp; 48 to 51/201, Lakmapur Tal. Dindori Nashik-422 202 India. Запропоновано: Plot No.1 to 5, 31 to 35, 48 to 51, 26 &amp; K/201, Lakmapur Tal. Dindori Nashik-422 202 India. Фактичне місцерозташування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альтернативного виробника вихідної сировини UK-143, 108 (шлях 2 і 3) з Euticals SAS (Zone industrielle de Laville, Bon Encontre, 47240, Франція) на Curia France SAS та відповідні оновлення у розділі «3.2.S.2.3 Контроль матеріалів» реєстраційного досьє. Адреса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місця провадження діяльності виробника вихідної речовини UK-84, 443-01 (Route 3 and Route 4) - Megafine Pharma (P) Ltd., India. Затверджено: Plot No.31 to 35 &amp; 48 to 51/201, Lakmapur Tal. Dindori Nashik-422 202 India. Запропоновано: Plot No.1 to 5, 31 to 35, 48 to 51, 26 &amp; K/201, Lakmapur Tal. Dindori Nashik-422 202 India. Фактичне розташування виробничої дільниці не змінилося.</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місця провадження діяльності виробника діючої речовини. </w:t>
              <w:br/>
              <w:t>Затверджено: Pfizer Ireland Pharmaceuticals Ringaskiddy API Plant P.O. Box 140 Ringaskiddy County Cork Ireland. Запропоновано: Pfizer Ireland Pharmaceuticals Unlimited Сompany Ringaskiddy API Plant Ringaskiddy County Cork P43 X336 Ireland.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Введення альтернативного виробника Pfizer Asia Manufacturing Pte Ltd, Сінгапур для діючої речовини силденафілу цитрат.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альтернативного виробника Pfizer Asia Manufacturing Pte Ltd, Сінгапур відповідального за контроль якості та випуск серії діючої речовини силденафілу цитрат.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для видалення посилання у досьє щодо використання відновлених розчинників зі змішаних процесних потоків.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толуен , що використовується у процесі виробництва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2-бутанон, що використовується у процесі виробництва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аналітичної процедури Test Method: TM-0932A - Determination of Identity, Potency and Purity of Sildenafil Citrate By HPLC. Зокрема внесення уточнень щодо розрахунку вмісту домішок, формули розрахунку неідентифікованих домішок та внесення уточнень до формули розрахунку вмісту індивідуальних домішок за виключенням домішки 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аналітичної процедури для методу випробування визначення розміру частинок P47.95, який використовується у виробничому процесі діючої речовини на дільниці Ringaskiddy API, щоб включити модернізоване обладнання Malvern Mastersizer 3000 та оновити відповідні процедурні інструкції. Зміни І типу - Зміни з якості. АФІ. Система контейнер/закупорювальний засіб. Зміна у безпосередній упаковці АФІ (якісні та/або кількісні зміни складу) Зміна опису якісного складу безпосередньої упаковки діючої речовини силденафілу цитрат, а саме додавання інформації щодо осушувача (силікагелю) у пакунок між внутрішньою та зовнішньою частинами упаковки у зв’язку з виробничою необхідністю.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методу контролю визначення розміру частинок (TM-9420A) для активної речовини Силденафіл цитрат виробництва Pfizer Asia Manufacturing Pte Ltd, Сінгапур. Зміни І типу - Зміни з якості. Готовий лікарський засіб. Контроль готового лікарського засобу (інші зміни) Переклад затверджених Методів контролю якості з російської мови на українську мову відповідно до вимог Наказу МОЗ №1528 від 27 червня 2019 року згідно якого необхідно надавати документи українською чи англійською мовами. проект МКЯ ЛЗ (eCTD версія 0001)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UA/0313/01/03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вихідної сировини UK-143, 108 (шлях 2 і 3) Megafine Pharma (P) Ltd , India. Затверджено: Plot No.31 to 35 &amp; 48 to 51/201, Lakmapur Tal. Dindori Nashik-422 202 India. Запропоновано: Plot No.1 to 5, 31 to 35, 48 to 51, 26 &amp; K/201, Lakmapur Tal. Dindori Nashik-422 202 India. Фактичне місцерозташування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альтернативного виробника вихідної сировини UK-143, 108 (шлях 2 і 3) з Euticals SAS (Zone industrielle de Laville, Bon Encontre, 47240, Франція) на Curia France SAS та відповідні оновлення у розділі «3.2.S.2.3 Контроль матеріалів» реєстраційного досьє. Адреса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місця провадження діяльності виробника вихідної речовини UK-84, 443-01 (Route 3 and Route 4) - Megafine Pharma (P) Ltd., India. Затверджено: Plot No.31 to 35 &amp; 48 to 51/201, Lakmapur Tal. Dindori Nashik-422 202 India. Запропоновано: Plot No.1 to 5, 31 to 35, 48 to 51, 26 &amp; K/201, Lakmapur Tal. Dindori Nashik-422 202 India. Фактичне розташування виробничої дільниці не змінилося.</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місця провадження діяльності виробника діючої речовини. </w:t>
              <w:br/>
              <w:t>Затверджено: Pfizer Ireland Pharmaceuticals Ringaskiddy API Plant P.O. Box 140 Ringaskiddy County Cork Ireland. Запропоновано: Pfizer Ireland Pharmaceuticals Unlimited Сompany Ringaskiddy API Plant Ringaskiddy County Cork P43 X336 Ireland.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Введення альтернативного виробника Pfizer Asia Manufacturing Pte Ltd, Сінгапур для діючої речовини силденафілу цитрат.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альтернативного виробника Pfizer Asia Manufacturing Pte Ltd, Сінгапур відповідального за контроль якості та випуск серії діючої речовини силденафілу цитрат.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для видалення посилання у досьє щодо використання відновлених розчинників зі змішаних процесних потоків.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толуен , що використовується у процесі виробництва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2-бутанон, що використовується у процесі виробництва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аналітичної процедури Test Method: TM-0932A - Determination of Identity, Potency and Purity of Sildenafil Citrate By HPLC. Зокрема внесення уточнень щодо розрахунку вмісту домішок, формули розрахунку неідентифікованих домішок та внесення уточнень до формули розрахунку вмісту індивідуальних домішок за виключенням домішки 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аналітичної процедури для методу випробування визначення розміру частинок P47.95, який використовується у виробничому процесі діючої речовини на дільниці Ringaskiddy API, щоб включити модернізоване обладнання Malvern Mastersizer 3000 та оновити відповідні процедурні інструкції. Зміни І типу - Зміни з якості. АФІ. Система контейнер/закупорювальний засіб. Зміна у безпосередній упаковці АФІ (якісні та/або кількісні зміни складу) Зміна опису якісного складу безпосередньої упаковки діючої речовини силденафілу цитрат, а саме додавання інформації щодо осушувача (силікагелю) у пакунок між внутрішньою та зовнішньою частинами упаковки у зв’язку з виробничою необхідністю.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методу контролю визначення розміру частинок (TM-9420A) для активної речовини Силденафіл цитрат виробництва Pfizer Asia Manufacturing Pte Ltd, Сінгапур. Зміни І типу - Зміни з якості. Готовий лікарський засіб. Контроль готового лікарського засобу (інші зміни) Переклад затверджених Методів контролю якості з російської мови на українську мову відповідно до вимог Наказу МОЗ №1528 від 27 червня 2019 року згідно якого необхідно надавати документи українською чи англійською мовами. проект МКЯ ЛЗ (eCTD версія 0001)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UA/18004/01/01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ВІАГРА® ODT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50 мг; по 2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Фарева Амбуаз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вихідної сировини UK-143, 108 (шлях 2 і 3) Megafine Pharma (P) Ltd , India. Затверджено: Plot No.31 to 35 &amp; 48 to 51/201, Lakmapur Tal. Dindori Nashik-422 202 India. Запропоновано: Plot No.1 to 5, 31 to 35, 48 to 51, 26 &amp; K/201, Lakmapur Tal. Dindori Nashik-422 202 India. Фактичне місцерозташування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альтернативного виробника вихідної сировини UK-143, 108 (шлях 2 і 3) з Euticals SAS (Zone industrielle de Laville, Bon Encontre, 47240, Франція) на Curia France SAS та відповідні оновлення у розділі «3.2.S.2.3 Контроль матеріалів» реєстраційного досьє. Адреса залишається без змін.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місця провадження діяльності виробника вихідної речовини UK-84, 443-01 (Route 3 and Route 4) - Megafine Pharma (P) Ltd., India. Затверджено: Plot No.31 to 35 &amp; 48 to 51/201, Lakmapur Tal. Dindori Nashik-422 202 India. Запропоновано: Plot No.1 to 5, 31 to 35, 48 to 51, 26 &amp; K/201, Lakmapur Tal. Dindori Nashik-422 202 India. Фактичне розташування виробничої дільниці не змінилося.</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місця провадження діяльності виробника діючої речовини. </w:t>
              <w:br/>
              <w:t>Затверджено: Pfizer Ireland Pharmaceuticals Ringaskiddy API Plant P.O. Box 140 Ringaskiddy County Cork Ireland. Запропоновано: Pfizer Ireland Pharmaceuticals Unlimited Сompany Ringaskiddy API Plant Ringaskiddy County Cork P43 X336 Ireland.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Введення альтернативного виробника Pfizer Asia Manufacturing Pte Ltd, Сінгапур для діючої речовини силденафілу цитрат.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альтернативного виробника Pfizer Asia Manufacturing Pte Ltd, Сінгапур відповідального за контроль якості та випуск серії діючої речовини силденафілу цитрат.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АФІ для видалення посилання у досьє щодо використання відновлених розчинників зі змішаних процесних потоків.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толуен , що використовується у процесі виробництва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показника якості для розчинника 2-бутанон, що використовується у процесі виробництва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аналітичної процедури Test Method: TM-0932A - Determination of Identity, Potency and Purity of Sildenafil Citrate By HPLC. Зокрема внесення уточнень щодо розрахунку вмісту домішок, формули розрахунку неідентифікованих домішок та внесення уточнень до формули розрахунку вмісту індивідуальних домішок за виключенням домішки 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аналітичної процедури для методу випробування визначення розміру частинок P47.95, який використовується у виробничому процесі діючої речовини на дільниці Ringaskiddy API, щоб включити модернізоване обладнання Malvern Mastersizer 3000 та оновити відповідні процедурні інструкції. Зміни І типу - Зміни з якості. АФІ. Система контейнер/закупорювальний засіб. Зміна у безпосередній упаковці АФІ (якісні та/або кількісні зміни складу) Зміна опису якісного складу безпосередньої упаковки діючої речовини силденафілу цитрат, а саме додавання інформації щодо осушувача (силікагелю) у пакунок між внутрішньою та зовнішньою частинами упаковки у зв’язку з виробничою необхідністю.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методу контролю визначення розміру частинок (TM-9420A) для активної речовини Силденафіл цитрат виробництва Pfizer Asia Manufacturing Pte Ltd, Сінгапур. Зміни І типу - Зміни з якості. Готовий лікарський засіб. Контроль готового лікарського засобу (інші зміни) Переклад затверджених Методів контролю якості з російської мови на українську мову відповідно до вимог Наказу МОЗ №1528 від 27 червня 2019 року згідно якого необхідно надавати документи українською чи англійською мовами. проект МКЯ ЛЗ (eCTD версія 0001)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UA/0313/02/01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ВІКС АКТИВ МЕДЕКСПЕКТО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guaifenesin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гвайфенезину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R05CA03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сироп; 200 мг/15 мл по 120 мл або 180 мл у флаконі; по 1 флакону з мірним ковпачком у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Оперейшнз С.А.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Проктер енд Гембл Мануфекчурінг ГмбХ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Alina Vovchuk / Вовчук Аліна Володимирівна. Пропонована редакція: Valentyna Yeremenko / Єременко Валентина Вікторівна.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sz w:val="16"/>
                <w:szCs w:val="16"/>
              </w:rPr>
              <w:t>UA/13741/01/01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ВІКС АКТИВ МЕДІНАЙТ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декстрометорфану гідробромід, доксиламіну сукцинат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сироп по 30 мл або по 90 мл, або по 100 мл, або по 120 мл, або по 180 мл, або по 240 мл у пляшці; по 1 пляшці разом з мірним стаканчиком у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Оперейшенз С.А.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Проктер енд Гембл Мануфекчурінг ГмбХ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br/>
              <w:t>Діюча редакція: Alina Vovchuk / Вовчук Аліна Володимирівна. Пропонована редакція: Valentyna Yeremenko / Єременко Валентина Вікторівна.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UA/13502/01/01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ВІКС АНТИГРИП КОМПЛЕКС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гвайфенезин, фенілефрину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5 або 10 саше у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Проктер енд Гембл Інтернешнл Оперейшнз СА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Рафтон Лабораторіз Лімітед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br/>
              <w:t>Діюча редакція: Alina Vovchuk / Вовчук Аліна Володимирівна. Пропонована редакція: Valentyna Yeremenko / Єременко Валентина Вікторівна.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UA/11414/01/01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rPr/>
            </w:pPr>
            <w:r>
              <w:rPr>
                <w:rFonts w:cs="Arial" w:ascii="Arial" w:hAnsi="Arial"/>
                <w:sz w:val="16"/>
                <w:szCs w:val="16"/>
              </w:rPr>
              <w:t>дифтерійний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правцевий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антигени</w:t>
            </w:r>
            <w:r>
              <w:rPr>
                <w:rFonts w:cs="Arial" w:ascii="Arial" w:hAnsi="Arial"/>
                <w:sz w:val="16"/>
                <w:szCs w:val="16"/>
                <w:lang w:val="en-US"/>
              </w:rPr>
              <w:t xml:space="preserve"> </w:t>
            </w:r>
            <w:r>
              <w:rPr>
                <w:rFonts w:cs="Arial" w:ascii="Arial" w:hAnsi="Arial"/>
                <w:i/>
                <w:iCs/>
                <w:sz w:val="16"/>
                <w:szCs w:val="16"/>
                <w:lang w:val="en-US"/>
              </w:rPr>
              <w:t>Bordetella pertussis</w:t>
            </w:r>
            <w:r>
              <w:rPr>
                <w:rFonts w:cs="Arial" w:ascii="Arial" w:hAnsi="Arial"/>
                <w:sz w:val="16"/>
                <w:szCs w:val="16"/>
                <w:lang w:val="en-US"/>
              </w:rPr>
              <w:t>:</w:t>
            </w:r>
          </w:p>
          <w:p>
            <w:pPr>
              <w:pStyle w:val="Normal"/>
              <w:rPr>
                <w:rFonts w:ascii="Arial" w:hAnsi="Arial" w:cs="Arial"/>
                <w:sz w:val="16"/>
                <w:szCs w:val="16"/>
              </w:rPr>
            </w:pPr>
            <w:r>
              <w:rPr>
                <w:rFonts w:cs="Arial" w:ascii="Arial" w:hAnsi="Arial"/>
                <w:sz w:val="16"/>
                <w:szCs w:val="16"/>
              </w:rPr>
              <w:t>кашлюковий анатоксин;</w:t>
            </w:r>
          </w:p>
          <w:p>
            <w:pPr>
              <w:pStyle w:val="Normal"/>
              <w:rPr>
                <w:rFonts w:ascii="Arial" w:hAnsi="Arial" w:cs="Arial"/>
                <w:sz w:val="16"/>
                <w:szCs w:val="16"/>
              </w:rPr>
            </w:pPr>
            <w:r>
              <w:rPr>
                <w:rFonts w:cs="Arial" w:ascii="Arial" w:hAnsi="Arial"/>
                <w:sz w:val="16"/>
                <w:szCs w:val="16"/>
              </w:rPr>
              <w:t>філаментний гемаглютинін;</w:t>
            </w:r>
          </w:p>
          <w:p>
            <w:pPr>
              <w:pStyle w:val="Normal"/>
              <w:rPr/>
            </w:pPr>
            <w:r>
              <w:rPr>
                <w:rFonts w:cs="Arial" w:ascii="Arial" w:hAnsi="Arial"/>
                <w:sz w:val="16"/>
                <w:szCs w:val="16"/>
              </w:rPr>
              <w:t>інактивований поліовірус</w:t>
            </w:r>
            <w:r>
              <w:rPr>
                <w:rFonts w:cs="Arial" w:ascii="Arial" w:hAnsi="Arial"/>
                <w:sz w:val="16"/>
                <w:szCs w:val="16"/>
                <w:vertAlign w:val="superscript"/>
              </w:rPr>
              <w:t>5</w:t>
            </w:r>
            <w:r>
              <w:rPr>
                <w:rFonts w:cs="Arial" w:ascii="Arial" w:hAnsi="Arial"/>
                <w:sz w:val="16"/>
                <w:szCs w:val="16"/>
              </w:rPr>
              <w:t>:</w:t>
            </w:r>
          </w:p>
          <w:p>
            <w:pPr>
              <w:pStyle w:val="Normal"/>
              <w:rPr>
                <w:rFonts w:ascii="Arial" w:hAnsi="Arial" w:cs="Arial"/>
                <w:sz w:val="16"/>
                <w:szCs w:val="16"/>
              </w:rPr>
            </w:pPr>
            <w:r>
              <w:rPr>
                <w:rFonts w:cs="Arial" w:ascii="Arial" w:hAnsi="Arial"/>
                <w:sz w:val="16"/>
                <w:szCs w:val="16"/>
              </w:rPr>
              <w:t>типу 1 (штам Mahoney);</w:t>
            </w:r>
          </w:p>
          <w:p>
            <w:pPr>
              <w:pStyle w:val="Normal"/>
              <w:rPr>
                <w:rFonts w:ascii="Arial" w:hAnsi="Arial" w:cs="Arial"/>
                <w:sz w:val="16"/>
                <w:szCs w:val="16"/>
              </w:rPr>
            </w:pPr>
            <w:r>
              <w:rPr>
                <w:rFonts w:cs="Arial" w:ascii="Arial" w:hAnsi="Arial"/>
                <w:sz w:val="16"/>
                <w:szCs w:val="16"/>
              </w:rPr>
              <w:t>типу 2 (штам MEF-1);</w:t>
            </w:r>
          </w:p>
          <w:p>
            <w:pPr>
              <w:pStyle w:val="Normal"/>
              <w:rPr>
                <w:rFonts w:ascii="Arial" w:hAnsi="Arial" w:cs="Arial"/>
                <w:sz w:val="16"/>
                <w:szCs w:val="16"/>
              </w:rPr>
            </w:pPr>
            <w:r>
              <w:rPr>
                <w:rFonts w:cs="Arial" w:ascii="Arial" w:hAnsi="Arial"/>
                <w:sz w:val="16"/>
                <w:szCs w:val="16"/>
              </w:rPr>
              <w:t>типу 3 (штам Saukett);</w:t>
            </w:r>
          </w:p>
          <w:p>
            <w:pPr>
              <w:pStyle w:val="Normal"/>
              <w:rPr/>
            </w:pPr>
            <w:r>
              <w:rPr>
                <w:rFonts w:cs="Arial" w:ascii="Arial" w:hAnsi="Arial"/>
                <w:sz w:val="16"/>
                <w:szCs w:val="16"/>
              </w:rPr>
              <w:t>поверхневий антиген вірусу гепатиту В</w:t>
            </w:r>
            <w:r>
              <w:rPr>
                <w:rFonts w:cs="Arial" w:ascii="Arial" w:hAnsi="Arial"/>
                <w:sz w:val="16"/>
                <w:szCs w:val="16"/>
                <w:vertAlign w:val="superscript"/>
              </w:rPr>
              <w:t>7</w:t>
            </w:r>
            <w:r>
              <w:rPr>
                <w:rFonts w:cs="Arial" w:ascii="Arial" w:hAnsi="Arial"/>
                <w:sz w:val="16"/>
                <w:szCs w:val="16"/>
              </w:rPr>
              <w:t>;</w:t>
            </w:r>
          </w:p>
          <w:p>
            <w:pPr>
              <w:pStyle w:val="Normal"/>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w:t>
            </w:r>
            <w:r>
              <w:rPr>
                <w:rFonts w:cs="Arial" w:ascii="Arial" w:hAnsi="Arial"/>
                <w:i/>
                <w:iCs/>
                <w:sz w:val="16"/>
                <w:szCs w:val="16"/>
              </w:rPr>
              <w:t xml:space="preserve"> b </w:t>
            </w:r>
            <w:r>
              <w:rPr>
                <w:rFonts w:cs="Arial" w:ascii="Arial" w:hAnsi="Arial"/>
                <w:sz w:val="16"/>
                <w:szCs w:val="16"/>
              </w:rPr>
              <w:t>(полірибозилрибітол фосфат), кон’югований з правцевим протеїном</w:t>
            </w:r>
          </w:p>
          <w:p>
            <w:pPr>
              <w:pStyle w:val="Normal"/>
              <w:rPr/>
            </w:pPr>
            <w:r>
              <w:rPr>
                <w:rFonts w:cs="Arial" w:ascii="Arial" w:hAnsi="Arial"/>
                <w:sz w:val="16"/>
                <w:szCs w:val="16"/>
                <w:vertAlign w:val="superscript"/>
              </w:rPr>
              <w:t>5</w:t>
            </w:r>
            <w:r>
              <w:rPr>
                <w:rFonts w:cs="Arial" w:ascii="Arial" w:hAnsi="Arial"/>
                <w:sz w:val="16"/>
                <w:szCs w:val="16"/>
              </w:rPr>
              <w:t> Культивовані на клітинах </w:t>
            </w:r>
            <w:r>
              <w:rPr>
                <w:rFonts w:cs="Arial" w:ascii="Arial" w:hAnsi="Arial"/>
                <w:i/>
                <w:iCs/>
                <w:sz w:val="16"/>
                <w:szCs w:val="16"/>
              </w:rPr>
              <w:t>Vero</w:t>
            </w:r>
            <w:r>
              <w:rPr>
                <w:rFonts w:cs="Arial" w:ascii="Arial" w:hAnsi="Arial"/>
                <w:sz w:val="16"/>
                <w:szCs w:val="16"/>
              </w:rPr>
              <w:t>.</w:t>
            </w:r>
          </w:p>
          <w:p>
            <w:pPr>
              <w:pStyle w:val="Normal"/>
              <w:rPr/>
            </w:pPr>
            <w:r>
              <w:rPr>
                <w:rFonts w:cs="Arial" w:ascii="Arial" w:hAnsi="Arial"/>
                <w:sz w:val="16"/>
                <w:szCs w:val="16"/>
                <w:vertAlign w:val="superscript"/>
              </w:rPr>
              <w:t>7</w:t>
            </w:r>
            <w:r>
              <w:rPr>
                <w:rFonts w:cs="Arial" w:ascii="Arial" w:hAnsi="Arial"/>
                <w:sz w:val="16"/>
                <w:szCs w:val="16"/>
              </w:rPr>
              <w:t xml:space="preserve"> Отриманий на клітинах дріжджів </w:t>
            </w:r>
            <w:r>
              <w:rPr>
                <w:rFonts w:cs="Arial" w:ascii="Arial" w:hAnsi="Arial"/>
                <w:i/>
                <w:iCs/>
                <w:sz w:val="16"/>
                <w:szCs w:val="16"/>
              </w:rPr>
              <w:t>Hansenula polymorpha</w:t>
            </w:r>
            <w:r>
              <w:rPr>
                <w:rFonts w:cs="Arial" w:ascii="Arial" w:hAnsi="Arial"/>
                <w:sz w:val="16"/>
                <w:szCs w:val="16"/>
              </w:rPr>
              <w:t xml:space="preserve"> за допомогою рекомбінантної ДНК-технології</w:t>
            </w:r>
          </w:p>
          <w:p>
            <w:pPr>
              <w:pStyle w:val="Normal"/>
              <w:tabs>
                <w:tab w:val="clear" w:pos="708"/>
                <w:tab w:val="left" w:pos="12600" w:leader="none"/>
              </w:tabs>
              <w:rPr>
                <w:rFonts w:ascii="Arial" w:hAnsi="Arial" w:cs="Arial"/>
                <w:sz w:val="16"/>
                <w:szCs w:val="16"/>
              </w:rPr>
            </w:pPr>
            <w:r>
              <w:rPr>
                <w:rFonts w:cs="Arial" w:ascii="Arial" w:hAnsi="Arial"/>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rPr>
            </w:pPr>
            <w:r>
              <w:rPr>
                <w:rFonts w:cs="Arial" w:ascii="Arial" w:hAnsi="Arial"/>
                <w:sz w:val="16"/>
                <w:szCs w:val="16"/>
              </w:rPr>
              <w:t>J07CA09</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 Маркування українською та англійською, або іншими іноземними мовами.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вторинне пакування (шприци), контроль якості, випуск серій:</w:t>
              <w:br/>
              <w:t xml:space="preserve">Санофі Вінтроп Індастрі, Франція; виробництво готового нерозфасованого продукту, заповнення, вторинне пакування, контроль якості, випуск серій: Санофі Вінтроп Індастрі, Франція; випуск серій: Санофі-Авентіс Зрт., Угорщина; </w:t>
              <w:br/>
              <w:t xml:space="preserve">контроль якості (шприци): Інтернешнл Драг Девелопмент-Експерт, Франція; вторинне пакування: Кюне + Нагель Кфт., Угорщина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 xml:space="preserve">Зміни у специфікації на сировину-кислотний гідролізат казеїну (САН)(не є допоміжною речовиною), а саме вилучення показників: Зовнішній вигляд, "Розчинність" (в воді та етанолі), "pH" (водного розчину 10 % м/об), "Ступінь гідролізу", "Хлориди" (у перерахунку на NaCl), "Гістамін", "Індол", "Сульфатна зола" та "Походження" (тваринного походження - бичаче/сертифікат постачальника). Залишаються критичні показники: "Ідентифікація", "Втрата при висушуванні", "Загальний вміст азоту", "Вміст амінного азоту", "Мікробіологічна чистота". Внесення редакційних правок до розділу 3.2.S.2.3 «Контроль матеріалів» – контроль джерела та вихідних матеріалів біологічного походження. Термін введення змін - перший квартал 2028. Зміни І типу - Зміни з якості. АФІ. Контроль АФІ (інші зміни) - Внесення незначних змін до розділів ЗТД, таких як переформулювання тексту для кращого розуміння та узгодження інформації з метою гармонізації досьє. Також внесення незначних редакційних змін у розділі 3.2.S.2.3 «Контроль матеріалів» – контроль джерела та вихідних матеріалів біологічного походження. Термін введення змін - перший квартал 2028.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UA/13080/01/01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ГЕМЛІБРА®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emicizumab</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еміцизумаб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B02BX06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 мг/1 мл; по 1 мл (30 мг) у флаконі; по 1 флакону в картонній коробці; по 0,4 мл (12 мг)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Чугай Фарма Мануфектуринг Ко, Лтд, Японія; Самсунг БіоЛоджикс Ко, Лтд, Республіка Корея; випробування контролю якості: Чугай Фарма Мануфектуринг Ко, Лтд, Японiя; випробування контролю якості, вторинне пакування, випуск серії: Ф.Хоффманн-Ля Рош Лтд, Швейцарія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Японія/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Корея/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UA/16914/01/01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ГЕМЛІБРА®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emicizumab</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еміцизумаб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B02BX06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150 мг/1 мл; по 0,4 мл (60 мг); по 0,7 мл (105 мг); по 1 мл (150 мг)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Чугай Фарма Мануфектуринг Ко, Лтд, Японія; Самсунг БіоЛоджикс Ко, Лтд, Республіка Корея; випробування контролю якості: Чугай Фарма Мануфектуринг Ко, Лтд, Японiя; випробування контролю якості, вторинне пакування, випуск серії: Ф.Хоффманн-Ля Рош Лтд, Швейцарія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Японія/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Корея/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UA/16914/01/02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ГЕРЦЕПТИН®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L01FD01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 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UA/14303/01/01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ГЛІЦЕРОЛ ЄВРО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glycerol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гліцерин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A06AX01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супозиторії ректальні по по 2000 мг; по 6 супозиторіїв у блістері; по 1 або по 2 блістери в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Євро Лайфкер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контроль/випробування; випуск серії: Лабораторіус Басі - Індустріа Фармасьютіка, С.А., Португалія;</w:t>
              <w:br/>
              <w:t>відповідальний за: виробництво нерозфасованого продукту; первинне пакування; вторинне пакування; контроль/випробування серії:</w:t>
              <w:br/>
              <w:t>Ламп Сан Просперо СПА, Італія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"Протипоказання", "Взаємодія з іншими лікарськими засобами та інші види взаємодій" та "Передозування" відповідно до оновленої інформації щодо безпеки застосування діючої речовини. Термін введення змін -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в розділ "Склад" (редакційні правки) та в розділ "Побічні реакції" щодо важливості звітування про підозрювані побічні реакції. Термін введення змін - протягом 6 місяців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UA/12050/01/02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ГЛІЦЕРОЛ ЄВРО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glycerol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гліцерин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A06AX01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супозиторії ректальні по 1000 мг; по 6 супозиторіїв у блістері; по 1 або по 2 блістери в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Євро Лайфкер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контроль/випробування; випуск серії: Лабораторіус Басі - Індустріа Фармасьютіка, С.А., Португалія;</w:t>
              <w:br/>
              <w:t>відповідальний за: виробництво нерозфасованого продукту; первинне пакування; вторинне пакування; контроль/випробування серії:</w:t>
              <w:br/>
              <w:t>Ламп Сан Просперо СПА, Італія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"Протипоказання", "Взаємодія з іншими лікарськими засобами та інші види взаємодій" та "Передозування" відповідно до оновленої інформації щодо безпеки застосування діючої речовини. Термін введення змін -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в розділ "Склад" (редакційні правки) та в розділ "Побічні реакції" щодо важливості звітування про підозрювані побічні реакції. Термін введення змін - протягом 6 місяців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UA/12050/01/01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ГЛІЦИН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glycine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гліцин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в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"ТК "АВРОРА"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упаковка, первинний контроль серії:</w:t>
              <w:br/>
              <w:t>Юкі Госей Когіо Ко., Лтд., виробничий майданчик Джобан, Японiя;</w:t>
              <w:br/>
              <w:t>виробник, що відповідає за контроль, випуск та переконтроль серії:</w:t>
              <w:br/>
              <w:t>Аджіномото Ко., Інк., Японiя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Японія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(інші зміни) Приведення інформації у розділі «Маркування» МКЯ: Затверджено: На етикетці вказують: Інформацію щодо товарного знаку Заявника, назву продукту, номер партії, масу нетто, масу брутто, дату виготовлення, кінцевий термін використання, номер реєстраційного посвідчення в Україні, Вантажоодержувач, номер договору, умови зберігання, країну виробник, фірму виробник та адресу розташування. Запропоновано: На етикетці вказують: Інформацію щодо товарного знаку Заявника, назву продукту, країну виробник, фірму виробник та адресу розташування, номер серії, масу нетто, дату виготовлення, період переконтролю, умови зберігання, номер реєстраційного посвідчення в Україні.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UA/20766/01/01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ГЛЮКОЗА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glucose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глюкози моногідрат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V06DC01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100 мг/мл; по 200 мл у пляшках скляних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затвердженого виробника АФІ Глюкози моногідрату -ТОВ «Дніпровський крохмалепатоковий комбінат»,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UA/6411/01/02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ДАРФЕН® ЕКСПРЕС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мг/10 мл по 10 мл у саше; по 10 саше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контроль/тестування, випуск серії готового продукту:</w:t>
              <w:br/>
              <w:t>ЕДЕФАРМ, С.Л., Іспанiя;</w:t>
              <w:br/>
              <w:t>контроль/тестування та випуск серії готового продукту:</w:t>
              <w:br/>
              <w:t xml:space="preserve">Фармалідер, С.А., Іспанія; </w:t>
              <w:br/>
              <w:t>мікробіологічний контроль:</w:t>
              <w:br/>
              <w:t>Біолаб, С.Л., 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в адресі виробника Фармалідер, С.А., Іспанія відповідального за контроль якості (за винятком мікробіологічного контролю) та випуск серії </w:t>
              <w:br/>
              <w:t xml:space="preserve">з Калле Де Арагонесес 2, Полігоно Ідастріал Калабозос, Алкобендас, 28108, Іспанія на Калле Де Лос Арагонесес 2, Алкобендас, 28108, Іспанія. Зміни внесено в розділ "Місцезнаходження виробника та адреса місця провадження його діяльності" в інструкцію для медичного застосування та у відповідний розділ короткої характеристики лікарського засобу у зв'язку з уточненням адреси одного з виробників (Фармалідер С. А.) з відповідними змінами у тексті маркування упаковки лікарського засобу.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sz w:val="16"/>
                <w:szCs w:val="16"/>
              </w:rPr>
              <w:t>UA/18783/01/01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ДАРФЕН® КІДС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ібупрофен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100 мг/5 мл по 100 мл у флаконі або по 200 мл у флаконі; по 1 флакону у комплекті зі шприцом-дозатором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w:t>
              <w:br/>
              <w:t>Делфарм Бладел Б.В., Нідерланди;</w:t>
              <w:br/>
              <w:t>виробництво, первинне та вторинне пакування, випуск серії готового продукту:</w:t>
              <w:br/>
              <w:t>Едефарм, С.Л., Іспанiя;</w:t>
              <w:br/>
              <w:t>контроль якості (за винятком мікробіологічного контролю), випуск серії готового продукту:</w:t>
              <w:br/>
              <w:t xml:space="preserve">Фармалідер, С.А., Іспанія; </w:t>
              <w:br/>
              <w:t xml:space="preserve">мікробіологічний контроль (субпідрядник компанії Farmalider, S.A.): </w:t>
              <w:br/>
              <w:t>Біолаб, С.Л., 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в адресі виробника Фармалідер, С.А., Іспанія відповідального за контроль якості (за винятком мікробіологічного контролю) та випуск серії з Калле Де Арагонесес 2, Полігоно Ідастріал Калабозос, Алкобендас, 28108, Іспанія на Калле Де Лос Арагонесес 2, Алкобендас, 28108, Іспанія. Зміни внесено в розділ "Місцезнаходження виробника та адреса місця провадження його діяльності" в інструкцію для медичного застосування та у відповідний розділ короткої характеристики лікарського засобу у зв'язку з уточненням адреси одного з виробників (Фармалідер С. А.) з відповідними змінами у тексті маркування упаковки лікарського засобу.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UA/18549/01/01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ДАРФЕН® КІДС ФОРТЕ</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мг/5 мл по 100 мл у флаконі, по 1 флакону у комплекті зі шприцом-дозатором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w:t>
              <w:br/>
              <w:t>Делфарм Бладел Б.В., Нідерланди;</w:t>
              <w:br/>
              <w:t>виробництво, первинне та вторинне пакування, випуск серії готового продукту:</w:t>
              <w:br/>
              <w:t>Едефарм, С.Л., Іспанiя;</w:t>
              <w:br/>
              <w:t>контроль якості (за винятком мікробіологічного контролю), випуск серії готового продукту:</w:t>
              <w:br/>
              <w:t xml:space="preserve">Фармалідер С.А., Іспанія; </w:t>
              <w:br/>
              <w:t xml:space="preserve">мікробіологічний контроль (субпідрядник компанії Farmalider, S.A.): </w:t>
              <w:br/>
              <w:t>Біолаб, С.Л., 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в адресі виробника Фармалідер, С.А., Іспанія відповідального за контроль якості (за винятком мікробіологічного контролю) та випуск серії </w:t>
              <w:br/>
              <w:t xml:space="preserve">з Калле Де Арагонесес 2, Полігоно Ідастріал Калабозос, Алкобендас, 28108, Іспанія на Калле Де Лос Арагонесес 2, Алкобендас, 28108, Іспанія. Зміни внесено в розділ "Місцезнаходження виробника та адреса місця провадження його діяльності" в інструкцію для медичного застосування та у відповідний розділ короткої характеристики лікарського засобу у зв'язку з уточненням адреси одного з виробників (Фармалідер С. А.) з відповідними змінами у тексті маркування упаковки лікарського засобу. </w:t>
              <w:br/>
              <w:t xml:space="preserve">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UA/18550/01/01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ДЖАЗ ПЛЮС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Drospirenone and ethinylestradiol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1 таблетка рожевого кольору містить: етинілестрадіол (у вигляді клатрату з бетадексом) та дроспіренон, левомефолат кальцію;</w:t>
            </w:r>
          </w:p>
          <w:p>
            <w:pPr>
              <w:pStyle w:val="11"/>
              <w:tabs>
                <w:tab w:val="clear" w:pos="708"/>
                <w:tab w:val="left" w:pos="12600" w:leader="none"/>
              </w:tabs>
              <w:rPr>
                <w:rFonts w:ascii="Arial" w:hAnsi="Arial" w:cs="Arial"/>
                <w:color w:val="000000"/>
                <w:sz w:val="16"/>
                <w:szCs w:val="16"/>
              </w:rPr>
            </w:pPr>
            <w:r>
              <w:rPr>
                <w:rFonts w:cs="Arial" w:ascii="Arial" w:hAnsi="Arial"/>
                <w:sz w:val="16"/>
                <w:szCs w:val="16"/>
              </w:rPr>
              <w:t>1 таблетка світло-оранжевого кольору містить левомефолат кальцію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G03AA12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28: по 24 таблетки рожевого кольору і по 4 таблетки світло-оранжевого кольору в блістері; по 1 блістеру в картонній пачці; по 1 картонній пачці в упаковці з поліетилену; № 84: по 24 таблетки оранжевого кольору і по 4 таблетки світло-оранжевого кольору в блістері; по 1 блістеру в картонній пачці; по 3 картонних пачки в упаковці з поліетилену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 Байєр АГ, Німеччина; Виробництво за повним циклом: Байєр Ваймар ГмбХ і Ко. КГ,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 </w:t>
              <w:br/>
              <w:t>Діюча редакція: Частота подання регулярно оновлюваного звіту з безпеки 3 роки. Кінцева дата для включення даних до РОЗБ - 06.09.2019 р. Дата подання РОЗБ - 05.12.2019 р. Пропонована редакція: Частота подання регулярно оновлюваного звіту з безпеки 5 років. Кінцева дата для включення даних до РОЗБ - 06.09.2030 р. Дата подання РОЗБ - 05.12.2030 р. Рекомендується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UA/12143/01/01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ДІАПІРИД®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A10BB12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3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(затверджено: термін придатності 2 роки; запропоновано: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UA/16360/01/02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ДІАПІРИД®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A10BB12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(затверджено: термін придатності 2 роки; запропоновано: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UA/16360/01/03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ДІАПІРИД®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glimepiride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глімепірид мікронізований</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A10BB12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(затверджено: термін придатності 2 роки; запропоновано: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UA/16360/01/01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ДОБУТАМІН АДМЕДА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dobutamine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добутаміну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C01CA07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250 мг/50 мл по 50 мл (250 мг)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Адмеда Арцнайміттель ГмбХ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Солюфарм Фармацойтіше Ерцойгніссе ГмбХ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(інші зміни) - внесення до РД інформації щодо імпортера, що здійснює введення препарату Добутамін Адмеда, розчин для інфузій, 250 мг/50 мл, по 50 мл (250 мг) у флаконі; по 1 флакону в картонній коробці, РП № UA/5714/01/01 на ринок України на підставі відповідної Ліцензії на імпорт. Товариство з обмеженою відповідальністю "Азимут" адреса місця провадження діяльності юридична: 08618, Київська область, Фастівський р-н, с. Данилівка, вул. Благовіщенська, 88 місце провадження діяльності: 08150, Київська область., Бучанський р-н., с. Горенка, вул. Приозерна,11 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UA/5714/01/01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ДОМРИД® SR</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domperidone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домперидону малеат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A03FA03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30 мг, по 10 таблеток у блістері; по 1 або по 3 блістери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з ТОВ "ГЛЕДФАРМ ЛТД", Україна на ТОВ "КУСУМ", Україна.</w:t>
              <w:br/>
              <w:t xml:space="preserve">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виробника з ТОВ "ГЛЕДФАРМ ЛТД", Україна на ТОВ "КУСУМ", Україна. Місцезнаходження виробничої дільниці не змінилось. </w:t>
              <w:br/>
              <w:t>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з відповідними змінами в тексті маркування первинної (п. 5) та вторинної (п. 11) упаковок лікарського засобу.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UA/8976/03/01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ДУОСТАД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tamsulosin and dutasteride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дутастерид, тамсулозину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G04CA52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0,5 мг/0,4 мг; по 30 або по 90 капсул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СТАДА Арцнайміттель АГ, Німеччина;</w:t>
              <w:br/>
              <w:t>виробництво проміжного продукту (м'які желатинові капсули дутастериду), виробництво готового продукту, первинне та вторинне пакування, хіміко-фізичний контроль, випуск серії:</w:t>
              <w:br/>
              <w:t>ЛАБОРАТОРІОС ЛЕОН ФАРМА, С.А., Іспанія;</w:t>
              <w:br/>
              <w:t>виробництво проміжного продукту (пелети тамсулозину гідрохлориду з модифікованим вивільненням):</w:t>
              <w:br/>
              <w:t>С.С. Зентіва С.А., Румунія;</w:t>
              <w:br/>
              <w:t>мікробіологічний котроль:</w:t>
              <w:br/>
              <w:t>ЛАБОРАТОРІО ЕЧЕВАРНЕ, С.А., Іспанiя;</w:t>
              <w:br/>
              <w:t>хіміко-фізичний контроль:</w:t>
              <w:br/>
              <w:t>ФУНДАСІОН ТЕКНАЛІЯ РЕСЕРЧ ЕНД ІННОВЕЙШН, Іспанія</w:t>
              <w:br/>
              <w:t>хіміко-фізичний та мікробіологічний контроль:</w:t>
              <w:br/>
              <w:t>НЕТФАРМАЛАБ КОНСАЛТИНГ СЕРВІСЕС, Іспанiя;</w:t>
              <w:br/>
              <w:t>первинне та вторинне пакування:</w:t>
              <w:br/>
              <w:t xml:space="preserve">ЛАБОРАТОРІОС ЛІКОНCА, С.А., Іспанiя; </w:t>
              <w:br/>
              <w:t>вторинне пакування:</w:t>
              <w:br/>
              <w:t>АТДІС ФАРМА, С.Л., Іспанiя;</w:t>
              <w:br/>
              <w:t>вторинне пакування:</w:t>
              <w:br/>
              <w:t>МАНАНТІАЛ ІНТЕГРА, С.Л.Ю., Іспанія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зі специфікації первинного пакувального матеріалу (кришки з капсулою-осушувачем) показник "External wide dimensions", оскільки він не є критичним параметром якості.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UA/20596/01/01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en-US"/>
              </w:rPr>
            </w:pPr>
            <w:r>
              <w:rPr>
                <w:rFonts w:cs="Arial" w:ascii="Arial" w:hAnsi="Arial"/>
                <w:b/>
                <w:sz w:val="16"/>
                <w:szCs w:val="16"/>
              </w:rPr>
              <w:t>ЕМАПЛАГ®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Other systemic hemostatics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рекомбінантного тромбопоетину людини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B02BX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по 15 000 ОД/мл, по 1 мл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Шеньян Саншайн Фармасьютікал Ко.,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Китайська Народна Республіка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color w:val="000000"/>
                <w:sz w:val="16"/>
                <w:szCs w:val="16"/>
                <w:lang w:val="ru-RU"/>
              </w:rP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новим показником "Механічні включення: невидимі частинки" з відповідним методом випробування.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UA/15181/01/01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lang w:val="ru-RU"/>
              </w:rPr>
            </w:pPr>
            <w:r>
              <w:rPr>
                <w:rFonts w:cs="Arial" w:ascii="Arial" w:hAnsi="Arial"/>
                <w:b/>
                <w:sz w:val="16"/>
                <w:szCs w:val="16"/>
                <w:lang w:val="ru-RU"/>
              </w:rPr>
              <w:t>ЕНДЖЕРИКС-В ВАКЦИНА ДЛЯ ПРОФІЛАКТИКИ ВІРУСНОГО ГЕПАТИТУ В, РЕКОМБІНАНТНА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hepatitis B, purified antigen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HBsAg</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J07B C01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20 мкг/1 мл; по 1 мл (20 мкг) (1 доза) та по 0,5 мл (10 мкг) (1 доза) у флаконі; по 1, або 10 або 25 скляних монодозних флаконів у картонній коробці з маркуванням українською мовою; по 1 мл (20 мкг) (1 доза) та по 0,5 мл (10 мкг) (1 доза) у попередньо наповненому шприці; по 1 попередньо наповненому шприцу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lang w:val="ru-RU"/>
              </w:rPr>
              <w:t>Велика Британ</w:t>
            </w:r>
            <w:r>
              <w:rPr>
                <w:rFonts w:cs="Arial" w:ascii="Arial" w:hAnsi="Arial"/>
                <w:color w:val="000000"/>
                <w:sz w:val="16"/>
                <w:szCs w:val="16"/>
              </w:rPr>
              <w:t>i</w:t>
            </w:r>
            <w:r>
              <w:rPr>
                <w:rFonts w:cs="Arial" w:ascii="Arial" w:hAnsi="Arial"/>
                <w:color w:val="000000"/>
                <w:sz w:val="16"/>
                <w:szCs w:val="16"/>
                <w:lang w:val="ru-RU"/>
              </w:rPr>
              <w:t>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ГлаксоСмітКляйн Біолоджікалз, Франція </w:t>
              <w:br/>
              <w:t>(Маркування та пакування готового продукту);</w:t>
              <w:br/>
              <w:t>ГлаксоСмітКляйн Біолоджікалз С.А., Бельгія</w:t>
              <w:br/>
              <w:t>(Формування вакцини, наповнення в флакони та шприці, проведення контролю якості вакцини, маркування і пакування готового продукту);</w:t>
              <w:br/>
              <w:t xml:space="preserve">СмітКляйн Бічем Фарма ГмбХ унд Ко. КГ, Німеччина </w:t>
              <w:br/>
              <w:t>(Формування вакцини, наповнення в шприці, проведення контролю якості вакцини);</w:t>
              <w:br/>
              <w:t>ГлаксоСмітКляйн Біолоджікалз С.А., Бельгія</w:t>
              <w:br/>
              <w:t>(Випуск серії готового продукту)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Франція/</w:t>
            </w:r>
          </w:p>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Бельгія/</w:t>
            </w:r>
          </w:p>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lang w:val="ru-RU"/>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"Енджерикс™-В /</w:t>
            </w:r>
            <w:r>
              <w:rPr>
                <w:rFonts w:cs="Arial" w:ascii="Arial" w:hAnsi="Arial"/>
                <w:color w:val="000000"/>
                <w:sz w:val="16"/>
                <w:szCs w:val="16"/>
              </w:rPr>
              <w:t>Engerix</w:t>
            </w:r>
            <w:r>
              <w:rPr>
                <w:rFonts w:cs="Arial" w:ascii="Arial" w:hAnsi="Arial"/>
                <w:color w:val="000000"/>
                <w:sz w:val="16"/>
                <w:szCs w:val="16"/>
                <w:lang w:val="ru-RU"/>
              </w:rPr>
              <w:t xml:space="preserve"> ™ -</w:t>
            </w:r>
            <w:r>
              <w:rPr>
                <w:rFonts w:cs="Arial" w:ascii="Arial" w:hAnsi="Arial"/>
                <w:color w:val="000000"/>
                <w:sz w:val="16"/>
                <w:szCs w:val="16"/>
              </w:rPr>
              <w:t>B</w:t>
            </w:r>
            <w:r>
              <w:rPr>
                <w:rFonts w:cs="Arial" w:ascii="Arial" w:hAnsi="Arial"/>
                <w:color w:val="000000"/>
                <w:sz w:val="16"/>
                <w:szCs w:val="16"/>
                <w:lang w:val="ru-RU"/>
              </w:rPr>
              <w:t xml:space="preserve"> Вакцина для профілактики вірусного гепатиту В, рекомбінантна". Запропоновано "Енджерикс-В Вакцина для профілактики вірусного гепатиту В, рекомбінантна".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тексту маркування упаковки лікарського засобу, а саме до п. 3 (Перелік допоміжних речовин), п. 4 (Лікарська форма та кількість одиниць в упаковці), п. 8 (Дата закінчення терміну придатності), п. 17 (Інше) вторинної упаковки; до п. 4 (Дата закінчення терміну придатності), п. 5 (Найменування виробника, і за необхідності - заявника), п. 6 (Інше) первинної упаковки.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"Протипоказання",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"Упаковка" (уніфікація та уточнення інформації) та додано розділи "Представник заявника", "Місцезнаходження представника заявника". Термін введення змін - протягом 6 місяців після затвердження. Зміни </w:t>
            </w:r>
            <w:r>
              <w:rPr>
                <w:rFonts w:cs="Arial" w:ascii="Arial" w:hAnsi="Arial"/>
                <w:color w:val="000000"/>
                <w:sz w:val="16"/>
                <w:szCs w:val="16"/>
              </w:rPr>
              <w:t>II</w:t>
            </w:r>
            <w:r>
              <w:rPr>
                <w:rFonts w:cs="Arial" w:ascii="Arial" w:hAnsi="Arial"/>
                <w:color w:val="000000"/>
                <w:sz w:val="16"/>
                <w:szCs w:val="16"/>
                <w:lang w:val="ru-RU"/>
              </w:rPr>
              <w:t xml:space="preserve"> типу - Зміни з якості. Медичні пристрої. Зміна пристроїв для вимірювання дози або введення лікарського засобу (додавання або заміна пристрою, який є невід'ємною частиною первинної упаковки). Введення нового типу шприців зі скла типу І, гумовою пробкою поршня та наконечником шприца із синтетичної гуми. Зміни внесено до інструкції для медичного застосування лікарського засобу до розділів "Спосіб застосування та дози", "Упаковка" з метою гармонізації портфоліо шприців. Термін введення змін - протягом 6 місяців після затвердження. Зміни </w:t>
            </w:r>
            <w:r>
              <w:rPr>
                <w:rFonts w:cs="Arial" w:ascii="Arial" w:hAnsi="Arial"/>
                <w:color w:val="000000"/>
                <w:sz w:val="16"/>
                <w:szCs w:val="16"/>
              </w:rPr>
              <w:t>II</w:t>
            </w:r>
            <w:r>
              <w:rPr>
                <w:rFonts w:cs="Arial" w:ascii="Arial" w:hAnsi="Arial"/>
                <w:color w:val="000000"/>
                <w:sz w:val="16"/>
                <w:szCs w:val="16"/>
                <w:lang w:val="ru-RU"/>
              </w:rPr>
              <w:t xml:space="preserve">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"Імунологічні та біологічні властивості", "Показання" (уточнення інформації), "Взаємодія з іншими лікарськими засобами та інші види взаємодій", "Особливості застосування", "Спосіб застосування та дози", "Діти", "Побічні реакції". </w:t>
              <w:br/>
            </w:r>
            <w:r>
              <w:rPr>
                <w:rFonts w:cs="Arial" w:ascii="Arial" w:hAnsi="Arial"/>
                <w:color w:val="000000"/>
                <w:sz w:val="16"/>
                <w:szCs w:val="16"/>
              </w:rPr>
              <w:t>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UA/15740/01/01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ЕСКАПЕЛ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G03AD01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1,5 мг; по 1 таблетці у блістері; по 1 блістеру разом з картонним футляром для зберігання блістера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Оновлення п. 7 та п. 17 тексту маркування вторинної упаковки лікарського засобу.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Зміни внесено до інструкції для медичного застосування лікарського засобу до розділу "Фармакологічні властивості" щодо даних фармакокінетики у жінок з підвищеним індексом маси тіла, а також "Побічні реакції" щодо важливості звітування про побічні реакції. Представлені зміни в інформації з безпеки щодо внесення змін та доповнень стосовно впливу маси тіла/ІМТ на ефективність засобів екстреної контрацепції на підставі оновленої інформації з безпеки та ефективності, що представлена у клінічному огляді, наданому у складі матеріалів досьє, оновленій короткій характеристиці лікарського засобу, затвердженій в країні заявника/виробника, у розділах проєкту інструкції для медичного застосування «Фармакологічні властивості», а також щодо внесення змін та доповнень щодо важливості повідомлення про побічні реакції на підставі вимог, що викладені в Порядку здійснення фармаконагляду, затвердженого наказом МОЗ України від 27 грудня 2006 року №898 (у редакції наказу МОЗ України від 26 вересня 2016 року №996) у розділі проєкту інструкції для медичного застосування «Побічні реакції»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"Фармакологічні властивості" відповідно до гармонізації інформації за результатами метааналізу досліджень, проведених ВООЗ. Представлені зміни в інформації з безпеки щодо внесення змін стосовно гармонізації інформації, викладеної в інструкції для медичного застосування на підставі обгрунтування викладеного у клінічному огляді, наданому у складі матеріалів досьє, у розділі проєкту інструкції для медичного застосування «Фармакологічні властивості»,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II типу - Зміни щодо безпеки/ефективності та фармаконагляду. Зміна у правовому статусі лікарського засобу (усі інші зміни правового статусу). Змінено категорію відпуску лікарського засобу ЗАТВЕРДЖЕНО: За рецептом. ЗАПРОПОНОВАНО: Без рецепта. Представлені зміни в інформації з безпеки щодо внесення змін стосовно рецептурного статусу лікарського засобу на підставі оновленої інформації з безпеки та ефективності, що представлена у наданій у складі матеріалів досьє «Декларації обгрунтування безрецептурного статусу ЛЗ Ескапел» (Declaration on justification of over-the-counter status of Escapelle), створеній відповідно «Керівництва щодо зміни класифікації постачання лікарського засобу для використання людиною» (A Guideline on changing the classification for the supply of a medicinal product for human use) затвердженого ЄМА, оновленому Плані управління ризиками, версія 4.0, у розділі проєкту інструкції для медичного застосування «Категорія відпуску» можуть бути рекомендовані до затвердження та внесення в інструкцію для медичного застосування лікарського засобу. В даній зміні заявником було надано План управління ризиками версія 4.0, створений для України з метою проведення додаткових заходів з мінімізації ризиків, що обумовлені зміною рецептруного статусу лікарського засобу. Резюме Плану управління ризиками версія 4.0 додається.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lang w:val="ru-RU"/>
              </w:rPr>
            </w:pPr>
            <w:r>
              <w:rPr>
                <w:rFonts w:cs="Arial" w:ascii="Arial" w:hAnsi="Arial"/>
                <w:i/>
                <w:sz w:val="16"/>
                <w:szCs w:val="16"/>
                <w:lang w:val="ru-RU"/>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UA/4789/01/01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ЕСПА-ПРАЗОЛ®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пантопразолу натрію сесквігідрат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A02BC02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20 мг; по 14 таблеток в блістері (алюмінієва фольга з обох боків, або алюмінієва фольга з одного боку та плівка PVC/PE/PVdC з іншого), по 1 або по 2 блістери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Адванс Фарма ГмбХ, Німеччина;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еспарма Фарма Сервісез ГмбХ,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ідентифікації пантопразолу UPLC на додаток до затвердженого HPLC .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кількісного визначення пантропразолу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визначення супутніх домішок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контролю розчинності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доповнення))введення альтернативного методу однорідності вмісту UPLC на додаток до затвердженого HPLC.</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UA/17588/01/01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ЕСПА-ПРАЗОЛ®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пантопразолу натрію сесквігідрат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A02BC02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40 мг; по 14 таблеток в блістері (алюмінієва фольга з обох боків, або алюмінієва фольга з одного боку та плівка PVC/PE/PVdC з іншого), по 1 або по 2 блістери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Адванс Фарма ГмбХ, Німеччина;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еспарма Фарма Сервісез ГмбХ,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ідентифікації пантопразолу UPLC на додаток до затвердженого HPLC .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кількісного визначення пантропразолу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визначення супутніх домішок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альтернативного методу контролю розчинності UPLC на додаток до затвердженого HPLC.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доповнення))введення альтернативного методу однорідності вмісту UPLC на додаток до затвердженого HPLC.</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UA/17588/01/02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ЄВРОФАСТ СОФТКАПС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Олів Фармасайєнс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за показником «Ідентифікація методом ІЧ спектрофотометрії» (ЄФ, 2.2.24) та внесення незначних змін в методики випробування за показниками «Середня маса наповнення вмісту капсул» та «Кількісне визначення».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UA/19861/01/01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ЄВРОФАСТ СОФТКАПС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M01AE01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Олів Фармасайєнс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за показником «Ідентифікація методом ІЧ спектрофотометрії» (ЄФ, 2.2.24) та внесення незначних змін в методики випробування за показниками «Середня маса наповнення вмісту капсул» та «Кількісне визначення».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UA/19861/01/02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ЖАСТІНДА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dienogest and ethinylestradiol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етинілестрадіол та дієногест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pPr>
            <w:r>
              <w:rPr>
                <w:rFonts w:cs="Arial" w:ascii="Arial" w:hAnsi="Arial"/>
                <w:color w:val="000000"/>
                <w:sz w:val="16"/>
                <w:szCs w:val="16"/>
              </w:rPr>
              <w:t>G03AA16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 мг/0,03 мг; по 21 таблетці у блістері, по 1 або 3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виробник, який відповідає за мікробіологічне тестування:</w:t>
              <w:br/>
              <w:t>Лабораторіо Ечеварне, С.А., 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3.0. Зміни внесено до частин: І «Загальна інформація» - ІІ «Специфікація з безпеки» - V «Заходи з мінімізації ризиків» - VI «Резюме плану управління ризиками» - VII «Додатки» (додатки 1-8) у зв’язку з видаленням важливих ідентифікованих ризиків, важливих потенційних ризиків, а також видалення відсутньої інформації відповідно до HaRP Assessment Report for dienogest and ethinylestradiol,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3.0 додається.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UA/13217/01/01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ЗОНІК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1 або по 2, або по 4, або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"Середня маса вмісту капсули" із специфікації ГЛЗ. Контроль якості лікарського засобу за показником "Середня маса вмісту капсули" здійснюється згідно показника "Однорідність дозованих одиниць", який відповідає фармакопейним вимогам 2.9.40 Євр. Фарм. Зміни І типу - Зміни з якості. Готовий лікарський засіб. Опис та склад (інші зміни). Внесення редакційних правок за показником "Опис", щодо уточнення опису капсули, а саме вилучення з опису фрази "Розміром 2".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UA/16350/01/01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ЗОНІК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in bulk: № 5292 (14х378): по 14 капсул у блістері; по 378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"Середня маса вмісту капсули" із специфікації ГЛЗ. Контроль якості лікарського засобу за показником "Середня маса вмісту капсули" здійснюється згідно показника "Однорідність дозованих одиниць", який відповідає фармакопейним вимогам 2.9.40 Євр. Фарм. Зміни І типу - Зміни з якості. Готовий лікарський засіб. Опис та склад (інші зміни). Внесення редакційних правок за показником "Опис", щодо уточнення опису капсули, а саме вилучення з опису фрази "Розміром 2".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UA/21141/01/01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ІМОВАКС ПОЛІО® ВАКЦИНА ДЛЯ ПРОФІЛАКТИКИ ПОЛІОМІЄЛІТУ ІНАКТИВОВАНА РІДКА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Poliomyelitis, trivalent, inactivated, whole virus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pPr>
            <w:r>
              <w:rPr>
                <w:rFonts w:cs="Arial" w:ascii="Arial" w:hAnsi="Arial"/>
                <w:sz w:val="16"/>
                <w:szCs w:val="16"/>
                <w:lang w:val="uk-UA"/>
              </w:rPr>
              <w:t>Інактивований</w:t>
            </w:r>
            <w:r>
              <w:rPr>
                <w:rFonts w:cs="Arial" w:ascii="Arial" w:hAnsi="Arial"/>
                <w:sz w:val="16"/>
                <w:szCs w:val="16"/>
              </w:rPr>
              <w:t> </w:t>
            </w:r>
            <w:r>
              <w:rPr>
                <w:rFonts w:cs="Arial" w:ascii="Arial" w:hAnsi="Arial"/>
                <w:sz w:val="16"/>
                <w:szCs w:val="16"/>
                <w:lang w:val="uk-UA"/>
              </w:rPr>
              <w:t>поліовірус</w:t>
            </w:r>
            <w:r>
              <w:rPr>
                <w:rFonts w:cs="Arial" w:ascii="Arial" w:hAnsi="Arial"/>
                <w:sz w:val="16"/>
                <w:szCs w:val="16"/>
              </w:rPr>
              <w:t> </w:t>
            </w:r>
            <w:r>
              <w:rPr>
                <w:rFonts w:cs="Arial" w:ascii="Arial" w:hAnsi="Arial"/>
                <w:sz w:val="16"/>
                <w:szCs w:val="16"/>
                <w:lang w:val="uk-UA"/>
              </w:rPr>
              <w:t>типу 1 (</w:t>
            </w:r>
            <w:r>
              <w:rPr>
                <w:rFonts w:cs="Arial" w:ascii="Arial" w:hAnsi="Arial"/>
                <w:sz w:val="16"/>
                <w:szCs w:val="16"/>
              </w:rPr>
              <w:t>Mahoney</w:t>
            </w:r>
            <w:r>
              <w:rPr>
                <w:rFonts w:cs="Arial" w:ascii="Arial" w:hAnsi="Arial"/>
                <w:sz w:val="16"/>
                <w:szCs w:val="16"/>
                <w:lang w:val="uk-UA"/>
              </w:rPr>
              <w:t>)</w:t>
            </w:r>
            <w:r>
              <w:rPr>
                <w:rFonts w:cs="Arial" w:ascii="Arial" w:hAnsi="Arial"/>
                <w:sz w:val="16"/>
                <w:szCs w:val="16"/>
                <w:vertAlign w:val="superscript"/>
                <w:lang w:val="uk-UA"/>
              </w:rPr>
              <w:t>#</w:t>
            </w:r>
            <w:r>
              <w:rPr>
                <w:rFonts w:cs="Arial" w:ascii="Arial" w:hAnsi="Arial"/>
                <w:sz w:val="16"/>
                <w:szCs w:val="16"/>
                <w:lang w:val="uk-UA"/>
              </w:rPr>
              <w:t>;</w:t>
            </w:r>
          </w:p>
          <w:p>
            <w:pPr>
              <w:pStyle w:val="Normal"/>
              <w:jc w:val="both"/>
              <w:rPr/>
            </w:pPr>
            <w:r>
              <w:rPr>
                <w:rFonts w:cs="Arial" w:ascii="Arial" w:hAnsi="Arial"/>
                <w:sz w:val="16"/>
                <w:szCs w:val="16"/>
                <w:lang w:val="uk-UA"/>
              </w:rPr>
              <w:t>Інактивований</w:t>
            </w:r>
            <w:r>
              <w:rPr>
                <w:rFonts w:cs="Arial" w:ascii="Arial" w:hAnsi="Arial"/>
                <w:sz w:val="16"/>
                <w:szCs w:val="16"/>
              </w:rPr>
              <w:t> </w:t>
            </w:r>
            <w:r>
              <w:rPr>
                <w:rFonts w:cs="Arial" w:ascii="Arial" w:hAnsi="Arial"/>
                <w:sz w:val="16"/>
                <w:szCs w:val="16"/>
                <w:lang w:val="uk-UA"/>
              </w:rPr>
              <w:t>поліовірус</w:t>
            </w:r>
            <w:r>
              <w:rPr>
                <w:rFonts w:cs="Arial" w:ascii="Arial" w:hAnsi="Arial"/>
                <w:sz w:val="16"/>
                <w:szCs w:val="16"/>
              </w:rPr>
              <w:t> </w:t>
            </w:r>
            <w:r>
              <w:rPr>
                <w:rFonts w:cs="Arial" w:ascii="Arial" w:hAnsi="Arial"/>
                <w:sz w:val="16"/>
                <w:szCs w:val="16"/>
                <w:lang w:val="uk-UA"/>
              </w:rPr>
              <w:t>типу 2 (</w:t>
            </w:r>
            <w:r>
              <w:rPr>
                <w:rFonts w:cs="Arial" w:ascii="Arial" w:hAnsi="Arial"/>
                <w:sz w:val="16"/>
                <w:szCs w:val="16"/>
              </w:rPr>
              <w:t>MEF</w:t>
            </w:r>
            <w:r>
              <w:rPr>
                <w:rFonts w:cs="Arial" w:ascii="Arial" w:hAnsi="Arial"/>
                <w:sz w:val="16"/>
                <w:szCs w:val="16"/>
                <w:lang w:val="uk-UA"/>
              </w:rPr>
              <w:t>-1)</w:t>
            </w:r>
            <w:r>
              <w:rPr>
                <w:rFonts w:cs="Arial" w:ascii="Arial" w:hAnsi="Arial"/>
                <w:sz w:val="16"/>
                <w:szCs w:val="16"/>
                <w:vertAlign w:val="superscript"/>
                <w:lang w:val="uk-UA"/>
              </w:rPr>
              <w:t>#</w:t>
            </w:r>
            <w:r>
              <w:rPr>
                <w:rFonts w:cs="Arial" w:ascii="Arial" w:hAnsi="Arial"/>
                <w:sz w:val="16"/>
                <w:szCs w:val="16"/>
                <w:lang w:val="uk-UA"/>
              </w:rPr>
              <w:t xml:space="preserve"> ;</w:t>
            </w:r>
          </w:p>
          <w:p>
            <w:pPr>
              <w:pStyle w:val="Normal"/>
              <w:jc w:val="both"/>
              <w:rPr>
                <w:rFonts w:ascii="Arial" w:hAnsi="Arial" w:cs="Arial"/>
                <w:sz w:val="16"/>
                <w:szCs w:val="16"/>
              </w:rPr>
            </w:pPr>
            <w:r>
              <w:rPr>
                <w:rFonts w:cs="Arial" w:ascii="Arial" w:hAnsi="Arial"/>
                <w:sz w:val="16"/>
                <w:szCs w:val="16"/>
              </w:rPr>
              <w:t>Інактивований поліовірус типу 3 (Saukett)</w:t>
            </w:r>
            <w:r>
              <w:rPr>
                <w:rFonts w:cs="Arial" w:ascii="Arial" w:hAnsi="Arial"/>
                <w:sz w:val="16"/>
                <w:szCs w:val="16"/>
                <w:vertAlign w:val="superscript"/>
              </w:rPr>
              <w:t>#</w:t>
            </w:r>
          </w:p>
          <w:p>
            <w:pPr>
              <w:pStyle w:val="Normal"/>
              <w:jc w:val="both"/>
              <w:rPr>
                <w:rFonts w:ascii="Arial" w:hAnsi="Arial" w:cs="Arial"/>
                <w:sz w:val="16"/>
                <w:szCs w:val="16"/>
              </w:rPr>
            </w:pPr>
            <w:r>
              <w:rPr>
                <w:rFonts w:cs="Arial" w:ascii="Arial" w:hAnsi="Arial"/>
                <w:sz w:val="16"/>
                <w:szCs w:val="16"/>
                <w:vertAlign w:val="superscript"/>
              </w:rPr>
              <w:t># </w:t>
            </w:r>
            <w:r>
              <w:rPr>
                <w:rFonts w:cs="Arial" w:ascii="Arial" w:hAnsi="Arial"/>
                <w:sz w:val="16"/>
                <w:szCs w:val="16"/>
              </w:rPr>
              <w:t>Культивовані на клітинах </w:t>
            </w:r>
            <w:r>
              <w:rPr>
                <w:rFonts w:cs="Arial" w:ascii="Arial" w:hAnsi="Arial"/>
                <w:i/>
                <w:iCs/>
                <w:sz w:val="16"/>
                <w:szCs w:val="16"/>
              </w:rPr>
              <w:t>Vero</w:t>
            </w:r>
          </w:p>
          <w:p>
            <w:pPr>
              <w:pStyle w:val="11"/>
              <w:tabs>
                <w:tab w:val="clear" w:pos="708"/>
                <w:tab w:val="left" w:pos="12600" w:leader="none"/>
              </w:tabs>
              <w:rPr>
                <w:rFonts w:ascii="Arial" w:hAnsi="Arial" w:cs="Arial"/>
                <w:sz w:val="16"/>
                <w:szCs w:val="16"/>
                <w:lang w:val="ru-RU"/>
              </w:rPr>
            </w:pPr>
            <w:r>
              <w:rPr>
                <w:rFonts w:cs="Arial" w:ascii="Arial" w:hAnsi="Arial"/>
                <w:sz w:val="16"/>
                <w:szCs w:val="16"/>
                <w:lang w:val="ru-RU"/>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J07BF03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заповнення та інспектування шприців, контроль якості (стерильність) (для попередньо заповнених шприців): САНОФІ ВІНТРОП ІНДАСТРІА, Францiя; випуск серії (для попередньо заповнених шприців та флаконів): Санофі-Авентіс Зрт., Угорщина; вторинне пакування (для попередньо заповнених шприців та флаконів): Кюне + Нагель Кфт., 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 Перегляд критичного параметра процесу (цільові діапазони концентрацій), що використовується під час приготування концентрованої тривалентної активної речовини ІПВ. Редакційні уточнення до розділу 3.2.S.2.2 (оновлення посилань на воду для ін’єкцій (замість води очищеної)). Термін введення змін - серпень 2027.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критеріїв прийнятності визначення вмісту D-антигену при випуску та стабільності для концентрованої тривалентної активної речовини ІПВ із відповідними змінами до затвердженого протоколу стабільності для врахування запропонованого оновлення. Термін введення змін - серпень 2027</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UA/14266/01/01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ІМОВАКС ПОЛІО® ВАКЦИНА ДЛЯ ПРОФІЛАКТИКИ ПОЛІОМІЄЛІТУ ІНАКТИВОВАНА РІДКА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Poliomyelitis, trivalent, inactivated, whole virus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pPr>
            <w:r>
              <w:rPr>
                <w:rFonts w:cs="Arial" w:ascii="Arial" w:hAnsi="Arial"/>
                <w:sz w:val="16"/>
                <w:szCs w:val="16"/>
                <w:lang w:val="uk-UA"/>
              </w:rPr>
              <w:t>Інактивований</w:t>
            </w:r>
            <w:r>
              <w:rPr>
                <w:rFonts w:cs="Arial" w:ascii="Arial" w:hAnsi="Arial"/>
                <w:sz w:val="16"/>
                <w:szCs w:val="16"/>
              </w:rPr>
              <w:t> </w:t>
            </w:r>
            <w:r>
              <w:rPr>
                <w:rFonts w:cs="Arial" w:ascii="Arial" w:hAnsi="Arial"/>
                <w:sz w:val="16"/>
                <w:szCs w:val="16"/>
                <w:lang w:val="uk-UA"/>
              </w:rPr>
              <w:t>поліовірус</w:t>
            </w:r>
            <w:r>
              <w:rPr>
                <w:rFonts w:cs="Arial" w:ascii="Arial" w:hAnsi="Arial"/>
                <w:sz w:val="16"/>
                <w:szCs w:val="16"/>
              </w:rPr>
              <w:t> </w:t>
            </w:r>
            <w:r>
              <w:rPr>
                <w:rFonts w:cs="Arial" w:ascii="Arial" w:hAnsi="Arial"/>
                <w:sz w:val="16"/>
                <w:szCs w:val="16"/>
                <w:lang w:val="uk-UA"/>
              </w:rPr>
              <w:t>типу 1 (</w:t>
            </w:r>
            <w:r>
              <w:rPr>
                <w:rFonts w:cs="Arial" w:ascii="Arial" w:hAnsi="Arial"/>
                <w:sz w:val="16"/>
                <w:szCs w:val="16"/>
              </w:rPr>
              <w:t>Mahoney</w:t>
            </w:r>
            <w:r>
              <w:rPr>
                <w:rFonts w:cs="Arial" w:ascii="Arial" w:hAnsi="Arial"/>
                <w:sz w:val="16"/>
                <w:szCs w:val="16"/>
                <w:lang w:val="uk-UA"/>
              </w:rPr>
              <w:t>)</w:t>
            </w:r>
            <w:r>
              <w:rPr>
                <w:rFonts w:cs="Arial" w:ascii="Arial" w:hAnsi="Arial"/>
                <w:sz w:val="16"/>
                <w:szCs w:val="16"/>
                <w:vertAlign w:val="superscript"/>
                <w:lang w:val="uk-UA"/>
              </w:rPr>
              <w:t>#</w:t>
            </w:r>
            <w:r>
              <w:rPr>
                <w:rFonts w:cs="Arial" w:ascii="Arial" w:hAnsi="Arial"/>
                <w:sz w:val="16"/>
                <w:szCs w:val="16"/>
                <w:lang w:val="uk-UA"/>
              </w:rPr>
              <w:t>;</w:t>
            </w:r>
          </w:p>
          <w:p>
            <w:pPr>
              <w:pStyle w:val="Normal"/>
              <w:jc w:val="both"/>
              <w:rPr/>
            </w:pPr>
            <w:r>
              <w:rPr>
                <w:rFonts w:cs="Arial" w:ascii="Arial" w:hAnsi="Arial"/>
                <w:sz w:val="16"/>
                <w:szCs w:val="16"/>
                <w:lang w:val="uk-UA"/>
              </w:rPr>
              <w:t>Інактивований</w:t>
            </w:r>
            <w:r>
              <w:rPr>
                <w:rFonts w:cs="Arial" w:ascii="Arial" w:hAnsi="Arial"/>
                <w:sz w:val="16"/>
                <w:szCs w:val="16"/>
              </w:rPr>
              <w:t> </w:t>
            </w:r>
            <w:r>
              <w:rPr>
                <w:rFonts w:cs="Arial" w:ascii="Arial" w:hAnsi="Arial"/>
                <w:sz w:val="16"/>
                <w:szCs w:val="16"/>
                <w:lang w:val="uk-UA"/>
              </w:rPr>
              <w:t>поліовірус</w:t>
            </w:r>
            <w:r>
              <w:rPr>
                <w:rFonts w:cs="Arial" w:ascii="Arial" w:hAnsi="Arial"/>
                <w:sz w:val="16"/>
                <w:szCs w:val="16"/>
              </w:rPr>
              <w:t> </w:t>
            </w:r>
            <w:r>
              <w:rPr>
                <w:rFonts w:cs="Arial" w:ascii="Arial" w:hAnsi="Arial"/>
                <w:sz w:val="16"/>
                <w:szCs w:val="16"/>
                <w:lang w:val="uk-UA"/>
              </w:rPr>
              <w:t>типу 2 (</w:t>
            </w:r>
            <w:r>
              <w:rPr>
                <w:rFonts w:cs="Arial" w:ascii="Arial" w:hAnsi="Arial"/>
                <w:sz w:val="16"/>
                <w:szCs w:val="16"/>
              </w:rPr>
              <w:t>MEF</w:t>
            </w:r>
            <w:r>
              <w:rPr>
                <w:rFonts w:cs="Arial" w:ascii="Arial" w:hAnsi="Arial"/>
                <w:sz w:val="16"/>
                <w:szCs w:val="16"/>
                <w:lang w:val="uk-UA"/>
              </w:rPr>
              <w:t>-1)</w:t>
            </w:r>
            <w:r>
              <w:rPr>
                <w:rFonts w:cs="Arial" w:ascii="Arial" w:hAnsi="Arial"/>
                <w:sz w:val="16"/>
                <w:szCs w:val="16"/>
                <w:vertAlign w:val="superscript"/>
                <w:lang w:val="uk-UA"/>
              </w:rPr>
              <w:t>#</w:t>
            </w:r>
            <w:r>
              <w:rPr>
                <w:rFonts w:cs="Arial" w:ascii="Arial" w:hAnsi="Arial"/>
                <w:sz w:val="16"/>
                <w:szCs w:val="16"/>
                <w:lang w:val="uk-UA"/>
              </w:rPr>
              <w:t xml:space="preserve"> ;</w:t>
            </w:r>
          </w:p>
          <w:p>
            <w:pPr>
              <w:pStyle w:val="Normal"/>
              <w:jc w:val="both"/>
              <w:rPr>
                <w:rFonts w:ascii="Arial" w:hAnsi="Arial" w:cs="Arial"/>
                <w:sz w:val="16"/>
                <w:szCs w:val="16"/>
              </w:rPr>
            </w:pPr>
            <w:r>
              <w:rPr>
                <w:rFonts w:cs="Arial" w:ascii="Arial" w:hAnsi="Arial"/>
                <w:sz w:val="16"/>
                <w:szCs w:val="16"/>
              </w:rPr>
              <w:t>Інактивований поліовірус типу 3 (Saukett)</w:t>
            </w:r>
            <w:r>
              <w:rPr>
                <w:rFonts w:cs="Arial" w:ascii="Arial" w:hAnsi="Arial"/>
                <w:sz w:val="16"/>
                <w:szCs w:val="16"/>
                <w:vertAlign w:val="superscript"/>
              </w:rPr>
              <w:t>#</w:t>
            </w:r>
          </w:p>
          <w:p>
            <w:pPr>
              <w:pStyle w:val="Normal"/>
              <w:jc w:val="both"/>
              <w:rPr>
                <w:rFonts w:ascii="Arial" w:hAnsi="Arial" w:cs="Arial"/>
                <w:sz w:val="16"/>
                <w:szCs w:val="16"/>
              </w:rPr>
            </w:pPr>
            <w:r>
              <w:rPr>
                <w:rFonts w:cs="Arial" w:ascii="Arial" w:hAnsi="Arial"/>
                <w:sz w:val="16"/>
                <w:szCs w:val="16"/>
                <w:vertAlign w:val="superscript"/>
              </w:rPr>
              <w:t># </w:t>
            </w:r>
            <w:r>
              <w:rPr>
                <w:rFonts w:cs="Arial" w:ascii="Arial" w:hAnsi="Arial"/>
                <w:sz w:val="16"/>
                <w:szCs w:val="16"/>
              </w:rPr>
              <w:t>Культивовані на клітинах </w:t>
            </w:r>
            <w:r>
              <w:rPr>
                <w:rFonts w:cs="Arial" w:ascii="Arial" w:hAnsi="Arial"/>
                <w:i/>
                <w:iCs/>
                <w:sz w:val="16"/>
                <w:szCs w:val="16"/>
              </w:rPr>
              <w:t>Vero</w:t>
            </w:r>
          </w:p>
          <w:p>
            <w:pPr>
              <w:pStyle w:val="11"/>
              <w:tabs>
                <w:tab w:val="clear" w:pos="708"/>
                <w:tab w:val="left" w:pos="12600" w:leader="none"/>
              </w:tabs>
              <w:rPr>
                <w:rFonts w:ascii="Arial" w:hAnsi="Arial" w:cs="Arial"/>
                <w:sz w:val="16"/>
                <w:szCs w:val="16"/>
                <w:lang w:val="ru-RU"/>
              </w:rPr>
            </w:pPr>
            <w:r>
              <w:rPr>
                <w:rFonts w:cs="Arial" w:ascii="Arial" w:hAnsi="Arial"/>
                <w:sz w:val="16"/>
                <w:szCs w:val="16"/>
                <w:lang w:val="ru-RU"/>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sz w:val="16"/>
                <w:szCs w:val="16"/>
              </w:rPr>
            </w:pPr>
            <w:r>
              <w:rPr>
                <w:rFonts w:cs="Arial" w:ascii="Arial" w:hAnsi="Arial"/>
                <w:sz w:val="16"/>
                <w:szCs w:val="16"/>
              </w:rPr>
              <w:t>J07BF03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 Санофі Вінтроп Індастрі, Францiя; заповнення та інспектування шприців, контроль якості (стерильність) (для попередньо заповнених шприців): САНОФІ ВІНТРОП ІНДАСТРІА, Францiя; випуск серії (для попередньо заповнених шприців та флаконів): Санофі-Авентіс Зрт., Угорщина; вторинне пакування (для попередньо заповнених шприців та флаконів): Кюне + Нагель Кфт., 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br/>
              <w:t>Зміни у специфікації на вихідний матеріал-Hepes, а саме вилучення показників: "Зовнішній вигляд", "Розчинність", "Температура плавлення", "Хлориди", "Залізо" "Сульфати", "Втрата при висушуванні", "Сульфатна зола", "pH", "Hepes вміст". Залишається ідентифікаційний тест-"ІЧ-спектр". Термін введення змін - серпень 2027.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Зміни у специфікації на вихідний матеріал-Бичача сироватка-теляча (збагачена залізом), а саме вилучення тесту "Пірогени" відповідно до вимог принципу 3R (Replace — заміна, Reduce —скорочення, Refine — вдосконалення) та Європейської Фармакопеї. Внесення незначних редакційних правок до розділу 3.2.S.2.3 List and Control of Raw Materials. Термін введення змін - серпень 2027. Зміни І типу - Зміни з якості. АФІ. Виробництво (інші зміни) - Внесення уточнюючих змін до розділу 3.2.S.2.3 без будь-яких змін у виробничій практиці. Термін введення змін - серпень 2027</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UA/14266/01/01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ІНСІМ - 400</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cefixime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цефіксим (у вигляді цефіксиму тригідрату)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J01DD08</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Сенс Лабораторіс Пвт.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 xml:space="preserve">UA/20180/01/01 </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КАБАЗИТАКСЕЛ АККОРД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cabazitaxel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кабазитаксел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L01CD04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3 мл (60 мг/3 мл)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 о.о. Склад Імпортера, Польща; виробництво лікарського засобу, первинне та вторинне пакування: Інтас Фармасьютікалc Лімітед, Індія; фізико-хімічний контроль якості: Фармадокс Хелскеа Лімітед, Мальта; мікробіологічний контроль якості: Фармавалід Кфт., 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UA/20864/01/01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КАДСІЛА®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Trastuzumab emtansine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трастузумабу емтансин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L01FD03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100 мг; 1 флакон з порошком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випуск серії:</w:t>
              <w:br/>
              <w:t>Ф.Хоффманн-Ля Рош Лтд, Швейцарія; Випробування контролю якості: Рош Діагностикс ГмбХ,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UA/13770/01/01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КАДСІЛА®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Trastuzumab emtansine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трастузумабу емтансин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L01FD03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160 мг; 1 флакон з порошком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випуск серії:</w:t>
              <w:br/>
              <w:t>Ф.Хоффманн-Ля Рош Лтд, Швейцарія; Випробування контролю якості: Рош Діагностикс ГмбХ,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UA/13770/01/02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КЕТОЛОНГ-ДАРНИЦЯ®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ketorolac</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кеторолаку трометамін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M01AB15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в ампулі; по 5 ампул у контурній чарунковій упаковці; по 2 контурні чарункові упаковки в пачці; по 1 мл в ампулі; по 10 ампул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виробника АФІ Кеторолаку трометамін з Symed Labs Limited, India на Viyash Scientific Limited, Unit-V, India,без зміни місця виробництва. Затверджено: Symed Labs Limited, India; Vasudha Pharma Chem Limited, INDIA. Запропоновано: Viyash Scientific Limited, Unit-V, India; Vasudha Pharma Chem Limited, India. Термін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UA/2190/01/01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КЕТОПРОФЕН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ketoprofen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"ТК "Аврора"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Чжецзян Рейбов Фармасьютікал Ко.,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(інші зміни) Приведення інформації у розділі «Маркування» МКЯ: Затверджено: На етикетці вказують: Інформацію щодо товарного знаку Заявника, назву продукту, номер партії, масу нетто, дату виготовлення, кінцевий термін використання, умови зберігання, країну виробник, фірму виробник та адресу розташування. Запропоновано: На етикетці вказують: Інформацію щодо товарного знаку Заявника, назву продукту, країну виробник, фірму виробник та адресу розташування, номер серії, масу нетто, дату виготовлення, період переконтролю, умови зберігання, номер реєстраційного посвідчення в Україні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UA/16413/01/01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КЛОТРИМАЗОЛ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clotrimazole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клотримазол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D01AC01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мазь 1 %, по 15 г або по 25 г у тубі, по 1 тубі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br/>
              <w:t>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b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виробничої ділянки ПРИВАТНЕ АКЦІОНЕРНЕ ТОВАРИСТВО ФАРМАЦЕВТИЧНА ФАБРИКА «ВІОЛА», що відповідає за вторинне пакування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виробничої ділянки ПРИВАТНЕ АКЦІОНЕРНЕ ТОВАРИСТВО ФАРМАЦЕВТИЧНА ФАБРИКА «ВІОЛА», що відповідає за виробництво та первинне пакування ГЛЗ.</w:t>
              <w:br/>
              <w:t xml:space="preserve">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додаткової виробничої ділянки ПРИВАТНЕ АКЦІОНЕРНЕ ТОВАРИСТВО ФАРМАЦЕВТИЧНА ФАБРИКА «ВІОЛА», що відповідає за випуск серії та контроль якості ГЛЗ.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 введенням додаткового виробника, як наслідок - затвердження тексту маркування упаковок лікарського засобу. Інструкція для медичного застосування лікарського засобу (eCTD-версія 0000). Текст маркування упаковок лікарського засобу (eCTD-версія 0000).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а саме: внесено інформацію щодо температури для стадії 1; задано діапазон швидкості для рамної мішалки на стадії 2, 3 та 5; внесено інформацію про температури на стадії 4 та задано діапазон швидкості для рамної мішалки. Версія МКЯ ЛЗ еCTD (0000).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UA/3967/01/01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КО-ДИРОТОН®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Lisinopril and diuretics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лізиноприл (у формі лізиноприлу дигідрату) і гідрохлоротіазид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C09BA03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10 мг/12,5 мг, по 10 таблеток у блістері; по 1 або по 3 блістери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"Гедеон Ріхтер Польща", Польща (контроль якості та випуск серії; виробництво нерозфасованої продукції, первинна упаковка, вторинна упаковка); ВАТ "Гедеон Ріхтер", Угорщина (випуск серії)</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незначна зміна аналітичної процедури для внутрішньопроцесного контролю, а саме оптимізація тесту на герметичність блістера, внесено зміни до методу випробування на етапі контролю критичних стадій та проміжних продуктів в розділ 3.2.P.3.4.</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UA/8634/01/01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КО-ДИРОТОН®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Lisinopril and diuretics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лізиноприл (у формі лізиноприлу дигідрату) і гідрохлоротіазид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C09BA03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20 мг/12,5 мг, по 10 таблеток у блістері; по 1 або по 3 блістери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"Гедеон Ріхтер Польща", Польща (контроль якості та випуск серіі; виробництво нерозфасованої продукції, первинна упаковка, вторинна упаковка); випуск серії: ВАТ "Гедеон Ріхтер", 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незначна зміна аналітичної процедури для внутрішньопроцесного контролю, а саме оптимізація тесту на герметичність блістера, внесено зміни до методу випробування на етапі контролю критичних стадій та проміжних продуктів в розділ 3.2.P.3.4.</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UA/8634/01/02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КОРВАЛДИН®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b/>
                <w:sz w:val="16"/>
                <w:szCs w:val="16"/>
                <w:lang w:val="en-US" w:eastAsia="en-US"/>
              </w:rPr>
            </w:pPr>
            <w:r>
              <w:rPr>
                <w:rFonts w:cs="Arial" w:ascii="Arial" w:hAnsi="Arial"/>
                <w:b/>
                <w:sz w:val="16"/>
                <w:szCs w:val="16"/>
                <w:lang w:val="en-US"/>
              </w:rPr>
              <w:t>Barbiturates in combination with other drugs</w:t>
            </w:r>
          </w:p>
          <w:p>
            <w:pPr>
              <w:pStyle w:val="Normal"/>
              <w:tabs>
                <w:tab w:val="clear" w:pos="708"/>
                <w:tab w:val="left" w:pos="12600" w:leader="none"/>
              </w:tabs>
              <w:rPr>
                <w:rFonts w:ascii="Arial" w:hAnsi="Arial" w:cs="Arial"/>
                <w:b/>
                <w:color w:val="000000"/>
                <w:sz w:val="16"/>
                <w:szCs w:val="16"/>
                <w:lang w:val="en-US" w:eastAsia="en-US"/>
              </w:rPr>
            </w:pPr>
            <w:r>
              <w:rPr>
                <w:rFonts w:cs="Arial" w:ascii="Arial" w:hAnsi="Arial"/>
                <w:b/>
                <w:color w:val="000000"/>
                <w:sz w:val="16"/>
                <w:szCs w:val="16"/>
                <w:lang w:val="en-US" w:eastAsia="en-US"/>
              </w:rPr>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color w:val="000000"/>
                <w:sz w:val="16"/>
                <w:szCs w:val="16"/>
              </w:rPr>
              <w:t>етиловий</w:t>
            </w:r>
            <w:r>
              <w:rPr>
                <w:rFonts w:cs="Arial" w:ascii="Arial" w:hAnsi="Arial"/>
                <w:color w:val="000000"/>
                <w:sz w:val="16"/>
                <w:szCs w:val="16"/>
                <w:lang w:val="en-US"/>
              </w:rPr>
              <w:t xml:space="preserve"> </w:t>
            </w:r>
            <w:r>
              <w:rPr>
                <w:rFonts w:cs="Arial" w:ascii="Arial" w:hAnsi="Arial"/>
                <w:color w:val="000000"/>
                <w:sz w:val="16"/>
                <w:szCs w:val="16"/>
              </w:rPr>
              <w:t>ефір</w:t>
            </w:r>
            <w:r>
              <w:rPr>
                <w:rFonts w:cs="Arial" w:ascii="Arial" w:hAnsi="Arial"/>
                <w:color w:val="000000"/>
                <w:sz w:val="16"/>
                <w:szCs w:val="16"/>
                <w:lang w:val="en-US"/>
              </w:rPr>
              <w:t xml:space="preserve"> a-</w:t>
            </w:r>
            <w:r>
              <w:rPr>
                <w:rStyle w:val="spelle"/>
                <w:rFonts w:cs="Arial" w:ascii="Arial" w:hAnsi="Arial"/>
                <w:sz w:val="16"/>
                <w:szCs w:val="16"/>
              </w:rPr>
              <w:t>бромізовалеріанової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w:t>
            </w:r>
            <w:r>
              <w:rPr>
                <w:rFonts w:cs="Arial" w:ascii="Arial" w:hAnsi="Arial"/>
                <w:color w:val="000000"/>
                <w:sz w:val="16"/>
                <w:szCs w:val="16"/>
              </w:rPr>
              <w:t>фенобарбітал</w:t>
            </w:r>
            <w:r>
              <w:rPr>
                <w:rFonts w:cs="Arial" w:ascii="Arial" w:hAnsi="Arial"/>
                <w:color w:val="000000"/>
                <w:sz w:val="16"/>
                <w:szCs w:val="16"/>
                <w:lang w:val="en-US"/>
              </w:rPr>
              <w:t xml:space="preserve">, </w:t>
            </w:r>
            <w:r>
              <w:rPr>
                <w:rFonts w:cs="Arial" w:ascii="Arial" w:hAnsi="Arial"/>
                <w:color w:val="000000"/>
                <w:sz w:val="16"/>
                <w:szCs w:val="16"/>
              </w:rPr>
              <w:t>м</w:t>
            </w:r>
            <w:r>
              <w:rPr>
                <w:rFonts w:cs="Arial" w:ascii="Arial" w:hAnsi="Arial"/>
                <w:color w:val="000000"/>
                <w:sz w:val="16"/>
                <w:szCs w:val="16"/>
                <w:lang w:val="en-US"/>
              </w:rPr>
              <w:t>’</w:t>
            </w:r>
            <w:r>
              <w:rPr>
                <w:rFonts w:cs="Arial" w:ascii="Arial" w:hAnsi="Arial"/>
                <w:color w:val="000000"/>
                <w:sz w:val="16"/>
                <w:szCs w:val="16"/>
              </w:rPr>
              <w:t>яти</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хмелю</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N05CB02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ення змін до реєстраційних матеріалів: </w:t>
            </w:r>
            <w:r>
              <w:rPr>
                <w:rFonts w:cs="Arial" w:ascii="Arial" w:hAnsi="Arial"/>
                <w:b/>
                <w:color w:val="000000"/>
                <w:sz w:val="16"/>
                <w:szCs w:val="16"/>
              </w:rPr>
              <w:t>уточнення написання "мнн" в наказі МОЗ України № 1576 від 13.10.2026 в процесі внесення змін</w:t>
            </w:r>
            <w:r>
              <w:rPr>
                <w:rFonts w:cs="Arial" w:ascii="Arial" w:hAnsi="Arial"/>
                <w:color w:val="000000"/>
                <w:sz w:val="16"/>
                <w:szCs w:val="16"/>
              </w:rPr>
              <w:t xml:space="preserv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зміни до специфікації вхідного контролю для діючої речовини Фенобарбітал виробників «ALKALOIDA Chemical Company Zrt.», Угорщина та «Harman Finochem Limited», Індія за показником «Мікробіологічна чистота» у зв'язку із вилученням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w:t>
              <w:tab/>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w:t>
            </w:r>
            <w:r>
              <w:rPr>
                <w:rFonts w:cs="Arial" w:ascii="Arial" w:hAnsi="Arial"/>
                <w:color w:val="000000"/>
                <w:sz w:val="16"/>
                <w:szCs w:val="16"/>
                <w:lang w:val="en-US"/>
              </w:rPr>
              <w:t xml:space="preserve">, </w:t>
            </w:r>
            <w:r>
              <w:rPr>
                <w:rFonts w:cs="Arial" w:ascii="Arial" w:hAnsi="Arial"/>
                <w:color w:val="000000"/>
                <w:sz w:val="16"/>
                <w:szCs w:val="16"/>
              </w:rPr>
              <w:t>ЄФ</w:t>
            </w:r>
            <w:r>
              <w:rPr>
                <w:rFonts w:cs="Arial" w:ascii="Arial" w:hAnsi="Arial"/>
                <w:color w:val="000000"/>
                <w:sz w:val="16"/>
                <w:szCs w:val="16"/>
                <w:lang w:val="en-US"/>
              </w:rPr>
              <w:t xml:space="preserve"> 2.6.12, 2.6.13, 5.1.4.). </w:t>
            </w:r>
            <w:r>
              <w:rPr>
                <w:rFonts w:cs="Arial" w:ascii="Arial" w:hAnsi="Arial"/>
                <w:color w:val="000000"/>
                <w:sz w:val="16"/>
                <w:szCs w:val="16"/>
              </w:rPr>
              <w:t>Інформація</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наказі</w:t>
            </w:r>
            <w:r>
              <w:rPr>
                <w:rFonts w:cs="Arial" w:ascii="Arial" w:hAnsi="Arial"/>
                <w:color w:val="000000"/>
                <w:sz w:val="16"/>
                <w:szCs w:val="16"/>
                <w:lang w:val="en-US"/>
              </w:rPr>
              <w:t xml:space="preserve"> - "-". </w:t>
            </w:r>
            <w:r>
              <w:rPr>
                <w:rFonts w:cs="Arial" w:ascii="Arial" w:hAnsi="Arial"/>
                <w:b/>
                <w:color w:val="000000"/>
                <w:sz w:val="16"/>
                <w:szCs w:val="16"/>
              </w:rPr>
              <w:t>Вірна</w:t>
            </w:r>
            <w:r>
              <w:rPr>
                <w:rFonts w:cs="Arial" w:ascii="Arial" w:hAnsi="Arial"/>
                <w:b/>
                <w:color w:val="000000"/>
                <w:sz w:val="16"/>
                <w:szCs w:val="16"/>
                <w:lang w:val="en-US"/>
              </w:rPr>
              <w:t xml:space="preserve"> </w:t>
            </w:r>
            <w:r>
              <w:rPr>
                <w:rFonts w:cs="Arial" w:ascii="Arial" w:hAnsi="Arial"/>
                <w:b/>
                <w:color w:val="000000"/>
                <w:sz w:val="16"/>
                <w:szCs w:val="16"/>
              </w:rPr>
              <w:t>редакція</w:t>
            </w:r>
            <w:r>
              <w:rPr>
                <w:rFonts w:cs="Arial" w:ascii="Arial" w:hAnsi="Arial"/>
                <w:b/>
                <w:color w:val="000000"/>
                <w:sz w:val="16"/>
                <w:szCs w:val="16"/>
                <w:lang w:val="en-US"/>
              </w:rPr>
              <w:t xml:space="preserve"> - Barbiturates in combination with other drugs.</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по 25 мл - без рецепта; по 50 мл – 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UA/2553/01/01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КОРДІПРАЗ</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prasugrel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прасугрель у вигляді прасугрелю гідроброміду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B01AC22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ПЛІВА Хрватска д.о.о., Хорватія; контроль серії (метод Рентгенівської дифракції): ПЛІВА Хрватска д.о.о., Хорватія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та адреси власника DMF. Адреса виробничих потужностей залишаються без змін. Діюча редакція: Teva Pharmaceutical Industries Ltd. / 124 Dvora HaNevi`a Street, Tel Aviv-Jaffa 6944020, Israel. Пропонована редакція: TAPI NL B.V. / Piet Heinkade 55, 1019GM Amsterdam, Netherlands.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прасугрелю гідроброміду, як наслідок також змінюється назва виробничої дільниці відповідальної за контроль якості. Виробничі дільниці, адреси та усі виробничі операції залишаються незмінними.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Діюча редакція: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Manufacturing Site Address: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PLIVA Croatia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Production SM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Prudnicka cesta 54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10291 Prigorje Brbovecko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Testing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PLIVA Croatia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Production PbF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Prilaz baruna Filipovica 25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10000 Zagreb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Пропонована редакція: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Manufacturing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Industries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Prudnicka cesta 54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10291 Prigorje Brbovecko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Testing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PLIVA Croatia Ltd.</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Prilaz baruna Filipovica 25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10000 Zagreb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Croatia</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з якості. АФІ. Виробництво. Зміни в процесі виробництва АФІ (незначна зміна у закритій частині мастер-файла на АФІ) - Незначна зміна закритої частини ASMF діючої речовини, а саме: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 Оновлено розділ 3.2.S.2.3 Контроль матеріалів, через появу додаткового виробника вихідної речовини PRS 11 HCL;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 Оновлено розділ 3.2.S.2.6 Розробка виробничого процесу, у зв'язку додавання звіту про розробку виробничого процесу;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Оновлено розділ 3.2.S.4.4 Аналіз серій, щоб додати порівняння серій та сертифікати аналізу трьох нових серій прасугрелю гідроброміду через появу додаткового виробника вихідної речовини PRS-11 HCL.</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АФІ. (інші зміни) - Оновлення ASMF з версії DSDossier000799/5 (February 2024 р.) на версію DSDossier000799/6 (March 2025 р.).</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UA/19992/01/01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КОРДІПРАЗ</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prasugrel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прасугрель у вигляді прасугрелю гідроброміду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B01AC22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ПЛІВА Хрватска д.о.о., Хорватія; контроль серії (метод Рентгенівської дифракції): ПЛІВА Хрватска д.о.о., Хорватія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та адреси власника DMF. Адреса виробничих потужностей залишаються без змін. Діюча редакція: Teva Pharmaceutical Industries Ltd. / 124 Dvora HaNevi`a Street, Tel Aviv-Jaffa 6944020, Israel. Пропонована редакція: TAPI NL B.V. / Piet Heinkade 55, 1019GM Amsterdam, Netherlands.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прасугрелю гідроброміду, як наслідок також змінюється назва виробничої дільниці відповідальної за контроль якості. Виробничі дільниці, адреси та усі виробничі операції залишаються незмінними.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Діюча редакція: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Manufacturing Site Address: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PLIVA Croatia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Production SM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Prudnicka cesta 54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10291 Prigorje Brbovecko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Testing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PLIVA Croatia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Production PbF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Prilaz baruna Filipovica 25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10000 Zagreb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Пропонована редакція: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Manufacturing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TAPI Croatia Industries Ltd.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Prudnicka cesta 54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10291 Prigorje Brbovecko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Croatia </w:t>
            </w:r>
          </w:p>
          <w:p>
            <w:pPr>
              <w:pStyle w:val="11"/>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Testing Facilities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PLIVA Croatia Ltd.</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Prilaz baruna Filipovica 25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10000 Zagreb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Croatia</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з якості. АФІ. Виробництво. Зміни в процесі виробництва АФІ (незначна зміна у закритій частині мастер-файла на АФІ) - Незначна зміна закритої частини ASMF діючої речовини, а саме: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 Оновлено розділ 3.2.S.2.3 Контроль матеріалів, через появу додаткового виробника вихідної речовини PRS 11 HCL;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 Оновлено розділ 3.2.S.2.6 Розробка виробничого процесу, у зв'язку додавання звіту про розробку виробничого процесу;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Оновлено розділ 3.2.S.4.4 Аналіз серій, щоб додати порівняння серій та сертифікати аналізу трьох нових серій прасугрелю гідроброміду через появу додаткового виробника вихідної речовини PRS-11 HCL.</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АФІ. (інші зміни) - Оновлення ASMF з версії DSDossier000799/5 (February 2024 р.) на версію DSDossier000799/6 (March 2025 р.).</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UA/19992/01/02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КСАЛАТАН®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латанопрост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S01EE01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0,005 %; по 2,5 мл у поліетиленовому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Бельгія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План управління ризиками версія 6.1 з відображенням завершеного педіатричного дослідження А6111144 та оновленого згідно з вимогами до Стандартизованого формату (EMA/PRAC/613102/2015 Rev.2 accompanying GVP, Module V Rev.2, Human Medicines Evaluation Guidance on the format of the risk management plan (RMP) in the EU – in integrated format) з видаленням важливих ризиків за рекомендацій, вказаних у PSUR assessment report (PSUSA/00001834/202304). </w:t>
              <w:br/>
              <w:t xml:space="preserve">Зміни внесені до частин </w:t>
              <w:br/>
              <w:t xml:space="preserve">II «Специфікація з безпеки», </w:t>
              <w:br/>
              <w:t xml:space="preserve">III «План з фармаконагляду», </w:t>
              <w:br/>
              <w:t xml:space="preserve">V «Заходи з мінімізації ризиків», </w:t>
              <w:br/>
              <w:t xml:space="preserve">VI «Резюме плану управління ризиками». </w:t>
              <w:br/>
              <w:t>Резюме плану управління ризиками версія 6.1 додається.</w:t>
              <w:b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"Фармакологічні властивості". Введення змін протягом 6 місяців після затвердження. Зміни II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розділів "Фармакологічні властивості", "Особливості застосування", "Застосування в період вагітності або годування груддю", "Спосіб застосування та дози", "Діти", "Передозування".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UA/11617/01/01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50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іn bulk: по 10 таблеток у блістері по 200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UA/17443/01/03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N03AX09</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 xml:space="preserve">ТОВ «КУСУМ», Україна; контроль якості: </w:t>
              <w:br/>
              <w:t xml:space="preserve">ТОВ «КУСУМ», Україна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ТОВ «КУСУМ», УКРАЇНА,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Діюча редакція: Виробники виробництво, первинне пакування, вторинне пакування, контроль якості, випуск серії або виробництво продукції in bulk: KUSUM HEALTHCARE PVT LTD, INDIA КУСУМ ХЕЛТХКЕР ПВТ ЛТД, ІНДІЯ вторинне пакування, контроль якості, випуск серії з продукції in bulk: ТОВ «ГЛЕДФАРМ ЛТД», Україна.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введенням додаткової виробничої дільниці, як наслідок - затвердження тексту маркування упаковок лікарського засобу. Введення змін протягом 12-ти місяців після затвердження</w:t>
              <w:br/>
              <w:t xml:space="preserve">Зміни І типу - Адміністративні зміни. Зміна найменування та/або адреси заявника (власника реєстраційного посвідчення) </w:t>
              <w:br/>
              <w:t xml:space="preserve">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w:t>
              <w:br/>
              <w:t xml:space="preserve">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N03AX09</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ТОВ «КУСУМ»,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ТОВ «КУСУМ», УКРАЇНА,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Діюча редакція: Виробники виробництво, первинне пакування, вторинне пакування, контроль якості, випуск серії або виробництво продукції in bulk: KUSUM HEALTHCARE PVT LTD, INDIA КУСУМ ХЕЛТХКЕР ПВТ ЛТД, ІНДІЯ вторинне пакування, контроль якості, випуск серії з продукції in bulk: ТОВ «ГЛЕДФАРМ ЛТД», Україна.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введенням додаткової виробничої дільниці, як наслідок - затвердження тексту маркування упаковок лікарського засобу. Введення змін протягом 12-ти місяців після затвердження</w:t>
              <w:br/>
              <w:t xml:space="preserve">Зміни І типу - Адміністративні зміни. Зміна найменування та/або адреси заявника (власника реєстраційного посвідчення) </w:t>
              <w:br/>
              <w:t xml:space="preserve">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w:t>
              <w:br/>
              <w:t xml:space="preserve">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UA/17444/01/03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ЛАНІСТОР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lamotrigine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ламотриджин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N03AX09</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виробництво продукції in bulk: </w:t>
              <w:br/>
              <w:t>КУСУМ ХЕЛТХКЕР ПВТ ЛТД, Індія;</w:t>
              <w:br/>
              <w:t xml:space="preserve">вторинне пакування, випуск серії з продукції in bulk: </w:t>
              <w:br/>
              <w:t>ТОВ «КУСУМ»,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ТОВ «КУСУМ», УКРАЇНА,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Діюча редакція: Виробники виробництво, первинне пакування, вторинне пакування, контроль якості, випуск серії або виробництво продукції in bulk: KUSUM HEALTHCARE PVT LTD, INDIA КУСУМ ХЕЛТХКЕР ПВТ ЛТД, ІНДІЯ вторинне пакування, контроль якості, випуск серії з продукції in bulk: ТОВ «ГЛЕДФАРМ ЛТД», Україна.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введенням додаткової виробничої дільниці, як наслідок - затвердження тексту маркування упаковок лікарського засобу. Введення змін протягом 12-ти місяців після затвердження</w:t>
              <w:br/>
              <w:t xml:space="preserve">Зміни І типу - Адміністративні зміни. Зміна найменування та/або адреси заявника (власника реєстраційного посвідчення) </w:t>
              <w:br/>
              <w:t xml:space="preserve">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w:t>
              <w:br/>
              <w:t xml:space="preserve">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UA/17444/01/02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ЛАЦЕРАН НСТ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ramipril and diuretics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 і гідрохлоротіазид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C09BA05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мг/12,5 мг; по 7 таблеток у блістері, по 1 або по 3 блістери у картонній коробці,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граматичну помилку в розділі "Лікарська форма" (Основні фізико-хімічні властивості) в інструкції для медичного застосування лікарського засобу, допущену в описі таблеток дозуванням 2,5 мг/12,5 мг, а саме: "... з роподільчою лінією на другому боці" виправлено на "... з розподільчою лінією на другому боці". Зазначене виправлення відповідає матеріалам реєстраційного досьє.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UA/17578/01/01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ЛАЦЕРАН НСТ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ramipril and diuretics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 і гідрохлоротіазид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C09BA05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мг/25 мг; по 7 таблеток у блістері, по 1 або по 3 блістери у картонній коробці,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граматичну помилку в розділі "Лікарська форма" (Основні фізико-хімічні властивості) в інструкції для медичного застосування лікарського засобу, допущену в описі таблеток дозуванням 2,5 мг/12,5 мг, а саме: "... з роподільчою лінією на другому боці" виправлено на "... з розподільчою лінією на другому боці". Зазначене виправлення відповідає матеріалам реєстраційного досьє.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UA/17578/01/02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ЛЕВАКСЕЛА®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левофлоксацин у вигляді левофлоксацину гемігідрату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J01MA12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 таблетці у блістері; по 1 блістеру в картонній коробці; по 5 таблеток у блістері; по 1 або по 2 блістери в картонній коробці; по 7 таблеток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КРКА, д.д., Ново место, Словенія; первинне та вторинне пакування, контроль серії та випуск серії: КРКА, д.д., Ново место, Словенія; контроль серії: КРКА, д.д., Ново место, 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"Фармакологічні властивості" ("Фармакодинаміка") відповідно до протоколу засідання CMDh від 21/02/2025 року (EMA/457563/2023) Введення змін протягом 6-ти місяців з дати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для референтного лікарського засобу (Tavanic, Sanofi, DE/H/5119/001-003/MR) Введення змін протягом 6-ти місяців з дати затвердження. Зміни І типу - Зміни щодо безпеки/ефективності та фармаконагляду. Вилучення (сила дії). Зміни внесено до інструкції для медичного застосування лікарського засобу у розділи "Склад", "Лікарська форма", "Спосіб застосування та дози" щодо вилучення дозування 250 мг Введення змін протягом 6-ти місяців з дати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UA/15596/02/02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ЛЕГКОЛАКС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macrogol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поліетиленгліколь (макрогол) 4000</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A06AD15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Виробник ПАТ "Київмедпрепарат": по 10 г в пакеті-саше; по 4 або 10 або 20 пакетів-саше у пачці; по 300 г у банці; по 1 банці з мірною ложкою в пачці; Виробник ТОВ "МАРІФАРМ": по 10 г в пакеті-саше; по 4 або 10 або 20 пакетів-саше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виправлено технічну помилку в тексті маркування вторинної упаковки лікарського засобу (по 300 г у банці), допущену при процедурі змін (Наказ МОЗ №401 від 26.03.2026 р.)</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Затверджено: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2. КІЛЬКІСТЬ ДІЮЧОЇ РЕЧОВИНИ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 банка містить: поліетиленгліколю (макроголу) 4000, в перерахуванні на 100 % речовину 150 г (g).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300 г (g)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Запропоновано: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2. КІЛЬКІСТЬ ДІЮЧОЇ РЕЧОВИНИ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1 банка містить: поліетиленгліколю (макроголу) 4000, в перерахуванні на 100 % речовину 300 г (g).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300 г (g)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Зазначене виправлення відповідає матеріалам реєстраційного досьє.</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UA/15646/01/02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ЛЕТРОВІСТА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letrozole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летрозол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L02BG04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2,5 мг, по 10 таблеток у блістері; по 3 блістери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С.Л.</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3.0 Зміни внесено до частин: І «Загальна інформація», </w:t>
              <w:br/>
              <w:t xml:space="preserve">II «Специфікація з безпеки», III «План з фармаконагляду», IV»Плани щодо післяреєстраційних досліджень ефективності», </w:t>
              <w:br/>
              <w:t>V «Заходи з мінімізації ризиків», VI «Резюме плану управління ризиками», VII «Додатки» у зв’язку з оновленням специфікації з безпеки діючої речовини летрозолу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3.0 додається.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UA/16706/01/01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ЛІНЕКОК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linezolid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J01XX08</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серії, випуск серії: ФАРМАТЕН СА, Греція;</w:t>
              <w:br/>
              <w:t>виробництво готової лікарської форми, первинна та вторинна упаковка, контроль серії, випуск серії: ФАРМАТЕН ІНТЕРНЕШНЛ СА, Греція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діючої речовини (лінезоліду) згідно з рекомендаціями PRAC. Введення змін протягом 6-ти місяців з дати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UA/20216/01/01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ЛОГУФЕН®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або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розділи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у зв'язку з зміною назви виробника та введенням додаткової дільниці, як наслідок - затвердження тексту маркування упаковок лікарського засобу. 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UA/17411/01/02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ЛОГУФЕН®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in bulk: по 10 таблеток у блістері, по 240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UA/17412/01/01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ЛОГУФЕН®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in bulk: по 10 таблеток у блістері; по 180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UA/17412/01/02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ЛОГУФЕН®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10 таблеток у блістері, по 3 або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розділи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у зв'язку з зміною назви виробника та введенням додаткової дільниці, як наслідок - затвердження тексту маркування упаковок лікарського засобу. 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UA/17411/01/01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ЛОГУФЕН®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100 мг/мл по 200 мл у скляному флаконі з кришкою з контролем першого відкриття; по 200 мл у скляному флаконі з кришкою, недоступною для відкриття дітьми; по 1 флакону у картонній упаковці разом зі шприцом-дозатором об’ємом 5 мл та адаптером для шприца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Введення змін протягом 12-ти місяців після затвердження </w:t>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 зміна найменування виробника із ТОВ «ГЛЕДФАРМ ЛТД», Україна на ТОВ «КУСУМ», Україна, без зміни місця виробництва. Зміни внесено в інструкцію для медичного застосування лікарського засобу у розділ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Специфікації/Методів випробування ГЛЗ, зокрема: вилучення опису приготування розчинів, які не застосовуються під час контролю якості за показником «Забарвлення розчину» відповідно до затвердженої специфікації. Затверджено: Забарвлення розчину має бути менш інтенсивне за забарвлення еталону 06 (В9). Запропоновано: Забарвлення розчину має бути менш інтенсивне за забарвлення еталону (В9).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UA/18814/01/01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ЛОПРІДАМ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C09BX01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 мг/1,25 мг/5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w:t>
              <w:br/>
              <w:t>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UA/19970/01/01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ЛОПРІДАМ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C09BX01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8 мг/2,5 мг/5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w:t>
              <w:br/>
              <w:t>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UA/19970/01/02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ЛОПРІДАМ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периндоприлу ербумін, індапамід та амлодипін у формі амлодипіну бесилату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C09BX01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8 мг/2,5 мг/10 мг;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w:t>
              <w:br/>
              <w:t>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UA/19970/01/03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ЛОРАНО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loratadine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лоратадин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R06AX13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по 7 таблеток у блістері; по 1 блістеру в картонній коробці; по 10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випуск серії: Салютас Фарма ГмбХ, Німеччина; </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пакування, випуск серії: Лек С. А., Польща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затверджені внутрішньопроцесні параметри «Bulk Density» та «Tapped Density» посилаються на загальний розділ Європейської фармакопеї 2.9.15. Bulk and Tapped Density, який більше не доступний у чинній редакції Фармакопеї. Відповідно до останнього оновлення Євр. Фарм (редакція 11.5, чинна з липня 2024 року), цей розділ був замінений на 2.9.34. Bulk Density of Powders, назви тестів оновлено на «Untapped Bulk Density» та «Tapped Bulk Density».</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UA/6985/02/01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МЕДОПЕНЕМ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meropenem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меропенему тригідрат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J01DH02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 г 1 флакон з порошком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Медокемі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після запровадження альтернативного розміру серії, починаючи з 400 кг стерильного меропенему тригідрату, про що вже повідомлялося для PNB route у версії DMF Part P S0002 від грудня 2022 року, були представлені дані аналізу серії для Allyl route, які підтверджують цю зміну. Як вже повідомлялося в розділі 3.2.р.3.3 DMF як розділу R версії S0002, грудень 2022 року, новий розмір серії знаходиться в межах 10-кратного діапазону від розміру серії, затвердженого на даний момент, тобто починаючи від 165 ± 15 кг (раніше названого як «одинарний розмір серії») та 335 ± 25 кг стерильного тригідрату (раніше називався «подвійним розміром серії»). Результати показують, що якість меропренему для ін'єкцій (стерильний розчин для розведення), виготовленого зі збільшеним розміром серії, залишається незмінною. Затверджено: Version S0002 - dated December 2022. Запропоновано: Version S0003 - dated April 2023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UA/11738/01/02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МЕРАЛІС® ІНТЕНСИВ</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іпратропію бромід і ксилометазоліну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R01AB06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з дозуючим пристроєм;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затвердженій редакції документа Зміни до МКЯ ЛЗ (затверджені Наказом МОЗ України від 08.09.2025 № 1404), а саме на титульній сторінці МКЯ не було зазначено інформацію щодо первинної реєстрації методів контролю якості ЛЗ, а саме дату та номер наказу МОЗ України, а також номер Реєстраційного посвідчення. Виправлення технічної помилки, згідно п.2.4 розділу VI наказу МОЗ України від 26.08.2005р. № 426 (у редакції наказу МОЗ України від 23.07.2015 р № 460) має виключно технічний характер та спрямоване на приведення оформлення документа у відповідність до реєстраційних даних. Технічна помилка рекомендована до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UA/17378/01/01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МОВІКСИКАМ®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meloxicam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M01AC06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мг/1,5 мл; по 1,5 мл в ампулі; по 5 ампул у пластиковому контейнері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Хелп СА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та місцезнаходження заявника з відповідними змінами в тексті маркування упаковок лікарського засобу. Введення змін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а саме: у п. 11 тексту маркування вторинної упаковки лікарського засобу.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UA/14916/01/01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МОНОСОПТ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dorzolamide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дорзоламіду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S01EC03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2 %; по 5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Мікро Лабс Лімітед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UA/20324/01/01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МУКАЛТИН®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алтеї кореня екстракту сухого (Althaeae radix)</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R05CA05</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сироп по 100 мл у банці скляній або у флаконі скляному; по 1 банці або флакону з ложкою мірною в пачці; по 100 мл у флаконі полімерному; по 1 флакону з ложкою мірною в пачці; по 200 мл у флаконі скляному або полімерному; по 1 флакону з ложкою мірною в пачці; по 15 мл в саше; по 20 саше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autoSpaceDE w:val="false"/>
              <w:jc w:val="center"/>
              <w:rPr>
                <w:rFonts w:ascii="Arial" w:hAnsi="Arial" w:cs="Arial"/>
                <w:bCs/>
                <w:sz w:val="16"/>
                <w:szCs w:val="16"/>
              </w:rPr>
            </w:pPr>
            <w:r>
              <w:rPr>
                <w:rFonts w:cs="Arial" w:ascii="Arial" w:hAnsi="Arial"/>
                <w:bCs/>
                <w:color w:val="000000"/>
                <w:sz w:val="16"/>
                <w:szCs w:val="16"/>
              </w:rPr>
              <w:t>усі стадії виробництва, за винятком первинного пакування в саше:</w:t>
            </w:r>
          </w:p>
          <w:p>
            <w:pPr>
              <w:pStyle w:val="Normal"/>
              <w:autoSpaceDE w:val="false"/>
              <w:jc w:val="center"/>
              <w:rPr>
                <w:rFonts w:ascii="Arial" w:hAnsi="Arial" w:cs="Arial"/>
                <w:bCs/>
                <w:sz w:val="16"/>
                <w:szCs w:val="16"/>
              </w:rPr>
            </w:pPr>
            <w:r>
              <w:rPr>
                <w:rFonts w:cs="Arial" w:ascii="Arial" w:hAnsi="Arial"/>
                <w:bCs/>
                <w:color w:val="000000"/>
                <w:sz w:val="16"/>
                <w:szCs w:val="16"/>
              </w:rPr>
              <w:t>ПАТ «Галичфарм»,</w:t>
            </w:r>
          </w:p>
          <w:p>
            <w:pPr>
              <w:pStyle w:val="Normal"/>
              <w:autoSpaceDE w:val="false"/>
              <w:jc w:val="center"/>
              <w:rPr>
                <w:rFonts w:ascii="Arial" w:hAnsi="Arial" w:cs="Arial"/>
                <w:bCs/>
                <w:sz w:val="16"/>
                <w:szCs w:val="16"/>
              </w:rPr>
            </w:pPr>
            <w:r>
              <w:rPr>
                <w:rFonts w:cs="Arial" w:ascii="Arial" w:hAnsi="Arial"/>
                <w:bCs/>
                <w:color w:val="000000"/>
                <w:sz w:val="16"/>
                <w:szCs w:val="16"/>
              </w:rPr>
              <w:t>Україна;</w:t>
            </w:r>
          </w:p>
          <w:p>
            <w:pPr>
              <w:pStyle w:val="Normal"/>
              <w:autoSpaceDE w:val="false"/>
              <w:jc w:val="center"/>
              <w:rPr>
                <w:rFonts w:ascii="Arial" w:hAnsi="Arial" w:cs="Arial"/>
                <w:bCs/>
                <w:sz w:val="16"/>
                <w:szCs w:val="16"/>
              </w:rPr>
            </w:pPr>
            <w:r>
              <w:rPr>
                <w:rFonts w:cs="Arial" w:ascii="Arial" w:hAnsi="Arial"/>
                <w:bCs/>
                <w:color w:val="000000"/>
                <w:sz w:val="16"/>
                <w:szCs w:val="16"/>
              </w:rPr>
              <w:t>первинне пакування в саше:</w:t>
            </w:r>
          </w:p>
          <w:p>
            <w:pPr>
              <w:pStyle w:val="Normal"/>
              <w:autoSpaceDE w:val="false"/>
              <w:jc w:val="center"/>
              <w:rPr>
                <w:rFonts w:ascii="Arial" w:hAnsi="Arial" w:cs="Arial"/>
                <w:bCs/>
                <w:sz w:val="16"/>
                <w:szCs w:val="16"/>
              </w:rPr>
            </w:pPr>
            <w:r>
              <w:rPr>
                <w:rFonts w:cs="Arial" w:ascii="Arial" w:hAnsi="Arial"/>
                <w:bCs/>
                <w:color w:val="000000"/>
                <w:sz w:val="16"/>
                <w:szCs w:val="16"/>
              </w:rPr>
              <w:t>ТОВ «КОРПОРАЦІЯ «ЗДОРОВ’Я»,</w:t>
            </w:r>
          </w:p>
          <w:p>
            <w:pPr>
              <w:pStyle w:val="Normal"/>
              <w:autoSpaceDE w:val="false"/>
              <w:jc w:val="center"/>
              <w:rPr>
                <w:rFonts w:ascii="Arial" w:hAnsi="Arial" w:cs="Arial"/>
                <w:color w:val="000000"/>
                <w:sz w:val="16"/>
                <w:szCs w:val="16"/>
              </w:rPr>
            </w:pPr>
            <w:r>
              <w:rPr>
                <w:rFonts w:cs="Arial" w:ascii="Arial" w:hAnsi="Arial"/>
                <w:bCs/>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первинне пакування, а саме: Затверджено: ТОВ "Фармацевтична компанія "Здоров'я", Україна. </w:t>
              <w:br/>
              <w:t>Запропоновано: ТОВ "КОРПОРАЦІЯ "ЗДОРОВ'Я", Україна. Місцезнаходження виробничої дільниці не змінилось.</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UA/8800/01/01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МУКАЛТИН®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алтеї кореня екстракту сухого (Althaeae radix)</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сироп in bulk: по 100 мл у банці скляній, або у флаконі скляному, або флаконі полімерному; по 48 банок скляних, або флаконів скляних, або флаконів полімерних у коробі картонному; in bulk: по 200 мл у флаконі скляному або флаконі полімерному; по 30 флаконів скляних або флаконів полімерних у коробі картонному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первинне пакування, а саме: Затверджено: ТОВ "Фармацевтична компанія "Здоров'я", Україна. Запропоновано: ТОВ "КОРПОРАЦІЯ "ЗДОРОВ'Я", Україна. Місцезнаходження виробничої дільниці не змінилось.</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UA/9508/01/01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МУЛЬТИГРИП БРОНХО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600 мг; по 3 г у саше; по 2, 10, 20 або 30 саше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before="0" w:after="240"/>
              <w:jc w:val="center"/>
              <w:rPr>
                <w:rFonts w:ascii="Arial" w:hAnsi="Arial" w:cs="Arial"/>
                <w:color w:val="000000"/>
                <w:sz w:val="16"/>
                <w:szCs w:val="16"/>
              </w:rPr>
            </w:pPr>
            <w:r>
              <w:rPr>
                <w:rFonts w:cs="Arial" w:ascii="Arial" w:hAnsi="Arial"/>
                <w:color w:val="000000"/>
                <w:sz w:val="16"/>
                <w:szCs w:val="16"/>
              </w:rPr>
              <w:t>Білім Ілач Сан. ве Тід. А.Ш.</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CEP 2022-064 - Rev 01 від вже затвердженого виробника Wuhan Grand Hoyo Co., Ltd діючої речовини ацетилцистеїн в зв’язку з додаванням нової виробничої дільниці Dingliu Village, Longhuashan street China-433 000 Xiantao, Hubei (затверджено: CEP 2010-092- Rev 03; запропоновано: CEP 2010-092- Rev 03; CEP 2022-064 - Rev 01).</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UA/18122/01/01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НІСТАТИНОВА МАЗЬ</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nystatin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ністатин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D01AA01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мазь, 100000 ОД/г; по 15 г у тубі; по 1 тубі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АФІ або допоміжної речовини -</w:t>
              <w:br/>
              <w:t xml:space="preserve">Приведення назв допоміжних речовин до сучасних вимог Європейської фармакопеї. Затверджено: Препарат ОС-20 (суміш поліетиленгліколю (макроголу) та цетостеарилового ефіру) Поліетиленоксид-400. Запропоновано: Макроголу цетостеариловий ефір Макрогол 400. Зміни внесено в розділ "Склад" (допоміжні речовини)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UA/8829/01/01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НУМЕТА G13Е</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shd w:fill="FFFFFF" w:val="clear"/>
              </w:rPr>
              <w:t>L-аланін; L-аргінін; L-аспарагінова кислота; L-цистеїн; L-глутамінова кислота; гліцин; L-гістидин; L-ізолейцин; L-лейцин; L-лізину моногідрат (що еквівалентно лізину); L-метіонін; L-орнітину гідрохлорид (що еквівалентно орнітину); L-фенілаланін;       L-пролін; L-серин; таурин; L-треонін; L-триптофан; L-тирозин; L-валін; калію ацетат; кальцію хлорид, дигідрат; магнію ацетат, тетрагідрат; натрію гліцерофосфат, гідрат; глюкоза, моногідрат (що еквівалентно глюкозі безводній); олія оливкова рафінована та олія соєва рафінована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B05BA10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300 мл (50 % розчин глюкози – 80 мл; 5,9 % розчин амінокислот з електролітами – 160 мл; 12,5 % ліпідна емульсія – 60 мл) у трикамерному пластиковому пакеті. Трикамерний пластиковий пакет упакований у захисну плівкову оболонку, що містить поглинач кисню та індикатор кисню; по 10 пакетів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Бакстер С.А.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компонентів складу; випробування проміжного продукту (суміш амінокислот); виробництво системи контейнер/закупорювальний засіб; виробництво лікарського засобу, наповнення, покриття захисною оболонкою (overpouching); стерилізація та упаковка; випробування лікарського засобу; випуск серії: Бакстер С.А., Бельгiя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"Спосіб застосування та дози" (уточнення інформації).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UA/17633/01/01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НУМЕТА G16Е</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shd w:fill="FFFFFF" w:val="clear"/>
              </w:rPr>
              <w:t>L-аланін; L-аргінін; L-аспарагінова кислота; L-цистеїн; L-глутамінова кислота; гліцин; L-гістидин; L-ізолейцин; L-лейцин; L-лізину моногідрат (що еквівалентно лізину); L-метіонін; L-орнітину гідрохлорид (що еквівалентно орнітину); L-фенілаланін; L-пролін; L-серин; таурин; L-треонін; L-триптофан; L-тирозин; L-валін; натрію хлорид; калію ацетат; кальцію хлорид, дигідрат; магнію ацетат, тетрагідрат; натрію гліцерофосфат, гідрат; глюкоза, моногідрат (що еквівалентно глюкозі безводній); олія оливкова рафінована та олія соєва рафінована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B05BA10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500 мл (50 % розчин глюкози – 155 мл; 5,9 % розчин амінокислот з електролітами – 221 мл; 12,5 % ліпідна емульсія – 124 мл) у трикамерному пластиковому пакеті. Трикамерний пластиковий пакет упакований у захисну плівкову оболонку, що містить поглинач кисню та індикатор кисню; по 6 пакетів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Бакстер С.А.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компонентів складу; випробування проміжного продукту (суміш амінокислот); виробництво системи контейнер/закупорювальний засіб; виробництво лікарського засобу, наповнення, покриття захисною оболонкою (overpouching); стерилізація та упаковка; випробування лікарського засобу; випуск серії: Бакстер С.А., Бельгiя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розділу "Спосіб застосування та дози" (уточнення інформації).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UA/17605/01/01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ОЛОПАТАДИН УНІМЕД ФАРМА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olopatadine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олопатадину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S01GX09</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краплі очні, розчин, 1 мг/мл; по 5 мл або по 10 мл у флаконі-крапельниці; по 1 флакону-крапельниці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«УНІМЕД ФАРМА»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подання оновленого розділу 3.2.P.4 Контроль допоміжних речовин для допоміжної речовини DISODIUM PHOSPHATE DODECAHYDRATE, у зв’язку з гармонізацією з чинним виданням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w:t>
              <w:br/>
              <w:t>подання оновленого розділу 3.2.P.4 Контроль допоміжних речовин для допоміжної речовини HYDROCHLORIC ACID (CONCENTRATED), у зв’язку з гармонізацією з чинним виданням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ЄС)-подання оновленого розділу 3.2.P.4 Контроль допоміжних речовин для допоміжної речовини SODIUM HYDROXIDE, у зв’язку з гармонізацією з чинним виданням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подання оновленого розділу 3.2.P.4 Контроль допоміжних речовин для допоміжної речовини WATER FOR INJECTIONS, у зв’язку з гармонізацією з чинним виданням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br/>
              <w:t>подання оновленого розділу 3.2.P.4 Контроль допоміжних речовин для допоміжної речовини SODIUM CHLORIDE, у зв’язку з гармонізацією з чинним виданням ЄФ.</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UA/20019/01/01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ОМНІТРОП®</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somatropin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H01AC01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 xml:space="preserve">розчин для ін'єкцій, 10 мг/1,5 мл, </w:t>
            </w:r>
            <w:r>
              <w:rPr>
                <w:rFonts w:cs="Arial" w:ascii="Arial" w:hAnsi="Arial"/>
                <w:b/>
                <w:color w:val="000000"/>
                <w:sz w:val="16"/>
                <w:szCs w:val="16"/>
              </w:rPr>
              <w:t>по 1,5 мл у картриджі;</w:t>
            </w:r>
            <w:r>
              <w:rPr>
                <w:rFonts w:cs="Arial" w:ascii="Arial" w:hAnsi="Arial"/>
                <w:color w:val="000000"/>
                <w:sz w:val="16"/>
                <w:szCs w:val="16"/>
              </w:rPr>
              <w:t xml:space="preserve"> по 1, 5 або 10 картриджів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упаковки в наказі МОЗ України № 1576 від 13.10.2026 в процесі внесення змін</w:t>
            </w:r>
            <w:r>
              <w:rPr>
                <w:rFonts w:cs="Arial" w:ascii="Arial" w:hAnsi="Arial"/>
                <w:color w:val="000000"/>
                <w:sz w:val="16"/>
                <w:szCs w:val="16"/>
              </w:rPr>
              <w:t xml:space="preserve">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(інші зміни). Зміна частоти та терміну подання регулярно оновлюваного звіту з безпеки лікарського засобу Омнітроп®, розчин для ін'єкцій, 5 мг/1,5 мл; 10 мг/1,5 мл, по 1,5 мл у картриджі; по 1, 5 або 10 картриджів у картонній коробці; Діюча редакція: Частота подання РОЗБ – 1,5 року; Кінцева дата для включення даних до РОЗБ – 30.02.2026 р.; Дата подання – 28.05.2026 р. Пропонована редакція: Частота подання РОЗБ – 3 роки; Кінцева дата для включення даних до РОЗБ – 31.03.2026 р.; Дата подання – 29.06.2026 р. Рекомендується до затвердження відповідно до періодичності подання регулярно оновлюваних звітів з безпеки лікарських засобів у ЄС.) Редакція в наказі - розчин для ін'єкцій, 10 мг/1,5 мл, по 1, 5 або 10 картриджів у картонній коробці. </w:t>
            </w:r>
            <w:r>
              <w:rPr>
                <w:rFonts w:cs="Arial" w:ascii="Arial" w:hAnsi="Arial"/>
                <w:b/>
                <w:color w:val="000000"/>
                <w:sz w:val="16"/>
                <w:szCs w:val="16"/>
              </w:rPr>
              <w:t>Вірна редакція - розчин для ін'єкцій, 10 мг/1,5 мл, по 1,5 мл у картриджі; по 1, 5 або 10 картриджів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UA/12754/01/02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ОМНІТРОП®</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somatropin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H01AC01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 xml:space="preserve">розчин для ін'єкцій, 5 мг/1,5 мл; </w:t>
            </w:r>
            <w:r>
              <w:rPr>
                <w:rFonts w:cs="Arial" w:ascii="Arial" w:hAnsi="Arial"/>
                <w:b/>
                <w:color w:val="000000"/>
                <w:sz w:val="16"/>
                <w:szCs w:val="16"/>
              </w:rPr>
              <w:t>по 1,5 мл у картриджі;</w:t>
            </w:r>
            <w:r>
              <w:rPr>
                <w:rFonts w:cs="Arial" w:ascii="Arial" w:hAnsi="Arial"/>
                <w:color w:val="000000"/>
                <w:sz w:val="16"/>
                <w:szCs w:val="16"/>
              </w:rPr>
              <w:t xml:space="preserve"> по 1, 5 або 10 картриджів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упаковки в наказі МОЗ України № 1576 від 13.10.2026 в процесі внесення змін</w:t>
            </w:r>
            <w:r>
              <w:rPr>
                <w:rFonts w:cs="Arial" w:ascii="Arial" w:hAnsi="Arial"/>
                <w:color w:val="000000"/>
                <w:sz w:val="16"/>
                <w:szCs w:val="16"/>
              </w:rPr>
              <w:t xml:space="preserve">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(інші зміни). Зміна частоти та терміну подання регулярно оновлюваного звіту з безпеки лікарського засобу Омнітроп®, розчин для ін'єкцій, 5 мг/1,5 мл; 10 мг/1,5 мл, по 1,5 мл у картриджі; по 1, 5 або 10 картриджів у картонній коробці; Діюча редакція: Частота подання РОЗБ – 1,5 року; Кінцева дата для включення даних до РОЗБ – 30.02.2026 р.; Дата подання – 28.05.2026 р. Пропонована редакція: Частота подання РОЗБ – 3 роки; Кінцева дата для включення даних до РОЗБ – 31.03.2026 р.; Дата подання – 29.06.2026 р. Рекомендується до затвердження відповідно до періодичності подання регулярно оновлюваних звітів з безпеки лікарських засобів у ЄС.) Редакція в наказі - розчин для ін'єкцій, 5 мг/1,5 мл, по 1, 5 або 10 картриджів у картонній коробці. </w:t>
            </w:r>
            <w:r>
              <w:rPr>
                <w:rFonts w:cs="Arial" w:ascii="Arial" w:hAnsi="Arial"/>
                <w:b/>
                <w:color w:val="000000"/>
                <w:sz w:val="16"/>
                <w:szCs w:val="16"/>
              </w:rPr>
              <w:t>Вірна редакція - розчин для ін'єкцій, 5 мг/1,5 мл; по 1,5 мл у картриджі; по 1, 5 або 10 картриджів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UA/12754/01/01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ОТРИВІН З МЕНТОЛОМ ТА ЕВКАЛІПТОМ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R01AA07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0,1 %; по 10 мл у полімерному флаконі з розпилювачем;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у зв’язку із неточністю перекладу оригінальної специфікації ГЛЗ щодо примітки до показника «Мікробіологічна чистота» у специфікації МКЯ ЛЗ. </w:t>
              <w:br/>
              <w:t>Зазначене виправлення відповідає матеріалам реєстраційного досьє (розділ 3.2.Р.5.1. Специфікація).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UA/5416/01/01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ОФТИМОЛ®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timolol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тимололу малеат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S01ED01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5 мг/мл; по 5 мл або по 10 мл у флаконі; по 1 флакону у пачці із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розділу «Ідентифікація», зокрема: розділ приведено до вимог нормативної документації EMA ICHQ6A та Європейської фармакопеї, діючого видання. До розділу додано другу ідентифікацію для діючої речовини Тимолол, а саме: методом рідинної хроматографії в умовах виконання тесту «Супровідні домішки». Для бензалконію хлориду вилучено характерні реакції, залишено ідентифікацію методом рідинної хроматографії в умовах виконання тесту «Кількісне визначення».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розділу «Механічні включення», зокрема: розділ гармонізовано із монографією Європейської фармакопеї «Eye preparations», 01/2025:1163, згідно якої контроль невидимих часток для офтальмологічних препаратів місцевого застосування, може не виконуватись в рутинному контролі. Таким чином, з розділу вилучено контроль показника «Невидимі частки». Нормування «Видимих часток» наведено відповідно до сучасних підходів. В методах контролю вилучено примітку про вибірковий контроль для показника "Видимі частки".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Показник «Однорідність маси» замінено на «Об’єм вмісту контейнера» та гармонізовано із монографією Європейської фармакопеї «Eye preparations», 01/2025:1163. Затверджено: </w:t>
              <w:br/>
              <w:t>Однорідність маси - має витримувати вимоги. Запропоновано: Об’єм вмісту контейнера – не менше 5,0 мл або 10,0 мл.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за показником "Супровідні домішки", зокрема: зазначено колонку іншої фірми-виробника; викладення методики випробування у відповідності до сучасних підходів.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Внесення змін до Методів випробування ГЛЗ, зокрема: - за показником "Кількісне визначення». Тимолол" - викладення методики контролю наведено у відповідності до сучасних підходів; - за показником "Кількісне визначення. Бензалконію хлорид" змінено приготування розчину порівняння. Зміни І типу - Зміни з якості. Готовий лікарський засіб. Стабільність. Зміна у термінах придатності або умовах зберігання готового лікарського засобу (інші зміни) -</w:t>
              <w:br/>
              <w:t>Враховуючи зміни в складі препарату, а саме зменшення кількості консерванту до проекту МКЯ та РП включено термін придатності препарату після першого відкриття флакону протягом 28 діб. Затверджено: Термін придатності: 3 роки. Запропоновано: Термін придатності: 3 роки. Після відкриття флакона препарат придатний 28 діб.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Внесення змін до Специфікації ГЛЗ, зокрема: звуження критеріїв прийнятності за показником "Кількісне визначення бензалконію хлорид", у зв'язку із зменшення кількості консерванту бензалконію хлориду в складі лікарського засобу. Затверджено: від 0,135 мг до 0,165 мг в 1 мл препарату. Запропоновано: від 0,059 мг/мл до 0,071 мг/мл.</w:t>
              <w:br/>
              <w:t xml:space="preserve">Зміни II типу -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 Пропонується зміна в складі лікарського засобу, а саме: зменшення кількості консерванту бензалконію хлориду у рецептурі препарату. Затверджено: 0,15 мг/мл. </w:t>
              <w:br/>
              <w:t>Запропоновано: 0,065 мг/мл.</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UA/4314/01/02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ПАНКРЕАТИН 10 000</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Multienzymes (lipase, protease etc.)</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панкреатину порошок</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пелети (субстанція) у щільно закритих світлостійких контейнерах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«БЕРКАНА+»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Мурлі Крішна Фарма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(місцезнаходження) заявника (власника реєстраційного посвідчення)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UA/21375/01/01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ПІРАЦЕТАМ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N06BX03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200 мг; по 15 таблеток у блістері; по 4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Зміни до розміру упаковки, а саме для дозування по 200 мг "по 10 таблеток у блістері; по 6 блістерів у пачці з картону з маркуванням українською мовою" на "по 15 таблеток у блістері; по 4 блістери в пачці з картону з маркуванням українською мовою". Зміни внесено в розділ "Упаковка" в інструкцію для медичного застосування у зв"язку зі зміною розміру первиної упаковки (зміна кількості одиниць у блістері) для дозування 200 мг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UA/5788/01/01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ПІРАЦЕТАМ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N06BX03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 по 10 таблеток у блістері; по 6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Зміни до розміру упаковки, а саме для дозування по 200 мг "по 10 таблеток у блістері; по 6 блістерів у пачці з картону з маркуванням українською мовою" на "по 15 таблеток у блістері; по 4 блістери в пачці з картону з маркуванням українською мовою". Зміни внесено в розділ "Упаковка" в інструкцію для медичного застосування у зв"язку зі зміною розміру первиної упаковки (зміна кількості одиниць у блістері) для дозування 200 мг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UA/5788/01/02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ПІРАЦЕТАМ-ДАРНИЦЯ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piracetam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пірацетам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N06BX03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200 мг/мл, по 5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фірма "Дарниця"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зміни до розділів 3.2.P.4.1. Специфікації та 3.2.P.4.2. Аналітичні методики Модулю 3 на допоміжну речовину Натрію ацетат тригідрат за показниками: </w:t>
              <w:br/>
              <w:t xml:space="preserve">- «Арсен» та «Важкі метали» вилучено з проєкту відповідно до вимог монографії Європейської фармакопеї «Sodium acetate trihydrate» та аналізу ризиків вмісту елементних домішок від виробника відповідно до вимог ICH Q3D Guideline for Elemental Impurities; </w:t>
              <w:br/>
              <w:t xml:space="preserve">- показник «Розчинність» відповідно до вимог ДФУ 1.4 «Монографії» та ЄФ 1.5.1.7 «Characters» показник «Розчинність» перенесено до загальних властивостей; </w:t>
              <w:br/>
              <w:t xml:space="preserve">- показника «Опис», «Ідентифікація» приведено до вимог монографії Європейської Фармакопеї «Sodium acetate trihydrate». Внесено редакційні правки, які оформлені відповідно до рекомендацій та стилістики ДФУ; </w:t>
              <w:br/>
              <w:t>- показники «Прозорість розчину», «Кольоровість розчину», «рН розчину», «Втрата в масі під час висушування», «Відновлювальні речовини», «Хлориди», «Сульфати», «Кальцій і магній», «Залізо» та «Кількісне визначення» нормування залишено без змін і відповідає актуальній монографії ЄФ «Sodium acetate trihydrate», до методик контролю внесено редакційні правки, які оформлені відповідно до рекомендацій та стилістики ДФУ.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Супутня зміна</w:t>
              <w:br/>
              <w:t>-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нормування показника «Мікробіологічна чистота» у специфікації «Sodium acetate trihydrate» приведено у відповідність до вимог ЄФ, 2.6.12, 5.1.4 з урахуванням рекомендацій та стилістики ДФУ.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UA/3225/02/01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ПРЕВЕНАР 20 ВАКЦИНА ПНЕВМОКОКОВА ПОЛІСАХАРИДНА КОН'ЮГОВАНА (20-ВАЛЕНТНА, АДСОРБОВАНА)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Pneumococcus, purified polysaccharides antigen conjugated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пневмококові полісахариди серотипів 1, 3, 4, 5, 6A, 6B, 7F, 8, 9V, 10А, 11А, 12F, 14, 15B, 18C, 19A, 19F, 22F, 23F, 33F кон’югованих з білком носієм CRM</w:t>
            </w:r>
            <w:r>
              <w:rPr>
                <w:rFonts w:cs="Arial" w:ascii="Arial" w:hAnsi="Arial"/>
                <w:color w:val="000000"/>
                <w:sz w:val="16"/>
                <w:szCs w:val="16"/>
                <w:vertAlign w:val="subscript"/>
              </w:rPr>
              <w:t>197</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J07AL02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 доза (0,5 мл); по 1 дозі у попередньо наповненому шприці. По 1 попередньо наповненому шприцу з відокремленою голкою в герметичному термоформованому лотку в картонній коробці. По 5 попередньо наповнених шприців в герметичному термоформованому лотку; по 2 лотки разом з відокремленими голками або без них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тестування суспензії алюмінію фосфата (AlPO4), формуляція та наповнення шприців (первинне пакування), тестування:</w:t>
              <w:br/>
              <w:t>Пфайзер Ірландія Фармасьютікалз, Ірландiя; тестування стерильності суспензії алюмінію фосфата (AlPO4), вторинне пакування, випуск серії: Пфайзер Менюфекчуринг Бельгія НВ, Бельгія; тестування стерильності суспензії алюмінію фосфата (AlPO4): Чарльз Рівер Лабораторіз Айленд Лімітед, Ірландія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Ірландiя/ Бельгія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тексті маркування вторинної упаковки лікарського засобу у пункті 11, допущену при процедурі внесення змін у текст маркування первинної та вторинної упаковок (наказ від 13.03.2025 р. № 456), а саме: додано пропущену літеру «с» в назві міста виробника. </w:t>
              <w:br/>
              <w:t>ЗАТВЕРДЖЕНО:</w:t>
              <w:br/>
              <w:t>11. НАЙМЕНУВАННЯ І МІСЦЕЗНАХОДЖЕННЯ ВИРОБНИКА ТА/АБО ЗАЯВНИКА</w:t>
              <w:br/>
              <w:t>Виробник:</w:t>
              <w:br/>
              <w:t>Пфайзер Менюфекчуринг Бельгія НВ Місцезнаходження: Рейксвег 12, Пуурс-Сінт-Аманд, 2870, Бельгія.</w:t>
              <w:br/>
              <w:t>ЗАПРОПОНОВАНО:</w:t>
              <w:br/>
              <w:t>11. НАЙМЕНУВАННЯ І МІСЦЕЗНАХОДЖЕННЯ ВИРОБНИКА ТА/АБО ЗАЯВНИКА</w:t>
              <w:br/>
              <w:t>Виробник:</w:t>
              <w:br/>
              <w:t xml:space="preserve">Пфайзер Менюфекчуринг Бельгія НВ Місцезнаходження: Рейксвег 12, Пуурс-Сінт-Амандс, 2870, Бельгія. </w:t>
              <w:br/>
              <w:t xml:space="preserve">Зазначене виправлення відповідає матеріалам реєстраційного досьє.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UA/21377/01/01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ПРЕВЕНАР® 13 / PREVENAR® 13 ВАКЦИНА ПНЕВМОКОКОВА ПОЛІСАХАРИДНА КОН’ЮГОВАНА (ТРИНАДЦЯТИВАЛЕНТНА АДСОРБОВАНА)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Pneumococcus, purified polysaccharides antigen conjugated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пневмококові полісахариди серотипів 1, 3, 4, 5, 6A, 6B, 7F, 9V, 14, 19A, 19F і 23F, олігосахарид серотипу 18C, білок-носій CRM</w:t>
            </w:r>
            <w:r>
              <w:rPr>
                <w:rFonts w:cs="Arial" w:ascii="Arial" w:hAnsi="Arial"/>
                <w:color w:val="000000"/>
                <w:sz w:val="16"/>
                <w:szCs w:val="16"/>
                <w:vertAlign w:val="subscript"/>
              </w:rPr>
              <w:t>197</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J07AL02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(0,5 мл) у попередньо наповненому шприці; по 1 попередньо наповненому шприцу та одній відокремленій голці в індивідуальному чохлі у закритому пластиковому контейнері; по 1 пластиковому контейнері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Менюфекчуринг Бельгія НВ, Бельгія; Пфайзер Ірленд Фармасеутикалс Анлімітед Компані, Ірландія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Бельгія/ Ірландія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тексті маркування вторинної упаковки лікарського засобу у пункті 11, допущену при процедурі внесення змін у текст маркування первинної та вторинної упаковок (наказ від 13.03.2025 р. № 456), а саме: додано пропущену літеру «с» в назві міста виробника. </w:t>
              <w:br/>
              <w:t xml:space="preserve">ЗАТВЕРДЖЕНО: </w:t>
              <w:br/>
              <w:t xml:space="preserve">11. НАЙМЕНУВАННЯ І МІСЦЕЗНАХОДЖЕННЯ ВИРОБНИКА ТА/АБО ЗАЯВНИКА </w:t>
              <w:br/>
              <w:t xml:space="preserve">Виробник: </w:t>
              <w:br/>
              <w:t xml:space="preserve">Пфайзер Менюфекчуринг Бельгія НВ </w:t>
              <w:br/>
              <w:t xml:space="preserve">Місцезнаходження: </w:t>
              <w:br/>
              <w:t xml:space="preserve">Рейксвег 12, Пуурс-Сінт-Аманд, 2870, Бельгія. </w:t>
              <w:br/>
              <w:t xml:space="preserve">ЗАПРОПОНОВАНО: </w:t>
              <w:br/>
              <w:t xml:space="preserve">11. НАЙМЕНУВАННЯ І МІСЦЕЗНАХОДЖЕННЯ ВИРОБНИКА ТА/АБО ЗАЯВНИКА </w:t>
              <w:br/>
              <w:t xml:space="preserve">Виробник: </w:t>
              <w:br/>
              <w:t xml:space="preserve">Пфайзер Менюфекчуринг Бельгія НВ </w:t>
              <w:br/>
              <w:t xml:space="preserve">Місцезнаходження: </w:t>
              <w:br/>
              <w:t xml:space="preserve">Рейксвег 12, Пуурс-Сінт-Амандс, 2870, Бельгія. </w:t>
              <w:br/>
              <w:t>Зазначене виправлення відповідає матеріалам реєстраційного досьє.</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UA/15864/01/01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ПРІОРИКС™ / PRIORIX™ КОМБІНОВАНА ВАКЦИНА ДЛЯ ПРОФІЛАКТИКИ КОРУ, ЕПІДЕМІЧНОГО ПАРОТИТУ ТА КРАСНУХИ</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color w:val="000000"/>
                <w:sz w:val="16"/>
                <w:szCs w:val="16"/>
                <w:lang w:val="en-US"/>
              </w:rPr>
              <w:t>measles, combinations with mumps and rubella, live attenuated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вірусу</w:t>
            </w:r>
            <w:r>
              <w:rPr>
                <w:rFonts w:cs="Arial" w:ascii="Arial" w:hAnsi="Arial"/>
                <w:sz w:val="16"/>
                <w:szCs w:val="16"/>
                <w:lang w:val="en-US"/>
              </w:rPr>
              <w:t xml:space="preserve"> </w:t>
            </w:r>
            <w:r>
              <w:rPr>
                <w:rFonts w:cs="Arial" w:ascii="Arial" w:hAnsi="Arial"/>
                <w:sz w:val="16"/>
                <w:szCs w:val="16"/>
              </w:rPr>
              <w:t>кору</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Schwarz);</w:t>
              <w:br/>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епідемічного</w:t>
            </w:r>
            <w:r>
              <w:rPr>
                <w:rFonts w:cs="Arial" w:ascii="Arial" w:hAnsi="Arial"/>
                <w:sz w:val="16"/>
                <w:szCs w:val="16"/>
                <w:lang w:val="en-US"/>
              </w:rPr>
              <w:t xml:space="preserve"> </w:t>
            </w:r>
            <w:r>
              <w:rPr>
                <w:rFonts w:cs="Arial" w:ascii="Arial" w:hAnsi="Arial"/>
                <w:sz w:val="16"/>
                <w:szCs w:val="16"/>
              </w:rPr>
              <w:t>паротиту</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RIT 4385); </w:t>
              <w:br/>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краснухи</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Wistar RA 27/3)</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J07BD52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1 монодозовий флакон (1 доза) з ліофілізатом у комплекті з розчинником (вода для ін'єкцій) у попередньо наповненому шприці та двома голками в картонній коробці; 100 монодозових (1 доза) флаконів з ліофілізатом у комплекті з розчинником (вода для ін'єкцій) в ампулах № 100 в окремій упаковці; 1 мультидозовий флакон (2 дози) з ліофілізатом у комплекті з розчинником (вода для ін'єкцій) в ампулі; по 100 штук флаконів та ампул в окремих коробках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(Контроль якості розчинника в ампулах 2-х доз, випуск серій розчинника в ампулах для 1-ї та 2-х доз та шприцах. Випуск серії готового продукту); ГлаксоСмітКляйн Біолоджікалз, Франція (Маркування та пакування готового продукту, маркування та пакування розчинника в шприцах); ГлаксоСмітКляйн Біолоджікалз С.А., Бельгія (Маркування та пакування готового продукту, контроль якості готового продукту. Контроль якості розчинника для 1-ї та 2-х доз та шприцах. Маркування та пакування розчинника для 1-ї та 2-х доз та шприцах); Корікса Корпорейшн дба ГлаксоСмітКляйн Вакцинз, Сполучені Штати Америки (Формування, наповнення та ліофілізація вакцини);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Делфарм Тур, Франція (Виробництво розчинника в ампулах для 1-ї та 2-х доз, маркування та пакування розчинника в ампулах для 1-ї та 2-х доз, контроль якості розчинника в ампулах для 1-ї та 2-х доз);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rPr>
              <w:t>Бельгія/ Франція</w:t>
            </w:r>
            <w:r>
              <w:rPr>
                <w:rFonts w:cs="Arial" w:ascii="Arial" w:hAnsi="Arial"/>
                <w:color w:val="000000"/>
                <w:sz w:val="16"/>
                <w:szCs w:val="16"/>
                <w:lang w:val="ru-RU"/>
              </w:rPr>
              <w:t>/</w:t>
            </w:r>
            <w:r>
              <w:rPr>
                <w:rFonts w:cs="Arial" w:ascii="Arial" w:hAnsi="Arial"/>
                <w:color w:val="000000"/>
                <w:sz w:val="16"/>
                <w:szCs w:val="16"/>
              </w:rPr>
              <w:t xml:space="preserve"> Сполучені Штати Америки</w:t>
            </w:r>
            <w:r>
              <w:rPr>
                <w:rFonts w:cs="Arial" w:ascii="Arial" w:hAnsi="Arial"/>
                <w:color w:val="000000"/>
                <w:sz w:val="16"/>
                <w:szCs w:val="16"/>
                <w:lang w:val="ru-RU"/>
              </w:rPr>
              <w:t>/</w:t>
            </w:r>
            <w:r>
              <w:rPr>
                <w:rFonts w:cs="Arial" w:ascii="Arial" w:hAnsi="Arial"/>
                <w:color w:val="000000"/>
                <w:sz w:val="16"/>
                <w:szCs w:val="16"/>
              </w:rPr>
              <w:t xml:space="preserve"> 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"Кислотність або лужність".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"Хлориди".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"Сульфати".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"Солі амонію".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"Кальцій та магній".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незначного параметру, а саме показника "Нітрати" в процесі виробничого моніторингу в розподільному контурі води для ін'єкцій ("WFI loop level").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незначного параметру, а саме показника "Нітрати" в процесі виробничого моніторингу при QD ("Quality Decision tests performed during WFI formulation") для "bulk" води для ін'єкцій.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Видалення незначного параметру, а саме показника "Нітрати" в рутинному моніторингу виробничого процесу в розподільному контурі води для ін'єкцій ("WFI loop level").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(Б.II.б.5. (х) ІБ)</w:t>
              <w:br/>
              <w:t xml:space="preserve">Додавання незареєстрованих внутрішньотехнологічних випробувань, представлених на сайті Catalent для "bulk" води для ін'єкцій. </w:t>
              <w:br/>
              <w:t>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UA/13694/01/01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Measles, combinations with mumps, rubella and varicella, live attenuated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кору</w:t>
            </w:r>
            <w:r>
              <w:rPr>
                <w:rFonts w:cs="Arial" w:ascii="Arial" w:hAnsi="Arial"/>
                <w:sz w:val="16"/>
                <w:szCs w:val="16"/>
                <w:vertAlign w:val="superscript"/>
                <w:lang w:val="en-US"/>
              </w:rPr>
              <w:t>1</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Schwarz); </w:t>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епідемічного</w:t>
            </w:r>
            <w:r>
              <w:rPr>
                <w:rFonts w:cs="Arial" w:ascii="Arial" w:hAnsi="Arial"/>
                <w:sz w:val="16"/>
                <w:szCs w:val="16"/>
                <w:lang w:val="en-US"/>
              </w:rPr>
              <w:t xml:space="preserve"> </w:t>
            </w:r>
            <w:r>
              <w:rPr>
                <w:rFonts w:cs="Arial" w:ascii="Arial" w:hAnsi="Arial"/>
                <w:sz w:val="16"/>
                <w:szCs w:val="16"/>
              </w:rPr>
              <w:t>паротиту</w:t>
            </w:r>
            <w:r>
              <w:rPr>
                <w:rFonts w:cs="Arial" w:ascii="Arial" w:hAnsi="Arial"/>
                <w:sz w:val="16"/>
                <w:szCs w:val="16"/>
                <w:vertAlign w:val="superscript"/>
                <w:lang w:val="en-US"/>
              </w:rPr>
              <w:t>1</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RIT 4385,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походить</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штаму</w:t>
            </w:r>
            <w:r>
              <w:rPr>
                <w:rFonts w:cs="Arial" w:ascii="Arial" w:hAnsi="Arial"/>
                <w:sz w:val="16"/>
                <w:szCs w:val="16"/>
                <w:lang w:val="en-US"/>
              </w:rPr>
              <w:t xml:space="preserve"> Jeryl Lynn); </w:t>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краснухи</w:t>
            </w:r>
            <w:r>
              <w:rPr>
                <w:rFonts w:cs="Arial" w:ascii="Arial" w:hAnsi="Arial"/>
                <w:sz w:val="16"/>
                <w:szCs w:val="16"/>
                <w:vertAlign w:val="superscript"/>
                <w:lang w:val="en-US"/>
              </w:rPr>
              <w:t>2</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Wistar RA 27/3); </w:t>
            </w:r>
            <w:r>
              <w:rPr>
                <w:rFonts w:cs="Arial" w:ascii="Arial" w:hAnsi="Arial"/>
                <w:sz w:val="16"/>
                <w:szCs w:val="16"/>
              </w:rPr>
              <w:t>живий</w:t>
            </w:r>
            <w:r>
              <w:rPr>
                <w:rFonts w:cs="Arial" w:ascii="Arial" w:hAnsi="Arial"/>
                <w:sz w:val="16"/>
                <w:szCs w:val="16"/>
                <w:lang w:val="en-US"/>
              </w:rPr>
              <w:t xml:space="preserve"> </w:t>
            </w:r>
            <w:r>
              <w:rPr>
                <w:rFonts w:cs="Arial" w:ascii="Arial" w:hAnsi="Arial"/>
                <w:sz w:val="16"/>
                <w:szCs w:val="16"/>
              </w:rPr>
              <w:t>атенуйований</w:t>
            </w:r>
            <w:r>
              <w:rPr>
                <w:rFonts w:cs="Arial" w:ascii="Arial" w:hAnsi="Arial"/>
                <w:sz w:val="16"/>
                <w:szCs w:val="16"/>
                <w:lang w:val="en-US"/>
              </w:rPr>
              <w:t xml:space="preserve"> </w:t>
            </w:r>
            <w:r>
              <w:rPr>
                <w:rFonts w:cs="Arial" w:ascii="Arial" w:hAnsi="Arial"/>
                <w:sz w:val="16"/>
                <w:szCs w:val="16"/>
              </w:rPr>
              <w:t>вірус</w:t>
            </w:r>
            <w:r>
              <w:rPr>
                <w:rFonts w:cs="Arial" w:ascii="Arial" w:hAnsi="Arial"/>
                <w:sz w:val="16"/>
                <w:szCs w:val="16"/>
                <w:lang w:val="en-US"/>
              </w:rPr>
              <w:t xml:space="preserve"> </w:t>
            </w:r>
            <w:r>
              <w:rPr>
                <w:rFonts w:cs="Arial" w:ascii="Arial" w:hAnsi="Arial"/>
                <w:sz w:val="16"/>
                <w:szCs w:val="16"/>
              </w:rPr>
              <w:t>вітряної</w:t>
            </w:r>
            <w:r>
              <w:rPr>
                <w:rFonts w:cs="Arial" w:ascii="Arial" w:hAnsi="Arial"/>
                <w:sz w:val="16"/>
                <w:szCs w:val="16"/>
                <w:lang w:val="en-US"/>
              </w:rPr>
              <w:t xml:space="preserve"> </w:t>
            </w:r>
            <w:r>
              <w:rPr>
                <w:rFonts w:cs="Arial" w:ascii="Arial" w:hAnsi="Arial"/>
                <w:sz w:val="16"/>
                <w:szCs w:val="16"/>
              </w:rPr>
              <w:t>віспи</w:t>
            </w:r>
            <w:r>
              <w:rPr>
                <w:rFonts w:cs="Arial" w:ascii="Arial" w:hAnsi="Arial"/>
                <w:sz w:val="16"/>
                <w:szCs w:val="16"/>
                <w:vertAlign w:val="superscript"/>
                <w:lang w:val="en-US"/>
              </w:rPr>
              <w:t>2</w:t>
            </w:r>
            <w:r>
              <w:rPr>
                <w:rFonts w:cs="Arial" w:ascii="Arial" w:hAnsi="Arial"/>
                <w:sz w:val="16"/>
                <w:szCs w:val="16"/>
                <w:lang w:val="en-US"/>
              </w:rPr>
              <w:t xml:space="preserve"> (</w:t>
            </w:r>
            <w:r>
              <w:rPr>
                <w:rFonts w:cs="Arial" w:ascii="Arial" w:hAnsi="Arial"/>
                <w:sz w:val="16"/>
                <w:szCs w:val="16"/>
              </w:rPr>
              <w:t>штам</w:t>
            </w:r>
            <w:r>
              <w:rPr>
                <w:rFonts w:cs="Arial" w:ascii="Arial" w:hAnsi="Arial"/>
                <w:sz w:val="16"/>
                <w:szCs w:val="16"/>
                <w:lang w:val="en-US"/>
              </w:rPr>
              <w:t xml:space="preserve"> </w:t>
            </w:r>
            <w:r>
              <w:rPr>
                <w:rFonts w:cs="Arial" w:ascii="Arial" w:hAnsi="Arial"/>
                <w:sz w:val="16"/>
                <w:szCs w:val="16"/>
              </w:rPr>
              <w:t>ОКА</w:t>
            </w:r>
            <w:r>
              <w:rPr>
                <w:rFonts w:cs="Arial" w:ascii="Arial" w:hAnsi="Arial"/>
                <w:sz w:val="16"/>
                <w:szCs w:val="16"/>
                <w:lang w:val="en-US"/>
              </w:rPr>
              <w:t xml:space="preserve">) </w:t>
              <w:br/>
            </w:r>
            <w:r>
              <w:rPr>
                <w:rFonts w:cs="Arial" w:ascii="Arial" w:hAnsi="Arial"/>
                <w:i/>
                <w:sz w:val="16"/>
                <w:szCs w:val="16"/>
                <w:vertAlign w:val="superscript"/>
                <w:lang w:val="en-US"/>
              </w:rPr>
              <w:t xml:space="preserve">1 </w:t>
            </w:r>
            <w:r>
              <w:rPr>
                <w:rFonts w:cs="Arial" w:ascii="Arial" w:hAnsi="Arial"/>
                <w:i/>
                <w:sz w:val="16"/>
                <w:szCs w:val="16"/>
              </w:rPr>
              <w:t>отриманий</w:t>
            </w:r>
            <w:r>
              <w:rPr>
                <w:rFonts w:cs="Arial" w:ascii="Arial" w:hAnsi="Arial"/>
                <w:i/>
                <w:sz w:val="16"/>
                <w:szCs w:val="16"/>
                <w:lang w:val="en-US"/>
              </w:rPr>
              <w:t xml:space="preserve"> </w:t>
            </w:r>
            <w:r>
              <w:rPr>
                <w:rFonts w:cs="Arial" w:ascii="Arial" w:hAnsi="Arial"/>
                <w:i/>
                <w:sz w:val="16"/>
                <w:szCs w:val="16"/>
              </w:rPr>
              <w:t>шляхом</w:t>
            </w:r>
            <w:r>
              <w:rPr>
                <w:rFonts w:cs="Arial" w:ascii="Arial" w:hAnsi="Arial"/>
                <w:i/>
                <w:sz w:val="16"/>
                <w:szCs w:val="16"/>
                <w:lang w:val="en-US"/>
              </w:rPr>
              <w:t xml:space="preserve"> </w:t>
            </w:r>
            <w:r>
              <w:rPr>
                <w:rFonts w:cs="Arial" w:ascii="Arial" w:hAnsi="Arial"/>
                <w:i/>
                <w:sz w:val="16"/>
                <w:szCs w:val="16"/>
              </w:rPr>
              <w:t>розмноження</w:t>
            </w:r>
            <w:r>
              <w:rPr>
                <w:rFonts w:cs="Arial" w:ascii="Arial" w:hAnsi="Arial"/>
                <w:i/>
                <w:sz w:val="16"/>
                <w:szCs w:val="16"/>
                <w:lang w:val="en-US"/>
              </w:rPr>
              <w:t xml:space="preserve"> </w:t>
            </w:r>
            <w:r>
              <w:rPr>
                <w:rFonts w:cs="Arial" w:ascii="Arial" w:hAnsi="Arial"/>
                <w:i/>
                <w:sz w:val="16"/>
                <w:szCs w:val="16"/>
              </w:rPr>
              <w:t>в</w:t>
            </w:r>
            <w:r>
              <w:rPr>
                <w:rFonts w:cs="Arial" w:ascii="Arial" w:hAnsi="Arial"/>
                <w:i/>
                <w:sz w:val="16"/>
                <w:szCs w:val="16"/>
                <w:lang w:val="en-US"/>
              </w:rPr>
              <w:t xml:space="preserve"> </w:t>
            </w:r>
            <w:r>
              <w:rPr>
                <w:rFonts w:cs="Arial" w:ascii="Arial" w:hAnsi="Arial"/>
                <w:i/>
                <w:sz w:val="16"/>
                <w:szCs w:val="16"/>
              </w:rPr>
              <w:t>культурі</w:t>
            </w:r>
            <w:r>
              <w:rPr>
                <w:rFonts w:cs="Arial" w:ascii="Arial" w:hAnsi="Arial"/>
                <w:i/>
                <w:sz w:val="16"/>
                <w:szCs w:val="16"/>
                <w:lang w:val="en-US"/>
              </w:rPr>
              <w:t xml:space="preserve"> </w:t>
            </w:r>
            <w:r>
              <w:rPr>
                <w:rFonts w:cs="Arial" w:ascii="Arial" w:hAnsi="Arial"/>
                <w:i/>
                <w:sz w:val="16"/>
                <w:szCs w:val="16"/>
              </w:rPr>
              <w:t>клітин</w:t>
            </w:r>
            <w:r>
              <w:rPr>
                <w:rFonts w:cs="Arial" w:ascii="Arial" w:hAnsi="Arial"/>
                <w:i/>
                <w:sz w:val="16"/>
                <w:szCs w:val="16"/>
                <w:lang w:val="en-US"/>
              </w:rPr>
              <w:t xml:space="preserve"> </w:t>
            </w:r>
            <w:r>
              <w:rPr>
                <w:rFonts w:cs="Arial" w:ascii="Arial" w:hAnsi="Arial"/>
                <w:i/>
                <w:sz w:val="16"/>
                <w:szCs w:val="16"/>
              </w:rPr>
              <w:t>курячих</w:t>
            </w:r>
            <w:r>
              <w:rPr>
                <w:rFonts w:cs="Arial" w:ascii="Arial" w:hAnsi="Arial"/>
                <w:i/>
                <w:sz w:val="16"/>
                <w:szCs w:val="16"/>
                <w:lang w:val="en-US"/>
              </w:rPr>
              <w:t xml:space="preserve"> </w:t>
            </w:r>
            <w:r>
              <w:rPr>
                <w:rFonts w:cs="Arial" w:ascii="Arial" w:hAnsi="Arial"/>
                <w:i/>
                <w:sz w:val="16"/>
                <w:szCs w:val="16"/>
              </w:rPr>
              <w:t>ембріонів</w:t>
            </w:r>
            <w:r>
              <w:rPr>
                <w:rFonts w:cs="Arial" w:ascii="Arial" w:hAnsi="Arial"/>
                <w:i/>
                <w:sz w:val="16"/>
                <w:szCs w:val="16"/>
                <w:lang w:val="en-US"/>
              </w:rPr>
              <w:t xml:space="preserve">; </w:t>
              <w:br/>
            </w:r>
            <w:r>
              <w:rPr>
                <w:rFonts w:cs="Arial" w:ascii="Arial" w:hAnsi="Arial"/>
                <w:i/>
                <w:sz w:val="16"/>
                <w:szCs w:val="16"/>
                <w:vertAlign w:val="superscript"/>
                <w:lang w:val="en-US"/>
              </w:rPr>
              <w:t xml:space="preserve">2 </w:t>
            </w:r>
            <w:r>
              <w:rPr>
                <w:rFonts w:cs="Arial" w:ascii="Arial" w:hAnsi="Arial"/>
                <w:i/>
                <w:sz w:val="16"/>
                <w:szCs w:val="16"/>
              </w:rPr>
              <w:t>отриманий</w:t>
            </w:r>
            <w:r>
              <w:rPr>
                <w:rFonts w:cs="Arial" w:ascii="Arial" w:hAnsi="Arial"/>
                <w:i/>
                <w:sz w:val="16"/>
                <w:szCs w:val="16"/>
                <w:lang w:val="en-US"/>
              </w:rPr>
              <w:t xml:space="preserve"> </w:t>
            </w:r>
            <w:r>
              <w:rPr>
                <w:rFonts w:cs="Arial" w:ascii="Arial" w:hAnsi="Arial"/>
                <w:i/>
                <w:sz w:val="16"/>
                <w:szCs w:val="16"/>
              </w:rPr>
              <w:t>шляхом</w:t>
            </w:r>
            <w:r>
              <w:rPr>
                <w:rFonts w:cs="Arial" w:ascii="Arial" w:hAnsi="Arial"/>
                <w:i/>
                <w:sz w:val="16"/>
                <w:szCs w:val="16"/>
                <w:lang w:val="en-US"/>
              </w:rPr>
              <w:t xml:space="preserve"> </w:t>
            </w:r>
            <w:r>
              <w:rPr>
                <w:rFonts w:cs="Arial" w:ascii="Arial" w:hAnsi="Arial"/>
                <w:i/>
                <w:sz w:val="16"/>
                <w:szCs w:val="16"/>
              </w:rPr>
              <w:t>розмноження</w:t>
            </w:r>
            <w:r>
              <w:rPr>
                <w:rFonts w:cs="Arial" w:ascii="Arial" w:hAnsi="Arial"/>
                <w:i/>
                <w:sz w:val="16"/>
                <w:szCs w:val="16"/>
                <w:lang w:val="en-US"/>
              </w:rPr>
              <w:t xml:space="preserve"> </w:t>
            </w:r>
            <w:r>
              <w:rPr>
                <w:rFonts w:cs="Arial" w:ascii="Arial" w:hAnsi="Arial"/>
                <w:i/>
                <w:sz w:val="16"/>
                <w:szCs w:val="16"/>
              </w:rPr>
              <w:t>в</w:t>
            </w:r>
            <w:r>
              <w:rPr>
                <w:rFonts w:cs="Arial" w:ascii="Arial" w:hAnsi="Arial"/>
                <w:i/>
                <w:sz w:val="16"/>
                <w:szCs w:val="16"/>
                <w:lang w:val="en-US"/>
              </w:rPr>
              <w:t xml:space="preserve"> </w:t>
            </w:r>
            <w:r>
              <w:rPr>
                <w:rFonts w:cs="Arial" w:ascii="Arial" w:hAnsi="Arial"/>
                <w:i/>
                <w:sz w:val="16"/>
                <w:szCs w:val="16"/>
              </w:rPr>
              <w:t>диплоїдних</w:t>
            </w:r>
            <w:r>
              <w:rPr>
                <w:rFonts w:cs="Arial" w:ascii="Arial" w:hAnsi="Arial"/>
                <w:i/>
                <w:sz w:val="16"/>
                <w:szCs w:val="16"/>
                <w:lang w:val="en-US"/>
              </w:rPr>
              <w:t xml:space="preserve"> </w:t>
            </w:r>
            <w:r>
              <w:rPr>
                <w:rFonts w:cs="Arial" w:ascii="Arial" w:hAnsi="Arial"/>
                <w:i/>
                <w:sz w:val="16"/>
                <w:szCs w:val="16"/>
              </w:rPr>
              <w:t>клітинах</w:t>
            </w:r>
            <w:r>
              <w:rPr>
                <w:rFonts w:cs="Arial" w:ascii="Arial" w:hAnsi="Arial"/>
                <w:i/>
                <w:sz w:val="16"/>
                <w:szCs w:val="16"/>
                <w:lang w:val="en-US"/>
              </w:rPr>
              <w:t xml:space="preserve"> </w:t>
            </w:r>
            <w:r>
              <w:rPr>
                <w:rFonts w:cs="Arial" w:ascii="Arial" w:hAnsi="Arial"/>
                <w:i/>
                <w:sz w:val="16"/>
                <w:szCs w:val="16"/>
              </w:rPr>
              <w:t>людини</w:t>
            </w:r>
            <w:r>
              <w:rPr>
                <w:rFonts w:cs="Arial" w:ascii="Arial" w:hAnsi="Arial"/>
                <w:i/>
                <w:sz w:val="16"/>
                <w:szCs w:val="16"/>
                <w:lang w:val="en-US"/>
              </w:rPr>
              <w:t xml:space="preserve"> (MRC-5)</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J07BD54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w:t>
              <w:br/>
              <w:t>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w:t>
              <w:br/>
              <w:t>Делфарм Тур, Франція (Виробництво розчинника в ампулах, маркування та пакування розчинника в ампулах, контроль якості розчинника в ампулах);</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rPr>
              <w:t>Бельгія/ Франція</w:t>
            </w:r>
            <w:r>
              <w:rPr>
                <w:rFonts w:cs="Arial" w:ascii="Arial" w:hAnsi="Arial"/>
                <w:color w:val="000000"/>
                <w:sz w:val="16"/>
                <w:szCs w:val="16"/>
                <w:lang w:val="ru-RU"/>
              </w:rPr>
              <w:t>/</w:t>
            </w:r>
            <w:r>
              <w:rPr>
                <w:rFonts w:cs="Arial" w:ascii="Arial" w:hAnsi="Arial"/>
                <w:color w:val="000000"/>
                <w:sz w:val="16"/>
                <w:szCs w:val="16"/>
              </w:rPr>
              <w:t xml:space="preserve">  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"Кислотність або лужність".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"Хлориди".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"Сульфати".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"Солі амонію".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"Кальцій та магній".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незначного параметру, а саме показника "Нітрати" в процесі виробничого моніторингу в розподільному контурі води для ін'єкцій ("WFI loop level").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незначного параметру, а саме показника "Нітрати" в процесі виробничого моніторингу при QD ("Quality Decision tests performed during WFI formulation") для "bulk" води для ін'єкцій.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Видалення незначного параметру, а саме показника "Нітрати" в рутинному моніторингу виробничого процесу в розподільному контурі води для ін'єкцій ("WFI loop level").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Додавання незареєстрованих внутрішньотехнологічних випробувань, представлених на сайті Catalent для "bulk" води для ін'єкцій. </w:t>
              <w:br/>
              <w:t>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UA/16549/01/01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ПРОПОФОЛ КАБІ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propofol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N01AX10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10 мг/мл, по 20 мл в ампулі, по 5 ампул у пачці з картону;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затвердженому методі випробування за показником "Цілісність закриття контейнера", а саме скорочення кількості повторень випробувань з п'яти до одного на контейнер. Додатково було внесено редакційну зміну для перегляду опису методу для чіткості та видалення зайвої інформації без впливу на придатність методу.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UA/13233/01/01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ПРОПОФОЛ КАБІ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propofol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N01AX10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20 мг/мл,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затвердженому методі випробування за показником "Цілісність закриття контейнера", а саме скорочення кількості повторень випробувань з п'яти до одного на контейнер. Додатково було внесено редакційну зміну для перегляду опису методу для чіткості та видалення зайвої інформації без впливу на придатність методу.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UA/13233/01/02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ПРОПОФОЛ КАБІ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propofol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N01AX10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20 мг/мл;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(затверджено: CEP 2002-229-Rev 04; запропоновано: CEP 2002-229-Rev 05) для АФІ пропофол від затвердженого виробника СІ Гроуп, Інк., США (SI Group, Inc., 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UA/13233/01/02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ПРОПОФОЛ КАБІ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propofol</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пропофол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N01AX10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ін'єкцій або інфузій, 10 мг/мл; по 20 мл в ампулі; по 5 ампул у пачці з картону; по 50 мл у флаконі; по 50 мл у флаконі; по 1 флакону у пачці із картону; по 50 мл у флаконі; по 10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(затверджено: CEP 2002-229-Rev 04; запропоновано: CEP 2002-229-Rev 05) для АФІ пропофол від затвердженого виробника СІ Гроуп, Інк., США (SI Group, Inc., 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UA/13233/01/01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ПРОСТАН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G04CB01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3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фінастерид Chongqing Waycome Pharmaceutical Co., Ltd., Китай. Виробник що залишається (Hubei Gedian Humanwell Pharmaceutical Co., Ltd., China) виконує ті ж функції що й вилучений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UA/8262/01/01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ПРОСТАН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in bulk № 8000 у пакетах із плівки поліетиленової; по 1 пакету у контейнері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фінастерид Chongqing Waycome Pharmaceutical Co., Ltd., Китай. Виробник що залишається (Hubei Gedian Humanwell Pharmaceutical Co., Ltd., China) виконує ті ж функції що й вилучений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UA/15473/01/01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ПРОТАМІНУ СУЛЬФАТ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protamine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протаміну сульфат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V03AB14</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1000 MО/мл; по 5 мл у флаконі; по 5 флаконів в пачці з картону; по 10 мл у флаконі; по 1 флакону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"По виробництву інсулінів "ІНДАР"</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"По виробництву інсулінів "ІНДАР"</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альтернативного виробника субстанції субстанції «Біохем. Корпорейшен Тамагава Плант», Японія (затверджено: «Алпс Фармацеутікал Інд. Ко.Лтд.», Японiя; запропоновано: «Алпс Фармацеутікал Інд. Ко.Лтд.», Японiя; «Біохем. Корпорейшен Тамагава Плант», Японія)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UA/9616/01/01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РАНІТИДИНУ ГІДРОХЛОРИД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ranitidine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ранітидину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Галеос Лабс Лімітед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виробника АФІ Ранітидину гідрохлорид з SMS Lifesciences India Limited на Haleos Labs Limited, India та внесення незначних редакційних уточнень в адресу відповідно до нормативної документації фірми-виробника,без зміни місця виробництва.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UA/5483/01/01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РОАККУТАН®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D10BA01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ЧЕПЛАФАРМ Швейц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випробування контролю якості, випуск серії:</w:t>
              <w:br/>
              <w:t>Кетелент Джермані Ебербах ГмбХ, Німеччина; випробування контролю якості: Геліта АГ,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аналітичної методики «Розчинення» МКЯ ЛЗ. </w:t>
              <w:br/>
              <w:t>проєкт МКЯ ЛЗ (eCTD версія 0001) для дозування по 10 мг</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UA/2865/01/02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РОАККУТАН®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D10BA01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ЧЕПЛАФАРМ Швейц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випробування контролю якості, випуск серії:</w:t>
              <w:br/>
              <w:t>Кетелент Джермані Ебербах ГмбХ, Німеччина; випробування контролю якості: Геліта АГ, 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аналітичної методики «Розчинення» МКЯ ЛЗ. </w:t>
              <w:br/>
              <w:t>проєкт МКЯ ЛЗ (eCTD версія 0001) для дозування по 20 мг</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UA/2865/01/01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РОЗІСТЕР® ДУО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C10BA06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у зв’язку із пропущеною приміткою до показника «Мікробіологічна чистота» Специфікації ГЛЗ на момент випуску, що даний показник не виконується регулярно, як це зазначено в матеріалах виробника. Помилка допущена при перенесенні та перекладі інформації з реєстраційного досьє (розділ 3.2.Р.5.1. Специфікація). Зазначене виправлення відповідає матеріалам реєстраційного досьє, які представлені в архіві (розділ 3.2.Р.5.1. Специфікація).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UA/20719/01/04</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РОЗІСТЕР® ДУО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C10BA06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у зв’язку із пропущеною приміткою до показника «Мікробіологічна чистота» Специфікації ГЛЗ на момент випуску, що даний показник не виконується регулярно, як це зазначено в матеріалах виробника. Помилка допущена при перенесенні та перекладі інформації з реєстраційного досьє (розділ 3.2.Р.5.1. Специфікація). Зазначене виправлення відповідає матеріалам реєстраційного досьє, які представлені в архіві (розділ 3.2.Р.5.1. Специфікація).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UA/20719/01/02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РОЗІСТЕР® ДУО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C10BA06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у зв’язку із пропущеною приміткою до показника «Мікробіологічна чистота» Специфікації ГЛЗ на момент випуску, що даний показник не виконується регулярно, як це зазначено в матеріалах виробника. Помилка допущена при перенесенні та перекладі інформації з реєстраційного досьє (розділ 3.2.Р.5.1. Специфікація). Зазначене виправлення відповідає матеріалам реєстраційного досьє, які представлені в архіві (розділ 3.2.Р.5.1. Специфікація).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UA/20719/01/03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РОЗІСТЕР® ДУО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розувастатин (у вигляді кальцію розувастатину) та езетиміб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C10BA06</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мг/10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Елпен Фармасьютікал Ко. Інк.</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у зв’язку із пропущеною приміткою до показника «Мікробіологічна чистота» Специфікації ГЛЗ на момент випуску, що даний показник не виконується регулярно, як це зазначено в матеріалах виробника. Помилка допущена при перенесенні та перекладі інформації з реєстраційного досьє (розділ 3.2.Р.5.1. Специфікація). Зазначене виправлення відповідає матеріалам реєстраційного досьє, які представлені в архіві (розділ 3.2.Р.5.1. Специфікація).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UA/20719/01/01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СЕДАВІТ®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rPr/>
            </w:pPr>
            <w:r>
              <w:rPr>
                <w:rFonts w:cs="Arial" w:ascii="Arial" w:hAnsi="Arial"/>
                <w:sz w:val="16"/>
                <w:szCs w:val="16"/>
                <w:lang w:val="uk-UA"/>
              </w:rPr>
              <w:t xml:space="preserve">Седавіт® екстракт густий*, вітамін В6 (піридоксину гідрохлорид), вітамін РР (нікотинамід); </w:t>
              <w:br/>
              <w:t xml:space="preserve">*Седавіт® екстракт густий містить: флавоноїди, екстраговані етанолом 35 % із суміші: кореневищ з коренями валеріани (2 частини), плодів глоду (2 частини), трави звіробою </w:t>
            </w:r>
            <w:r>
              <w:rPr>
                <w:rFonts w:cs="Arial" w:ascii="Arial" w:hAnsi="Arial"/>
                <w:sz w:val="16"/>
                <w:szCs w:val="16"/>
              </w:rPr>
              <w:t>(1 частина), листя м’яти перцевої (2 частини), шишок хмелю (2 частини)</w:t>
            </w:r>
          </w:p>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N05CM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2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терміну придатності для АФІ Седавіт® екстракт густий з 1 до 2 років на основі результатів досліджень у реальному часі.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UA/7821/01/01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СИМВАСТАТИН 20 АНАНТА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C10AA01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Марксанс Фарма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 "Взаємодія з іншими лікарськими засобами та інші види взаємодій" відповідно до оновленої інформації з безпеки діючої речовини. Введення змін протягом 3-х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2.0 Зміни внесено до частин: І «Загальна інформація», V «Заходи з мінімізації ризиків», </w:t>
              <w:br/>
              <w:t xml:space="preserve">VI «Резюме плану управління ризиками» VII «Додатки» у зв’язку із оновленням розділу "Взаємодія з іншими лікарськими засобами та інші види взаємодій" інструкції для медичного застосування підзвітного лікарського засобу, відповідно до інформації з безпеки діючої речовини симвастатин (simvastatin), відповідно до рекомендацій PRAC. Резюме плану управління ризиками версія 2.0 додається.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UA/14019/01/02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СИМВАСТАТИН 40 АНАНТА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C10AA01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Марксанс Фарма Лтд.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 "Взаємодія з іншими лікарськими засобами та інші види взаємодій" відповідно до оновленої інформації з безпеки діючої речовини. Введення змін протягом 3-х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2.0 Зміни внесено до частин: І «Загальна інформація», V «Заходи з мінімізації ризиків», </w:t>
              <w:br/>
              <w:t xml:space="preserve">VI «Резюме плану управління ризиками» VII «Додатки» у зв’язку із оновленням розділу "Взаємодія з іншими лікарськими засобами та інші види взаємодій" інструкції для медичного застосування підзвітного лікарського засобу, відповідно до інформації з безпеки діючої речовини симвастатин (simvastatin), відповідно до рекомендацій PRAC. Резюме плану управління ризиками версія 2.0 додається.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UA/14019/01/03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СИНУПРЕТ®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висушені лікарські рослини у вигляді порошку: кореня горечавки (Rаdіх Gеntіаnае), квіток первоцвіту з чашечкою (Flоrеs Рrіmulае сum Саlyсіbus), трави щавлю (Неrba Rumісіs), квіток бузини (Flоrеs Sаmbuсі), трави вербени (Неrbа Vеrbеnае)</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R05X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Біонорика СЕ</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jc w:val="center"/>
              <w:rPr>
                <w:rFonts w:ascii="Arial" w:hAnsi="Arial" w:cs="Arial"/>
                <w:color w:val="000000"/>
                <w:sz w:val="16"/>
                <w:szCs w:val="16"/>
              </w:rPr>
            </w:pPr>
            <w:r>
              <w:rPr>
                <w:rFonts w:cs="Arial" w:ascii="Arial" w:hAnsi="Arial"/>
                <w:color w:val="000000"/>
                <w:sz w:val="16"/>
                <w:szCs w:val="16"/>
              </w:rPr>
              <w:t>первинне та вторинне пакування, контроль та випуск серії:</w:t>
            </w:r>
          </w:p>
          <w:p>
            <w:pPr>
              <w:pStyle w:val="Normal"/>
              <w:jc w:val="center"/>
              <w:rPr>
                <w:rFonts w:ascii="Arial" w:hAnsi="Arial" w:cs="Arial"/>
                <w:color w:val="000000"/>
                <w:sz w:val="16"/>
                <w:szCs w:val="16"/>
              </w:rPr>
            </w:pPr>
            <w:r>
              <w:rPr>
                <w:rFonts w:cs="Arial" w:ascii="Arial" w:hAnsi="Arial"/>
                <w:color w:val="000000"/>
                <w:sz w:val="16"/>
                <w:szCs w:val="16"/>
              </w:rPr>
              <w:t>Біонорика СЕ, Німеччина;</w:t>
            </w:r>
          </w:p>
          <w:p>
            <w:pPr>
              <w:pStyle w:val="Normal"/>
              <w:jc w:val="center"/>
              <w:rPr>
                <w:rFonts w:ascii="Arial" w:hAnsi="Arial" w:cs="Arial"/>
                <w:color w:val="000000"/>
                <w:sz w:val="16"/>
                <w:szCs w:val="16"/>
              </w:rPr>
            </w:pPr>
            <w:r>
              <w:rPr>
                <w:rFonts w:cs="Arial" w:ascii="Arial" w:hAnsi="Arial"/>
                <w:color w:val="000000"/>
                <w:sz w:val="16"/>
                <w:szCs w:val="16"/>
              </w:rPr>
              <w:t>Виробництво in-bulk:</w:t>
            </w:r>
          </w:p>
          <w:p>
            <w:pPr>
              <w:pStyle w:val="Normal"/>
              <w:jc w:val="center"/>
              <w:rPr>
                <w:rFonts w:ascii="Arial" w:hAnsi="Arial" w:cs="Arial"/>
                <w:color w:val="000000"/>
                <w:sz w:val="16"/>
                <w:szCs w:val="16"/>
              </w:rPr>
            </w:pPr>
            <w:r>
              <w:rPr>
                <w:rFonts w:cs="Arial" w:ascii="Arial" w:hAnsi="Arial"/>
                <w:color w:val="000000"/>
                <w:sz w:val="16"/>
                <w:szCs w:val="16"/>
              </w:rPr>
              <w:t>Роттендорф Фарма ГмбХ, Німеччина;</w:t>
            </w:r>
          </w:p>
          <w:p>
            <w:pPr>
              <w:pStyle w:val="Normal"/>
              <w:jc w:val="center"/>
              <w:rPr>
                <w:rFonts w:ascii="Arial" w:hAnsi="Arial" w:cs="Arial"/>
                <w:color w:val="000000"/>
                <w:sz w:val="16"/>
                <w:szCs w:val="16"/>
              </w:rPr>
            </w:pPr>
            <w:r>
              <w:rPr>
                <w:rFonts w:cs="Arial" w:ascii="Arial" w:hAnsi="Arial"/>
                <w:color w:val="000000"/>
                <w:sz w:val="16"/>
                <w:szCs w:val="16"/>
              </w:rPr>
              <w:t>Вівельхове ГмбХ, Німеччина;</w:t>
            </w:r>
          </w:p>
          <w:p>
            <w:pPr>
              <w:pStyle w:val="Normal"/>
              <w:jc w:val="center"/>
              <w:rPr>
                <w:rFonts w:ascii="Arial" w:hAnsi="Arial" w:cs="Arial"/>
                <w:color w:val="000000"/>
                <w:sz w:val="16"/>
                <w:szCs w:val="16"/>
              </w:rPr>
            </w:pPr>
            <w:r>
              <w:rPr>
                <w:rFonts w:cs="Arial" w:ascii="Arial" w:hAnsi="Arial"/>
                <w:color w:val="000000"/>
                <w:sz w:val="16"/>
                <w:szCs w:val="16"/>
              </w:rPr>
              <w:t>Ломафарм ГмбХ, Німеччина;</w:t>
            </w:r>
          </w:p>
          <w:p>
            <w:pPr>
              <w:pStyle w:val="Normal"/>
              <w:jc w:val="center"/>
              <w:rPr>
                <w:rFonts w:ascii="Arial" w:hAnsi="Arial" w:cs="Arial"/>
                <w:color w:val="000000"/>
                <w:sz w:val="16"/>
                <w:szCs w:val="16"/>
              </w:rPr>
            </w:pPr>
            <w:r>
              <w:rPr>
                <w:rFonts w:cs="Arial" w:ascii="Arial" w:hAnsi="Arial"/>
                <w:color w:val="000000"/>
                <w:sz w:val="16"/>
                <w:szCs w:val="16"/>
              </w:rPr>
              <w:t>первинне та вторинне пакування:</w:t>
            </w:r>
          </w:p>
          <w:p>
            <w:pPr>
              <w:pStyle w:val="Normal"/>
              <w:jc w:val="center"/>
              <w:rPr>
                <w:rFonts w:ascii="Arial" w:hAnsi="Arial" w:cs="Arial"/>
                <w:color w:val="000000"/>
                <w:sz w:val="16"/>
                <w:szCs w:val="16"/>
              </w:rPr>
            </w:pPr>
            <w:r>
              <w:rPr>
                <w:rFonts w:cs="Arial" w:ascii="Arial" w:hAnsi="Arial"/>
                <w:color w:val="000000"/>
                <w:sz w:val="16"/>
                <w:szCs w:val="16"/>
              </w:rPr>
              <w:t>Роттендорф Фарма ГмбХ, Німеччина;</w:t>
            </w:r>
          </w:p>
          <w:p>
            <w:pPr>
              <w:pStyle w:val="Normal"/>
              <w:jc w:val="center"/>
              <w:rPr>
                <w:rFonts w:ascii="Arial" w:hAnsi="Arial" w:cs="Arial"/>
                <w:color w:val="000000"/>
                <w:sz w:val="16"/>
                <w:szCs w:val="16"/>
              </w:rPr>
            </w:pPr>
            <w:r>
              <w:rPr>
                <w:rFonts w:cs="Arial" w:ascii="Arial" w:hAnsi="Arial"/>
                <w:color w:val="000000"/>
                <w:sz w:val="16"/>
                <w:szCs w:val="16"/>
              </w:rPr>
              <w:t>Вівельхове ГмбХ, Німеччина;</w:t>
            </w:r>
          </w:p>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br/>
              <w:t xml:space="preserve">- Деякі параметри у специфікації розчину базового бутильованого метакрилатного кополімеру були визнані застарілими і тому вилучені з пропонованої специфікації, а саме: показник «Розчинність». Введення змін протягом 6-ти місяців після затвердження. </w:t>
              <w:br/>
              <w:t xml:space="preserve">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br/>
              <w:t xml:space="preserve">- Деякі параметри у специфікації розчину базового бутильованого метакрилатного кополімеру були визнані застарілими і тому вилучені з пропонованої специфікації, а саме: показник «Важкі метали». Введення змін протягом 6-ти місяців після затвердження. </w:t>
              <w:br/>
              <w:t xml:space="preserve">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br/>
              <w:t>- Деякі параметри у специфікації розчину базового бутильованого метакрилатного кополімеру були визнані застарілими і тому вилучені з пропонованої специфікації, а саме: показник «Значення лугу».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Деякі параметри у специфікації розчину базового бутильованого метакрилатного кополімеру були визнані застарілими і тому вилучені з пропонованої специфікації, а саме: показник «Зберігання». Введення змін протягом 6-ти місяців після затвердження.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Специфікація суміші допоміжних речовин на основі розчину бутильованого метакрилатного кополімеру «EUDRAGIT® E12,5», що використовується для нанесення проміжного плівкового покриття перед формуванням фінальної оболонки Синупрет, таблетки, видана постачальником Evonik Operations GmbH, була замінена специфікацією, виданою компанією Bionorica SE.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Критерій прийнятності для параметра «Поглинання» у специфікації суміші допоміжних речовин «Розчин основного бутильованого метакрилатного кополімеру» для ГЛЗ, було адаптовано відповідно до монографії Європейської фармакопеї 1975 року «Основний бутильований метакрилатний кополімер».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Інструкція для медичного застосування лікарського засобу (eCTD версія 0002) Введення змін протягом 6-ти місяців після затвердження. Зміни І типу - Зміни з якості. Готовий лікарський засіб. (інші зміни) - Приведення Методів контролю якості лікарського засобу відповідно до державної мови, а саме української. Оновлення методів контролю якості лікарського засобу.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Компанія Lomapharm GmbH була додана як додатковий виробничий майданчик in-bulk для виготовлення препарату. Введення змін протягом 6-ти місяців після затвердження. Оновлена версія МКЯ ГЛЗ (eCTD 0003). Зміни II типу - Зміни з якості. Зміни до реєстраційного посвідчення внаслідок інших регуляторних процедур (інші зміни) - Зміни Модуля 3 реєстраційного досьє (Зміни в S-частині та P-частині) подані із метою гармонізації Модуля 3 із досьє виробника.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UA/4373/01/01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СОЛПАДЕЇН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гемігідрат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розчинні; по 2 таблетки у стрипі; по 6 стрипів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ЮК Трейдінг Лімітед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Айрленд Дангарван Лімітед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"Побічні реакції" відповідно до оновленої інформації щодо безпеки застосування діючої речовини згідно з рекомендацією PRAC.</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588"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UA/4740/01/01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СОЛПАЛГІН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хемігідрат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10 капсул у блістері; по 1 блістеру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"Побічні реакції" відповідно до оновленої інформації з безпеки застосування діючої речовини лікарського засобу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UA/12311/01/01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СПАЗМОВАКС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Phloroglucinol </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флороглюцинолу дигідрат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A03AX12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40 мг/ 4 мл по 4 мл в ампулі; по 10 ампул у контурній чарунковій упаковці; по 1 контурній чарунковій упаковці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ШАРПЕР С.П.А.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ДОППЕЛЬ ФАРМАЦЕУТІЦІ С.Р.Л.</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br/>
              <w:t xml:space="preserve">Діюча редакція: Подання регулярно оновлюваного звіту з безпеки з періодичністю відповідно до підпункту 1 пункту 2 глави 3 розділу V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Пропонована редакція: </w:t>
              <w:br/>
              <w:t xml:space="preserve">Частота подання регулярно оновлюваного звіту з безпеки 3 роки. Кінцева дата для включення даних до регулярно оновлюваного звіту з безпеки – 30.09.2027. Дата подання - 29.12.2027.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UA/20005/01/01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СПАЗМОВАКС ОРО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флороглюцинолу дигідрат, 1,3,5-триметокcибензол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A03AX12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ШАРПЕР С.П.А.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ДОППЕЛЬ ФАРМАЦЕУТІЦІ С.Р.Л.</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w:t>
              <w:br/>
              <w:t>Діюча редакція: Подання регулярно оновлюваного звіту з безпеки з періодичністю відповідно до підпункту 1 пункту 2 глави 3 розділу V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w:t>
              <w:br/>
              <w:t>Пропонована редакція: Частота подання регулярно оновлюваного звіту з безпеки 3 роки.</w:t>
              <w:br/>
              <w:t>Кінцева дата для включення даних до регулярно оновлюваного звіту з безпеки – 30.09.2027</w:t>
              <w:br/>
              <w:t>Дата подання - 29.12.2027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UA/20406/01/01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СУМЕТРОЛІМ®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sulfamethoxazole and trimethoprim</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сульфаметоксазол та триметоприм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J01EE01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мг/80 мг;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"Побічні реакції" відповідно до оновленої інформації щодо безпеки застосування діючих речовин. Термін введення змін -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UA/3194/02/01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ТАНТОРИС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Benzydamine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30 мл у флаконі зі спрей-насосом та насадкою поворотною, по 1 флакону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«Конарк Інтелмед»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до розділу «Застосування у період вагітності або годування груддю» відповідно до інформації референтного лікарського засобу Тантум Верде® , спрей для ротової порожнини.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UA/20815/01/01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ТЕБАНТИН®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gabapentin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N02BF01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5 або 10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2011-330-Rev 05 від затвердженого виробника Hikal Limited для діючої речовини габапентин в зв’язку зі зміною ліміту для показника метанол (затверджено: CEP 2011-330-Rev 04 метанол: не більше 250 ppm; запропоновано: CEP 2011-330-Rev 05 метанол: не більше 500 ppm;).</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UA/3421/01/02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ТЕЛМІСТА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 мг; по 7 таблеток у блістері; по 2, 4 або 8 блістерів у картонній коробці; по 10 таблеток у блістері; по 3 або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та випуск серії:</w:t>
              <w:br/>
              <w:t>КРКА, д.д., Ново место, Словенія;</w:t>
              <w:br/>
              <w:t>виробництво "in bulk", первинне та вторинне пакування, контроль та випуск серії:</w:t>
              <w:br/>
              <w:t>КРКА Польща Сп.з о.о., Польща;</w:t>
              <w:br/>
              <w:t>контроль серії:</w:t>
              <w:br/>
              <w:t xml:space="preserve">Лабена д.о.о., Словенія; </w:t>
              <w:br/>
              <w:t>контроль серії:</w:t>
              <w:br/>
              <w:t>Нешнел Лебораторі ов Хелс Енвайронмент Енд Фуд (НЛЗОХ), Словенія</w:t>
              <w:br/>
              <w:t xml:space="preserve">контроль серії: </w:t>
              <w:br/>
              <w:t>Кемілаб д.о.о., Словенія;</w:t>
              <w:br/>
              <w:t>виробництво «in bulk», первинне та вторинне пакування:</w:t>
              <w:br/>
              <w:t>Лаурус Лабс Лімітед, 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 Польща/ 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UA/13210/01/02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ТЕЛМІСТА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80 мг; по 7 таблеток у блістері; по 2, 4 або 8 блістерів у картонній коробці; по 10 таблеток у блістері; по 3 або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та випуск серії:</w:t>
              <w:br/>
              <w:t>КРКА, д.д., Ново место, Словенія;</w:t>
              <w:br/>
              <w:t>виробництво "in bulk", первинне та вторинне пакування, контроль та випуск серії:</w:t>
              <w:br/>
              <w:t>КРКА Польща Сп.з о.о., Польща;</w:t>
              <w:br/>
              <w:t>контроль серії:</w:t>
              <w:br/>
              <w:t xml:space="preserve">Лабена д.о.о., Словенія; </w:t>
              <w:br/>
              <w:t>контроль серії:</w:t>
              <w:br/>
              <w:t>Нешнел Лебораторі ов Хелс Енвайронмент Енд Фуд (НЛЗОХ), Словенія</w:t>
              <w:br/>
              <w:t xml:space="preserve">контроль серії: </w:t>
              <w:br/>
              <w:t>Кемілаб д.о.о., Словенія;</w:t>
              <w:br/>
              <w:t>виробництво «in bulk», первинне та вторинне пакування:</w:t>
              <w:br/>
              <w:t>Лаурус Лабс Лімітед, 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 Польща/ 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UA/13210/01/03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ТЕЛПРЕС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в розділ "Побічні реакції" відповідно до оновленої інформації з безпеки застосування діючої речовини лікарського засобу.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UA/15893/01/02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ТЕЛПРЕС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80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в розділ "Побічні реакції" відповідно до оновленої інформації з безпеки застосування діючої речовини лікарського засобу.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UA/15893/01/03</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ТЕЛПРЕС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C09CA07</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2 або по 7 блістерів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випуск серії: ЛАБОРАТОРІОС ЛІКОНСА, С.А., Іспанія; Контроль якості: ЛАБОРАТОРІО ЕЧЕВАРНЕ, C.А., Іспанія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в розділ "Побічні реакції" відповідно до оновленої інформації з безпеки застосування діючої речовини лікарського засобу.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UA/15893/01/01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ТЕРМІДОЛ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М01АЕ01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1 або по 3 блістери у пачці; по 12 капсул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(затверджено: R1-CEP 2002-099-Rev 07; запропоновано: CEP 2002-099-Rev 08) для АФІ Ібупрофен від вже затвердженого виробника "Hubei Biocause Heilen Pharmaceutical Co, Ltd.", Китай.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UA/18326/01/01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ТЕРМІДОЛ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М01АЕ01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3 блістери у пачці; по 12 капсул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(затверджено: R1-CEP 2002-099-Rev 07; запропоновано: CEP 2002-099-Rev 08) для АФІ Ібупрофен від вже затвердженого виробника "Hubei Biocause Heilen Pharmaceutical Co, Ltd.", Китай.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UA/18326/01/02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ТИМАЛІН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сухий очищений екстракт тимусу (вилочкової залози) великої рогатої худоби</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L03AX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не менше 1,5 мг; 5 флаконів з ліофілізатом у блістері; по 2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1576 від 13.10.2026 в процесі внесення змін</w:t>
            </w:r>
            <w:r>
              <w:rPr>
                <w:rFonts w:cs="Arial" w:ascii="Arial" w:hAnsi="Arial"/>
                <w:color w:val="000000"/>
                <w:sz w:val="16"/>
                <w:szCs w:val="16"/>
              </w:rPr>
              <w:t xml:space="preserve"> (зазначення терміну введення змін) - Зміни І типу - Зміни з якості. Готовий лікарський засіб. Контроль готового лікарського засобу (інші зміни) - Вилучення інформації щодо кількості препарату в 1 флаконі в розділі «Упаковка» методів контролю якості. Зміни внесено в інструкцію для медичного застосування лікарського засобу до розділу "Упаковка". Термін введення змін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"Спосіб застосування та дози" (для зручності застосування лікарського засобу змінено одиниці вимірювання доз з міліграм на мілілітри). </w:t>
            </w:r>
            <w:r>
              <w:rPr>
                <w:rFonts w:cs="Arial" w:ascii="Arial" w:hAnsi="Arial"/>
                <w:b/>
                <w:color w:val="000000"/>
                <w:sz w:val="16"/>
                <w:szCs w:val="16"/>
              </w:rPr>
              <w:t>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UA/2989/01/01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УБІХІНОН КОМПОЗИТУМ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Acidum acetylsalicylicum D10, Acidum alpha-liponicum D8, Acidum ascorbicum D6, Acidum sarcolacticum D6, Adenosinum triphosphoricum D10, Anthrachinonum D10, Coenzym A D10, Colchicum аutumnale D4, Conium maculatum D4, Galium aparine D6, Histaminum D10, Hydrastis canadensis D4, Hydrochinonum D8, Magnesium gluconicum D10, Manganum phosphoricum D8, Nadidum D10, Naphthochinonum D10, Natrium diethyloxalaceticum D8, Natrium riboflavinum phosphoricum D6, Nicotinamidum D6, p-Benzochinonum D10, Podophyllum peltatum D4, Pyridoxinum hydrochloricum D6, Sulfur D8, Thiaminum hydrochloricum D6, Trichinoylum D10, Ubidecarenonum D10, Vaccinium myrtillus D4</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2,2 мл в ампулі; по 5 ампул у контурній чарунковій упаковці; по 1 контурній чарунковій упаковці в коробці з картону; по 2,2 мл в ампулі; по 5 ампул у контурній чарунковій упаковці; по 2 контурні чарункові упаковки в коробці з картону; по 2,2 мл в ампулі; по 5 ампул у контурній чарунковій упаковці; по 20 контурних чарункових упаковок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аналізу Histaminum DIL D1 за показником «Кількісне визначення» із фотометрії (Ph. Eur. 2.2.25) на титриметричний метод, описаний у монографії Європейської Фармакопеї на вихідну сировину Histaminum (Ph. Eur. 2.2.20).</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UA/0018/01/01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УРСОВАЛ®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урсодеоксихолієва кислота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A05AA02, A05B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10 капсул у блістері, по 5 або 10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Зазначення коректного розміру серії у розділі 3.2.Р.3.2.Склад на серію , а саме виправлення редакційної помилки у зазначенні комплектації упаковки лікарського засобу – приведення зазначеної інформації у відповідність до фактично затвердженої кількості блістерів у пачці. Затверджено: 3.2.Р.3.2. Склад на серію Теоретичний об’єм серії складає 5,0 кг або 15,15 тис. капсул, або 303 уп. № 5, або 151 уп. № 10. Теоретичний об’єм серії складає 25,0 кг або 75,757 тис. капсул, або 1515 уп. № 5, або 757 уп. № 10. Запропоновано: 3.2.Р.3.2. Склад на серію Теоретичний об’єм серії складає 5,0 кг або 15,15 тис. капсул, або 303 уп. по 5 блістерів у пачці, або 151 уп. по 10 блістерів у пачці Теоретичний об’єм серії складає 25,0 кг або 75,757 тис. капсул, або 1515 уп. по 5 блістерів у пачці, або 757 уп. по 10 блістерів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UA/20824/01/01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УРСОСАН®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урсодеоксихолева кислота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A05AA02, A05B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10 капсул у блістері; по 1 або 5,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та випуск серії:</w:t>
              <w:br/>
              <w:t>ПРО.МЕД.ЦС Прага а.с., Чеська Республіка;</w:t>
              <w:br/>
              <w:br/>
              <w:t>первинне і вторинне пакування:</w:t>
              <w:br/>
              <w:t xml:space="preserve">КООФАРМА с.р.о., Чеська Республіка; </w:t>
              <w:br/>
              <w:br/>
              <w:t>контроль якості:</w:t>
              <w:br/>
              <w:t>АЛС Чеська Республіка, с.р.о., Чеська Республiка;</w:t>
              <w:br/>
              <w:br/>
              <w:t>первинне та вторинне пакування, виробництво "in bulk", контроль серії:</w:t>
              <w:br/>
              <w:t>Санека Фармасьютикалз а.с., Словацька Республіка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br/>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2001-245 Rev 07 (затверджено: R1-CEP 2001-245 Rev 06) для АФІ урсодеоксихолевої кислоти від уже затвердженого виробника International Chemical Entity Japan Co., Ltd., Японія.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1999-047-Rev 10(затверджено: R1-CEP 1999-047-Rev 09) для АФІ урсодеоксихолевої кислоти від уже затвердженого виробника ICE S.p.A., Basaluzzo, Італія. Введення змін протягом 6-ти місяців після затвердження.</w:t>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СВУС Фарма а.с., Чеська Республіка, відповідальної за первинне і вторинне пакування.</w:t>
              <w:br/>
              <w:t>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ГЕ-сертифікатів відповідності Європейській фармакопеї R1-CEP 2008-137-Rev 01 та R1-CEP 2000-027-Rev 02 допоміжної речовини желатин виробництва SUHEUNG CO., LTD., Korea та SUHEUNG VIETNAM CO., LTD., Vietnam.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ГЕ-сертифіката відповідності Європейській фармакопеї R1-CEP 2008-048-Rev 00 для допоміжної речовини желатин від затвердженого виробника LONZA LTD, Switzerland.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ГЕ-сертифіката відповідності Європейській фармакопеї R1-CEP 2003-261-Rev 01 для допоміжної речовини желатин від затвердженого виробника SUHEUNG CO., LTD., Korea.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ГЕ-сертифіката відповідності Європейській фармакопеї R1-CEP 2015-138-Rev 00 для допоміжної речовини желатин від затвердженого виробника SUHEUNG CO., LTD., Korea.</w:t>
              <w:br/>
              <w:t>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ГЕ-сертифіката відповідності Європейській фармакопеї R1-CEP 2014-280-Rev 01 для допоміжної речовини желатин від затвердженого виробника SUHEUNG CO., LTD., Korea.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ГЕ-сертифіката відповідності Європейській фармакопеї CEP 2000-045-Rev 06 (попередня версія R1-CEP 2000-045-Rev 04) від вже затвердженого виробника SUHEUNG VIETNAM CO., LTD., Vietnam для допоміжної речовини желатин.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ГЕ-сертифіката відповідності Європейській фармакопеї R1-CEP 2000-029-Rev 06 (попередня версія R1-CEP 2000-029-Rev 05) від вже затвердженого виробника SUHEUNG VIETNAM CO., LTD., Vietnam для допоміжної речовини желатин.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 викладення тексту методів контролю якості лікарського засобу державною мовою згідно сучасних вимог. Введення змін протягом 6-ти місяців після затвердження. Проект оновлених МКЯ ЛЗ (0004)</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UA/3636/01/01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ФАМЦИКЛОВІР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famciclovir</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фамцикловір</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Шанхай Фарма Груп Чангжоу Коні Фармасьютікал Ко., Лтд.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показника))-Вилучення показника "Важкі метали" у зв'язку з оновленням документації виробника АФІ Shanghai Pharma Group Changzhou Kony Pharmaceutical Co., Ltd, Китай.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UA/18275/01/01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ФЛАВОВІР®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pacing w:before="0" w:after="240"/>
              <w:rPr>
                <w:rFonts w:ascii="Arial" w:hAnsi="Arial" w:cs="Arial"/>
                <w:color w:val="000000"/>
                <w:sz w:val="16"/>
                <w:szCs w:val="16"/>
              </w:rPr>
            </w:pPr>
            <w:r>
              <w:rPr>
                <w:rFonts w:cs="Arial" w:ascii="Arial" w:hAnsi="Arial"/>
                <w:sz w:val="16"/>
                <w:szCs w:val="16"/>
              </w:rPr>
              <w:t>екстракт Протефлазід із трави Щучки дернистої (Herba Deschampsia caespitosa L.) та трави Війника наземного (Herba Calamagrostis epigeios L.)</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L03AX, J05AX</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по 10 мл або по 30 мл, або по 50 мл у скляному світлозахисному флаконі, закупореному кришкою для флаконів з пробкою-крапельницею з контролем першого відкриття або кришкою для флаконів з пробкою-крапельницею з контролем першого відкриття та захистом від дітей; по 1 флакону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у п. 17. ІНШЕ тексту маркування вторинної упаковки лікарського засобу.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UA/5510/02/01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ФЛЕКСБУМІН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albumin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альбумін людини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B05AA01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у поліетиленовому пакеті; по 1 або по 24 пакети в картонній коробці; по 100 мл у поліетиленовому пакеті; по 1 або по 12 пакетів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Такеда Мануфекчурінг Австрія АГ, Австрія; контроль якості серії (крім випробувань на стерильність та бактеріальні ендотоксини): Такеда Мануфекчурінг Австрія АГ, Австрія; контроль якості серії: "Стерильність" та "Бактеріальні ендотоксини":</w:t>
              <w:br/>
              <w:t>Такеда Мануфекчурінг Австрія АГ, Австрія; виробництво лікарського засобу: стерильне наповнення, остаточна пастеризація, первинне та вторинне пакування, контроль якості, проміжний випуск: Баксалта ЮС Інк., США; виробництво лікарського засобу: виробництво нерозфасованої продукції, термообробка (включаючи відновлення Фракції V, ультра/діафільтрацію, приготування нерозфасованої продукції, термічну обробку, остаточну фільтрацію): Баксалта ЮС Інк., США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lang w:val="en-US"/>
              </w:rPr>
            </w:pPr>
            <w:r>
              <w:rPr>
                <w:rFonts w:cs="Arial" w:ascii="Arial" w:hAnsi="Arial"/>
                <w:color w:val="000000"/>
                <w:sz w:val="16"/>
                <w:szCs w:val="16"/>
              </w:rPr>
              <w:t>Австрія/ США/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w:t>
              <w:br/>
              <w:t xml:space="preserve">Збільшення розміру серії проміжного, термічно обробленого альбуміну з 1900 л до 2700 л. Термін введення змін - протягом 6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Збільшення розміру серії готового лікарського засобу з 1800 л до 2400 л на дільниці "Round Lake" (RL). Термін введення змін - протягом 6 місяців після затвердження </w:t>
              <w:b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w:t>
              <w:br/>
              <w:t>Зміна фільтрації: використання двох (2) 0,2 мкм 5-дюймових стерильних фільтрувальних картриджів для стерильної фільтрації, що вимагає проходження обома фільтрами перевірки цілісності після використання та зміна рівня мікробного навантаження з 1,0 x 10</w:t>
            </w:r>
            <w:r>
              <w:rPr>
                <w:rFonts w:cs="Arial" w:ascii="Arial" w:hAnsi="Arial"/>
                <w:color w:val="000000"/>
                <w:sz w:val="16"/>
                <w:szCs w:val="16"/>
                <w:vertAlign w:val="superscript"/>
              </w:rPr>
              <w:t>8</w:t>
            </w:r>
            <w:r>
              <w:rPr>
                <w:rFonts w:cs="Arial" w:ascii="Arial" w:hAnsi="Arial"/>
                <w:color w:val="000000"/>
                <w:sz w:val="16"/>
                <w:szCs w:val="16"/>
              </w:rPr>
              <w:t xml:space="preserve"> КУО/см</w:t>
            </w:r>
            <w:r>
              <w:rPr>
                <w:rFonts w:cs="Arial" w:ascii="Arial" w:hAnsi="Arial"/>
                <w:color w:val="000000"/>
                <w:sz w:val="16"/>
                <w:szCs w:val="16"/>
                <w:vertAlign w:val="superscript"/>
              </w:rPr>
              <w:t>2</w:t>
            </w:r>
            <w:r>
              <w:rPr>
                <w:rFonts w:cs="Arial" w:ascii="Arial" w:hAnsi="Arial"/>
                <w:color w:val="000000"/>
                <w:sz w:val="16"/>
                <w:szCs w:val="16"/>
              </w:rPr>
              <w:t xml:space="preserve"> до 1,0 x 10</w:t>
            </w:r>
            <w:r>
              <w:rPr>
                <w:rFonts w:cs="Arial" w:ascii="Arial" w:hAnsi="Arial"/>
                <w:color w:val="000000"/>
                <w:sz w:val="16"/>
                <w:szCs w:val="16"/>
                <w:vertAlign w:val="superscript"/>
              </w:rPr>
              <w:t>7</w:t>
            </w:r>
            <w:r>
              <w:rPr>
                <w:rFonts w:cs="Arial" w:ascii="Arial" w:hAnsi="Arial"/>
                <w:color w:val="000000"/>
                <w:sz w:val="16"/>
                <w:szCs w:val="16"/>
              </w:rPr>
              <w:t xml:space="preserve"> КУО/см</w:t>
            </w:r>
            <w:r>
              <w:rPr>
                <w:rFonts w:cs="Arial" w:ascii="Arial" w:hAnsi="Arial"/>
                <w:color w:val="000000"/>
                <w:sz w:val="16"/>
                <w:szCs w:val="16"/>
                <w:vertAlign w:val="superscript"/>
              </w:rPr>
              <w:t>2</w:t>
            </w:r>
            <w:r>
              <w:rPr>
                <w:rFonts w:cs="Arial" w:ascii="Arial" w:hAnsi="Arial"/>
                <w:color w:val="000000"/>
                <w:sz w:val="16"/>
                <w:szCs w:val="16"/>
              </w:rPr>
              <w:t>. Термін введення змін - протягом 6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Звуження критеріїв прийнятності для тесту на біологічне навантаження під час виробництва з ≤200 КУО/мл для упаковки по 50 мл і ≤100 КУО/мл для упаковки по 100 мл до ≤ 5 КУО/мл для обох розмірів упаковки. Термін введення змін - протягом 6 місяців після затвердження.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 Введення процесу повторної фільтрації для термообробленого альбуміну, що виробляється на дільницях "Los Angeles" та "Social Circle", який буде застосовуватися у разі виявлення порушення цілісності біопроцесорного контейнера (Bioprocess Container - BPC) перед відправкою на дільницю "Round Lake" для остаточної обробки. Термін введення змін - протягом 6 місяців після затвердження.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 Подовження часу наповнення під час стерильної фільтрації, а саме з 20 до 35 годин.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UA/18128/01/01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ФЛЮТ АСТЕЗИН®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benzocaine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бензокаїн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C05AD03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супозиторії по 206 мг, по 6 супозиторіїв у стрипі; по 2 стрипи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UA/20871/01/01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ФЛЮТ АСТЕЗИН®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benzocaine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бензокаїн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супозиторії по 206 мг, in bulk: № 3600 (6х600): по 6 супозиторіїв у стрипі, по 600 стрипів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UA/21211/01/01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ФОРКАЛ®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calcitriol </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кальцитріол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D05AX03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мазь, 3 мкг/г, по 30 г або по 100 г у тубах, по 1 тубі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w:t>
              <w:br/>
              <w:t xml:space="preserve">або </w:t>
              <w:br/>
              <w:t>виробництво продукції in bulk:</w:t>
              <w:br/>
              <w:t xml:space="preserve">КУСУМ ХЕЛТХКЕР ПВТ ЛТД, Індія; </w:t>
              <w:br/>
              <w:t>вторинне пакування, випуск серії з продукції in bulk:</w:t>
              <w:br/>
              <w:t>ТОВ «КУСУМ», Україна;</w:t>
              <w:br/>
              <w:t>контроль якості:</w:t>
              <w:br/>
              <w:t>ТОВ «КУСУМ», 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введенням виробничої дільниці з відповідними змінами в тексті маркування упаковок лікарського засобу. Введення змін протягом 12-ти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введення додаткової упаковки для виробника ТОВ «КУСУМ», УКРАЇНА за адресою 40020, Україна, Сумська область, м. Суми, вул. Давидовського Григорія, 54 по 100 г у тубі; по 1 тубі у картонній упаковці. Зміни внесено в інструкцію для медичного застосування лікарського засобу в розділ "Упаковка" у зв'язку з введенням додаткової упаковки, як наслідок - затвердження тексту маркування додаткової упаковки лікарського засобу.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UA/0081/02/01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ФОРКАЛ®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calcitriol </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кальцитріол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мазь, 3 мкг/г, in bulk: по 30 г у тубі, по 320 туб у картонній коробці, або по 30 г у тубі, по 144 туби у картонній коробці; або по 100 г у тубі, по 64 туби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UA/0082/02/01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ХЕЛПЕКС® ЛАР</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бензидаміну гідрохлорид, хлоргексидину диглюконат (у вигляді хлоргексидину диглюконату розчину 20%)</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обполіскувач для горла, розчин; по 200 мл розчину у пляшці; по 1 пляшці з мірним стаканчиком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та місцезнаходження заявника з відповідними змінами в тексті маркування упаковок лікарського засобу.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UA/18887/02/01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ХОЛІСАЛ</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холіну саліцилат та цеталконію 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A01AD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гель для ротової порожнини; по 10 г гелю у тубі; по 1 тубі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Фармзавод Єльфа А.Т.</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місцезнаходження мастер-файла системи фармаконагляду. </w:t>
              <w:br/>
              <w:t xml:space="preserve">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UA/7298/01/01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ЦЕДОКСИМ®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J01DD13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 Юніт VI, Блок D</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лікарського засобу.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UA/14455/01/02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ЦЕДОКСИМ®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J01DD13</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Ауробіндо Фарма Лтд. Юніт VI, Блок D</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лікарського засобу.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UA/14455/01/01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ЦЕФИНАК®</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cefixime</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цефіксиму тригідрат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J01DD08</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100 мг/5 мл 1 флакон з порошком для приготування 50 мл суспензії або 1 флакон з порошком для приготування 100 мл суспензії; по 1 флакону з мірним стаканчиком та мірною ложкою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розділу "Особливості застосування" щодо безпеки застосування діючої речовини «цефіксим» відповідно до рекомендацій PRAC.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UA/16758/02/01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ЦИСПЛАТИНА АККОРД</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cisplatin</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цисплатин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L01XA01</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 мг/мл, по 10 мл, по 25 мл, по 50 мл, по 100 мл у флаконі;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та вторинне пакування, контроль якості серії: Інтас Фармасьютікалз Лімітед, Індія; (альтернативний виробник): Інтас Фармасьютікалз Лімітед, Індія; Виробництво готового лікарського засобу, вторинне пакування: Інтас Фармасьютікалс Лімітед (Блок Н), Індія; Вторинне пакування: Аккорд Хелскеа Лімітед, Велика Британія; контроль якості серій: Фармадокс Хелскеа Лтд., Мальта; контроль якості серій: Фармавалід Лтд. Мікробіологічна лабораторія, Угорщина; відповідальний за випуск серії:</w:t>
              <w:br/>
              <w:t>Аккорд Хелскеа Полска Сп. з о.о. Склад Імпортера, Польща; вторинне пакування, контроль якості серій: Аккорд Хелскеа Сінгл Мембер С.А., Греція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Мальта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UA/15240/01/01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b/>
                <w:i/>
                <w:i/>
                <w:color w:val="000000"/>
                <w:sz w:val="16"/>
                <w:szCs w:val="16"/>
              </w:rPr>
            </w:pPr>
            <w:r>
              <w:rPr>
                <w:rFonts w:cs="Arial" w:ascii="Arial" w:hAnsi="Arial"/>
                <w:b/>
                <w:sz w:val="16"/>
                <w:szCs w:val="16"/>
              </w:rPr>
              <w:t>ЦИТРАФЛІТ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sz w:val="16"/>
                <w:szCs w:val="16"/>
              </w:rPr>
              <w:t>Sodium picosulfate, combinations</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натрію пікосульфат, магнію оксид легкий, кислота лимонна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A06AB58</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15,08 г порошку в пакеті-саше; по 2 пакети або 50 пакетів (упаковка для лікувальних закладів)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br/>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нерозфасованої продукції, первинна та вторинна упаковка, дозвіл на випуск серії:</w:t>
              <w:br/>
              <w:t xml:space="preserve">Касен Рекордаті, С.Л., Іспанія </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Супутня зміна - Зміни щодо безпеки/ефективності та фармаконагляду (інші зміни) уточнення компонентів, що входять до складу допоміжної речовини «Ароматизатор лимонний». Зміни внесено в інструкцію для медичного застосування до розділу "Склад" (підрозділ "Допоміжні речовини"), "Особливості застосування" та до пункту 3 тексту маркування первинної та вторинної упаковок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11"/>
              <w:tabs>
                <w:tab w:val="clear" w:pos="708"/>
                <w:tab w:val="left" w:pos="12600" w:leader="none"/>
              </w:tabs>
              <w:jc w:val="center"/>
              <w:rPr>
                <w:rFonts w:ascii="Arial" w:hAnsi="Arial" w:cs="Arial"/>
                <w:sz w:val="16"/>
                <w:szCs w:val="16"/>
              </w:rPr>
            </w:pPr>
            <w:r>
              <w:rPr>
                <w:rFonts w:cs="Arial" w:ascii="Arial" w:hAnsi="Arial"/>
                <w:sz w:val="16"/>
                <w:szCs w:val="16"/>
              </w:rPr>
              <w:t>UA/13820/01/01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7">
        <w:r>
          <w:rPr>
            <w:rStyle w:val="Hyperlink"/>
            <w:i/>
            <w:color w:val="000000"/>
            <w:szCs w:val="16"/>
          </w:rPr>
          <w:t>https://www.whocc.no/atc_ddd_index/</w:t>
        </w:r>
      </w:hyperlink>
      <w:r>
        <w:rPr>
          <w:rStyle w:val="Hyperlink"/>
          <w:i/>
          <w:color w:val="000000"/>
          <w:szCs w:val="16"/>
        </w:rPr>
        <w:t>)</w:t>
      </w:r>
    </w:p>
    <w:p>
      <w:pPr>
        <w:pStyle w:val="Normal"/>
        <w:ind w:right="2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12"/>
        <w:rPr>
          <w:rStyle w:val="cs7864ebcf1"/>
          <w:color w:val="000000"/>
          <w:sz w:val="16"/>
          <w:szCs w:val="16"/>
        </w:rPr>
      </w:pPr>
      <w:r>
        <w:rPr>
          <w:rFonts w:cs="Arial" w:ascii="Arial" w:hAnsi="Arial"/>
          <w:i/>
          <w:sz w:val="16"/>
          <w:szCs w:val="16"/>
        </w:rPr>
      </w:r>
    </w:p>
    <w:p>
      <w:pPr>
        <w:pStyle w:val="12"/>
        <w:rPr>
          <w:rStyle w:val="cs7864ebcf1"/>
          <w:color w:val="000000"/>
          <w:sz w:val="16"/>
          <w:szCs w:val="16"/>
        </w:rPr>
      </w:pPr>
      <w:r>
        <w:rPr/>
      </w:r>
    </w:p>
    <w:p>
      <w:pPr>
        <w:pStyle w:val="12"/>
        <w:rPr>
          <w:rStyle w:val="cs7864ebcf1"/>
          <w:color w:val="000000"/>
          <w:sz w:val="16"/>
          <w:szCs w:val="16"/>
        </w:rPr>
      </w:pPr>
      <w:r>
        <w:rPr/>
      </w:r>
    </w:p>
    <w:p>
      <w:pPr>
        <w:pStyle w:val="12"/>
        <w:rPr>
          <w:rStyle w:val="cs7864ebcf1"/>
          <w:color w:val="000000"/>
          <w:sz w:val="16"/>
          <w:szCs w:val="16"/>
        </w:rPr>
      </w:pPr>
      <w:r>
        <w:rPr/>
      </w:r>
    </w:p>
    <w:p>
      <w:pPr>
        <w:pStyle w:val="12"/>
        <w:rPr/>
      </w:pPr>
      <w:r>
        <w:rPr>
          <w:rStyle w:val="cs7864ebcf1"/>
          <w:color w:val="000000"/>
          <w:sz w:val="28"/>
          <w:szCs w:val="28"/>
        </w:rPr>
        <w:t>Начальник</w:t>
      </w:r>
    </w:p>
    <w:p>
      <w:pPr>
        <w:pStyle w:val="12"/>
        <w:rPr>
          <w:rStyle w:val="cs7864ebcf1"/>
          <w:color w:val="000000"/>
          <w:sz w:val="28"/>
          <w:szCs w:val="28"/>
        </w:rPr>
      </w:pPr>
      <w:r>
        <w:rPr>
          <w:rStyle w:val="cs7864ebcf1"/>
          <w:color w:val="000000"/>
          <w:sz w:val="28"/>
          <w:szCs w:val="28"/>
        </w:rPr>
        <w:t>Фармацевтичного управління                                                                                                    Олександр ГРІЦЕНКО</w:t>
      </w:r>
    </w:p>
    <w:p>
      <w:pPr>
        <w:pStyle w:val="33"/>
        <w:spacing w:before="0" w:after="0"/>
        <w:ind w:left="0" w:right="0"/>
        <w:rPr/>
      </w:pPr>
      <w:r>
        <w:rPr>
          <w:rFonts w:eastAsia="Times New Roman"/>
          <w:b/>
          <w:sz w:val="28"/>
          <w:szCs w:val="28"/>
          <w:lang w:val="uk-UA"/>
        </w:rPr>
        <w:t xml:space="preserve">  </w:t>
      </w:r>
    </w:p>
    <w:sectPr>
      <w:headerReference w:type="default" r:id="rId18"/>
      <w:headerReference w:type="first" r:id="rId19"/>
      <w:footerReference w:type="default" r:id="rId20"/>
      <w:footerReference w:type="first" r:id="rId21"/>
      <w:type w:val="nextPage"/>
      <w:pgSz w:orient="landscape" w:w="16838" w:h="11906"/>
      <w:pgMar w:left="1701" w:right="902" w:gutter="0" w:header="709" w:top="851" w:footer="709" w:bottom="765"/>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238.45pt;mso-position-horizontal:center;mso-position-horizontal-relative:margin">
              <v:fill opacity="0f"/>
              <v:textbox inset="0in,0in,0in,0in">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19">
              <wp:simplePos x="0" y="0"/>
              <wp:positionH relativeFrom="margin">
                <wp:align>center</wp:align>
              </wp:positionH>
              <wp:positionV relativeFrom="paragraph">
                <wp:posOffset>635</wp:posOffset>
              </wp:positionV>
              <wp:extent cx="127635" cy="146685"/>
              <wp:effectExtent l="0" t="0" r="0" b="0"/>
              <wp:wrapSquare wrapText="bothSides"/>
              <wp:docPr id="3" name="Frame2"/>
              <a:graphic xmlns:a="http://schemas.openxmlformats.org/drawingml/2006/main">
                <a:graphicData uri="http://schemas.microsoft.com/office/word/2010/wordprocessingShape">
                  <wps:wsp>
                    <wps:cNvSpPr txBox="1"/>
                    <wps:spPr>
                      <a:xfrm>
                        <a:off x="0" y="0"/>
                        <a:ext cx="127635" cy="146685"/>
                      </a:xfrm>
                      <a:prstGeom prst="rect"/>
                      <a:solidFill>
                        <a:srgbClr val="FFFFFF">
                          <a:alpha val="0"/>
                        </a:srgbClr>
                      </a:solidFill>
                    </wps:spPr>
                    <wps:txbx>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0.05pt;height:11.55pt;mso-wrap-distance-left:0pt;mso-wrap-distance-right:0pt;mso-wrap-distance-top:0pt;mso-wrap-distance-bottom:0pt;margin-top:0.05pt;mso-position-vertical-relative:text;margin-left:350.85pt;mso-position-horizontal:center;mso-position-horizontal-relative:margin">
              <v:fill opacity="0f"/>
              <v:textbox inset="0in,0in,0in,0in">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7">
              <wp:simplePos x="0" y="0"/>
              <wp:positionH relativeFrom="margin">
                <wp:align>center</wp:align>
              </wp:positionH>
              <wp:positionV relativeFrom="paragraph">
                <wp:posOffset>635</wp:posOffset>
              </wp:positionV>
              <wp:extent cx="127635" cy="146685"/>
              <wp:effectExtent l="0" t="0" r="0" b="0"/>
              <wp:wrapSquare wrapText="bothSides"/>
              <wp:docPr id="4" name="Frame3"/>
              <a:graphic xmlns:a="http://schemas.openxmlformats.org/drawingml/2006/main">
                <a:graphicData uri="http://schemas.microsoft.com/office/word/2010/wordprocessingShape">
                  <wps:wsp>
                    <wps:cNvSpPr txBox="1"/>
                    <wps:spPr>
                      <a:xfrm>
                        <a:off x="0" y="0"/>
                        <a:ext cx="127635" cy="146685"/>
                      </a:xfrm>
                      <a:prstGeom prst="rect"/>
                      <a:solidFill>
                        <a:srgbClr val="FFFFFF">
                          <a:alpha val="0"/>
                        </a:srgbClr>
                      </a:solidFill>
                    </wps:spPr>
                    <wps:txbx>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0.05pt;height:11.55pt;mso-wrap-distance-left:0pt;mso-wrap-distance-right:0pt;mso-wrap-distance-top:0pt;mso-wrap-distance-bottom:0pt;margin-top:0.05pt;mso-position-vertical-relative:text;margin-left:350.85pt;mso-position-horizontal:center;mso-position-horizontal-relative:margin">
              <v:fill opacity="0f"/>
              <v:textbox inset="0in,0in,0in,0in">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v:textbox>
              <w10:wrap type="squar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248">
              <wp:simplePos x="0" y="0"/>
              <wp:positionH relativeFrom="margin">
                <wp:align>center</wp:align>
              </wp:positionH>
              <wp:positionV relativeFrom="paragraph">
                <wp:posOffset>635</wp:posOffset>
              </wp:positionV>
              <wp:extent cx="191135" cy="146685"/>
              <wp:effectExtent l="0" t="0" r="0" b="0"/>
              <wp:wrapSquare wrapText="bothSides"/>
              <wp:docPr id="5" name="Frame4"/>
              <a:graphic xmlns:a="http://schemas.openxmlformats.org/drawingml/2006/main">
                <a:graphicData uri="http://schemas.microsoft.com/office/word/2010/wordprocessingShape">
                  <wps:wsp>
                    <wps:cNvSpPr txBox="1"/>
                    <wps:spPr>
                      <a:xfrm>
                        <a:off x="0" y="0"/>
                        <a:ext cx="191135" cy="146685"/>
                      </a:xfrm>
                      <a:prstGeom prst="rect"/>
                      <a:solidFill>
                        <a:srgbClr val="FFFFFF">
                          <a:alpha val="0"/>
                        </a:srgbClr>
                      </a:solidFill>
                    </wps:spPr>
                    <wps:txbx>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251</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5.05pt;height:11.55pt;mso-wrap-distance-left:0pt;mso-wrap-distance-right:0pt;mso-wrap-distance-top:0pt;mso-wrap-distance-bottom:0pt;margin-top:0.05pt;mso-position-vertical-relative:text;margin-left:348.35pt;mso-position-horizontal:center;mso-position-horizontal-relative:margin">
              <v:fill opacity="0f"/>
              <v:textbox inset="0in,0in,0in,0in">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251</w:t>
                    </w:r>
                    <w:r>
                      <w:rPr>
                        <w:rStyle w:val="PageNumber"/>
                      </w:rPr>
                      <w:fldChar w:fldCharType="end"/>
                    </w:r>
                  </w:p>
                </w:txbxContent>
              </v:textbox>
              <w10:wrap type="squar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right"/>
      <w:pPr>
        <w:tabs>
          <w:tab w:val="num" w:pos="0"/>
        </w:tabs>
        <w:ind w:left="720" w:hanging="360"/>
      </w:pPr>
      <w:rPr/>
    </w:lvl>
  </w:abstractNum>
  <w:abstractNum w:abstractNumId="3">
    <w:lvl w:ilvl="0">
      <w:start w:val="1"/>
      <w:numFmt w:val="decimal"/>
      <w:lvlText w:val="%1."/>
      <w:lvlJc w:val="right"/>
      <w:pPr>
        <w:tabs>
          <w:tab w:val="num" w:pos="0"/>
        </w:tabs>
        <w:ind w:left="720" w:hanging="360"/>
      </w:pPr>
      <w:rPr/>
    </w:lvl>
  </w:abstractNum>
  <w:abstractNum w:abstractNumId="4">
    <w:lvl w:ilvl="0">
      <w:start w:val="1"/>
      <w:numFmt w:val="decimal"/>
      <w:lvlText w:val="%1."/>
      <w:lvlJc w:val="right"/>
      <w:pPr>
        <w:tabs>
          <w:tab w:val="num" w:pos="0"/>
        </w:tabs>
        <w:ind w:left="72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8"/>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en-US"/>
    </w:rPr>
  </w:style>
  <w:style w:type="paragraph" w:styleId="Heading2">
    <w:name w:val="heading 2"/>
    <w:basedOn w:val="Normal"/>
    <w:next w:val="12"/>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BodyText"/>
    <w:qFormat/>
    <w:pPr>
      <w:numPr>
        <w:ilvl w:val="5"/>
        <w:numId w:val="1"/>
      </w:numPr>
      <w:spacing w:before="240" w:after="60"/>
      <w:outlineLvl w:val="5"/>
    </w:pPr>
    <w:rPr>
      <w:b/>
      <w:bCs/>
      <w:sz w:val="22"/>
      <w:szCs w:val="22"/>
      <w:lang w:val="en-U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4z0">
    <w:name w:val="WW8Num14z0"/>
    <w:qFormat/>
    <w:rPr/>
  </w:style>
  <w:style w:type="character" w:styleId="WW8Num15z0">
    <w:name w:val="WW8Num15z0"/>
    <w:qFormat/>
    <w:rPr/>
  </w:style>
  <w:style w:type="character" w:styleId="WW8Num16z0">
    <w:name w:val="WW8Num16z0"/>
    <w:qFormat/>
    <w:rPr/>
  </w:style>
  <w:style w:type="character" w:styleId="WW8Num17z0">
    <w:name w:val="WW8Num17z0"/>
    <w:qFormat/>
    <w:rPr/>
  </w:style>
  <w:style w:type="character" w:styleId="WW8Num18z0">
    <w:name w:val="WW8Num18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Hyperlink">
    <w:name w:val="Hyper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lang w:val="uk-UA"/>
    </w:rPr>
  </w:style>
  <w:style w:type="character" w:styleId="6">
    <w:name w:val="Заголовок 6 Знак"/>
    <w:qFormat/>
    <w:rPr>
      <w:rFonts w:ascii="Times New Roman" w:hAnsi="Times New Roman" w:cs="Times New Roman"/>
      <w:b/>
      <w:bCs/>
      <w:sz w:val="22"/>
      <w:szCs w:val="22"/>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lang w:val="uk-UA"/>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
    <w:name w:val="line number"/>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lang w:val="uk-UA"/>
    </w:rPr>
  </w:style>
  <w:style w:type="character" w:styleId="Style16">
    <w:name w:val="Тема примечания Знак"/>
    <w:qFormat/>
    <w:rPr>
      <w:rFonts w:ascii="Times New Roman" w:hAnsi="Times New Roman" w:eastAsia="Times New Roman" w:cs="Times New Roman"/>
      <w:b/>
      <w:bCs/>
      <w:lang w:val="uk-UA"/>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en-US"/>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FollowedHyperlink">
    <w:name w:val="FollowedHyper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BodyText"/>
    <w:qFormat/>
    <w:pPr/>
    <w:rPr>
      <w:sz w:val="24"/>
      <w:szCs w:val="24"/>
      <w:lang w:val="en-US"/>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hanging="0" w:left="283" w:right="0"/>
    </w:pPr>
    <w:rPr>
      <w:sz w:val="16"/>
      <w:szCs w:val="16"/>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rPr/>
  </w:style>
  <w:style w:type="paragraph" w:styleId="Footer">
    <w:name w:val="footer"/>
    <w:basedOn w:val="Normal"/>
    <w:pPr/>
    <w:rPr/>
  </w:style>
  <w:style w:type="paragraph" w:styleId="11">
    <w:name w:val="Обычный11"/>
    <w:basedOn w:val="Normal"/>
    <w:qFormat/>
    <w:pPr/>
    <w:rPr>
      <w:rFonts w:eastAsia="Times New Roman"/>
      <w:sz w:val="24"/>
      <w:szCs w:val="24"/>
      <w:lang w:val="uk-UA"/>
    </w:rPr>
  </w:style>
  <w:style w:type="paragraph" w:styleId="12">
    <w:name w:val="Обычный1"/>
    <w:basedOn w:val="Normal"/>
    <w:qFormat/>
    <w:pPr/>
    <w:rPr>
      <w:rFonts w:eastAsia="Times New Roman"/>
      <w:sz w:val="24"/>
      <w:szCs w:val="24"/>
      <w:lang w:val="uk-UA"/>
    </w:rPr>
  </w:style>
  <w:style w:type="paragraph" w:styleId="msolistparagraph">
    <w:name w:val="msolistparagraph"/>
    <w:basedOn w:val="Normal"/>
    <w:qFormat/>
    <w:pPr>
      <w:spacing w:before="0" w:after="0"/>
      <w:ind w:hanging="0" w:left="720" w:right="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3">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BodyTextIndent">
    <w:name w:val="Body Text Indent"/>
    <w:basedOn w:val="Normal"/>
    <w:pPr>
      <w:spacing w:before="0" w:after="120"/>
      <w:ind w:hanging="0" w:left="283" w:right="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left="0" w:right="0"/>
      <w:jc w:val="both"/>
    </w:pPr>
    <w:rPr>
      <w:rFonts w:ascii="Arial" w:hAnsi="Arial" w:eastAsia="Times New Roman" w:cs="Arial"/>
      <w:b/>
      <w:sz w:val="18"/>
      <w:lang w:val="uk-UA"/>
    </w:rPr>
  </w:style>
  <w:style w:type="paragraph" w:styleId="35">
    <w:name w:val="Основной текст с отступом3"/>
    <w:basedOn w:val="Normal"/>
    <w:qFormat/>
    <w:pPr>
      <w:ind w:firstLine="708" w:left="0" w:right="0"/>
      <w:jc w:val="both"/>
    </w:pPr>
    <w:rPr>
      <w:rFonts w:ascii="Arial" w:hAnsi="Arial" w:eastAsia="Times New Roman" w:cs="Arial"/>
      <w:b/>
      <w:sz w:val="18"/>
      <w:lang w:val="uk-UA"/>
    </w:rPr>
  </w:style>
  <w:style w:type="paragraph" w:styleId="42">
    <w:name w:val="Основной текст с отступом4"/>
    <w:basedOn w:val="Normal"/>
    <w:qFormat/>
    <w:pPr>
      <w:ind w:firstLine="708" w:left="0" w:right="0"/>
      <w:jc w:val="both"/>
    </w:pPr>
    <w:rPr>
      <w:rFonts w:ascii="Arial" w:hAnsi="Arial" w:eastAsia="Times New Roman" w:cs="Arial"/>
      <w:b/>
      <w:sz w:val="18"/>
      <w:lang w:val="uk-UA"/>
    </w:rPr>
  </w:style>
  <w:style w:type="paragraph" w:styleId="5">
    <w:name w:val="Основной текст с отступом5"/>
    <w:basedOn w:val="Normal"/>
    <w:qFormat/>
    <w:pPr>
      <w:ind w:firstLine="708" w:left="0" w:right="0"/>
      <w:jc w:val="both"/>
    </w:pPr>
    <w:rPr>
      <w:rFonts w:ascii="Arial" w:hAnsi="Arial" w:eastAsia="Times New Roman" w:cs="Arial"/>
      <w:b/>
      <w:sz w:val="18"/>
      <w:lang w:val="uk-UA"/>
    </w:rPr>
  </w:style>
  <w:style w:type="paragraph" w:styleId="cse71256d6">
    <w:name w:val="cse71256d6"/>
    <w:basedOn w:val="Normal"/>
    <w:qFormat/>
    <w:pPr>
      <w:ind w:hanging="0" w:left="1440" w:right="0"/>
    </w:pPr>
    <w:rPr>
      <w:rFonts w:eastAsia="Times New Roman"/>
      <w:sz w:val="24"/>
      <w:szCs w:val="24"/>
      <w:lang w:val="uk-UA"/>
    </w:rPr>
  </w:style>
  <w:style w:type="paragraph" w:styleId="61">
    <w:name w:val="Основной текст с отступом6"/>
    <w:basedOn w:val="Normal"/>
    <w:qFormat/>
    <w:pPr>
      <w:ind w:firstLine="708" w:left="0" w:right="0"/>
      <w:jc w:val="both"/>
    </w:pPr>
    <w:rPr>
      <w:rFonts w:ascii="Arial" w:hAnsi="Arial" w:eastAsia="Times New Roman" w:cs="Arial"/>
      <w:b/>
      <w:sz w:val="18"/>
      <w:lang w:val="uk-UA"/>
    </w:rPr>
  </w:style>
  <w:style w:type="paragraph" w:styleId="7">
    <w:name w:val="Основной текст с отступом7"/>
    <w:basedOn w:val="Normal"/>
    <w:qFormat/>
    <w:pPr>
      <w:ind w:firstLine="708" w:left="0" w:right="0"/>
      <w:jc w:val="both"/>
    </w:pPr>
    <w:rPr>
      <w:rFonts w:ascii="Arial" w:hAnsi="Arial" w:eastAsia="Times New Roman" w:cs="Arial"/>
      <w:b/>
      <w:sz w:val="18"/>
      <w:lang w:val="uk-UA"/>
    </w:rPr>
  </w:style>
  <w:style w:type="paragraph" w:styleId="8">
    <w:name w:val="Основной текст с отступом8"/>
    <w:basedOn w:val="Normal"/>
    <w:qFormat/>
    <w:pPr>
      <w:ind w:firstLine="708" w:left="0" w:right="0"/>
      <w:jc w:val="both"/>
    </w:pPr>
    <w:rPr>
      <w:rFonts w:ascii="Arial" w:hAnsi="Arial" w:eastAsia="Times New Roman" w:cs="Arial"/>
      <w:b/>
      <w:sz w:val="18"/>
      <w:lang w:val="uk-UA"/>
    </w:rPr>
  </w:style>
  <w:style w:type="paragraph" w:styleId="9">
    <w:name w:val="Основной текст с отступом9"/>
    <w:basedOn w:val="Normal"/>
    <w:qFormat/>
    <w:pPr>
      <w:ind w:firstLine="708" w:left="0" w:right="0"/>
      <w:jc w:val="both"/>
    </w:pPr>
    <w:rPr>
      <w:rFonts w:ascii="Arial" w:hAnsi="Arial" w:eastAsia="Times New Roman" w:cs="Arial"/>
      <w:b/>
      <w:sz w:val="18"/>
      <w:lang w:val="uk-UA"/>
    </w:rPr>
  </w:style>
  <w:style w:type="paragraph" w:styleId="111">
    <w:name w:val="Основной текст с отступом11"/>
    <w:basedOn w:val="Normal"/>
    <w:qFormat/>
    <w:pPr>
      <w:ind w:firstLine="708" w:left="0" w:right="0"/>
      <w:jc w:val="both"/>
    </w:pPr>
    <w:rPr>
      <w:rFonts w:ascii="Arial" w:hAnsi="Arial" w:eastAsia="Times New Roman" w:cs="Arial"/>
      <w:b/>
      <w:sz w:val="18"/>
      <w:lang w:val="uk-UA"/>
    </w:rPr>
  </w:style>
  <w:style w:type="paragraph" w:styleId="10">
    <w:name w:val="Основной текст с отступом10"/>
    <w:basedOn w:val="Normal"/>
    <w:qFormat/>
    <w:pPr>
      <w:ind w:firstLine="708" w:left="0" w:right="0"/>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left="0" w:right="0"/>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left="0" w:right="0"/>
      <w:jc w:val="both"/>
    </w:pPr>
    <w:rPr>
      <w:rFonts w:ascii="Arial" w:hAnsi="Arial" w:eastAsia="Times New Roman" w:cs="Arial"/>
      <w:b/>
      <w:sz w:val="18"/>
      <w:lang w:val="uk-UA"/>
    </w:rPr>
  </w:style>
  <w:style w:type="paragraph" w:styleId="131">
    <w:name w:val="Основной текст с отступом13"/>
    <w:basedOn w:val="Normal"/>
    <w:qFormat/>
    <w:pPr>
      <w:ind w:firstLine="708" w:left="0" w:right="0"/>
      <w:jc w:val="both"/>
    </w:pPr>
    <w:rPr>
      <w:rFonts w:ascii="Arial" w:hAnsi="Arial" w:eastAsia="Times New Roman" w:cs="Arial"/>
      <w:b/>
      <w:sz w:val="18"/>
      <w:lang w:val="uk-UA"/>
    </w:rPr>
  </w:style>
  <w:style w:type="paragraph" w:styleId="141">
    <w:name w:val="Основной текст с отступом14"/>
    <w:basedOn w:val="Normal"/>
    <w:qFormat/>
    <w:pPr>
      <w:ind w:firstLine="708" w:left="0" w:right="0"/>
      <w:jc w:val="both"/>
    </w:pPr>
    <w:rPr>
      <w:rFonts w:ascii="Arial" w:hAnsi="Arial" w:eastAsia="Times New Roman" w:cs="Arial"/>
      <w:b/>
      <w:sz w:val="18"/>
      <w:lang w:val="uk-UA"/>
    </w:rPr>
  </w:style>
  <w:style w:type="paragraph" w:styleId="15">
    <w:name w:val="Основной текст с отступом15"/>
    <w:basedOn w:val="Normal"/>
    <w:qFormat/>
    <w:pPr>
      <w:ind w:firstLine="708" w:left="0" w:right="0"/>
      <w:jc w:val="both"/>
    </w:pPr>
    <w:rPr>
      <w:rFonts w:ascii="Arial" w:hAnsi="Arial" w:eastAsia="Times New Roman" w:cs="Arial"/>
      <w:b/>
      <w:sz w:val="18"/>
      <w:lang w:val="uk-UA"/>
    </w:rPr>
  </w:style>
  <w:style w:type="paragraph" w:styleId="16">
    <w:name w:val="Основной текст с отступом16"/>
    <w:basedOn w:val="Normal"/>
    <w:qFormat/>
    <w:pPr>
      <w:ind w:firstLine="708" w:left="0" w:right="0"/>
      <w:jc w:val="both"/>
    </w:pPr>
    <w:rPr>
      <w:rFonts w:ascii="Arial" w:hAnsi="Arial" w:eastAsia="Times New Roman" w:cs="Arial"/>
      <w:b/>
      <w:sz w:val="18"/>
      <w:lang w:val="uk-UA"/>
    </w:rPr>
  </w:style>
  <w:style w:type="paragraph" w:styleId="17">
    <w:name w:val="Основной текст с отступом17"/>
    <w:basedOn w:val="Normal"/>
    <w:qFormat/>
    <w:pPr>
      <w:ind w:firstLine="708" w:left="0" w:right="0"/>
      <w:jc w:val="both"/>
    </w:pPr>
    <w:rPr>
      <w:rFonts w:ascii="Arial" w:hAnsi="Arial" w:eastAsia="Times New Roman" w:cs="Arial"/>
      <w:b/>
      <w:sz w:val="18"/>
      <w:lang w:val="uk-UA"/>
    </w:rPr>
  </w:style>
  <w:style w:type="paragraph" w:styleId="18">
    <w:name w:val="Основной текст с отступом18"/>
    <w:basedOn w:val="Normal"/>
    <w:qFormat/>
    <w:pPr>
      <w:ind w:firstLine="708" w:left="0" w:right="0"/>
      <w:jc w:val="both"/>
    </w:pPr>
    <w:rPr>
      <w:rFonts w:ascii="Arial" w:hAnsi="Arial" w:eastAsia="Times New Roman" w:cs="Arial"/>
      <w:b/>
      <w:sz w:val="18"/>
      <w:lang w:val="uk-UA"/>
    </w:rPr>
  </w:style>
  <w:style w:type="paragraph" w:styleId="19">
    <w:name w:val="Основной текст с отступом19"/>
    <w:basedOn w:val="Normal"/>
    <w:qFormat/>
    <w:pPr>
      <w:ind w:firstLine="708" w:left="0" w:right="0"/>
      <w:jc w:val="both"/>
    </w:pPr>
    <w:rPr>
      <w:rFonts w:ascii="Arial" w:hAnsi="Arial" w:eastAsia="Times New Roman" w:cs="Arial"/>
      <w:b/>
      <w:sz w:val="18"/>
      <w:lang w:val="uk-UA"/>
    </w:rPr>
  </w:style>
  <w:style w:type="paragraph" w:styleId="20">
    <w:name w:val="Основной текст с отступом20"/>
    <w:basedOn w:val="Normal"/>
    <w:qFormat/>
    <w:pPr>
      <w:ind w:firstLine="708" w:left="0" w:right="0"/>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left="0" w:right="0"/>
      <w:jc w:val="both"/>
    </w:pPr>
    <w:rPr>
      <w:rFonts w:ascii="Arial" w:hAnsi="Arial" w:eastAsia="Times New Roman" w:cs="Arial"/>
      <w:b/>
      <w:sz w:val="18"/>
      <w:lang w:val="uk-UA"/>
    </w:rPr>
  </w:style>
  <w:style w:type="paragraph" w:styleId="231">
    <w:name w:val="Основной текст с отступом23"/>
    <w:basedOn w:val="Normal"/>
    <w:qFormat/>
    <w:pPr>
      <w:ind w:firstLine="708" w:left="0" w:right="0"/>
      <w:jc w:val="both"/>
    </w:pPr>
    <w:rPr>
      <w:rFonts w:ascii="Arial" w:hAnsi="Arial" w:eastAsia="Times New Roman" w:cs="Arial"/>
      <w:b/>
      <w:sz w:val="18"/>
      <w:lang w:val="uk-UA"/>
    </w:rPr>
  </w:style>
  <w:style w:type="paragraph" w:styleId="26">
    <w:name w:val="Основной текст с отступом26"/>
    <w:basedOn w:val="Normal"/>
    <w:qFormat/>
    <w:pPr>
      <w:ind w:firstLine="708" w:left="0" w:right="0"/>
      <w:jc w:val="both"/>
    </w:pPr>
    <w:rPr>
      <w:rFonts w:ascii="Arial" w:hAnsi="Arial" w:eastAsia="Times New Roman" w:cs="Arial"/>
      <w:b/>
      <w:sz w:val="18"/>
      <w:lang w:val="uk-UA"/>
    </w:rPr>
  </w:style>
  <w:style w:type="paragraph" w:styleId="28">
    <w:name w:val="Основной текст с отступом28"/>
    <w:basedOn w:val="Normal"/>
    <w:qFormat/>
    <w:pPr>
      <w:ind w:firstLine="708" w:left="0" w:right="0"/>
      <w:jc w:val="both"/>
    </w:pPr>
    <w:rPr>
      <w:rFonts w:ascii="Arial" w:hAnsi="Arial" w:eastAsia="Times New Roman" w:cs="Arial"/>
      <w:b/>
      <w:sz w:val="18"/>
      <w:lang w:val="uk-UA"/>
    </w:rPr>
  </w:style>
  <w:style w:type="paragraph" w:styleId="29">
    <w:name w:val="Основной текст с отступом29"/>
    <w:basedOn w:val="Normal"/>
    <w:qFormat/>
    <w:pPr>
      <w:ind w:firstLine="708" w:left="0" w:right="0"/>
      <w:jc w:val="both"/>
    </w:pPr>
    <w:rPr>
      <w:rFonts w:ascii="Arial" w:hAnsi="Arial" w:eastAsia="Times New Roman" w:cs="Arial"/>
      <w:b/>
      <w:sz w:val="18"/>
      <w:lang w:val="uk-UA"/>
    </w:rPr>
  </w:style>
  <w:style w:type="paragraph" w:styleId="311">
    <w:name w:val="Основной текст с отступом31"/>
    <w:basedOn w:val="Normal"/>
    <w:qFormat/>
    <w:pPr>
      <w:ind w:firstLine="708" w:left="0" w:right="0"/>
      <w:jc w:val="both"/>
    </w:pPr>
    <w:rPr>
      <w:rFonts w:ascii="Arial" w:hAnsi="Arial" w:eastAsia="Times New Roman" w:cs="Arial"/>
      <w:b/>
      <w:sz w:val="18"/>
      <w:lang w:val="uk-UA"/>
    </w:rPr>
  </w:style>
  <w:style w:type="paragraph" w:styleId="321">
    <w:name w:val="Основной текст с отступом32"/>
    <w:basedOn w:val="Normal"/>
    <w:qFormat/>
    <w:pPr>
      <w:ind w:firstLine="708" w:left="0" w:right="0"/>
      <w:jc w:val="both"/>
    </w:pPr>
    <w:rPr>
      <w:rFonts w:ascii="Arial" w:hAnsi="Arial" w:eastAsia="Times New Roman" w:cs="Arial"/>
      <w:b/>
      <w:sz w:val="18"/>
      <w:lang w:val="uk-UA"/>
    </w:rPr>
  </w:style>
  <w:style w:type="paragraph" w:styleId="331">
    <w:name w:val="Основной текст с отступом33"/>
    <w:basedOn w:val="Normal"/>
    <w:qFormat/>
    <w:pPr>
      <w:ind w:firstLine="708" w:left="0" w:right="0"/>
      <w:jc w:val="both"/>
    </w:pPr>
    <w:rPr>
      <w:rFonts w:ascii="Arial" w:hAnsi="Arial" w:eastAsia="Times New Roman" w:cs="Arial"/>
      <w:b/>
      <w:sz w:val="18"/>
      <w:lang w:val="uk-UA"/>
    </w:rPr>
  </w:style>
  <w:style w:type="paragraph" w:styleId="351">
    <w:name w:val="Основной текст с отступом35"/>
    <w:basedOn w:val="Normal"/>
    <w:qFormat/>
    <w:pPr>
      <w:ind w:firstLine="708" w:left="0" w:right="0"/>
      <w:jc w:val="both"/>
    </w:pPr>
    <w:rPr>
      <w:rFonts w:ascii="Arial" w:hAnsi="Arial" w:eastAsia="Times New Roman" w:cs="Arial"/>
      <w:b/>
      <w:sz w:val="18"/>
      <w:lang w:val="uk-UA"/>
    </w:rPr>
  </w:style>
  <w:style w:type="paragraph" w:styleId="341">
    <w:name w:val="Основной текст с отступом34"/>
    <w:basedOn w:val="Normal"/>
    <w:qFormat/>
    <w:pPr>
      <w:ind w:firstLine="708" w:left="0" w:right="0"/>
      <w:jc w:val="both"/>
    </w:pPr>
    <w:rPr>
      <w:rFonts w:ascii="Arial" w:hAnsi="Arial" w:eastAsia="Times New Roman" w:cs="Arial"/>
      <w:b/>
      <w:sz w:val="18"/>
      <w:lang w:val="uk-UA"/>
    </w:rPr>
  </w:style>
  <w:style w:type="paragraph" w:styleId="36">
    <w:name w:val="Основной текст с отступом36"/>
    <w:basedOn w:val="Normal"/>
    <w:qFormat/>
    <w:pPr>
      <w:ind w:firstLine="708" w:left="0" w:right="0"/>
      <w:jc w:val="both"/>
    </w:pPr>
    <w:rPr>
      <w:rFonts w:ascii="Arial" w:hAnsi="Arial" w:eastAsia="Times New Roman" w:cs="Arial"/>
      <w:b/>
      <w:sz w:val="18"/>
      <w:lang w:val="uk-UA"/>
    </w:rPr>
  </w:style>
  <w:style w:type="paragraph" w:styleId="37">
    <w:name w:val="Основной текст с отступом37"/>
    <w:basedOn w:val="Normal"/>
    <w:qFormat/>
    <w:pPr>
      <w:ind w:firstLine="708" w:left="0" w:right="0"/>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bidi w:val="0"/>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left="0" w:right="0"/>
      <w:jc w:val="both"/>
    </w:pPr>
    <w:rPr>
      <w:rFonts w:ascii="Arial" w:hAnsi="Arial" w:eastAsia="Times New Roman" w:cs="Arial"/>
      <w:b/>
      <w:sz w:val="18"/>
      <w:lang w:val="uk-UA"/>
    </w:rPr>
  </w:style>
  <w:style w:type="paragraph" w:styleId="39">
    <w:name w:val="Основной текст с отступом39"/>
    <w:basedOn w:val="Normal"/>
    <w:qFormat/>
    <w:pPr>
      <w:ind w:firstLine="708" w:left="0" w:right="0"/>
      <w:jc w:val="both"/>
    </w:pPr>
    <w:rPr>
      <w:rFonts w:ascii="Arial" w:hAnsi="Arial" w:eastAsia="Times New Roman" w:cs="Arial"/>
      <w:b/>
      <w:sz w:val="18"/>
      <w:lang w:val="uk-UA"/>
    </w:rPr>
  </w:style>
  <w:style w:type="paragraph" w:styleId="40">
    <w:name w:val="Основной текст с отступом40"/>
    <w:basedOn w:val="Normal"/>
    <w:qFormat/>
    <w:pPr>
      <w:ind w:firstLine="708" w:left="0" w:right="0"/>
      <w:jc w:val="both"/>
    </w:pPr>
    <w:rPr>
      <w:rFonts w:ascii="Arial" w:hAnsi="Arial" w:eastAsia="Times New Roman" w:cs="Arial"/>
      <w:b/>
      <w:sz w:val="18"/>
      <w:lang w:val="uk-UA"/>
    </w:rPr>
  </w:style>
  <w:style w:type="paragraph" w:styleId="412">
    <w:name w:val="Основной текст с отступом41"/>
    <w:basedOn w:val="Normal"/>
    <w:qFormat/>
    <w:pPr>
      <w:ind w:firstLine="708" w:left="0" w:right="0"/>
      <w:jc w:val="both"/>
    </w:pPr>
    <w:rPr>
      <w:rFonts w:ascii="Arial" w:hAnsi="Arial" w:eastAsia="Times New Roman" w:cs="Arial"/>
      <w:b/>
      <w:sz w:val="18"/>
      <w:lang w:val="uk-UA"/>
    </w:rPr>
  </w:style>
  <w:style w:type="paragraph" w:styleId="421">
    <w:name w:val="Основной текст с отступом42"/>
    <w:basedOn w:val="Normal"/>
    <w:qFormat/>
    <w:pPr>
      <w:ind w:firstLine="708" w:left="0" w:right="0"/>
      <w:jc w:val="both"/>
    </w:pPr>
    <w:rPr>
      <w:rFonts w:ascii="Arial" w:hAnsi="Arial" w:eastAsia="Times New Roman" w:cs="Arial"/>
      <w:b/>
      <w:sz w:val="18"/>
      <w:lang w:val="uk-UA"/>
    </w:rPr>
  </w:style>
  <w:style w:type="paragraph" w:styleId="43">
    <w:name w:val="Основной текст с отступом43"/>
    <w:basedOn w:val="Normal"/>
    <w:qFormat/>
    <w:pPr>
      <w:ind w:firstLine="708" w:left="0" w:right="0"/>
      <w:jc w:val="both"/>
    </w:pPr>
    <w:rPr>
      <w:rFonts w:ascii="Arial" w:hAnsi="Arial" w:eastAsia="Times New Roman" w:cs="Arial"/>
      <w:b/>
      <w:sz w:val="18"/>
      <w:lang w:val="uk-UA"/>
    </w:rPr>
  </w:style>
  <w:style w:type="paragraph" w:styleId="44">
    <w:name w:val="Основной текст с отступом44"/>
    <w:basedOn w:val="Normal"/>
    <w:qFormat/>
    <w:pPr>
      <w:ind w:firstLine="708" w:left="0" w:right="0"/>
      <w:jc w:val="both"/>
    </w:pPr>
    <w:rPr>
      <w:rFonts w:ascii="Arial" w:hAnsi="Arial" w:eastAsia="Times New Roman" w:cs="Arial"/>
      <w:b/>
      <w:sz w:val="18"/>
      <w:lang w:val="uk-UA"/>
    </w:rPr>
  </w:style>
  <w:style w:type="paragraph" w:styleId="45">
    <w:name w:val="Основной текст с отступом45"/>
    <w:basedOn w:val="Normal"/>
    <w:qFormat/>
    <w:pPr>
      <w:ind w:firstLine="708" w:left="0" w:right="0"/>
      <w:jc w:val="both"/>
    </w:pPr>
    <w:rPr>
      <w:rFonts w:ascii="Arial" w:hAnsi="Arial" w:eastAsia="Times New Roman" w:cs="Arial"/>
      <w:b/>
      <w:sz w:val="18"/>
      <w:lang w:val="uk-UA"/>
    </w:rPr>
  </w:style>
  <w:style w:type="paragraph" w:styleId="46">
    <w:name w:val="Основной текст с отступом46"/>
    <w:basedOn w:val="Normal"/>
    <w:qFormat/>
    <w:pPr>
      <w:ind w:firstLine="708" w:left="0" w:right="0"/>
      <w:jc w:val="both"/>
    </w:pPr>
    <w:rPr>
      <w:rFonts w:ascii="Arial" w:hAnsi="Arial" w:eastAsia="Times New Roman" w:cs="Arial"/>
      <w:b/>
      <w:sz w:val="18"/>
      <w:lang w:val="uk-UA"/>
    </w:rPr>
  </w:style>
  <w:style w:type="paragraph" w:styleId="47">
    <w:name w:val="Основной текст с отступом47"/>
    <w:basedOn w:val="Normal"/>
    <w:qFormat/>
    <w:pPr>
      <w:ind w:firstLine="708" w:left="0" w:right="0"/>
      <w:jc w:val="both"/>
    </w:pPr>
    <w:rPr>
      <w:rFonts w:ascii="Arial" w:hAnsi="Arial" w:eastAsia="Times New Roman" w:cs="Arial"/>
      <w:b/>
      <w:sz w:val="18"/>
      <w:lang w:val="uk-UA"/>
    </w:rPr>
  </w:style>
  <w:style w:type="paragraph" w:styleId="48">
    <w:name w:val="Основной текст с отступом48"/>
    <w:basedOn w:val="Normal"/>
    <w:qFormat/>
    <w:pPr>
      <w:ind w:firstLine="708" w:left="0" w:right="0"/>
      <w:jc w:val="both"/>
    </w:pPr>
    <w:rPr>
      <w:rFonts w:ascii="Arial" w:hAnsi="Arial" w:eastAsia="Times New Roman" w:cs="Arial"/>
      <w:b/>
      <w:sz w:val="18"/>
      <w:lang w:val="uk-UA"/>
    </w:rPr>
  </w:style>
  <w:style w:type="paragraph" w:styleId="49">
    <w:name w:val="Основной текст с отступом49"/>
    <w:basedOn w:val="Normal"/>
    <w:qFormat/>
    <w:pPr>
      <w:ind w:firstLine="708" w:left="0" w:right="0"/>
      <w:jc w:val="both"/>
    </w:pPr>
    <w:rPr>
      <w:rFonts w:ascii="Arial" w:hAnsi="Arial" w:eastAsia="Times New Roman" w:cs="Arial"/>
      <w:b/>
      <w:sz w:val="18"/>
      <w:lang w:val="uk-UA"/>
    </w:rPr>
  </w:style>
  <w:style w:type="paragraph" w:styleId="50">
    <w:name w:val="Основной текст с отступом50"/>
    <w:basedOn w:val="Normal"/>
    <w:qFormat/>
    <w:pPr>
      <w:ind w:firstLine="708" w:left="0" w:right="0"/>
      <w:jc w:val="both"/>
    </w:pPr>
    <w:rPr>
      <w:rFonts w:ascii="Arial" w:hAnsi="Arial" w:eastAsia="Times New Roman" w:cs="Arial"/>
      <w:b/>
      <w:sz w:val="18"/>
      <w:lang w:val="uk-UA"/>
    </w:rPr>
  </w:style>
  <w:style w:type="paragraph" w:styleId="52">
    <w:name w:val="Основной текст с отступом52"/>
    <w:basedOn w:val="Normal"/>
    <w:qFormat/>
    <w:pPr>
      <w:ind w:firstLine="708" w:left="0" w:right="0"/>
      <w:jc w:val="both"/>
    </w:pPr>
    <w:rPr>
      <w:rFonts w:ascii="Arial" w:hAnsi="Arial" w:eastAsia="Times New Roman" w:cs="Arial"/>
      <w:b/>
      <w:sz w:val="18"/>
      <w:lang w:val="uk-UA"/>
    </w:rPr>
  </w:style>
  <w:style w:type="paragraph" w:styleId="53">
    <w:name w:val="Основной текст с отступом53"/>
    <w:basedOn w:val="Normal"/>
    <w:qFormat/>
    <w:pPr>
      <w:ind w:firstLine="708" w:left="0" w:right="0"/>
      <w:jc w:val="both"/>
    </w:pPr>
    <w:rPr>
      <w:rFonts w:ascii="Arial" w:hAnsi="Arial" w:eastAsia="Times New Roman" w:cs="Arial"/>
      <w:b/>
      <w:sz w:val="18"/>
      <w:lang w:val="uk-UA"/>
    </w:rPr>
  </w:style>
  <w:style w:type="paragraph" w:styleId="54">
    <w:name w:val="Основной текст с отступом54"/>
    <w:basedOn w:val="Normal"/>
    <w:qFormat/>
    <w:pPr>
      <w:ind w:firstLine="708" w:left="0" w:right="0"/>
      <w:jc w:val="both"/>
    </w:pPr>
    <w:rPr>
      <w:rFonts w:ascii="Arial" w:hAnsi="Arial" w:eastAsia="Times New Roman" w:cs="Arial"/>
      <w:b/>
      <w:sz w:val="18"/>
      <w:lang w:val="uk-UA"/>
    </w:rPr>
  </w:style>
  <w:style w:type="paragraph" w:styleId="57">
    <w:name w:val="Основной текст с отступом57"/>
    <w:basedOn w:val="Normal"/>
    <w:qFormat/>
    <w:pPr>
      <w:ind w:firstLine="708" w:left="0" w:right="0"/>
      <w:jc w:val="both"/>
    </w:pPr>
    <w:rPr>
      <w:rFonts w:ascii="Arial" w:hAnsi="Arial" w:eastAsia="Times New Roman" w:cs="Arial"/>
      <w:b/>
      <w:sz w:val="18"/>
      <w:lang w:val="uk-UA"/>
    </w:rPr>
  </w:style>
  <w:style w:type="paragraph" w:styleId="59">
    <w:name w:val="Основной текст с отступом59"/>
    <w:basedOn w:val="Normal"/>
    <w:qFormat/>
    <w:pPr>
      <w:ind w:firstLine="708" w:left="0" w:right="0"/>
      <w:jc w:val="both"/>
    </w:pPr>
    <w:rPr>
      <w:rFonts w:ascii="Arial" w:hAnsi="Arial" w:eastAsia="Times New Roman" w:cs="Arial"/>
      <w:b/>
      <w:sz w:val="18"/>
      <w:lang w:val="uk-UA"/>
    </w:rPr>
  </w:style>
  <w:style w:type="paragraph" w:styleId="60">
    <w:name w:val="Основной текст с отступом60"/>
    <w:basedOn w:val="Normal"/>
    <w:qFormat/>
    <w:pPr>
      <w:ind w:firstLine="708" w:left="0" w:right="0"/>
      <w:jc w:val="both"/>
    </w:pPr>
    <w:rPr>
      <w:rFonts w:ascii="Arial" w:hAnsi="Arial" w:eastAsia="Times New Roman" w:cs="Arial"/>
      <w:b/>
      <w:sz w:val="18"/>
      <w:lang w:val="uk-UA"/>
    </w:rPr>
  </w:style>
  <w:style w:type="paragraph" w:styleId="611">
    <w:name w:val="Основной текст с отступом61"/>
    <w:basedOn w:val="Normal"/>
    <w:qFormat/>
    <w:pPr>
      <w:ind w:firstLine="708" w:left="0" w:right="0"/>
      <w:jc w:val="both"/>
    </w:pPr>
    <w:rPr>
      <w:rFonts w:ascii="Arial" w:hAnsi="Arial" w:eastAsia="Times New Roman" w:cs="Arial"/>
      <w:b/>
      <w:sz w:val="18"/>
      <w:lang w:val="uk-UA"/>
    </w:rPr>
  </w:style>
  <w:style w:type="paragraph" w:styleId="25">
    <w:name w:val="Обычный2"/>
    <w:qFormat/>
    <w:pPr>
      <w:widowControl/>
      <w:bidi w:val="0"/>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bidi w:val="0"/>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1">
    <w:name w:val="Body Text Indent1"/>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left="0" w:right="0"/>
      <w:jc w:val="both"/>
    </w:pPr>
    <w:rPr>
      <w:rFonts w:ascii="Arial" w:hAnsi="Arial" w:eastAsia="Times New Roman" w:cs="Arial"/>
      <w:b/>
      <w:sz w:val="18"/>
      <w:lang w:val="uk-UA"/>
    </w:rPr>
  </w:style>
  <w:style w:type="paragraph" w:styleId="64">
    <w:name w:val="Основной текст с отступом64"/>
    <w:basedOn w:val="Normal"/>
    <w:qFormat/>
    <w:pPr>
      <w:ind w:firstLine="708" w:left="0" w:right="0"/>
      <w:jc w:val="both"/>
    </w:pPr>
    <w:rPr>
      <w:rFonts w:ascii="Arial" w:hAnsi="Arial" w:eastAsia="Times New Roman" w:cs="Arial"/>
      <w:b/>
      <w:sz w:val="18"/>
      <w:lang w:val="uk-UA"/>
    </w:rPr>
  </w:style>
  <w:style w:type="paragraph" w:styleId="63">
    <w:name w:val="Основной текст с отступом63"/>
    <w:basedOn w:val="Normal"/>
    <w:qFormat/>
    <w:pPr>
      <w:ind w:firstLine="708" w:left="0" w:right="0"/>
      <w:jc w:val="both"/>
    </w:pPr>
    <w:rPr>
      <w:rFonts w:ascii="Arial" w:hAnsi="Arial" w:eastAsia="Times New Roman" w:cs="Arial"/>
      <w:b/>
      <w:sz w:val="18"/>
      <w:lang w:val="uk-UA"/>
    </w:rPr>
  </w:style>
  <w:style w:type="paragraph" w:styleId="65">
    <w:name w:val="Основной текст с отступом65"/>
    <w:basedOn w:val="Normal"/>
    <w:qFormat/>
    <w:pPr>
      <w:ind w:firstLine="708" w:left="0" w:right="0"/>
      <w:jc w:val="both"/>
    </w:pPr>
    <w:rPr>
      <w:rFonts w:ascii="Arial" w:hAnsi="Arial" w:eastAsia="Times New Roman" w:cs="Arial"/>
      <w:b/>
      <w:sz w:val="18"/>
      <w:lang w:val="uk-UA"/>
    </w:rPr>
  </w:style>
  <w:style w:type="paragraph" w:styleId="66">
    <w:name w:val="Основной текст с отступом66"/>
    <w:basedOn w:val="Normal"/>
    <w:qFormat/>
    <w:pPr>
      <w:ind w:firstLine="708" w:left="0" w:right="0"/>
      <w:jc w:val="both"/>
    </w:pPr>
    <w:rPr>
      <w:rFonts w:ascii="Arial" w:hAnsi="Arial" w:eastAsia="Times New Roman" w:cs="Arial"/>
      <w:b/>
      <w:sz w:val="18"/>
      <w:lang w:val="uk-UA"/>
    </w:rPr>
  </w:style>
  <w:style w:type="paragraph" w:styleId="67">
    <w:name w:val="Основной текст с отступом67"/>
    <w:basedOn w:val="Normal"/>
    <w:qFormat/>
    <w:pPr>
      <w:ind w:firstLine="708" w:left="0" w:right="0"/>
      <w:jc w:val="both"/>
    </w:pPr>
    <w:rPr>
      <w:rFonts w:ascii="Arial" w:hAnsi="Arial" w:eastAsia="Times New Roman" w:cs="Arial"/>
      <w:b/>
      <w:sz w:val="18"/>
      <w:lang w:val="uk-UA"/>
    </w:rPr>
  </w:style>
  <w:style w:type="paragraph" w:styleId="68">
    <w:name w:val="Основной текст с отступом68"/>
    <w:basedOn w:val="Normal"/>
    <w:qFormat/>
    <w:pPr>
      <w:ind w:firstLine="708" w:left="0" w:right="0"/>
      <w:jc w:val="both"/>
    </w:pPr>
    <w:rPr>
      <w:rFonts w:ascii="Arial" w:hAnsi="Arial" w:eastAsia="Times New Roman" w:cs="Arial"/>
      <w:b/>
      <w:sz w:val="18"/>
      <w:lang w:val="uk-UA"/>
    </w:rPr>
  </w:style>
  <w:style w:type="paragraph" w:styleId="69">
    <w:name w:val="Основной текст с отступом69"/>
    <w:basedOn w:val="Normal"/>
    <w:qFormat/>
    <w:pPr>
      <w:ind w:firstLine="708" w:left="0" w:right="0"/>
      <w:jc w:val="both"/>
    </w:pPr>
    <w:rPr>
      <w:rFonts w:ascii="Arial" w:hAnsi="Arial" w:eastAsia="Times New Roman" w:cs="Arial"/>
      <w:b/>
      <w:sz w:val="18"/>
      <w:lang w:val="uk-UA"/>
    </w:rPr>
  </w:style>
  <w:style w:type="paragraph" w:styleId="70">
    <w:name w:val="Основной текст с отступом70"/>
    <w:basedOn w:val="Normal"/>
    <w:qFormat/>
    <w:pPr>
      <w:ind w:firstLine="708" w:left="0" w:right="0"/>
      <w:jc w:val="both"/>
    </w:pPr>
    <w:rPr>
      <w:rFonts w:ascii="Arial" w:hAnsi="Arial" w:eastAsia="Times New Roman" w:cs="Arial"/>
      <w:b/>
      <w:sz w:val="18"/>
      <w:lang w:val="uk-UA"/>
    </w:rPr>
  </w:style>
  <w:style w:type="paragraph" w:styleId="71">
    <w:name w:val="Основной текст с отступом71"/>
    <w:basedOn w:val="Normal"/>
    <w:qFormat/>
    <w:pPr>
      <w:ind w:firstLine="708" w:left="0" w:right="0"/>
      <w:jc w:val="both"/>
    </w:pPr>
    <w:rPr>
      <w:rFonts w:ascii="Arial" w:hAnsi="Arial" w:eastAsia="Times New Roman" w:cs="Arial"/>
      <w:b/>
      <w:sz w:val="18"/>
      <w:lang w:val="uk-UA"/>
    </w:rPr>
  </w:style>
  <w:style w:type="paragraph" w:styleId="72">
    <w:name w:val="Основной текст с отступом72"/>
    <w:basedOn w:val="Normal"/>
    <w:qFormat/>
    <w:pPr>
      <w:ind w:firstLine="708" w:left="0" w:right="0"/>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en-US"/>
    </w:rPr>
  </w:style>
  <w:style w:type="paragraph" w:styleId="73">
    <w:name w:val="Основной текст с отступом73"/>
    <w:basedOn w:val="Normal"/>
    <w:qFormat/>
    <w:pPr>
      <w:ind w:firstLine="708" w:left="0" w:right="0"/>
      <w:jc w:val="both"/>
    </w:pPr>
    <w:rPr>
      <w:rFonts w:ascii="Arial" w:hAnsi="Arial" w:eastAsia="Times New Roman" w:cs="Arial"/>
      <w:b/>
      <w:sz w:val="18"/>
      <w:lang w:val="uk-UA"/>
    </w:rPr>
  </w:style>
  <w:style w:type="paragraph" w:styleId="74">
    <w:name w:val="Основной текст с отступом74"/>
    <w:basedOn w:val="Normal"/>
    <w:qFormat/>
    <w:pPr>
      <w:ind w:firstLine="708" w:left="0" w:right="0"/>
      <w:jc w:val="both"/>
    </w:pPr>
    <w:rPr>
      <w:rFonts w:ascii="Arial" w:hAnsi="Arial" w:eastAsia="Times New Roman" w:cs="Arial"/>
      <w:b/>
      <w:sz w:val="18"/>
      <w:lang w:val="uk-UA"/>
    </w:rPr>
  </w:style>
  <w:style w:type="paragraph" w:styleId="75">
    <w:name w:val="Основной текст с отступом75"/>
    <w:basedOn w:val="Normal"/>
    <w:qFormat/>
    <w:pPr>
      <w:ind w:firstLine="708" w:left="0" w:right="0"/>
      <w:jc w:val="both"/>
    </w:pPr>
    <w:rPr>
      <w:rFonts w:ascii="Arial" w:hAnsi="Arial" w:eastAsia="Times New Roman" w:cs="Arial"/>
      <w:b/>
      <w:sz w:val="18"/>
      <w:lang w:val="uk-UA"/>
    </w:rPr>
  </w:style>
  <w:style w:type="paragraph" w:styleId="76">
    <w:name w:val="Основной текст с отступом76"/>
    <w:basedOn w:val="Normal"/>
    <w:qFormat/>
    <w:pPr>
      <w:ind w:firstLine="708" w:left="0" w:right="0"/>
      <w:jc w:val="both"/>
    </w:pPr>
    <w:rPr>
      <w:rFonts w:ascii="Arial" w:hAnsi="Arial" w:eastAsia="Times New Roman" w:cs="Arial"/>
      <w:b/>
      <w:sz w:val="18"/>
      <w:lang w:val="uk-UA"/>
    </w:rPr>
  </w:style>
  <w:style w:type="paragraph" w:styleId="77">
    <w:name w:val="Основной текст с отступом77"/>
    <w:basedOn w:val="Normal"/>
    <w:qFormat/>
    <w:pPr>
      <w:ind w:firstLine="708" w:left="0" w:right="0"/>
      <w:jc w:val="both"/>
    </w:pPr>
    <w:rPr>
      <w:rFonts w:ascii="Arial" w:hAnsi="Arial" w:eastAsia="Times New Roman" w:cs="Arial"/>
      <w:b/>
      <w:sz w:val="18"/>
      <w:lang w:val="uk-UA"/>
    </w:rPr>
  </w:style>
  <w:style w:type="paragraph" w:styleId="78">
    <w:name w:val="Основной текст с отступом78"/>
    <w:basedOn w:val="Normal"/>
    <w:qFormat/>
    <w:pPr>
      <w:ind w:firstLine="708" w:left="0" w:right="0"/>
      <w:jc w:val="both"/>
    </w:pPr>
    <w:rPr>
      <w:rFonts w:ascii="Arial" w:hAnsi="Arial" w:eastAsia="Times New Roman" w:cs="Arial"/>
      <w:b/>
      <w:sz w:val="18"/>
      <w:lang w:val="uk-UA"/>
    </w:rPr>
  </w:style>
  <w:style w:type="paragraph" w:styleId="79">
    <w:name w:val="Основной текст с отступом79"/>
    <w:basedOn w:val="Normal"/>
    <w:qFormat/>
    <w:pPr>
      <w:ind w:firstLine="708" w:left="0" w:right="0"/>
      <w:jc w:val="both"/>
    </w:pPr>
    <w:rPr>
      <w:rFonts w:ascii="Arial" w:hAnsi="Arial" w:eastAsia="Times New Roman" w:cs="Arial"/>
      <w:b/>
      <w:sz w:val="18"/>
      <w:lang w:val="uk-UA"/>
    </w:rPr>
  </w:style>
  <w:style w:type="paragraph" w:styleId="81">
    <w:name w:val="Основной текст с отступом81"/>
    <w:basedOn w:val="Normal"/>
    <w:qFormat/>
    <w:pPr>
      <w:ind w:firstLine="708" w:left="0" w:right="0"/>
      <w:jc w:val="both"/>
    </w:pPr>
    <w:rPr>
      <w:rFonts w:ascii="Arial" w:hAnsi="Arial" w:eastAsia="Times New Roman" w:cs="Arial"/>
      <w:b/>
      <w:sz w:val="18"/>
      <w:lang w:val="uk-UA"/>
    </w:rPr>
  </w:style>
  <w:style w:type="paragraph" w:styleId="82">
    <w:name w:val="Основной текст с отступом82"/>
    <w:basedOn w:val="Normal"/>
    <w:qFormat/>
    <w:pPr>
      <w:ind w:firstLine="708" w:left="0" w:right="0"/>
      <w:jc w:val="both"/>
    </w:pPr>
    <w:rPr>
      <w:rFonts w:ascii="Arial" w:hAnsi="Arial" w:eastAsia="Times New Roman" w:cs="Arial"/>
      <w:b/>
      <w:sz w:val="18"/>
      <w:lang w:val="uk-UA"/>
    </w:rPr>
  </w:style>
  <w:style w:type="paragraph" w:styleId="84">
    <w:name w:val="Основной текст с отступом84"/>
    <w:basedOn w:val="Normal"/>
    <w:qFormat/>
    <w:pPr>
      <w:ind w:firstLine="708" w:left="0" w:right="0"/>
      <w:jc w:val="both"/>
    </w:pPr>
    <w:rPr>
      <w:rFonts w:ascii="Arial" w:hAnsi="Arial" w:eastAsia="Times New Roman" w:cs="Arial"/>
      <w:b/>
      <w:sz w:val="18"/>
      <w:lang w:val="uk-UA"/>
    </w:rPr>
  </w:style>
  <w:style w:type="paragraph" w:styleId="85">
    <w:name w:val="Основной текст с отступом85"/>
    <w:basedOn w:val="Normal"/>
    <w:qFormat/>
    <w:pPr>
      <w:ind w:firstLine="708" w:left="0" w:right="0"/>
      <w:jc w:val="both"/>
    </w:pPr>
    <w:rPr>
      <w:rFonts w:ascii="Arial" w:hAnsi="Arial" w:eastAsia="Times New Roman" w:cs="Arial"/>
      <w:b/>
      <w:sz w:val="18"/>
      <w:lang w:val="uk-UA"/>
    </w:rPr>
  </w:style>
  <w:style w:type="paragraph" w:styleId="86">
    <w:name w:val="Основной текст с отступом86"/>
    <w:basedOn w:val="Normal"/>
    <w:qFormat/>
    <w:pPr>
      <w:ind w:firstLine="708" w:left="0" w:right="0"/>
      <w:jc w:val="both"/>
    </w:pPr>
    <w:rPr>
      <w:rFonts w:ascii="Arial" w:hAnsi="Arial" w:eastAsia="Times New Roman" w:cs="Arial"/>
      <w:b/>
      <w:sz w:val="18"/>
      <w:lang w:val="uk-UA"/>
    </w:rPr>
  </w:style>
  <w:style w:type="paragraph" w:styleId="87">
    <w:name w:val="Основной текст с отступом87"/>
    <w:basedOn w:val="Normal"/>
    <w:qFormat/>
    <w:pPr>
      <w:ind w:firstLine="708" w:left="0" w:right="0"/>
      <w:jc w:val="both"/>
    </w:pPr>
    <w:rPr>
      <w:rFonts w:ascii="Arial" w:hAnsi="Arial" w:eastAsia="Times New Roman" w:cs="Arial"/>
      <w:b/>
      <w:sz w:val="18"/>
      <w:lang w:val="uk-UA"/>
    </w:rPr>
  </w:style>
  <w:style w:type="paragraph" w:styleId="88">
    <w:name w:val="Основной текст с отступом88"/>
    <w:basedOn w:val="Normal"/>
    <w:qFormat/>
    <w:pPr>
      <w:ind w:firstLine="708" w:left="0" w:right="0"/>
      <w:jc w:val="both"/>
    </w:pPr>
    <w:rPr>
      <w:rFonts w:ascii="Arial" w:hAnsi="Arial" w:eastAsia="Times New Roman" w:cs="Arial"/>
      <w:b/>
      <w:sz w:val="18"/>
      <w:lang w:val="uk-UA"/>
    </w:rPr>
  </w:style>
  <w:style w:type="paragraph" w:styleId="89">
    <w:name w:val="Основной текст с отступом89"/>
    <w:basedOn w:val="Normal"/>
    <w:qFormat/>
    <w:pPr>
      <w:ind w:firstLine="708" w:left="0" w:right="0"/>
      <w:jc w:val="both"/>
    </w:pPr>
    <w:rPr>
      <w:rFonts w:ascii="Arial" w:hAnsi="Arial" w:eastAsia="Times New Roman" w:cs="Arial"/>
      <w:b/>
      <w:sz w:val="18"/>
      <w:lang w:val="uk-UA"/>
    </w:rPr>
  </w:style>
  <w:style w:type="paragraph" w:styleId="91">
    <w:name w:val="Основной текст с отступом91"/>
    <w:basedOn w:val="Normal"/>
    <w:qFormat/>
    <w:pPr>
      <w:ind w:firstLine="708" w:left="0" w:right="0"/>
      <w:jc w:val="both"/>
    </w:pPr>
    <w:rPr>
      <w:rFonts w:ascii="Arial" w:hAnsi="Arial" w:eastAsia="Times New Roman" w:cs="Arial"/>
      <w:b/>
      <w:sz w:val="18"/>
      <w:lang w:val="uk-UA"/>
    </w:rPr>
  </w:style>
  <w:style w:type="paragraph" w:styleId="92">
    <w:name w:val="Основной текст с отступом92"/>
    <w:basedOn w:val="Normal"/>
    <w:qFormat/>
    <w:pPr>
      <w:ind w:firstLine="708" w:left="0" w:right="0"/>
      <w:jc w:val="both"/>
    </w:pPr>
    <w:rPr>
      <w:rFonts w:ascii="Arial" w:hAnsi="Arial" w:eastAsia="Times New Roman" w:cs="Arial"/>
      <w:b/>
      <w:sz w:val="18"/>
      <w:lang w:val="uk-UA"/>
    </w:rPr>
  </w:style>
  <w:style w:type="paragraph" w:styleId="93">
    <w:name w:val="Основной текст с отступом93"/>
    <w:basedOn w:val="Normal"/>
    <w:qFormat/>
    <w:pPr>
      <w:ind w:firstLine="708" w:left="0" w:right="0"/>
      <w:jc w:val="both"/>
    </w:pPr>
    <w:rPr>
      <w:rFonts w:ascii="Arial" w:hAnsi="Arial" w:eastAsia="Times New Roman" w:cs="Arial"/>
      <w:b/>
      <w:sz w:val="18"/>
      <w:lang w:val="uk-UA"/>
    </w:rPr>
  </w:style>
  <w:style w:type="paragraph" w:styleId="94">
    <w:name w:val="Основной текст с отступом94"/>
    <w:basedOn w:val="Normal"/>
    <w:qFormat/>
    <w:pPr>
      <w:ind w:firstLine="708" w:left="0" w:right="0"/>
      <w:jc w:val="both"/>
    </w:pPr>
    <w:rPr>
      <w:rFonts w:ascii="Arial" w:hAnsi="Arial" w:eastAsia="Times New Roman" w:cs="Arial"/>
      <w:b/>
      <w:sz w:val="18"/>
      <w:lang w:val="uk-UA"/>
    </w:rPr>
  </w:style>
  <w:style w:type="paragraph" w:styleId="95">
    <w:name w:val="Основной текст с отступом95"/>
    <w:basedOn w:val="Normal"/>
    <w:qFormat/>
    <w:pPr>
      <w:ind w:firstLine="708" w:left="0" w:right="0"/>
      <w:jc w:val="both"/>
    </w:pPr>
    <w:rPr>
      <w:rFonts w:ascii="Arial" w:hAnsi="Arial" w:eastAsia="Times New Roman" w:cs="Arial"/>
      <w:b/>
      <w:sz w:val="18"/>
      <w:lang w:val="uk-UA"/>
    </w:rPr>
  </w:style>
  <w:style w:type="paragraph" w:styleId="97">
    <w:name w:val="Основной текст с отступом97"/>
    <w:basedOn w:val="Normal"/>
    <w:qFormat/>
    <w:pPr>
      <w:ind w:firstLine="708" w:left="0" w:right="0"/>
      <w:jc w:val="both"/>
    </w:pPr>
    <w:rPr>
      <w:rFonts w:ascii="Arial" w:hAnsi="Arial" w:eastAsia="Times New Roman" w:cs="Arial"/>
      <w:b/>
      <w:sz w:val="18"/>
      <w:lang w:val="uk-UA"/>
    </w:rPr>
  </w:style>
  <w:style w:type="paragraph" w:styleId="99">
    <w:name w:val="Основной текст с отступом99"/>
    <w:basedOn w:val="Normal"/>
    <w:qFormat/>
    <w:pPr>
      <w:ind w:firstLine="708" w:left="0" w:right="0"/>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left="0" w:right="0"/>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left="0" w:right="0"/>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left="0" w:right="0"/>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left="0" w:right="0"/>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left="0" w:right="0"/>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left="0" w:right="0"/>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left="0" w:right="0"/>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left="0" w:right="0"/>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left="0" w:right="0"/>
      <w:jc w:val="both"/>
    </w:pPr>
    <w:rPr>
      <w:rFonts w:ascii="Arial" w:hAnsi="Arial" w:eastAsia="Times New Roman" w:cs="Arial"/>
      <w:b/>
      <w:sz w:val="18"/>
      <w:lang w:val="uk-UA"/>
    </w:rPr>
  </w:style>
  <w:style w:type="paragraph" w:styleId="112">
    <w:name w:val="Основной текст с отступом112"/>
    <w:basedOn w:val="Normal"/>
    <w:qFormat/>
    <w:pPr>
      <w:ind w:firstLine="708" w:left="0" w:right="0"/>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left="0" w:right="0"/>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left="0" w:right="0"/>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left="0" w:right="0"/>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left="0" w:right="0"/>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left="0" w:right="0"/>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left="0" w:right="0"/>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left="0" w:right="0"/>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left="0" w:right="0"/>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left="0" w:right="0"/>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left="0" w:right="0"/>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left="0" w:right="0"/>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left="0" w:right="0"/>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left="0" w:right="0"/>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left="0" w:right="0"/>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left="0" w:right="0"/>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left="0" w:right="0"/>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left="0" w:right="0"/>
      <w:jc w:val="both"/>
    </w:pPr>
    <w:rPr>
      <w:rFonts w:ascii="Arial" w:hAnsi="Arial" w:eastAsia="Times New Roman" w:cs="Arial"/>
      <w:b/>
      <w:sz w:val="18"/>
      <w:lang w:val="uk-UA"/>
    </w:rPr>
  </w:style>
  <w:style w:type="paragraph" w:styleId="1311">
    <w:name w:val="Основной текст с отступом131"/>
    <w:basedOn w:val="Normal"/>
    <w:qFormat/>
    <w:pPr>
      <w:ind w:firstLine="708" w:left="0" w:right="0"/>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left="0" w:right="0"/>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left="0" w:right="0"/>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left="0" w:right="0"/>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left="0" w:right="0"/>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left="0" w:right="0"/>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left="0" w:right="0"/>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left="0" w:right="0"/>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left="0" w:right="0"/>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left="0" w:right="0"/>
      <w:jc w:val="both"/>
    </w:pPr>
    <w:rPr>
      <w:rFonts w:ascii="Arial" w:hAnsi="Arial" w:eastAsia="Times New Roman" w:cs="Arial"/>
      <w:b/>
      <w:sz w:val="18"/>
      <w:lang w:val="uk-UA"/>
    </w:rPr>
  </w:style>
  <w:style w:type="paragraph" w:styleId="Arial92">
    <w:name w:val="Arial9(без отступов)"/>
    <w:qFormat/>
    <w:pPr>
      <w:widowControl/>
      <w:bidi w:val="0"/>
      <w:ind w:hanging="0" w:left="-113" w:right="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hanging="0" w:left="720" w:right="0"/>
      <w:contextualSpacing/>
    </w:pPr>
    <w:rPr>
      <w:rFonts w:ascii="Arial" w:hAnsi="Arial" w:eastAsia="Times New Roman" w:cs="Arial"/>
      <w:sz w:val="28"/>
    </w:rPr>
  </w:style>
  <w:style w:type="paragraph" w:styleId="Arial93">
    <w:name w:val="Arial9(жирн)"/>
    <w:qFormat/>
    <w:pPr>
      <w:keepNext w:val="true"/>
      <w:widowControl/>
      <w:tabs>
        <w:tab w:val="clear" w:pos="708"/>
        <w:tab w:val="left" w:pos="210" w:leader="none"/>
      </w:tabs>
      <w:autoSpaceDE w:val="false"/>
      <w:bidi w:val="0"/>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en-US"/>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en-US"/>
    </w:rPr>
  </w:style>
  <w:style w:type="paragraph" w:styleId="210">
    <w:name w:val="Верхній колонтитул2"/>
    <w:basedOn w:val="Normal"/>
    <w:qFormat/>
    <w:pPr/>
    <w:rPr>
      <w:rFonts w:ascii="Calibri" w:hAnsi="Calibri" w:cs="Calibri"/>
      <w:lang w:val="en-US"/>
    </w:rPr>
  </w:style>
  <w:style w:type="paragraph" w:styleId="213">
    <w:name w:val="Нижній колонтитул2"/>
    <w:basedOn w:val="Normal"/>
    <w:qFormat/>
    <w:pPr/>
    <w:rPr>
      <w:rFonts w:ascii="Calibri" w:hAnsi="Calibri" w:cs="Calibri"/>
      <w:lang w:val="en-US"/>
    </w:rPr>
  </w:style>
  <w:style w:type="paragraph" w:styleId="214">
    <w:name w:val="Назва2"/>
    <w:basedOn w:val="Normal"/>
    <w:qFormat/>
    <w:pPr/>
    <w:rPr>
      <w:rFonts w:ascii="Calibri Light" w:hAnsi="Calibri Light" w:cs="Calibri Light"/>
      <w:spacing w:val="-10"/>
      <w:lang w:val="en-US"/>
    </w:rPr>
  </w:style>
  <w:style w:type="paragraph" w:styleId="223">
    <w:name w:val="Основний текст 22"/>
    <w:basedOn w:val="Normal"/>
    <w:qFormat/>
    <w:pPr/>
    <w:rPr>
      <w:rFonts w:ascii="Calibri" w:hAnsi="Calibri" w:cs="Calibri"/>
      <w:lang w:val="en-US"/>
    </w:rPr>
  </w:style>
  <w:style w:type="paragraph" w:styleId="215">
    <w:name w:val="Текст у виносці2"/>
    <w:basedOn w:val="Normal"/>
    <w:qFormat/>
    <w:pPr/>
    <w:rPr>
      <w:rFonts w:ascii="Segoe UI" w:hAnsi="Segoe UI" w:cs="Segoe UI"/>
      <w:lang w:val="en-US"/>
    </w:rPr>
  </w:style>
  <w:style w:type="paragraph" w:styleId="143">
    <w:name w:val="Основной текст с отступом143"/>
    <w:basedOn w:val="Normal"/>
    <w:qFormat/>
    <w:pPr>
      <w:ind w:firstLine="708" w:left="0" w:right="0"/>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left="0" w:right="0"/>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left="0" w:right="0"/>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left="0" w:right="0"/>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left="0" w:right="0"/>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left="0" w:right="0"/>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clear" w:pos="708"/>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left="0" w:right="0"/>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left="0" w:right="0"/>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left="0" w:right="0"/>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left="0" w:right="0"/>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left="0" w:right="0"/>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left="0" w:right="0"/>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left="0" w:right="0"/>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left="0" w:right="0"/>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left="0" w:right="0"/>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left="0" w:right="0"/>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left="0" w:right="0"/>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left="0" w:right="0"/>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left="0" w:right="0"/>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left="0" w:right="0"/>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left="0" w:right="0"/>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left="0" w:right="0"/>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left="0" w:right="0"/>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left="0" w:right="0"/>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left="0" w:right="0"/>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left="0" w:right="0"/>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left="0" w:right="0"/>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left="0" w:right="0"/>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left="0" w:right="0"/>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left="0" w:right="0"/>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left="0" w:right="0"/>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left="0" w:right="0"/>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left="0" w:right="0"/>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left="0" w:right="0"/>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left="0" w:right="0"/>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left="0" w:right="0"/>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left="0" w:right="0"/>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left="0" w:right="0"/>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left="0" w:right="0"/>
      <w:jc w:val="both"/>
    </w:pPr>
    <w:rPr>
      <w:rFonts w:ascii="Arial" w:hAnsi="Arial" w:eastAsia="Times New Roman" w:cs="Arial"/>
      <w:b/>
      <w:sz w:val="18"/>
      <w:lang w:val="en-US"/>
    </w:rPr>
  </w:style>
  <w:style w:type="paragraph" w:styleId="Style29">
    <w:name w:val="Без интервала"/>
    <w:qFormat/>
    <w:pPr>
      <w:widowControl/>
      <w:bidi w:val="0"/>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left="0" w:right="0"/>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left="0" w:right="0"/>
      <w:jc w:val="both"/>
    </w:pPr>
    <w:rPr>
      <w:rFonts w:ascii="Arial" w:hAnsi="Arial" w:eastAsia="Times New Roman" w:cs="Arial"/>
      <w:b/>
      <w:sz w:val="18"/>
      <w:lang w:val="en-US"/>
    </w:rPr>
  </w:style>
  <w:style w:type="paragraph" w:styleId="410">
    <w:name w:val="Основний текст з відступом4"/>
    <w:basedOn w:val="Normal"/>
    <w:qFormat/>
    <w:pPr>
      <w:ind w:firstLine="708" w:left="0" w:right="0"/>
      <w:jc w:val="both"/>
    </w:pPr>
    <w:rPr>
      <w:rFonts w:ascii="Arial" w:hAnsi="Arial" w:eastAsia="Times New Roman" w:cs="Arial"/>
      <w:b/>
      <w:sz w:val="18"/>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yperlink" Target="https://www.whocc.no/atc_ddd_index/" TargetMode="Externa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hyperlink" Target="https://www.whocc.no/atc_ddd_index/" TargetMode="Externa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2026-10-23T09:24:00Z</dcterms:created>
  <dc:creator>Valentina</dc:creator>
  <dc:description/>
  <cp:keywords/>
  <dc:language>en-US</dc:language>
  <cp:lastModifiedBy>Кунцевич Олена Іванівна</cp:lastModifiedBy>
  <cp:lastPrinted>2025-11-12T16:00:00Z</cp:lastPrinted>
  <dcterms:modified xsi:type="dcterms:W3CDTF">2026-10-26T17:14:00Z</dcterms:modified>
  <cp:revision>10</cp:revision>
  <dc:subject/>
  <dc:title/>
</cp:coreProperties>
</file>