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1"/>
        <w:jc w:val="center"/>
        <w:rPr>
          <w:rFonts w:ascii="Arial" w:hAnsi="Arial" w:cs="Arial"/>
          <w:b/>
          <w:b/>
          <w:color w:val="000000"/>
          <w:sz w:val="28"/>
          <w:szCs w:val="28"/>
        </w:rPr>
      </w:pPr>
      <w:r>
        <w:rPr>
          <w:rFonts w:cs="Arial" w:ascii="Arial" w:hAnsi="Arial"/>
          <w:b/>
          <w:color w:val="000000"/>
          <w:sz w:val="28"/>
          <w:szCs w:val="28"/>
        </w:rPr>
        <w:t xml:space="preserve">ПЕРЕЛІК </w:t>
      </w:r>
    </w:p>
    <w:p>
      <w:pPr>
        <w:pStyle w:val="Normal1"/>
        <w:jc w:val="center"/>
        <w:rPr>
          <w:rFonts w:ascii="Arial" w:hAnsi="Arial" w:cs="Arial"/>
          <w:b/>
          <w:b/>
          <w:color w:val="000000"/>
          <w:sz w:val="28"/>
          <w:szCs w:val="28"/>
        </w:rPr>
      </w:pPr>
      <w:r>
        <w:rPr>
          <w:rFonts w:cs="Arial" w:ascii="Arial" w:hAnsi="Arial"/>
          <w:b/>
          <w:color w:val="000000"/>
          <w:sz w:val="28"/>
          <w:szCs w:val="28"/>
        </w:rPr>
        <w:t>ЛІКАРСЬКИХ ЗАСОБІВ, НА ЯКІ ЗАВЕРШЕНО ПЕРЕВІРКУ РЕЄСТРАЦІЙНИХ МАТЕРІАЛІВ НА ЇХ АВТЕНТИЧНІСТЬ НА ЛІКАРСЬКИЙ ЗАСІБ, ЩОДО ЯКОГО ПРОПОНУЄТЬСЯ ВНЕСЕННЯ ЗМІН ДО РЕЄСТРАЦІЙНИХ МАТЕРІАЛІВ, З МЕТОЮ ЙОГО ЗАКУПІВЛІ ОСОБОЮ, УПОВНОВАЖЕНОЮ НА ЗДІЙСНЕННЯ ЗАКУПІВЕЛЬ У СФЕРІ ОХОРОНИ ЗДОРОВ’Я</w:t>
      </w:r>
    </w:p>
    <w:p>
      <w:pPr>
        <w:pStyle w:val="Normal1"/>
        <w:jc w:val="center"/>
        <w:rPr>
          <w:rFonts w:ascii="Arial" w:hAnsi="Arial" w:cs="Arial"/>
          <w:b/>
          <w:b/>
          <w:color w:val="000000"/>
          <w:sz w:val="28"/>
          <w:szCs w:val="28"/>
        </w:rPr>
      </w:pPr>
      <w:r>
        <w:rPr>
          <w:rFonts w:cs="Arial" w:ascii="Arial" w:hAnsi="Arial"/>
          <w:b/>
          <w:color w:val="000000"/>
          <w:sz w:val="28"/>
          <w:szCs w:val="28"/>
        </w:rPr>
      </w:r>
    </w:p>
    <w:tbl>
      <w:tblPr>
        <w:tblW w:w="15603" w:type="dxa"/>
        <w:jc w:val="left"/>
        <w:tblInd w:w="108"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568"/>
        <w:gridCol w:w="1275"/>
        <w:gridCol w:w="992"/>
        <w:gridCol w:w="1134"/>
        <w:gridCol w:w="993"/>
        <w:gridCol w:w="1275"/>
        <w:gridCol w:w="1276"/>
        <w:gridCol w:w="992"/>
        <w:gridCol w:w="1418"/>
        <w:gridCol w:w="1134"/>
        <w:gridCol w:w="1843"/>
        <w:gridCol w:w="1134"/>
        <w:gridCol w:w="1569"/>
      </w:tblGrid>
      <w:tr>
        <w:trPr>
          <w:tblHeader w:val="true"/>
        </w:trPr>
        <w:tc>
          <w:tcPr>
            <w:tcW w:w="568"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w:t>
            </w:r>
            <w:r>
              <w:rPr>
                <w:rFonts w:eastAsia="Arial" w:cs="Arial" w:ascii="Arial" w:hAnsi="Arial"/>
                <w:b/>
                <w:i/>
                <w:sz w:val="16"/>
                <w:szCs w:val="16"/>
              </w:rPr>
              <w:t xml:space="preserve"> </w:t>
            </w:r>
            <w:r>
              <w:rPr>
                <w:rFonts w:cs="Arial" w:ascii="Arial" w:hAnsi="Arial"/>
                <w:b/>
                <w:i/>
                <w:sz w:val="16"/>
                <w:szCs w:val="16"/>
              </w:rPr>
              <w:t>п/п</w:t>
            </w:r>
          </w:p>
        </w:tc>
        <w:tc>
          <w:tcPr>
            <w:tcW w:w="1275"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лікарського засобу</w:t>
            </w:r>
          </w:p>
        </w:tc>
        <w:tc>
          <w:tcPr>
            <w:tcW w:w="992"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Міжнародна непатентована назва*</w:t>
            </w:r>
          </w:p>
        </w:tc>
        <w:tc>
          <w:tcPr>
            <w:tcW w:w="1134"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діючої речовини</w:t>
            </w:r>
          </w:p>
        </w:tc>
        <w:tc>
          <w:tcPr>
            <w:tcW w:w="993"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Код АТХ</w:t>
            </w:r>
          </w:p>
        </w:tc>
        <w:tc>
          <w:tcPr>
            <w:tcW w:w="1275"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Форма випуску (лікарська форма, упаковка)</w:t>
            </w:r>
          </w:p>
        </w:tc>
        <w:tc>
          <w:tcPr>
            <w:tcW w:w="1276"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Заявник</w:t>
            </w:r>
          </w:p>
        </w:tc>
        <w:tc>
          <w:tcPr>
            <w:tcW w:w="992"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w:t>
            </w:r>
          </w:p>
        </w:tc>
        <w:tc>
          <w:tcPr>
            <w:tcW w:w="1418"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Виробник</w:t>
            </w:r>
          </w:p>
        </w:tc>
        <w:tc>
          <w:tcPr>
            <w:tcW w:w="1134"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w:t>
            </w:r>
          </w:p>
        </w:tc>
        <w:tc>
          <w:tcPr>
            <w:tcW w:w="1843"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Реєстраційна процедура</w:t>
            </w:r>
          </w:p>
        </w:tc>
        <w:tc>
          <w:tcPr>
            <w:tcW w:w="1134" w:type="dxa"/>
            <w:tcBorders>
              <w:top w:val="single" w:sz="4" w:space="0" w:color="000000"/>
              <w:left w:val="single" w:sz="4" w:space="0" w:color="000000"/>
              <w:bottom w:val="single" w:sz="4" w:space="0" w:color="000000"/>
              <w:insideH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Умови відпуску</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BFBFB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Номер реєстраційного посвідчення</w:t>
            </w:r>
          </w:p>
        </w:tc>
      </w:tr>
      <w:tr>
        <w:trPr>
          <w:tblHeader w:val="true"/>
        </w:trPr>
        <w:tc>
          <w:tcPr>
            <w:tcW w:w="568"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napToGrid w:val="false"/>
              <w:jc w:val="center"/>
              <w:rPr>
                <w:rFonts w:ascii="Arial" w:hAnsi="Arial" w:eastAsia="Calibri" w:cs="Arial"/>
                <w:b/>
                <w:b/>
                <w:i/>
                <w:i/>
                <w:sz w:val="16"/>
                <w:szCs w:val="16"/>
                <w:lang w:val="ru-RU" w:eastAsia="en-US"/>
              </w:rPr>
            </w:pPr>
            <w:r>
              <w:rPr>
                <w:rFonts w:eastAsia="Calibri" w:cs="Arial" w:ascii="Arial" w:hAnsi="Arial"/>
                <w:b/>
                <w:i/>
                <w:sz w:val="16"/>
                <w:szCs w:val="16"/>
                <w:lang w:val="ru-RU" w:eastAsia="en-US"/>
              </w:rPr>
            </w:r>
          </w:p>
        </w:tc>
        <w:tc>
          <w:tcPr>
            <w:tcW w:w="1275"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snapToGrid w:val="false"/>
              <w:jc w:val="center"/>
              <w:rPr>
                <w:rFonts w:ascii="Arial" w:hAnsi="Arial" w:cs="Arial"/>
                <w:b/>
                <w:b/>
                <w:i/>
                <w:i/>
                <w:sz w:val="16"/>
                <w:szCs w:val="16"/>
                <w:lang w:eastAsia="en-US"/>
              </w:rPr>
            </w:pPr>
            <w:r>
              <w:rPr>
                <w:rFonts w:cs="Arial" w:ascii="Arial" w:hAnsi="Arial"/>
                <w:b/>
                <w:i/>
                <w:sz w:val="16"/>
                <w:szCs w:val="16"/>
                <w:lang w:eastAsia="en-US"/>
              </w:rPr>
            </w:r>
          </w:p>
        </w:tc>
        <w:tc>
          <w:tcPr>
            <w:tcW w:w="992"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13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snapToGrid w:val="false"/>
              <w:jc w:val="center"/>
              <w:rPr>
                <w:rFonts w:ascii="Arial" w:hAnsi="Arial" w:cs="Arial"/>
                <w:sz w:val="16"/>
                <w:szCs w:val="16"/>
              </w:rPr>
            </w:pPr>
            <w:r>
              <w:rPr>
                <w:rFonts w:cs="Arial" w:ascii="Arial" w:hAnsi="Arial"/>
                <w:sz w:val="16"/>
                <w:szCs w:val="16"/>
              </w:rPr>
            </w:r>
          </w:p>
        </w:tc>
        <w:tc>
          <w:tcPr>
            <w:tcW w:w="993"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snapToGrid w:val="false"/>
              <w:jc w:val="center"/>
              <w:rPr>
                <w:rFonts w:ascii="Arial" w:hAnsi="Arial" w:cs="Arial"/>
                <w:sz w:val="16"/>
                <w:szCs w:val="16"/>
              </w:rPr>
            </w:pPr>
            <w:r>
              <w:rPr>
                <w:rFonts w:cs="Arial" w:ascii="Arial" w:hAnsi="Arial"/>
                <w:sz w:val="16"/>
                <w:szCs w:val="16"/>
              </w:rPr>
            </w:r>
          </w:p>
        </w:tc>
        <w:tc>
          <w:tcPr>
            <w:tcW w:w="1275"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snapToGrid w:val="false"/>
              <w:jc w:val="center"/>
              <w:rPr>
                <w:rFonts w:ascii="Arial" w:hAnsi="Arial" w:cs="Arial"/>
                <w:sz w:val="16"/>
                <w:szCs w:val="16"/>
              </w:rPr>
            </w:pPr>
            <w:r>
              <w:rPr>
                <w:rFonts w:cs="Arial" w:ascii="Arial" w:hAnsi="Arial"/>
                <w:sz w:val="16"/>
                <w:szCs w:val="16"/>
              </w:rPr>
            </w:r>
          </w:p>
        </w:tc>
        <w:tc>
          <w:tcPr>
            <w:tcW w:w="1276"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snapToGrid w:val="false"/>
              <w:jc w:val="center"/>
              <w:rPr>
                <w:rFonts w:ascii="Arial" w:hAnsi="Arial" w:cs="Arial"/>
                <w:sz w:val="16"/>
                <w:szCs w:val="16"/>
              </w:rPr>
            </w:pPr>
            <w:r>
              <w:rPr>
                <w:rFonts w:cs="Arial" w:ascii="Arial" w:hAnsi="Arial"/>
                <w:sz w:val="16"/>
                <w:szCs w:val="16"/>
              </w:rPr>
            </w:r>
          </w:p>
        </w:tc>
        <w:tc>
          <w:tcPr>
            <w:tcW w:w="992"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snapToGrid w:val="false"/>
              <w:jc w:val="center"/>
              <w:rPr>
                <w:rFonts w:ascii="Arial" w:hAnsi="Arial" w:cs="Arial"/>
                <w:sz w:val="16"/>
                <w:szCs w:val="16"/>
              </w:rPr>
            </w:pPr>
            <w:r>
              <w:rPr>
                <w:rFonts w:cs="Arial" w:ascii="Arial" w:hAnsi="Arial"/>
                <w:sz w:val="16"/>
                <w:szCs w:val="16"/>
              </w:rPr>
            </w:r>
          </w:p>
        </w:tc>
        <w:tc>
          <w:tcPr>
            <w:tcW w:w="1418"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snapToGrid w:val="false"/>
              <w:jc w:val="center"/>
              <w:rPr>
                <w:rFonts w:ascii="Arial" w:hAnsi="Arial" w:cs="Arial"/>
                <w:sz w:val="16"/>
                <w:szCs w:val="16"/>
              </w:rPr>
            </w:pPr>
            <w:r>
              <w:rPr>
                <w:rFonts w:cs="Arial" w:ascii="Arial" w:hAnsi="Arial"/>
                <w:sz w:val="16"/>
                <w:szCs w:val="16"/>
              </w:rPr>
            </w:r>
          </w:p>
        </w:tc>
        <w:tc>
          <w:tcPr>
            <w:tcW w:w="113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snapToGrid w:val="false"/>
              <w:jc w:val="center"/>
              <w:rPr>
                <w:rFonts w:ascii="Arial" w:hAnsi="Arial" w:cs="Arial"/>
                <w:sz w:val="16"/>
                <w:szCs w:val="16"/>
              </w:rPr>
            </w:pPr>
            <w:r>
              <w:rPr>
                <w:rFonts w:cs="Arial" w:ascii="Arial" w:hAnsi="Arial"/>
                <w:sz w:val="16"/>
                <w:szCs w:val="16"/>
              </w:rPr>
            </w:r>
          </w:p>
        </w:tc>
        <w:tc>
          <w:tcPr>
            <w:tcW w:w="1843"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snapToGrid w:val="false"/>
              <w:jc w:val="center"/>
              <w:rPr>
                <w:rFonts w:ascii="Arial" w:hAnsi="Arial" w:cs="Arial"/>
                <w:sz w:val="16"/>
                <w:szCs w:val="16"/>
              </w:rPr>
            </w:pPr>
            <w:r>
              <w:rPr>
                <w:rFonts w:cs="Arial" w:ascii="Arial" w:hAnsi="Arial"/>
                <w:sz w:val="16"/>
                <w:szCs w:val="16"/>
              </w:rPr>
            </w:r>
          </w:p>
        </w:tc>
        <w:tc>
          <w:tcPr>
            <w:tcW w:w="113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r>
      <w:tr>
        <w:trPr>
          <w:trHeight w:val="1187" w:hRule="atLeast"/>
        </w:trPr>
        <w:tc>
          <w:tcPr>
            <w:tcW w:w="5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Msolistparagraph"/>
              <w:numPr>
                <w:ilvl w:val="0"/>
                <w:numId w:val="3"/>
              </w:numPr>
              <w:tabs>
                <w:tab w:val="left" w:pos="12600" w:leader="none"/>
              </w:tabs>
              <w:snapToGrid w:val="false"/>
              <w:ind w:left="360" w:hanging="360"/>
              <w:rPr>
                <w:rFonts w:ascii="Arial" w:hAnsi="Arial" w:eastAsia="Calibri" w:cs="Arial"/>
                <w:b/>
                <w:b/>
                <w:sz w:val="16"/>
                <w:szCs w:val="16"/>
                <w:lang w:val="ru-RU" w:eastAsia="en-US"/>
              </w:rPr>
            </w:pPr>
            <w:r>
              <w:rPr>
                <w:rFonts w:eastAsia="Calibri" w:cs="Arial" w:ascii="Arial" w:hAnsi="Arial"/>
                <w:b/>
                <w:sz w:val="16"/>
                <w:szCs w:val="16"/>
                <w:lang w:val="ru-RU" w:eastAsia="en-US"/>
              </w:rPr>
            </w:r>
          </w:p>
        </w:tc>
        <w:tc>
          <w:tcPr>
            <w:tcW w:w="127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b/>
                <w:b/>
                <w:i/>
                <w:i/>
                <w:color w:val="000000"/>
                <w:sz w:val="16"/>
                <w:szCs w:val="16"/>
              </w:rPr>
            </w:pPr>
            <w:r>
              <w:rPr>
                <w:rFonts w:cs="Arial" w:ascii="Arial" w:hAnsi="Arial"/>
                <w:b/>
                <w:sz w:val="16"/>
                <w:szCs w:val="16"/>
              </w:rPr>
              <w:t>РАПАМУН / RAPAMUNE®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color w:val="000000"/>
                <w:sz w:val="16"/>
                <w:szCs w:val="16"/>
              </w:rPr>
            </w:pPr>
            <w:r>
              <w:rPr>
                <w:rFonts w:cs="Arial" w:ascii="Arial" w:hAnsi="Arial"/>
                <w:color w:val="000000"/>
                <w:sz w:val="16"/>
                <w:szCs w:val="16"/>
              </w:rPr>
              <w:t>Sirolimus</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color w:val="000000"/>
                <w:sz w:val="16"/>
                <w:szCs w:val="16"/>
              </w:rPr>
            </w:pPr>
            <w:r>
              <w:rPr>
                <w:rFonts w:cs="Arial" w:ascii="Arial" w:hAnsi="Arial"/>
                <w:color w:val="000000"/>
                <w:sz w:val="16"/>
                <w:szCs w:val="16"/>
              </w:rPr>
              <w:t>сиролімус</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rFonts w:ascii="Arial" w:hAnsi="Arial" w:cs="Arial"/>
                <w:color w:val="000000"/>
                <w:sz w:val="16"/>
                <w:szCs w:val="16"/>
              </w:rPr>
            </w:pPr>
            <w:r>
              <w:rPr>
                <w:rFonts w:cs="Arial" w:ascii="Arial" w:hAnsi="Arial"/>
                <w:color w:val="000000"/>
                <w:sz w:val="16"/>
                <w:szCs w:val="16"/>
              </w:rPr>
              <w:t>L04AA10</w:t>
            </w:r>
          </w:p>
        </w:tc>
        <w:tc>
          <w:tcPr>
            <w:tcW w:w="127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rPr/>
            </w:pPr>
            <w:r>
              <w:rPr>
                <w:rFonts w:cs="Arial" w:ascii="Arial" w:hAnsi="Arial"/>
                <w:color w:val="000000"/>
                <w:sz w:val="16"/>
                <w:szCs w:val="16"/>
              </w:rPr>
              <w:t>таблетки, вкриті оболонкою по 1 мг</w:t>
            </w:r>
            <w:r>
              <w:rPr>
                <w:rFonts w:cs="Arial" w:ascii="Arial" w:hAnsi="Arial"/>
                <w:color w:val="000000"/>
                <w:sz w:val="16"/>
                <w:szCs w:val="16"/>
                <w:lang w:val="ru-RU"/>
              </w:rPr>
              <w:t>;</w:t>
            </w:r>
            <w:r>
              <w:rPr>
                <w:rFonts w:cs="Arial" w:ascii="Arial" w:hAnsi="Arial"/>
                <w:color w:val="000000"/>
                <w:sz w:val="16"/>
                <w:szCs w:val="16"/>
              </w:rPr>
              <w:t xml:space="preserve"> по 10 таблеток у блістері; по 10 блістерів у картонній упаковці з маркуванням іспанською мовою</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Пфайзер Ейч. Сі. Пі. Корпорейшн</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pPr>
            <w:r>
              <w:rPr>
                <w:rFonts w:cs="Arial" w:ascii="Arial" w:hAnsi="Arial"/>
                <w:color w:val="000000"/>
                <w:sz w:val="16"/>
                <w:szCs w:val="16"/>
              </w:rPr>
              <w:t>первинне та вторинне пакування, тестування при випуску та випробування стабільності, випуск серії:</w:t>
              <w:br/>
              <w:t>Пфайзер Менюфекчуринг Дойчленд ГмбХ, Німеччина;</w:t>
              <w:br/>
              <w:br/>
              <w:t>виробництво та тестування при випуску проміжного продукту сиролімус наносистеми дисперсної:</w:t>
              <w:br/>
              <w:t>Ново Нордіск Продакшн Ірландія Лімітед, Ірландія;</w:t>
              <w:br/>
              <w:br/>
              <w:t>тестування сиролімус наносистеми дисперсної, виробництво in bulk; первинне та вторинне пакування, тестування при випуску та випуск серії:</w:t>
              <w:br/>
              <w:t>Пфайзер Ірландія Фармасьютікалз Анлімітед Компані, Ірландія;</w:t>
              <w:br/>
              <w:br/>
              <w:t>випробування стабільності:</w:t>
              <w:br/>
              <w:t>Пфайзер Інк., США</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color w:val="000000"/>
                <w:sz w:val="16"/>
                <w:szCs w:val="16"/>
              </w:rPr>
            </w:pPr>
            <w:r>
              <w:rPr>
                <w:rFonts w:cs="Arial" w:ascii="Arial" w:hAnsi="Arial"/>
                <w:color w:val="000000"/>
                <w:sz w:val="16"/>
                <w:szCs w:val="16"/>
              </w:rPr>
              <w:t>Німеччина/ Ірландія/ США</w:t>
            </w:r>
          </w:p>
        </w:tc>
        <w:tc>
          <w:tcPr>
            <w:tcW w:w="184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pPr>
            <w:r>
              <w:rPr>
                <w:rFonts w:cs="Arial" w:ascii="Arial" w:hAnsi="Arial"/>
                <w:color w:val="000000"/>
                <w:sz w:val="16"/>
                <w:szCs w:val="16"/>
              </w:rPr>
              <w:t>IA A6. Зміна коду АТС для сиролімусу відповідно до переглянутої класифікації імуносупресантів, заствердженої ВООЗ та опублікованої 26 січня 2024 року, а саме заміна коду L04AA10 на L04AH01</w:t>
              <w:br/>
              <w:t>IB C.I.z Оновлення до розділів "4.4 особливості застосування" та "4.5 Взаємодія з іншими лікарськими засобами й інші види взаємодій" короткої характеристики лікарського засобу з метою включення інформації про лікарську взаємодію з канабіолом відповідно до оцінки сигналу щодо системного підвищення рівнів у сироватці крові та токсичності інгібіторів кальциневрину та інгібіторів mTOR (EPITT №19614), згідно з рекомендацією PRAC, прийнятою на засіданні у березні 2022 року. Відповідні оновлення також було внесено до розділу "Прийом препарату Рапамун з іншими лікарськими засобами" інструкції про застосування лікарського засобу (листок-вкладиш: інформація для пацієнта). Зазначені зміни не впливають негативно на якість, безпеку та ефективність лікарського засобу.</w:t>
              <w:br/>
              <w:t>Оновлення до розділу 4.5 "взаємодія з іншими лікарськими засобами й інші види взаємодій" пункту "Інші можливі взаємодії" Короткої характеристики лікарського засобу (SmPC) шляхом включення інформації провзаємодію між сиролімусом та летермовіром, відповідно до рекомендації PRAC на підставі наявних даних щодо лікарської взаємодії, отриманих у результаті кумулятивного аналізу, включаючи два випадки, зареєстровані в глобальній базі даних безпеки власника реєстраційного посвідчення, а також результати одного дослідження фармакокінетики у людини. Відповідні оновлення також було внесено до розділу "Прийом препарату Рапамун з іншими лікарськими засобами" інструкції про застосування лікарського засобу (листок-вкладиш: інформація для пацієнта). Зазначені зміни не впливають негативно на якість, безпеку та ефективність лікарського засобу.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1"/>
              <w:tabs>
                <w:tab w:val="left" w:pos="12600" w:leader="none"/>
              </w:tabs>
              <w:jc w:val="center"/>
              <w:rPr>
                <w:rFonts w:ascii="Arial" w:hAnsi="Arial" w:cs="Arial"/>
                <w:i/>
                <w:i/>
                <w:sz w:val="16"/>
                <w:szCs w:val="16"/>
              </w:rPr>
            </w:pPr>
            <w:r>
              <w:rPr>
                <w:rFonts w:cs="Arial" w:ascii="Arial" w:hAnsi="Arial"/>
                <w:i/>
                <w:sz w:val="16"/>
                <w:szCs w:val="16"/>
              </w:rPr>
              <w:t xml:space="preserve">за </w:t>
            </w:r>
          </w:p>
          <w:p>
            <w:pPr>
              <w:pStyle w:val="Normal1"/>
              <w:tabs>
                <w:tab w:val="left" w:pos="12600" w:leader="none"/>
              </w:tabs>
              <w:jc w:val="center"/>
              <w:rPr>
                <w:rFonts w:ascii="Arial" w:hAnsi="Arial" w:cs="Arial"/>
                <w:b/>
                <w:b/>
                <w:i/>
                <w:i/>
                <w:color w:val="000000"/>
                <w:sz w:val="16"/>
                <w:szCs w:val="16"/>
              </w:rPr>
            </w:pPr>
            <w:r>
              <w:rPr>
                <w:rFonts w:cs="Arial" w:ascii="Arial" w:hAnsi="Arial"/>
                <w:i/>
                <w:sz w:val="16"/>
                <w:szCs w:val="16"/>
              </w:rPr>
              <w:t>рецептом</w:t>
            </w:r>
          </w:p>
        </w:tc>
        <w:tc>
          <w:tcPr>
            <w:tcW w:w="15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1"/>
              <w:tabs>
                <w:tab w:val="left" w:pos="12600" w:leader="none"/>
              </w:tabs>
              <w:jc w:val="center"/>
              <w:rPr>
                <w:rFonts w:ascii="Arial" w:hAnsi="Arial" w:cs="Arial"/>
                <w:sz w:val="16"/>
                <w:szCs w:val="16"/>
              </w:rPr>
            </w:pPr>
            <w:r>
              <w:rPr>
                <w:rFonts w:cs="Arial" w:ascii="Arial" w:hAnsi="Arial"/>
                <w:sz w:val="16"/>
                <w:szCs w:val="16"/>
              </w:rPr>
              <w:t>UA/19100/01/01</w:t>
            </w:r>
          </w:p>
        </w:tc>
      </w:tr>
    </w:tbl>
    <w:p>
      <w:pPr>
        <w:pStyle w:val="Normal"/>
        <w:rPr>
          <w:rFonts w:ascii="Arial" w:hAnsi="Arial" w:cs="Arial"/>
          <w:b/>
          <w:b/>
          <w:sz w:val="22"/>
          <w:szCs w:val="22"/>
        </w:rPr>
      </w:pPr>
      <w:r>
        <w:rPr>
          <w:rFonts w:cs="Arial" w:ascii="Arial" w:hAnsi="Arial"/>
          <w:b/>
          <w:sz w:val="22"/>
          <w:szCs w:val="22"/>
        </w:rPr>
      </w:r>
    </w:p>
    <w:sectPr>
      <w:type w:val="nextPage"/>
      <w:pgSz w:orient="landscape" w:w="16838" w:h="11906"/>
      <w:pgMar w:left="850" w:right="850" w:header="0" w:top="1417" w:footer="0" w:bottom="85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cc"/>
    <w:family w:val="roman"/>
    <w:pitch w:val="variable"/>
  </w:font>
  <w:font w:name="Arial">
    <w:charset w:val="cc"/>
    <w:family w:val="swiss"/>
    <w:pitch w:val="variable"/>
  </w:font>
  <w:font w:name="Cambria">
    <w:charset w:val="cc"/>
    <w:family w:val="roman"/>
    <w:pitch w:val="variable"/>
  </w:font>
  <w:font w:name="Segoe UI">
    <w:charset w:val="cc"/>
    <w:family w:val="swiss"/>
    <w:pitch w:val="variable"/>
  </w:font>
  <w:font w:name="Liberation Sans">
    <w:altName w:val="Arial"/>
    <w:charset w:val="0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pStyle w:val="Heading2"/>
      <w:numFmt w:val="none"/>
      <w:suff w:val="nothing"/>
      <w:lvlText w:val=""/>
      <w:lvlJc w:val="left"/>
      <w:pPr>
        <w:ind w:left="0" w:hanging="0"/>
      </w:pPr>
    </w:lvl>
    <w:lvl w:ilvl="2">
      <w:start w:val="1"/>
      <w:numFmt w:val="none"/>
      <w:suff w:val="nothing"/>
      <w:lvlText w:val=""/>
      <w:lvlJc w:val="left"/>
      <w:pPr>
        <w:ind w:left="0" w:hanging="0"/>
      </w:pPr>
    </w:lvl>
    <w:lvl w:ilvl="3">
      <w:start w:val="1"/>
      <w:pStyle w:val="Heading4"/>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left"/>
      <w:pPr>
        <w:ind w:left="720" w:hanging="36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16"/>
  <w:defaultTabStop w:val="708"/>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Cs w:val="24"/>
        <w:lang w:val="ru-RU" w:eastAsia="zh-CN" w:bidi="hi-IN"/>
      </w:rPr>
    </w:rPrDefault>
    <w:pPrDefault>
      <w:pPr/>
    </w:pPrDefault>
  </w:docDefaults>
  <w:style w:type="paragraph" w:styleId="Normal">
    <w:name w:val="Normal"/>
    <w:qFormat/>
    <w:pPr>
      <w:widowControl/>
      <w:bidi w:val="0"/>
    </w:pPr>
    <w:rPr>
      <w:rFonts w:ascii="Times New Roman" w:hAnsi="Times New Roman" w:eastAsia="Times New Roman" w:cs="Times New Roman"/>
      <w:color w:val="auto"/>
      <w:sz w:val="24"/>
      <w:szCs w:val="24"/>
      <w:lang w:val="uk-UA" w:bidi="ar-SA" w:eastAsia="zh-CN"/>
    </w:rPr>
  </w:style>
  <w:style w:type="paragraph" w:styleId="Heading2">
    <w:name w:val="Heading 2"/>
    <w:basedOn w:val="Normal"/>
    <w:next w:val="Normal1"/>
    <w:qFormat/>
    <w:pPr>
      <w:keepNext w:val="true"/>
      <w:numPr>
        <w:ilvl w:val="1"/>
        <w:numId w:val="1"/>
      </w:numPr>
      <w:outlineLvl w:val="1"/>
    </w:pPr>
    <w:rPr>
      <w:rFonts w:ascii="Arial" w:hAnsi="Arial" w:eastAsia="Times New Roman" w:cs="Arial"/>
      <w:b/>
      <w:caps/>
      <w:sz w:val="16"/>
      <w:szCs w:val="20"/>
    </w:rPr>
  </w:style>
  <w:style w:type="paragraph" w:styleId="Heading4">
    <w:name w:val="Heading 4"/>
    <w:basedOn w:val="Normal"/>
    <w:next w:val="Normal1"/>
    <w:qFormat/>
    <w:pPr>
      <w:keepNext w:val="true"/>
      <w:numPr>
        <w:ilvl w:val="3"/>
        <w:numId w:val="1"/>
      </w:numPr>
      <w:jc w:val="center"/>
      <w:outlineLvl w:val="3"/>
    </w:pPr>
    <w:rPr>
      <w:rFonts w:ascii="Arial" w:hAnsi="Arial" w:eastAsia="Times New Roman" w:cs="Arial"/>
      <w:b/>
      <w:sz w:val="20"/>
      <w:szCs w:val="20"/>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Style12">
    <w:name w:val="Основной шрифт абзаца"/>
    <w:qFormat/>
    <w:rPr/>
  </w:style>
  <w:style w:type="character" w:styleId="2">
    <w:name w:val="Заголовок 2 Знак"/>
    <w:qFormat/>
    <w:rPr>
      <w:rFonts w:ascii="Cambria" w:hAnsi="Cambria" w:eastAsia="Times New Roman" w:cs="Times New Roman"/>
      <w:b/>
      <w:bCs/>
      <w:color w:val="4F81BD"/>
      <w:sz w:val="26"/>
      <w:szCs w:val="26"/>
    </w:rPr>
  </w:style>
  <w:style w:type="character" w:styleId="4">
    <w:name w:val="Заголовок 4 Знак"/>
    <w:qFormat/>
    <w:rPr>
      <w:rFonts w:ascii="Cambria" w:hAnsi="Cambria" w:eastAsia="Times New Roman" w:cs="Times New Roman"/>
      <w:b/>
      <w:bCs/>
      <w:i/>
      <w:iCs/>
      <w:color w:val="4F81BD"/>
      <w:sz w:val="24"/>
      <w:szCs w:val="24"/>
    </w:rPr>
  </w:style>
  <w:style w:type="character" w:styleId="Heading2Char">
    <w:name w:val="Heading 2 Char"/>
    <w:qFormat/>
    <w:rPr>
      <w:rFonts w:ascii="Arial" w:hAnsi="Arial" w:eastAsia="Times New Roman" w:cs="Times New Roman"/>
      <w:b/>
      <w:bCs w:val="false"/>
      <w:caps/>
      <w:sz w:val="16"/>
      <w:lang w:val="ru-RU"/>
    </w:rPr>
  </w:style>
  <w:style w:type="character" w:styleId="Heading4Char">
    <w:name w:val="Heading 4 Char"/>
    <w:qFormat/>
    <w:rPr>
      <w:rFonts w:ascii="Arial" w:hAnsi="Arial" w:eastAsia="Times New Roman" w:cs="Times New Roman"/>
      <w:b/>
      <w:bCs w:val="false"/>
      <w:lang w:val="ru-RU"/>
    </w:rPr>
  </w:style>
  <w:style w:type="character" w:styleId="Style13">
    <w:name w:val="Текст выноски Знак"/>
    <w:qFormat/>
    <w:rPr>
      <w:rFonts w:ascii="Segoe UI" w:hAnsi="Segoe UI" w:eastAsia="Times New Roman" w:cs="Segoe UI"/>
      <w:sz w:val="18"/>
      <w:szCs w:val="18"/>
    </w:rPr>
  </w:style>
  <w:style w:type="paragraph" w:styleId="Heading">
    <w:name w:val="Heading"/>
    <w:basedOn w:val="Normal"/>
    <w:next w:val="TextBody"/>
    <w:qFormat/>
    <w:pPr>
      <w:keepNext w:val="true"/>
      <w:spacing w:before="240" w:after="120"/>
    </w:pPr>
    <w:rPr>
      <w:rFonts w:ascii="Liberation Sans" w:hAnsi="Liberation Sans" w:eastAsia="DejaVu Sans" w:cs="DejaVu Sans"/>
      <w:sz w:val="28"/>
      <w:szCs w:val="28"/>
    </w:rPr>
  </w:style>
  <w:style w:type="paragraph" w:styleId="TextBody">
    <w:name w:val="Body Text"/>
    <w:basedOn w:val="Normal"/>
    <w:pPr>
      <w:spacing w:lineRule="auto" w:line="288"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Normal1">
    <w:name w:val="LO-Normal"/>
    <w:basedOn w:val="Normal"/>
    <w:qFormat/>
    <w:pPr/>
    <w:rPr/>
  </w:style>
  <w:style w:type="paragraph" w:styleId="Msolistparagraph">
    <w:name w:val="msolistparagraph"/>
    <w:basedOn w:val="Normal"/>
    <w:qFormat/>
    <w:pPr>
      <w:spacing w:before="0" w:after="0"/>
      <w:ind w:left="720" w:hanging="0"/>
      <w:contextualSpacing/>
    </w:pPr>
    <w:rPr/>
  </w:style>
  <w:style w:type="paragraph" w:styleId="Encryption">
    <w:name w:val="Encryption"/>
    <w:basedOn w:val="Normal"/>
    <w:qFormat/>
    <w:pPr>
      <w:jc w:val="both"/>
    </w:pPr>
    <w:rPr>
      <w:b/>
      <w:bCs/>
      <w:i/>
      <w:iCs/>
    </w:rPr>
  </w:style>
  <w:style w:type="paragraph" w:styleId="WWHeading2">
    <w:name w:val="WW-Heading 2"/>
    <w:basedOn w:val="Normal"/>
    <w:qFormat/>
    <w:pPr/>
    <w:rPr/>
  </w:style>
  <w:style w:type="paragraph" w:styleId="WWHeading4">
    <w:name w:val="WW-Heading 4"/>
    <w:basedOn w:val="Normal"/>
    <w:qFormat/>
    <w:pPr/>
    <w:rPr/>
  </w:style>
  <w:style w:type="paragraph" w:styleId="Style14">
    <w:name w:val="Текст выноски"/>
    <w:basedOn w:val="Normal"/>
    <w:qFormat/>
    <w:pPr/>
    <w:rPr>
      <w:rFonts w:ascii="Segoe UI" w:hAnsi="Segoe UI" w:cs="Segoe UI"/>
      <w:sz w:val="18"/>
      <w:szCs w:val="18"/>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6</TotalTime>
  <Application>LibreOffice/5.3.6.1$Linux_X86_64 LibreOffice_project/30$Build-1</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2026-09-04T13:34:00Z</dcterms:created>
  <dc:creator>Vitaliya</dc:creator>
  <dc:description/>
  <dc:language>ru-RU</dc:language>
  <cp:lastModifiedBy>Кунцевич Олена Іванівна</cp:lastModifiedBy>
  <cp:lastPrinted>2021-07-15T10:59:00Z</cp:lastPrinted>
  <dcterms:modified xsi:type="dcterms:W3CDTF">2026-09-07T14:45:00Z</dcterms:modified>
  <cp:revision>5</cp:revision>
  <dc:subject/>
  <dc:title/>
</cp:coreProperties>
</file>