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header5.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media/image1.png" ContentType="image/png"/>
  <Override PartName="/word/header4.xml" ContentType="application/vnd.openxmlformats-officedocument.wordprocessingml.header+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header3.xml" ContentType="application/vnd.openxmlformats-officedocument.wordprocessingml.header+xml"/>
  <Override PartName="/word/styles.xml" ContentType="application/vnd.openxmlformats-officedocument.wordprocessingml.styles+xml"/>
  <Override PartName="/word/header6.xml" ContentType="application/vnd.openxmlformats-officedocument.wordprocessingml.header+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rPr>
      </w:pPr>
      <w:r>
        <w:rPr>
          <w:lang w:val="ru-RU" w:eastAsia="ru-RU"/>
        </w:rPr>
        <w:drawing>
          <wp:inline distT="0" distB="0" distL="0" distR="0">
            <wp:extent cx="389255" cy="58674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rcRect l="-68" t="-49" r="-68" b="-49"/>
                    <a:stretch>
                      <a:fillRect/>
                    </a:stretch>
                  </pic:blipFill>
                  <pic:spPr bwMode="auto">
                    <a:xfrm>
                      <a:off x="0" y="0"/>
                      <a:ext cx="389255" cy="586740"/>
                    </a:xfrm>
                    <a:prstGeom prst="rect">
                      <a:avLst/>
                    </a:prstGeom>
                  </pic:spPr>
                </pic:pic>
              </a:graphicData>
            </a:graphic>
          </wp:inline>
        </w:drawing>
      </w:r>
    </w:p>
    <w:p>
      <w:pPr>
        <w:pStyle w:val="Normal"/>
        <w:jc w:val="center"/>
        <w:rPr>
          <w:b/>
          <w:b/>
          <w:sz w:val="16"/>
          <w:szCs w:val="16"/>
        </w:rPr>
      </w:pPr>
      <w:r>
        <w:rPr>
          <w:b/>
          <w:sz w:val="16"/>
          <w:szCs w:val="16"/>
        </w:rPr>
      </w:r>
    </w:p>
    <w:p>
      <w:pPr>
        <w:pStyle w:val="Heading1"/>
        <w:numPr>
          <w:ilvl w:val="0"/>
          <w:numId w:val="1"/>
        </w:numPr>
        <w:jc w:val="center"/>
        <w:rPr>
          <w:rFonts w:eastAsia="Calibri"/>
          <w:sz w:val="28"/>
          <w:szCs w:val="28"/>
        </w:rPr>
      </w:pPr>
      <w:r>
        <w:rPr>
          <w:rFonts w:eastAsia="Calibri"/>
          <w:sz w:val="28"/>
          <w:szCs w:val="28"/>
        </w:rPr>
        <w:t>МІНІСТЕРСТВО ОХОРОНИ ЗДОРОВ’Я УКРАЇНИ</w:t>
      </w:r>
    </w:p>
    <w:p>
      <w:pPr>
        <w:pStyle w:val="Normal"/>
        <w:jc w:val="center"/>
        <w:rPr>
          <w:rFonts w:eastAsia="Calibri"/>
          <w:b/>
          <w:b/>
          <w:sz w:val="16"/>
          <w:szCs w:val="16"/>
        </w:rPr>
      </w:pPr>
      <w:r>
        <w:rPr>
          <w:rFonts w:eastAsia="Calibri"/>
          <w:b/>
          <w:sz w:val="16"/>
          <w:szCs w:val="16"/>
        </w:rPr>
      </w:r>
    </w:p>
    <w:p>
      <w:pPr>
        <w:pStyle w:val="Heading3"/>
        <w:numPr>
          <w:ilvl w:val="2"/>
          <w:numId w:val="1"/>
        </w:numPr>
        <w:spacing w:before="0" w:after="0"/>
        <w:jc w:val="center"/>
        <w:rPr>
          <w:rFonts w:ascii="Times New Roman" w:hAnsi="Times New Roman" w:eastAsia="Calibri" w:cs="Times New Roman"/>
          <w:sz w:val="30"/>
          <w:szCs w:val="30"/>
          <w:lang w:val="uk-UA"/>
        </w:rPr>
      </w:pPr>
      <w:r>
        <w:rPr>
          <w:rFonts w:eastAsia="Calibri" w:cs="Times New Roman" w:ascii="Times New Roman" w:hAnsi="Times New Roman"/>
          <w:sz w:val="30"/>
          <w:szCs w:val="30"/>
        </w:rPr>
        <w:t>Н А К А З</w:t>
      </w:r>
    </w:p>
    <w:p>
      <w:pPr>
        <w:pStyle w:val="Normal"/>
        <w:rPr>
          <w:rFonts w:ascii="Times New Roman" w:hAnsi="Times New Roman" w:eastAsia="Calibri" w:cs="Times New Roman"/>
          <w:sz w:val="30"/>
          <w:szCs w:val="30"/>
          <w:lang w:val="uk-UA"/>
        </w:rPr>
      </w:pPr>
      <w:r>
        <w:rPr>
          <w:rFonts w:eastAsia="Calibri" w:cs="Times New Roman"/>
          <w:sz w:val="30"/>
          <w:szCs w:val="30"/>
          <w:lang w:val="uk-UA"/>
        </w:rPr>
      </w:r>
    </w:p>
    <w:tbl>
      <w:tblPr>
        <w:tblW w:w="10103" w:type="dxa"/>
        <w:jc w:val="left"/>
        <w:tblInd w:w="-72" w:type="dxa"/>
        <w:tblBorders/>
        <w:tblCellMar>
          <w:top w:w="0" w:type="dxa"/>
          <w:left w:w="108" w:type="dxa"/>
          <w:bottom w:w="0" w:type="dxa"/>
          <w:right w:w="108" w:type="dxa"/>
        </w:tblCellMar>
      </w:tblPr>
      <w:tblGrid>
        <w:gridCol w:w="3271"/>
        <w:gridCol w:w="3005"/>
        <w:gridCol w:w="3827"/>
      </w:tblGrid>
      <w:tr>
        <w:trPr>
          <w:trHeight w:val="361" w:hRule="atLeast"/>
        </w:trPr>
        <w:tc>
          <w:tcPr>
            <w:tcW w:w="3271" w:type="dxa"/>
            <w:tcBorders/>
            <w:shd w:fill="auto" w:val="clear"/>
          </w:tcPr>
          <w:p>
            <w:pPr>
              <w:pStyle w:val="Normal"/>
              <w:snapToGrid w:val="false"/>
              <w:rPr>
                <w:sz w:val="28"/>
                <w:szCs w:val="28"/>
                <w:lang w:val="uk-UA"/>
              </w:rPr>
            </w:pPr>
            <w:r>
              <w:rPr>
                <w:sz w:val="28"/>
                <w:szCs w:val="28"/>
                <w:lang w:val="uk-UA"/>
              </w:rPr>
            </w:r>
          </w:p>
          <w:p>
            <w:pPr>
              <w:pStyle w:val="Normal"/>
              <w:rPr>
                <w:sz w:val="28"/>
                <w:szCs w:val="28"/>
                <w:lang w:val="uk-UA"/>
              </w:rPr>
            </w:pPr>
            <w:r>
              <w:rPr>
                <w:sz w:val="28"/>
                <w:szCs w:val="28"/>
                <w:lang w:val="uk-UA"/>
              </w:rPr>
              <w:t>22 вересня 2026 року</w:t>
            </w:r>
          </w:p>
          <w:p>
            <w:pPr>
              <w:pStyle w:val="Normal"/>
              <w:rPr>
                <w:rFonts w:eastAsia="Times New Roman"/>
                <w:sz w:val="28"/>
                <w:szCs w:val="28"/>
              </w:rPr>
            </w:pPr>
            <w:r>
              <w:rPr>
                <w:rFonts w:eastAsia="Times New Roman"/>
                <w:sz w:val="28"/>
                <w:szCs w:val="28"/>
              </w:rPr>
              <w:t xml:space="preserve"> </w:t>
            </w:r>
          </w:p>
        </w:tc>
        <w:tc>
          <w:tcPr>
            <w:tcW w:w="3005" w:type="dxa"/>
            <w:tcBorders/>
            <w:shd w:fill="auto" w:val="clear"/>
          </w:tcPr>
          <w:p>
            <w:pPr>
              <w:pStyle w:val="Normal"/>
              <w:jc w:val="center"/>
              <w:rPr>
                <w:sz w:val="24"/>
                <w:szCs w:val="24"/>
              </w:rPr>
            </w:pPr>
            <w:r>
              <w:rPr>
                <w:rFonts w:eastAsia="Times New Roman"/>
                <w:sz w:val="24"/>
                <w:szCs w:val="24"/>
              </w:rPr>
              <w:t xml:space="preserve">               </w:t>
            </w:r>
            <w:r>
              <w:rPr>
                <w:sz w:val="24"/>
                <w:szCs w:val="24"/>
              </w:rPr>
              <w:t>Київ</w:t>
            </w:r>
          </w:p>
        </w:tc>
        <w:tc>
          <w:tcPr>
            <w:tcW w:w="3827" w:type="dxa"/>
            <w:tcBorders/>
            <w:shd w:fill="auto" w:val="clear"/>
          </w:tcPr>
          <w:p>
            <w:pPr>
              <w:pStyle w:val="Normal"/>
              <w:snapToGrid w:val="false"/>
              <w:ind w:firstLine="72"/>
              <w:jc w:val="center"/>
              <w:rPr>
                <w:sz w:val="28"/>
                <w:szCs w:val="28"/>
                <w:lang w:val="uk-UA"/>
              </w:rPr>
            </w:pPr>
            <w:r>
              <w:rPr>
                <w:sz w:val="28"/>
                <w:szCs w:val="28"/>
                <w:lang w:val="uk-UA"/>
              </w:rPr>
            </w:r>
          </w:p>
          <w:p>
            <w:pPr>
              <w:pStyle w:val="Normal"/>
              <w:ind w:firstLine="72"/>
              <w:jc w:val="center"/>
              <w:rPr/>
            </w:pPr>
            <w:r>
              <w:rPr>
                <w:rFonts w:eastAsia="Times New Roman"/>
                <w:sz w:val="28"/>
                <w:szCs w:val="28"/>
                <w:lang w:val="uk-UA"/>
              </w:rPr>
              <w:t xml:space="preserve">                                     </w:t>
            </w:r>
            <w:r>
              <w:rPr>
                <w:sz w:val="28"/>
                <w:szCs w:val="28"/>
                <w:lang w:val="uk-UA"/>
              </w:rPr>
              <w:t>№</w:t>
            </w:r>
            <w:r>
              <w:rPr>
                <w:rFonts w:eastAsia="Times New Roman"/>
                <w:sz w:val="28"/>
                <w:szCs w:val="28"/>
                <w:lang w:val="uk-UA"/>
              </w:rPr>
              <w:t xml:space="preserve"> </w:t>
            </w:r>
            <w:r>
              <w:rPr>
                <w:sz w:val="28"/>
                <w:szCs w:val="28"/>
                <w:lang w:val="uk-UA"/>
              </w:rPr>
              <w:t xml:space="preserve">1383                          </w:t>
            </w:r>
            <w:r>
              <w:rPr>
                <w:sz w:val="28"/>
                <w:szCs w:val="28"/>
              </w:rPr>
              <w:t xml:space="preserve">                            </w:t>
            </w:r>
          </w:p>
        </w:tc>
      </w:tr>
    </w:tbl>
    <w:p>
      <w:pPr>
        <w:pStyle w:val="HTML1"/>
        <w:jc w:val="both"/>
        <w:rPr>
          <w:rFonts w:ascii="Times New Roman" w:hAnsi="Times New Roman" w:cs="Times New Roman"/>
          <w:sz w:val="16"/>
          <w:szCs w:val="16"/>
          <w:lang w:val="uk-UA"/>
        </w:rPr>
      </w:pPr>
      <w:r>
        <w:rPr>
          <w:rFonts w:cs="Times New Roman" w:ascii="Times New Roman" w:hAnsi="Times New Roman"/>
          <w:b/>
          <w:sz w:val="28"/>
          <w:szCs w:val="28"/>
          <w:lang w:val="uk-UA"/>
        </w:rPr>
        <w:t>Про державну перереєстрацію лікарських засобів та внесення змін до реєстраційних матеріалів лікарських засобів, які зареєстровані компетентними органами Сполучених Штатів Америки, Великої Британії, Швейцарської Конфедерації, Японії, Австралії, Канади, Європейського Союзу</w:t>
      </w:r>
    </w:p>
    <w:p>
      <w:pPr>
        <w:pStyle w:val="HTML1"/>
        <w:jc w:val="both"/>
        <w:rPr>
          <w:rFonts w:ascii="Times New Roman" w:hAnsi="Times New Roman" w:cs="Times New Roman"/>
          <w:sz w:val="16"/>
          <w:szCs w:val="16"/>
          <w:lang w:val="uk-UA"/>
        </w:rPr>
      </w:pPr>
      <w:r>
        <w:rPr>
          <w:rFonts w:cs="Times New Roman" w:ascii="Times New Roman" w:hAnsi="Times New Roman"/>
          <w:sz w:val="16"/>
          <w:szCs w:val="16"/>
          <w:lang w:val="uk-UA"/>
        </w:rPr>
      </w:r>
    </w:p>
    <w:p>
      <w:pPr>
        <w:pStyle w:val="HTML1"/>
        <w:ind w:firstLine="720"/>
        <w:jc w:val="both"/>
        <w:rPr/>
      </w:pPr>
      <w:r>
        <w:rPr>
          <w:rFonts w:cs="Times New Roman" w:ascii="Times New Roman" w:hAnsi="Times New Roman"/>
          <w:sz w:val="28"/>
          <w:szCs w:val="28"/>
          <w:lang w:val="uk-UA"/>
        </w:rPr>
        <w:t xml:space="preserve">Відповідно до статті 9 Закону України «Про лікарські засоби», </w:t>
        <w:br/>
        <w:t>пунктів 5, 26, 31, 33, 39 Порядку державної реєстрації (перереєстрації) лікарських засобів, затвердженого постановою Кабінету Міністрів України від 26 травня 2005 року  № 376 (в редакції постанови Кабінету Міністрів України від 26 квітня 2024 р. № 529), абзацу двадцять п’ятого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року № 90), пунктів 5, 8 розділу ІІ, пункту 12 розділу ІІІ Порядку розгляду реєстраційних матеріалів на лікарські засоби, що подаються на державну реєстрацію (перереєстрацію), та матеріалів про внесення змін до реєстраційних матеріалів протягом дії реєстраційного посвідчення на лікарські засоби, які зареєстровані компетентними органами Сполучених Штатів Америки, Великої Британії, Швейцарської Конфедерації, Японії, Австралії, Канади, Європейського Союзу, лікарських засобів, що за централізованою процедурою зареєстровані компетентним органом Європейського Союзу, затвердженого наказом Міністерства охорони здоров'я України від 17 листопада 2016 року № 1245, зареєстрованого в Міністерстві юстиції України 14 грудня 2016 року за № 1619/29749, на підставі складених державним підприємством «Державний експертний центр Міністерства охорони здоров’я України» висновків щодо експертної оцінки співвідношення користь/ризик лікарського засобу, що пропонується до державної перереєстрації, та про результати розгляду матеріалів про внесення змін до реєстраційних матеріалів лікарських засобів, які зареєстровані компетентним органом та застосовуються на території цієї країни чи держав – членів Європейського Союзу,</w:t>
      </w:r>
    </w:p>
    <w:p>
      <w:pPr>
        <w:pStyle w:val="HTML1"/>
        <w:ind w:firstLine="720"/>
        <w:jc w:val="both"/>
        <w:rPr>
          <w:rFonts w:ascii="Times New Roman" w:hAnsi="Times New Roman" w:cs="Times New Roman"/>
          <w:sz w:val="16"/>
          <w:szCs w:val="16"/>
          <w:lang w:val="uk-UA"/>
        </w:rPr>
      </w:pPr>
      <w:r>
        <w:rPr>
          <w:rFonts w:cs="Times New Roman" w:ascii="Times New Roman" w:hAnsi="Times New Roman"/>
          <w:sz w:val="16"/>
          <w:szCs w:val="16"/>
          <w:lang w:val="uk-UA"/>
        </w:rPr>
      </w:r>
    </w:p>
    <w:p>
      <w:pPr>
        <w:pStyle w:val="32"/>
        <w:spacing w:before="0" w:after="0"/>
        <w:ind w:left="0" w:hanging="0"/>
        <w:rPr>
          <w:b/>
          <w:b/>
          <w:bCs/>
          <w:sz w:val="28"/>
          <w:szCs w:val="28"/>
          <w:lang w:val="uk-UA"/>
        </w:rPr>
      </w:pPr>
      <w:r>
        <w:rPr>
          <w:b/>
          <w:bCs/>
          <w:sz w:val="28"/>
          <w:szCs w:val="28"/>
          <w:lang w:val="uk-UA"/>
        </w:rPr>
        <w:t>НАКАЗУЮ:</w:t>
      </w:r>
    </w:p>
    <w:p>
      <w:pPr>
        <w:pStyle w:val="32"/>
        <w:spacing w:before="0" w:after="0"/>
        <w:ind w:left="0" w:hanging="0"/>
        <w:rPr>
          <w:b/>
          <w:b/>
          <w:bCs/>
          <w:sz w:val="28"/>
          <w:szCs w:val="28"/>
          <w:lang w:val="uk-UA"/>
        </w:rPr>
      </w:pPr>
      <w:r>
        <w:rPr>
          <w:b/>
          <w:bCs/>
          <w:sz w:val="28"/>
          <w:szCs w:val="28"/>
          <w:lang w:val="uk-UA"/>
        </w:rPr>
      </w:r>
    </w:p>
    <w:p>
      <w:pPr>
        <w:pStyle w:val="Normal"/>
        <w:numPr>
          <w:ilvl w:val="0"/>
          <w:numId w:val="4"/>
        </w:numPr>
        <w:tabs>
          <w:tab w:val="left" w:pos="1134" w:leader="none"/>
        </w:tabs>
        <w:ind w:left="0" w:firstLine="709"/>
        <w:jc w:val="both"/>
        <w:rPr/>
      </w:pPr>
      <w:r>
        <w:rPr>
          <w:sz w:val="28"/>
          <w:szCs w:val="28"/>
          <w:lang w:val="uk-UA"/>
        </w:rPr>
        <w:t>Перереєструвати лікарські засоби (медичні імунобіологічні препарати), які зареєстровані компетентними органами Сполучених Штатів Америки, Великої Британії, 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 та внести їх до Державного реєстру лікарських засобів згідно з додатком 1.</w:t>
      </w:r>
    </w:p>
    <w:p>
      <w:pPr>
        <w:pStyle w:val="Normal"/>
        <w:tabs>
          <w:tab w:val="left" w:pos="1134" w:leader="none"/>
        </w:tabs>
        <w:ind w:firstLine="709"/>
        <w:jc w:val="both"/>
        <w:rPr>
          <w:sz w:val="28"/>
          <w:szCs w:val="28"/>
          <w:lang w:val="uk-UA"/>
        </w:rPr>
      </w:pPr>
      <w:r>
        <w:rPr>
          <w:sz w:val="28"/>
          <w:szCs w:val="28"/>
          <w:lang w:val="uk-UA"/>
        </w:rPr>
      </w:r>
    </w:p>
    <w:p>
      <w:pPr>
        <w:pStyle w:val="Normal"/>
        <w:numPr>
          <w:ilvl w:val="0"/>
          <w:numId w:val="4"/>
        </w:numPr>
        <w:tabs>
          <w:tab w:val="left" w:pos="993" w:leader="none"/>
          <w:tab w:val="left" w:pos="1134" w:leader="none"/>
        </w:tabs>
        <w:ind w:left="0" w:firstLine="709"/>
        <w:jc w:val="both"/>
        <w:rPr/>
      </w:pPr>
      <w:r>
        <w:rPr>
          <w:rFonts w:eastAsia="Times New Roman"/>
          <w:sz w:val="28"/>
          <w:szCs w:val="28"/>
          <w:lang w:val="uk-UA"/>
        </w:rPr>
        <w:t xml:space="preserve"> </w:t>
      </w:r>
      <w:r>
        <w:rPr>
          <w:sz w:val="28"/>
          <w:szCs w:val="28"/>
          <w:lang w:val="uk-UA"/>
        </w:rPr>
        <w:t xml:space="preserve">Внести зміни до реєстраційних матеріалів на </w:t>
      </w:r>
      <w:r>
        <w:rPr>
          <w:sz w:val="28"/>
          <w:szCs w:val="28"/>
          <w:lang w:val="uk-UA" w:eastAsia="ru-RU"/>
        </w:rPr>
        <w:t xml:space="preserve">лікарські засоби </w:t>
      </w:r>
      <w:r>
        <w:rPr>
          <w:sz w:val="28"/>
          <w:szCs w:val="28"/>
          <w:lang w:val="uk-UA"/>
        </w:rPr>
        <w:t>(медичні імунобіологічні препарати), які зареєстровані компетентними органами Сполучених Штатів Америки, Великої Британії, Швейцарської Конфедерації, Японії, Австралії, Канади, лікарські засоби, що за централізованою процедурою зареєстровані компетентним органом Європейського Союзу, та до Державного реєстру лікарських засобів згідно з додатком 2.</w:t>
      </w:r>
    </w:p>
    <w:p>
      <w:pPr>
        <w:pStyle w:val="Style13"/>
        <w:tabs>
          <w:tab w:val="left" w:pos="1134" w:leader="none"/>
        </w:tabs>
        <w:ind w:left="0" w:firstLine="709"/>
        <w:jc w:val="both"/>
        <w:rPr>
          <w:sz w:val="28"/>
          <w:szCs w:val="28"/>
          <w:lang w:val="uk-UA"/>
        </w:rPr>
      </w:pPr>
      <w:r>
        <w:rPr>
          <w:sz w:val="28"/>
          <w:szCs w:val="28"/>
          <w:lang w:val="uk-UA"/>
        </w:rPr>
      </w:r>
    </w:p>
    <w:p>
      <w:pPr>
        <w:pStyle w:val="Normal"/>
        <w:numPr>
          <w:ilvl w:val="0"/>
          <w:numId w:val="4"/>
        </w:numPr>
        <w:tabs>
          <w:tab w:val="left" w:pos="709" w:leader="none"/>
          <w:tab w:val="left" w:pos="993" w:leader="none"/>
          <w:tab w:val="left" w:pos="1080" w:leader="none"/>
          <w:tab w:val="left" w:pos="1134" w:leader="none"/>
        </w:tabs>
        <w:ind w:left="0" w:firstLine="709"/>
        <w:jc w:val="both"/>
        <w:rPr/>
      </w:pPr>
      <w:r>
        <w:rPr>
          <w:sz w:val="28"/>
          <w:szCs w:val="28"/>
          <w:lang w:val="uk-UA"/>
        </w:rPr>
        <w:t>Фармацевтичному управлінню (Олександру Гріценку) забезпечити оприлюднення цього наказу на офіційному вебсайті Міністерства охорони здоров’я України.</w:t>
      </w:r>
    </w:p>
    <w:p>
      <w:pPr>
        <w:pStyle w:val="Normal"/>
        <w:tabs>
          <w:tab w:val="left" w:pos="1134" w:leader="none"/>
        </w:tabs>
        <w:ind w:firstLine="709"/>
        <w:jc w:val="both"/>
        <w:rPr>
          <w:sz w:val="16"/>
          <w:szCs w:val="16"/>
          <w:lang w:val="uk-UA"/>
        </w:rPr>
      </w:pPr>
      <w:r>
        <w:rPr>
          <w:sz w:val="16"/>
          <w:szCs w:val="16"/>
          <w:lang w:val="uk-UA"/>
        </w:rPr>
      </w:r>
    </w:p>
    <w:p>
      <w:pPr>
        <w:pStyle w:val="Normal"/>
        <w:tabs>
          <w:tab w:val="left" w:pos="1134" w:leader="none"/>
        </w:tabs>
        <w:ind w:firstLine="709"/>
        <w:jc w:val="both"/>
        <w:rPr>
          <w:sz w:val="16"/>
          <w:szCs w:val="16"/>
          <w:lang w:val="uk-UA"/>
        </w:rPr>
      </w:pPr>
      <w:r>
        <w:rPr>
          <w:sz w:val="16"/>
          <w:szCs w:val="16"/>
          <w:lang w:val="uk-UA"/>
        </w:rPr>
      </w:r>
    </w:p>
    <w:p>
      <w:pPr>
        <w:pStyle w:val="Normal"/>
        <w:numPr>
          <w:ilvl w:val="0"/>
          <w:numId w:val="4"/>
        </w:numPr>
        <w:tabs>
          <w:tab w:val="left" w:pos="720" w:leader="none"/>
          <w:tab w:val="left" w:pos="1134" w:leader="none"/>
        </w:tabs>
        <w:ind w:left="0" w:firstLine="709"/>
        <w:jc w:val="both"/>
        <w:rPr>
          <w:sz w:val="28"/>
          <w:szCs w:val="28"/>
          <w:lang w:val="uk-UA"/>
        </w:rPr>
      </w:pPr>
      <w:r>
        <w:rPr>
          <w:sz w:val="28"/>
          <w:szCs w:val="28"/>
          <w:lang w:val="uk-UA"/>
        </w:rPr>
        <w:t>Контроль за виконанням цього наказу покласти на заступника Міністра Євгенія Гончара.</w:t>
      </w:r>
    </w:p>
    <w:p>
      <w:pPr>
        <w:pStyle w:val="Normal"/>
        <w:tabs>
          <w:tab w:val="left" w:pos="567" w:leader="none"/>
        </w:tabs>
        <w:jc w:val="both"/>
        <w:rPr>
          <w:sz w:val="28"/>
          <w:szCs w:val="28"/>
          <w:lang w:val="uk-UA"/>
        </w:rPr>
      </w:pPr>
      <w:r>
        <w:rPr>
          <w:sz w:val="28"/>
          <w:szCs w:val="28"/>
          <w:lang w:val="uk-UA"/>
        </w:rPr>
      </w:r>
    </w:p>
    <w:p>
      <w:pPr>
        <w:pStyle w:val="Normal"/>
        <w:tabs>
          <w:tab w:val="left" w:pos="720" w:leader="none"/>
        </w:tabs>
        <w:ind w:firstLine="709"/>
        <w:jc w:val="both"/>
        <w:rPr>
          <w:sz w:val="28"/>
          <w:szCs w:val="28"/>
          <w:lang w:val="uk-UA"/>
        </w:rPr>
      </w:pPr>
      <w:r>
        <w:rPr>
          <w:sz w:val="28"/>
          <w:szCs w:val="28"/>
          <w:lang w:val="uk-UA"/>
        </w:rPr>
      </w:r>
    </w:p>
    <w:p>
      <w:pPr>
        <w:pStyle w:val="Normal"/>
        <w:tabs>
          <w:tab w:val="left" w:pos="720" w:leader="none"/>
        </w:tabs>
        <w:ind w:firstLine="709"/>
        <w:jc w:val="both"/>
        <w:rPr>
          <w:sz w:val="28"/>
          <w:szCs w:val="28"/>
          <w:lang w:val="uk-UA"/>
        </w:rPr>
      </w:pPr>
      <w:r>
        <w:rPr>
          <w:sz w:val="28"/>
          <w:szCs w:val="28"/>
          <w:lang w:val="uk-UA"/>
        </w:rPr>
      </w:r>
    </w:p>
    <w:p>
      <w:pPr>
        <w:sectPr>
          <w:headerReference w:type="default" r:id="rId3"/>
          <w:headerReference w:type="first" r:id="rId4"/>
          <w:type w:val="nextPage"/>
          <w:pgSz w:w="11906" w:h="16838"/>
          <w:pgMar w:left="1418" w:right="567" w:header="709" w:top="899" w:footer="0" w:bottom="1560" w:gutter="0"/>
          <w:pgNumType w:fmt="decimal"/>
          <w:formProt w:val="false"/>
          <w:titlePg/>
          <w:textDirection w:val="lrTb"/>
          <w:docGrid w:type="default" w:linePitch="360" w:charSpace="0"/>
        </w:sectPr>
        <w:pStyle w:val="Normal"/>
        <w:rPr>
          <w:b/>
          <w:b/>
          <w:sz w:val="28"/>
          <w:szCs w:val="28"/>
          <w:lang w:val="uk-UA"/>
        </w:rPr>
      </w:pPr>
      <w:r>
        <w:rPr>
          <w:b/>
          <w:sz w:val="28"/>
          <w:szCs w:val="28"/>
          <w:lang w:val="uk-UA"/>
        </w:rPr>
        <w:t xml:space="preserve">Міністр                                                                                               Віктор ЛЯШКО   </w:t>
      </w:r>
    </w:p>
    <w:p>
      <w:pPr>
        <w:pStyle w:val="Heading4"/>
        <w:numPr>
          <w:ilvl w:val="3"/>
          <w:numId w:val="1"/>
        </w:numPr>
        <w:tabs>
          <w:tab w:val="left" w:pos="12600" w:leader="none"/>
        </w:tabs>
        <w:rPr>
          <w:rFonts w:cs="Arial"/>
        </w:rPr>
      </w:pPr>
      <w:r>
        <w:rPr>
          <w:rFonts w:eastAsia="Times New Roman" w:cs="Times New Roman"/>
          <w:sz w:val="18"/>
          <w:szCs w:val="18"/>
        </w:rPr>
        <w:t xml:space="preserve">                                                                                                                                                                                                       </w:t>
      </w:r>
      <w:r>
        <mc:AlternateContent>
          <mc:Choice Requires="wps">
            <w:drawing>
              <wp:anchor behindDoc="0" distT="0" distB="0" distL="114300" distR="114300" simplePos="0" locked="0" layoutInCell="1" allowOverlap="1" relativeHeight="3">
                <wp:simplePos x="0" y="0"/>
                <wp:positionH relativeFrom="page">
                  <wp:posOffset>7898130</wp:posOffset>
                </wp:positionH>
                <wp:positionV relativeFrom="paragraph">
                  <wp:posOffset>-131445</wp:posOffset>
                </wp:positionV>
                <wp:extent cx="2430145" cy="1314450"/>
                <wp:effectExtent l="0" t="0" r="0" b="0"/>
                <wp:wrapSquare wrapText="bothSides"/>
                <wp:docPr id="2" name="Frame1"/>
                <a:graphic xmlns:a="http://schemas.openxmlformats.org/drawingml/2006/main">
                  <a:graphicData uri="http://schemas.microsoft.com/office/word/2010/wordprocessingShape">
                    <wps:wsp>
                      <wps:cNvSpPr txBox="1"/>
                      <wps:spPr>
                        <a:xfrm>
                          <a:off x="0" y="0"/>
                          <a:ext cx="2430145" cy="1314450"/>
                        </a:xfrm>
                        <a:prstGeom prst="rect"/>
                        <a:solidFill>
                          <a:srgbClr val="FFFFFF">
                            <a:alpha val="0"/>
                          </a:srgbClr>
                        </a:solidFill>
                      </wps:spPr>
                      <wps:txbx>
                        <w:txbxContent>
                          <w:tbl>
                            <w:tblPr>
                              <w:tblW w:w="3827" w:type="dxa"/>
                              <w:jc w:val="left"/>
                              <w:tblInd w:w="108" w:type="dxa"/>
                              <w:tblBorders/>
                              <w:tblCellMar>
                                <w:top w:w="0" w:type="dxa"/>
                                <w:left w:w="108" w:type="dxa"/>
                                <w:bottom w:w="0" w:type="dxa"/>
                                <w:right w:w="108" w:type="dxa"/>
                              </w:tblCellMar>
                            </w:tblPr>
                            <w:tblGrid>
                              <w:gridCol w:w="3827"/>
                            </w:tblGrid>
                            <w:tr>
                              <w:trPr/>
                              <w:tc>
                                <w:tcPr>
                                  <w:tcW w:w="3827" w:type="dxa"/>
                                  <w:tcBorders/>
                                  <w:shd w:fill="auto" w:val="clear"/>
                                </w:tcPr>
                                <w:p>
                                  <w:pPr>
                                    <w:pStyle w:val="Heading4"/>
                                    <w:numPr>
                                      <w:ilvl w:val="3"/>
                                      <w:numId w:val="1"/>
                                    </w:numPr>
                                    <w:tabs>
                                      <w:tab w:val="left" w:pos="12600" w:leader="none"/>
                                    </w:tabs>
                                    <w:spacing w:before="0" w:after="0"/>
                                    <w:jc w:val="both"/>
                                    <w:rPr>
                                      <w:b w:val="false"/>
                                      <w:b w:val="false"/>
                                      <w:sz w:val="18"/>
                                      <w:szCs w:val="18"/>
                                      <w:lang w:val="uk-UA"/>
                                    </w:rPr>
                                  </w:pPr>
                                  <w:bookmarkStart w:id="0" w:name="_Hlk64454507"/>
                                  <w:bookmarkEnd w:id="0"/>
                                  <w:r>
                                    <w:rPr>
                                      <w:b w:val="false"/>
                                      <w:sz w:val="18"/>
                                      <w:szCs w:val="18"/>
                                      <w:lang w:val="uk-UA"/>
                                    </w:rPr>
                                    <w:t xml:space="preserve">Додаток 1 </w:t>
                                  </w:r>
                                </w:p>
                                <w:p>
                                  <w:pPr>
                                    <w:pStyle w:val="Heading4"/>
                                    <w:numPr>
                                      <w:ilvl w:val="3"/>
                                      <w:numId w:val="1"/>
                                    </w:numPr>
                                    <w:tabs>
                                      <w:tab w:val="left" w:pos="12600" w:leader="none"/>
                                    </w:tabs>
                                    <w:spacing w:before="0" w:after="0"/>
                                    <w:jc w:val="both"/>
                                    <w:rPr>
                                      <w:b w:val="false"/>
                                      <w:b w:val="false"/>
                                      <w:sz w:val="18"/>
                                      <w:szCs w:val="18"/>
                                      <w:lang w:val="uk-UA"/>
                                    </w:rPr>
                                  </w:pPr>
                                  <w:r>
                                    <w:rPr>
                                      <w:b w:val="false"/>
                                      <w:sz w:val="18"/>
                                      <w:szCs w:val="18"/>
                                      <w:lang w:val="uk-UA"/>
                                    </w:rPr>
                                    <w:t>до наказу Міністерства охорони здоров’я України «Про державну перереєстрацію лікарських засобів та внесення змін до реєстраційних матеріалів лікарських засобів, які зареєстровані компетентними органами Сполучених Штатів Америки, Великої Британії, Швейцарської Конфедерації, Японії, Австралії, Канади, Європейського Союзу»</w:t>
                                  </w:r>
                                </w:p>
                                <w:p>
                                  <w:pPr>
                                    <w:pStyle w:val="Normal1"/>
                                    <w:jc w:val="both"/>
                                    <w:rPr>
                                      <w:rFonts w:cs="Calibri"/>
                                      <w:u w:val="single"/>
                                    </w:rPr>
                                  </w:pPr>
                                  <w:r>
                                    <w:rPr>
                                      <w:sz w:val="18"/>
                                      <w:szCs w:val="18"/>
                                      <w:u w:val="single"/>
                                    </w:rPr>
                                    <w:t>від 22 вересня 2026 року № 1383</w:t>
                                  </w:r>
                                </w:p>
                              </w:tc>
                            </w:tr>
                          </w:tbl>
                        </w:txbxContent>
                      </wps:txbx>
                      <wps:bodyPr anchor="t">
                        <a:noAutofit/>
                      </wps:bodyPr>
                    </wps:wsp>
                  </a:graphicData>
                </a:graphic>
              </wp:anchor>
            </w:drawing>
          </mc:Choice>
          <mc:Fallback>
            <w:pict>
              <v:rect fillcolor="#FFFFFF" style="position:absolute;rotation:0;width:191.35pt;height:103.5pt;mso-wrap-distance-left:9pt;mso-wrap-distance-right:9pt;margin-top:-10.35pt;mso-position-vertical-relative:text;margin-left:621.9pt;mso-position-horizontal-relative:page">
                <v:fill opacity="0f"/>
                <v:textbox>
                  <w:txbxContent>
                    <w:tbl>
                      <w:tblPr>
                        <w:tblW w:w="3827" w:type="dxa"/>
                        <w:jc w:val="left"/>
                        <w:tblInd w:w="108" w:type="dxa"/>
                        <w:tblBorders/>
                        <w:tblCellMar>
                          <w:top w:w="0" w:type="dxa"/>
                          <w:left w:w="108" w:type="dxa"/>
                          <w:bottom w:w="0" w:type="dxa"/>
                          <w:right w:w="108" w:type="dxa"/>
                        </w:tblCellMar>
                      </w:tblPr>
                      <w:tblGrid>
                        <w:gridCol w:w="3827"/>
                      </w:tblGrid>
                      <w:tr>
                        <w:trPr/>
                        <w:tc>
                          <w:tcPr>
                            <w:tcW w:w="3827" w:type="dxa"/>
                            <w:tcBorders/>
                            <w:shd w:fill="auto" w:val="clear"/>
                          </w:tcPr>
                          <w:p>
                            <w:pPr>
                              <w:pStyle w:val="Heading4"/>
                              <w:numPr>
                                <w:ilvl w:val="3"/>
                                <w:numId w:val="1"/>
                              </w:numPr>
                              <w:tabs>
                                <w:tab w:val="left" w:pos="12600" w:leader="none"/>
                              </w:tabs>
                              <w:spacing w:before="0" w:after="0"/>
                              <w:jc w:val="both"/>
                              <w:rPr>
                                <w:b w:val="false"/>
                                <w:b w:val="false"/>
                                <w:sz w:val="18"/>
                                <w:szCs w:val="18"/>
                                <w:lang w:val="uk-UA"/>
                              </w:rPr>
                            </w:pPr>
                            <w:bookmarkStart w:id="1" w:name="_Hlk64454507"/>
                            <w:bookmarkEnd w:id="1"/>
                            <w:r>
                              <w:rPr>
                                <w:b w:val="false"/>
                                <w:sz w:val="18"/>
                                <w:szCs w:val="18"/>
                                <w:lang w:val="uk-UA"/>
                              </w:rPr>
                              <w:t xml:space="preserve">Додаток 1 </w:t>
                            </w:r>
                          </w:p>
                          <w:p>
                            <w:pPr>
                              <w:pStyle w:val="Heading4"/>
                              <w:numPr>
                                <w:ilvl w:val="3"/>
                                <w:numId w:val="1"/>
                              </w:numPr>
                              <w:tabs>
                                <w:tab w:val="left" w:pos="12600" w:leader="none"/>
                              </w:tabs>
                              <w:spacing w:before="0" w:after="0"/>
                              <w:jc w:val="both"/>
                              <w:rPr>
                                <w:b w:val="false"/>
                                <w:b w:val="false"/>
                                <w:sz w:val="18"/>
                                <w:szCs w:val="18"/>
                                <w:lang w:val="uk-UA"/>
                              </w:rPr>
                            </w:pPr>
                            <w:r>
                              <w:rPr>
                                <w:b w:val="false"/>
                                <w:sz w:val="18"/>
                                <w:szCs w:val="18"/>
                                <w:lang w:val="uk-UA"/>
                              </w:rPr>
                              <w:t>до наказу Міністерства охорони здоров’я України «Про державну перереєстрацію лікарських засобів та внесення змін до реєстраційних матеріалів лікарських засобів, які зареєстровані компетентними органами Сполучених Штатів Америки, Великої Британії, Швейцарської Конфедерації, Японії, Австралії, Канади, Європейського Союзу»</w:t>
                            </w:r>
                          </w:p>
                          <w:p>
                            <w:pPr>
                              <w:pStyle w:val="Normal1"/>
                              <w:jc w:val="both"/>
                              <w:rPr>
                                <w:rFonts w:cs="Calibri"/>
                                <w:u w:val="single"/>
                              </w:rPr>
                            </w:pPr>
                            <w:r>
                              <w:rPr>
                                <w:sz w:val="18"/>
                                <w:szCs w:val="18"/>
                                <w:u w:val="single"/>
                              </w:rPr>
                              <w:t>від 22 вересня 2026 року № 1383</w:t>
                            </w:r>
                          </w:p>
                        </w:tc>
                      </w:tr>
                    </w:tbl>
                  </w:txbxContent>
                </v:textbox>
                <w10:wrap type="square"/>
              </v:rect>
            </w:pict>
          </mc:Fallback>
        </mc:AlternateContent>
      </w:r>
    </w:p>
    <w:p>
      <w:pPr>
        <w:pStyle w:val="Heading4"/>
        <w:numPr>
          <w:ilvl w:val="3"/>
          <w:numId w:val="1"/>
        </w:numPr>
        <w:tabs>
          <w:tab w:val="left" w:pos="12600" w:leader="none"/>
        </w:tabs>
        <w:rPr>
          <w:rFonts w:cs="Arial"/>
          <w:sz w:val="18"/>
          <w:szCs w:val="18"/>
        </w:rPr>
      </w:pPr>
      <w:r>
        <w:rPr>
          <w:rFonts w:cs="Arial"/>
          <w:sz w:val="18"/>
          <w:szCs w:val="18"/>
        </w:rPr>
      </w:r>
    </w:p>
    <w:p>
      <w:pPr>
        <w:pStyle w:val="Heading4"/>
        <w:numPr>
          <w:ilvl w:val="3"/>
          <w:numId w:val="1"/>
        </w:numPr>
        <w:tabs>
          <w:tab w:val="left" w:pos="12600" w:leader="none"/>
        </w:tabs>
        <w:rPr>
          <w:rFonts w:cs="Arial"/>
          <w:sz w:val="18"/>
          <w:szCs w:val="18"/>
        </w:rPr>
      </w:pPr>
      <w:r>
        <w:rPr>
          <w:rFonts w:cs="Arial"/>
          <w:sz w:val="18"/>
          <w:szCs w:val="18"/>
        </w:rPr>
      </w:r>
    </w:p>
    <w:p>
      <w:pPr>
        <w:pStyle w:val="Heading4"/>
        <w:numPr>
          <w:ilvl w:val="3"/>
          <w:numId w:val="1"/>
        </w:numPr>
        <w:tabs>
          <w:tab w:val="left" w:pos="12600" w:leader="none"/>
        </w:tabs>
        <w:rPr>
          <w:rFonts w:cs="Arial"/>
          <w:b w:val="false"/>
          <w:b w:val="false"/>
          <w:sz w:val="18"/>
          <w:szCs w:val="18"/>
        </w:rPr>
      </w:pPr>
      <w:r>
        <w:rPr>
          <w:rFonts w:eastAsia="Times New Roman" w:cs="Times New Roman"/>
          <w:sz w:val="18"/>
          <w:szCs w:val="18"/>
        </w:rPr>
        <w:t xml:space="preserve">    </w:t>
      </w:r>
    </w:p>
    <w:p>
      <w:pPr>
        <w:pStyle w:val="Heading2"/>
        <w:numPr>
          <w:ilvl w:val="1"/>
          <w:numId w:val="1"/>
        </w:numPr>
        <w:tabs>
          <w:tab w:val="left" w:pos="12600" w:leader="none"/>
        </w:tabs>
        <w:jc w:val="center"/>
        <w:rPr>
          <w:rFonts w:cs="Arial"/>
          <w:b w:val="false"/>
          <w:b w:val="false"/>
          <w:sz w:val="18"/>
          <w:szCs w:val="18"/>
        </w:rPr>
      </w:pPr>
      <w:r>
        <w:rPr>
          <w:rFonts w:cs="Arial"/>
          <w:b w:val="false"/>
          <w:sz w:val="18"/>
          <w:szCs w:val="18"/>
        </w:rPr>
      </w:r>
    </w:p>
    <w:p>
      <w:pPr>
        <w:pStyle w:val="Heading2"/>
        <w:numPr>
          <w:ilvl w:val="1"/>
          <w:numId w:val="1"/>
        </w:numPr>
        <w:tabs>
          <w:tab w:val="left" w:pos="12600" w:leader="none"/>
        </w:tabs>
        <w:spacing w:before="0" w:after="0"/>
        <w:jc w:val="center"/>
        <w:rPr>
          <w:rFonts w:ascii="Times New Roman" w:hAnsi="Times New Roman" w:cs="Times New Roman"/>
          <w:i w:val="false"/>
          <w:i w:val="false"/>
          <w:caps/>
        </w:rPr>
      </w:pPr>
      <w:r>
        <w:rPr>
          <w:rFonts w:cs="Times New Roman" w:ascii="Times New Roman" w:hAnsi="Times New Roman"/>
          <w:i w:val="false"/>
        </w:rPr>
        <w:t>ПЕРЕЛІК</w:t>
      </w:r>
    </w:p>
    <w:p>
      <w:pPr>
        <w:pStyle w:val="Heading4"/>
        <w:numPr>
          <w:ilvl w:val="3"/>
          <w:numId w:val="1"/>
        </w:numPr>
        <w:tabs>
          <w:tab w:val="left" w:pos="12600" w:leader="none"/>
        </w:tabs>
        <w:spacing w:before="0" w:after="0"/>
        <w:rPr>
          <w:caps/>
        </w:rPr>
      </w:pPr>
      <w:r>
        <w:rPr>
          <w:caps/>
        </w:rPr>
        <w:t>перереєстрованих ЛІКАРСЬКИХ ЗАСОБІВ (медичних імунобіологічних препаратів),</w:t>
      </w:r>
    </w:p>
    <w:p>
      <w:pPr>
        <w:pStyle w:val="Normal1"/>
        <w:jc w:val="center"/>
        <w:rPr/>
      </w:pPr>
      <w:r>
        <w:rPr>
          <w:b/>
          <w:caps/>
          <w:sz w:val="28"/>
          <w:szCs w:val="28"/>
        </w:rPr>
        <w:t>які вносяться до державного реєстру лікарських засобів</w:t>
      </w:r>
      <w:r>
        <w:rPr>
          <w:b/>
          <w:sz w:val="28"/>
          <w:szCs w:val="28"/>
        </w:rPr>
        <w:t>, ЯКІ ЗАРЕЄСТРОВАНІ КОМПЕТЕНТНИМИ ОРГАНАМИ СПОЛУЧЕНИХ ШТАТІВ АМЕРИКИ, ВЕЛИКОЇ БРИТАНІЇ, 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w:t>
      </w:r>
    </w:p>
    <w:p>
      <w:pPr>
        <w:pStyle w:val="Normal1"/>
        <w:jc w:val="center"/>
        <w:rPr>
          <w:b/>
          <w:b/>
          <w:sz w:val="28"/>
          <w:szCs w:val="28"/>
        </w:rPr>
      </w:pPr>
      <w:r>
        <w:rPr>
          <w:b/>
          <w:sz w:val="28"/>
          <w:szCs w:val="28"/>
        </w:rPr>
      </w:r>
    </w:p>
    <w:tbl>
      <w:tblPr>
        <w:tblW w:w="16029" w:type="dxa"/>
        <w:jc w:val="left"/>
        <w:tblInd w:w="-890"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560"/>
        <w:gridCol w:w="993"/>
        <w:gridCol w:w="1133"/>
        <w:gridCol w:w="850"/>
        <w:gridCol w:w="1418"/>
        <w:gridCol w:w="851"/>
        <w:gridCol w:w="851"/>
        <w:gridCol w:w="1559"/>
        <w:gridCol w:w="1134"/>
        <w:gridCol w:w="1559"/>
        <w:gridCol w:w="1134"/>
        <w:gridCol w:w="992"/>
        <w:gridCol w:w="1428"/>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560"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3"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1133"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850"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418"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851"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851"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w:t>
            </w:r>
          </w:p>
        </w:tc>
        <w:tc>
          <w:tcPr>
            <w:tcW w:w="1559"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w:t>
            </w:r>
          </w:p>
        </w:tc>
        <w:tc>
          <w:tcPr>
            <w:tcW w:w="1559"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2"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rHeight w:val="433" w:hRule="atLeast"/>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3"/>
              </w:numPr>
              <w:tabs>
                <w:tab w:val="left" w:pos="12600" w:leader="none"/>
              </w:tabs>
              <w:snapToGrid w:val="false"/>
              <w:spacing w:before="0" w:after="0"/>
              <w:contextualSpacing/>
              <w:rPr>
                <w:rFonts w:ascii="Arial" w:hAnsi="Arial" w:cs="Arial"/>
                <w:b/>
                <w:b/>
                <w:i/>
                <w:i/>
                <w:sz w:val="16"/>
                <w:szCs w:val="16"/>
              </w:rPr>
            </w:pPr>
            <w:r>
              <w:rPr>
                <w:rFonts w:cs="Arial" w:ascii="Arial" w:hAnsi="Arial"/>
                <w:b/>
                <w:i/>
                <w:sz w:val="16"/>
                <w:szCs w:val="16"/>
              </w:rPr>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ОНІВАЙД® ПЕГИЛЬОВАНИЙ ЛІПОСОМАЛЬНИЙ</w:t>
            </w:r>
          </w:p>
        </w:tc>
        <w:tc>
          <w:tcPr>
            <w:tcW w:w="99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rPr>
                <w:rFonts w:ascii="Arial" w:hAnsi="Arial" w:cs="Arial"/>
                <w:color w:val="000000"/>
                <w:sz w:val="16"/>
                <w:szCs w:val="16"/>
                <w:highlight w:val="white"/>
              </w:rPr>
            </w:pPr>
            <w:r>
              <w:rPr>
                <w:rFonts w:cs="Arial" w:ascii="Arial" w:hAnsi="Arial"/>
                <w:sz w:val="16"/>
                <w:szCs w:val="16"/>
              </w:rPr>
              <w:t>irinotecan</w:t>
            </w:r>
          </w:p>
        </w:tc>
        <w:tc>
          <w:tcPr>
            <w:tcW w:w="113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color w:val="000000"/>
                <w:sz w:val="16"/>
                <w:szCs w:val="16"/>
                <w:shd w:fill="F8F8F8" w:val="clear"/>
              </w:rPr>
            </w:pPr>
            <w:r>
              <w:rPr>
                <w:rFonts w:cs="Arial" w:ascii="Arial" w:hAnsi="Arial"/>
                <w:sz w:val="16"/>
                <w:szCs w:val="16"/>
              </w:rPr>
              <w:t>іринотекан безводний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ind w:left="-108" w:hanging="0"/>
              <w:jc w:val="center"/>
              <w:rPr>
                <w:rFonts w:ascii="Arial" w:hAnsi="Arial" w:cs="Arial"/>
                <w:color w:val="000000"/>
                <w:sz w:val="16"/>
                <w:szCs w:val="16"/>
                <w:shd w:fill="F8F8F8" w:val="clear"/>
              </w:rPr>
            </w:pPr>
            <w:r>
              <w:rPr>
                <w:rFonts w:cs="Arial" w:ascii="Arial" w:hAnsi="Arial"/>
                <w:sz w:val="16"/>
                <w:szCs w:val="16"/>
              </w:rPr>
              <w:t>L01CE02</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rPr>
            </w:pPr>
            <w:r>
              <w:rPr>
                <w:rFonts w:cs="Arial" w:ascii="Arial" w:hAnsi="Arial"/>
                <w:sz w:val="16"/>
                <w:szCs w:val="16"/>
              </w:rPr>
              <w:t xml:space="preserve">концентрат для дисперсії для інфузій, 4,3 мг/мл; по 10 мл у флаконі; по 1 флакону в коробці з картону з маркуванням українською мовою; по 10 мл у флаконі з маркуванням іноземною мовою; по 1 флакону в стандартно-експортній упаковці з маркуванням іноземною мовою, яка міститься у картонній коробці з маркуванням українською мовою; по 10 мл у флаконі з маркуванням іноземною мовою; по 1 флакону у картонній коробці з маркуванням іноземною мовою зі стікером українською мовою </w:t>
            </w:r>
            <w:r>
              <w:rPr>
                <w:rFonts w:cs="Arial" w:ascii="Arial" w:hAnsi="Arial"/>
                <w:sz w:val="16"/>
                <w:szCs w:val="16"/>
                <w:lang w:val="ru-RU"/>
              </w:rPr>
              <w:t>(упаковка зі стікером тільки для виробника Лабораторії Серв`є Індастрі, Франц</w:t>
            </w:r>
            <w:r>
              <w:rPr>
                <w:rFonts w:cs="Arial" w:ascii="Arial" w:hAnsi="Arial"/>
                <w:sz w:val="16"/>
                <w:szCs w:val="16"/>
              </w:rPr>
              <w:t>i</w:t>
            </w:r>
            <w:r>
              <w:rPr>
                <w:rFonts w:cs="Arial" w:ascii="Arial" w:hAnsi="Arial"/>
                <w:sz w:val="16"/>
                <w:szCs w:val="16"/>
                <w:lang w:val="ru-RU"/>
              </w:rPr>
              <w:t>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sz w:val="16"/>
                <w:szCs w:val="16"/>
                <w:lang w:val="ru-RU"/>
              </w:rPr>
              <w:t>ЛЄ ЛАБОРАТУАР СЕРВ'Є</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center"/>
              <w:rPr>
                <w:rFonts w:ascii="Arial" w:hAnsi="Arial" w:cs="Arial"/>
                <w:sz w:val="16"/>
                <w:szCs w:val="16"/>
              </w:rPr>
            </w:pPr>
            <w:r>
              <w:rPr>
                <w:rFonts w:cs="Arial" w:ascii="Arial" w:hAnsi="Arial"/>
                <w:sz w:val="16"/>
                <w:szCs w:val="16"/>
              </w:rPr>
              <w:t>відповідальний за контроль вихідних матеріалів:</w:t>
            </w:r>
          </w:p>
          <w:p>
            <w:pPr>
              <w:pStyle w:val="Normal"/>
              <w:jc w:val="center"/>
              <w:rPr>
                <w:rFonts w:ascii="Arial" w:hAnsi="Arial" w:cs="Arial"/>
                <w:sz w:val="16"/>
                <w:szCs w:val="16"/>
              </w:rPr>
            </w:pPr>
            <w:r>
              <w:rPr>
                <w:rFonts w:cs="Arial" w:ascii="Arial" w:hAnsi="Arial"/>
                <w:sz w:val="16"/>
                <w:szCs w:val="16"/>
              </w:rPr>
              <w:t>Бостон Аналітикал, США;</w:t>
            </w:r>
          </w:p>
          <w:p>
            <w:pPr>
              <w:pStyle w:val="Normal"/>
              <w:jc w:val="center"/>
              <w:rPr>
                <w:rFonts w:ascii="Arial" w:hAnsi="Arial" w:cs="Arial"/>
                <w:sz w:val="16"/>
                <w:szCs w:val="16"/>
              </w:rPr>
            </w:pPr>
            <w:r>
              <w:rPr>
                <w:rFonts w:cs="Arial" w:ascii="Arial" w:hAnsi="Arial"/>
                <w:sz w:val="16"/>
                <w:szCs w:val="16"/>
              </w:rPr>
              <w:t>відповідальний за контроль якості готового лікарського засобу: ендотоксин, стерильність, тверді частки:</w:t>
            </w:r>
          </w:p>
          <w:p>
            <w:pPr>
              <w:pStyle w:val="Normal"/>
              <w:jc w:val="center"/>
              <w:rPr>
                <w:rFonts w:ascii="Arial" w:hAnsi="Arial" w:cs="Arial"/>
                <w:sz w:val="16"/>
                <w:szCs w:val="16"/>
              </w:rPr>
            </w:pPr>
            <w:r>
              <w:rPr>
                <w:rFonts w:cs="Arial" w:ascii="Arial" w:hAnsi="Arial"/>
                <w:sz w:val="16"/>
                <w:szCs w:val="16"/>
              </w:rPr>
              <w:t>ЕсДжіЕс Інститут Фрезеніус ГмбХ, Німеччина;</w:t>
            </w:r>
          </w:p>
          <w:p>
            <w:pPr>
              <w:pStyle w:val="Normal"/>
              <w:jc w:val="center"/>
              <w:rPr>
                <w:rFonts w:ascii="Arial" w:hAnsi="Arial" w:cs="Arial"/>
                <w:sz w:val="16"/>
                <w:szCs w:val="16"/>
              </w:rPr>
            </w:pPr>
            <w:r>
              <w:rPr>
                <w:rFonts w:cs="Arial" w:ascii="Arial" w:hAnsi="Arial"/>
                <w:sz w:val="16"/>
                <w:szCs w:val="16"/>
              </w:rPr>
              <w:t>відповідальний за контроль якості готового лікарського засобу: кількісне визначення, ідентифікація, домішки, фізико-хімічні показники:</w:t>
            </w:r>
          </w:p>
          <w:p>
            <w:pPr>
              <w:pStyle w:val="Normal"/>
              <w:jc w:val="center"/>
              <w:rPr>
                <w:rFonts w:ascii="Arial" w:hAnsi="Arial" w:cs="Arial"/>
                <w:sz w:val="16"/>
                <w:szCs w:val="16"/>
              </w:rPr>
            </w:pPr>
            <w:r>
              <w:rPr>
                <w:rFonts w:cs="Arial" w:ascii="Arial" w:hAnsi="Arial"/>
                <w:sz w:val="16"/>
                <w:szCs w:val="16"/>
              </w:rPr>
              <w:t>ЕсДжіЕс Інститут Фрезеніус ГмбХ, Німеччина;</w:t>
            </w:r>
          </w:p>
          <w:p>
            <w:pPr>
              <w:pStyle w:val="Normal"/>
              <w:jc w:val="center"/>
              <w:rPr>
                <w:rFonts w:ascii="Arial" w:hAnsi="Arial" w:cs="Arial"/>
                <w:sz w:val="16"/>
                <w:szCs w:val="16"/>
              </w:rPr>
            </w:pPr>
            <w:r>
              <w:rPr>
                <w:rFonts w:cs="Arial" w:ascii="Arial" w:hAnsi="Arial"/>
                <w:sz w:val="16"/>
                <w:szCs w:val="16"/>
              </w:rPr>
              <w:t>відповідальний за виробництво та контроль нерозфасованого продукту, контроль вихідних матеріалів; за укупорку та візуальний контроль; за контроль якості готового лікарського засобу: кількісне визначення, ідентифікація, домішки, фізико-хімічні показники; за контроль якості готового лікарського засобу: ендотоксин, стерильність, тверді частки; за маркування та вторинне пакування; випуск серії готового лікарського засобу:</w:t>
            </w:r>
          </w:p>
          <w:p>
            <w:pPr>
              <w:pStyle w:val="Normal"/>
              <w:jc w:val="center"/>
              <w:rPr>
                <w:rFonts w:ascii="Arial" w:hAnsi="Arial" w:cs="Arial"/>
                <w:sz w:val="16"/>
                <w:szCs w:val="16"/>
              </w:rPr>
            </w:pPr>
            <w:r>
              <w:rPr>
                <w:rFonts w:cs="Arial" w:ascii="Arial" w:hAnsi="Arial"/>
                <w:sz w:val="16"/>
                <w:szCs w:val="16"/>
              </w:rPr>
              <w:t>Іпсен Фарма Біотек, Франція;</w:t>
            </w:r>
          </w:p>
          <w:p>
            <w:pPr>
              <w:pStyle w:val="Normal"/>
              <w:jc w:val="center"/>
              <w:rPr>
                <w:rFonts w:ascii="Arial" w:hAnsi="Arial" w:cs="Arial"/>
                <w:sz w:val="16"/>
                <w:szCs w:val="16"/>
              </w:rPr>
            </w:pPr>
            <w:r>
              <w:rPr>
                <w:rFonts w:cs="Arial" w:ascii="Arial" w:hAnsi="Arial"/>
                <w:sz w:val="16"/>
                <w:szCs w:val="16"/>
              </w:rPr>
              <w:t>відповідальний за контроль вихідних матеріалів та нерозфасованого продукту:</w:t>
            </w:r>
          </w:p>
          <w:p>
            <w:pPr>
              <w:pStyle w:val="Normal"/>
              <w:jc w:val="center"/>
              <w:rPr>
                <w:rFonts w:ascii="Arial" w:hAnsi="Arial" w:cs="Arial"/>
                <w:sz w:val="16"/>
                <w:szCs w:val="16"/>
              </w:rPr>
            </w:pPr>
            <w:r>
              <w:rPr>
                <w:rFonts w:cs="Arial" w:ascii="Arial" w:hAnsi="Arial"/>
                <w:sz w:val="16"/>
                <w:szCs w:val="16"/>
              </w:rPr>
              <w:t>Кволіті Кемікал Лабораторіз, США;</w:t>
            </w:r>
          </w:p>
          <w:p>
            <w:pPr>
              <w:pStyle w:val="Normal"/>
              <w:jc w:val="center"/>
              <w:rPr>
                <w:rFonts w:ascii="Arial" w:hAnsi="Arial" w:cs="Arial"/>
                <w:sz w:val="16"/>
                <w:szCs w:val="16"/>
              </w:rPr>
            </w:pPr>
            <w:r>
              <w:rPr>
                <w:rFonts w:cs="Arial" w:ascii="Arial" w:hAnsi="Arial"/>
                <w:sz w:val="16"/>
                <w:szCs w:val="16"/>
              </w:rPr>
              <w:t>відповідальний за випуск серії готового лікарського засобу:</w:t>
            </w:r>
          </w:p>
          <w:p>
            <w:pPr>
              <w:pStyle w:val="Normal"/>
              <w:jc w:val="center"/>
              <w:rPr>
                <w:rFonts w:ascii="Arial" w:hAnsi="Arial" w:cs="Arial"/>
                <w:sz w:val="16"/>
                <w:szCs w:val="16"/>
              </w:rPr>
            </w:pPr>
            <w:r>
              <w:rPr>
                <w:rFonts w:cs="Arial" w:ascii="Arial" w:hAnsi="Arial"/>
                <w:sz w:val="16"/>
                <w:szCs w:val="16"/>
              </w:rPr>
              <w:t>Лабораторії Серв`є Індастрі, Францiя;</w:t>
            </w:r>
          </w:p>
          <w:p>
            <w:pPr>
              <w:pStyle w:val="Normal"/>
              <w:jc w:val="center"/>
              <w:rPr>
                <w:rFonts w:ascii="Arial" w:hAnsi="Arial" w:cs="Arial"/>
                <w:sz w:val="16"/>
                <w:szCs w:val="16"/>
              </w:rPr>
            </w:pPr>
            <w:r>
              <w:rPr>
                <w:rFonts w:cs="Arial" w:ascii="Arial" w:hAnsi="Arial"/>
                <w:sz w:val="16"/>
                <w:szCs w:val="16"/>
              </w:rPr>
              <w:t>відповідальний за контроль вихідних матеріалів:</w:t>
            </w:r>
          </w:p>
          <w:p>
            <w:pPr>
              <w:pStyle w:val="Normal"/>
              <w:jc w:val="center"/>
              <w:rPr>
                <w:rFonts w:ascii="Arial" w:hAnsi="Arial" w:cs="Arial"/>
                <w:sz w:val="16"/>
                <w:szCs w:val="16"/>
              </w:rPr>
            </w:pPr>
            <w:r>
              <w:rPr>
                <w:rFonts w:cs="Arial" w:ascii="Arial" w:hAnsi="Arial"/>
                <w:sz w:val="16"/>
                <w:szCs w:val="16"/>
              </w:rPr>
              <w:t>Єврофінс ПРОКСІ Лабораторіз Бі.Ві., Нідерланди;</w:t>
            </w:r>
          </w:p>
          <w:p>
            <w:pPr>
              <w:pStyle w:val="Normal"/>
              <w:jc w:val="center"/>
              <w:rPr>
                <w:rFonts w:ascii="Arial" w:hAnsi="Arial" w:cs="Arial"/>
                <w:sz w:val="16"/>
                <w:szCs w:val="16"/>
              </w:rPr>
            </w:pPr>
            <w:r>
              <w:rPr>
                <w:rFonts w:cs="Arial" w:ascii="Arial" w:hAnsi="Arial"/>
                <w:sz w:val="16"/>
                <w:szCs w:val="16"/>
              </w:rPr>
              <w:t>відповідальний за контроль вихідних матеріалів:</w:t>
            </w:r>
          </w:p>
          <w:p>
            <w:pPr>
              <w:pStyle w:val="Normal1"/>
              <w:tabs>
                <w:tab w:val="left" w:pos="12600" w:leader="none"/>
              </w:tabs>
              <w:jc w:val="center"/>
              <w:rPr>
                <w:rFonts w:ascii="Arial" w:hAnsi="Arial" w:cs="Arial"/>
                <w:color w:val="000000"/>
                <w:sz w:val="16"/>
                <w:szCs w:val="16"/>
              </w:rPr>
            </w:pPr>
            <w:r>
              <w:rPr>
                <w:rFonts w:cs="Arial" w:ascii="Arial" w:hAnsi="Arial"/>
                <w:sz w:val="16"/>
                <w:szCs w:val="16"/>
                <w:lang w:val="ru-RU"/>
              </w:rPr>
              <w:t>КАЛІ КОНТРОЛЬ, Франція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США/</w:t>
            </w:r>
          </w:p>
          <w:p>
            <w:pPr>
              <w:pStyle w:val="Normal1"/>
              <w:tabs>
                <w:tab w:val="left" w:pos="12600" w:leader="none"/>
              </w:tabs>
              <w:jc w:val="center"/>
              <w:rPr>
                <w:rFonts w:ascii="Arial" w:hAnsi="Arial" w:cs="Arial"/>
                <w:sz w:val="16"/>
                <w:szCs w:val="16"/>
              </w:rPr>
            </w:pPr>
            <w:r>
              <w:rPr>
                <w:rFonts w:cs="Arial" w:ascii="Arial" w:hAnsi="Arial"/>
                <w:sz w:val="16"/>
                <w:szCs w:val="16"/>
              </w:rPr>
              <w:t>Німеччина/</w:t>
            </w:r>
          </w:p>
          <w:p>
            <w:pPr>
              <w:pStyle w:val="Normal1"/>
              <w:tabs>
                <w:tab w:val="left" w:pos="12600" w:leader="none"/>
              </w:tabs>
              <w:jc w:val="center"/>
              <w:rPr>
                <w:rFonts w:ascii="Arial" w:hAnsi="Arial" w:cs="Arial"/>
                <w:sz w:val="16"/>
                <w:szCs w:val="16"/>
              </w:rPr>
            </w:pPr>
            <w:r>
              <w:rPr>
                <w:rFonts w:cs="Arial" w:ascii="Arial" w:hAnsi="Arial"/>
                <w:sz w:val="16"/>
                <w:szCs w:val="16"/>
              </w:rPr>
              <w:t>Франція/</w:t>
            </w:r>
          </w:p>
          <w:p>
            <w:pPr>
              <w:pStyle w:val="Normal1"/>
              <w:tabs>
                <w:tab w:val="left" w:pos="12600" w:leader="none"/>
              </w:tabs>
              <w:jc w:val="center"/>
              <w:rPr>
                <w:rFonts w:ascii="Arial" w:hAnsi="Arial" w:cs="Arial"/>
                <w:color w:val="000000"/>
                <w:sz w:val="16"/>
                <w:szCs w:val="16"/>
              </w:rPr>
            </w:pPr>
            <w:r>
              <w:rPr>
                <w:rFonts w:cs="Arial" w:ascii="Arial" w:hAnsi="Arial"/>
                <w:sz w:val="16"/>
                <w:szCs w:val="16"/>
              </w:rPr>
              <w:t>Нідерланди</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sz w:val="16"/>
                <w:szCs w:val="16"/>
              </w:rPr>
              <w:t xml:space="preserve">Перереєстрація на необмежений термін. </w:t>
              <w:br/>
              <w:br/>
              <w:t>Оновлено інформацію в інструкції для медичного застосування лікарського засобу в розділі "Показання" (редакційні правки) відповідно до матеріалів реєстраційного досьє та уточнено текстову частину фармакотерапевтичної групи згідно з міжнародним класифікатором ВООЗ у розділі "Фармакотерапевтична група. Код АТХ".</w:t>
              <w:br/>
              <w:t>Резюме плану управління ризиками версія 5.0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ind w:firstLine="145"/>
              <w:jc w:val="center"/>
              <w:rPr>
                <w:rFonts w:ascii="Arial" w:hAnsi="Arial" w:cs="Arial"/>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UA/18775/01/01</w:t>
            </w:r>
          </w:p>
        </w:tc>
      </w:tr>
      <w:tr>
        <w:trPr>
          <w:trHeight w:val="433" w:hRule="atLeast"/>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3"/>
              </w:numPr>
              <w:tabs>
                <w:tab w:val="left" w:pos="12600" w:leader="none"/>
              </w:tabs>
              <w:snapToGrid w:val="false"/>
              <w:spacing w:before="0" w:after="0"/>
              <w:contextualSpacing/>
              <w:rPr>
                <w:rFonts w:ascii="Arial" w:hAnsi="Arial" w:cs="Arial"/>
                <w:b/>
                <w:b/>
                <w:sz w:val="16"/>
                <w:szCs w:val="16"/>
              </w:rPr>
            </w:pPr>
            <w:r>
              <w:rPr>
                <w:rFonts w:cs="Arial" w:ascii="Arial" w:hAnsi="Arial"/>
                <w:b/>
                <w:sz w:val="16"/>
                <w:szCs w:val="16"/>
              </w:rPr>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ОНКАСПАР®</w:t>
            </w:r>
          </w:p>
        </w:tc>
        <w:tc>
          <w:tcPr>
            <w:tcW w:w="99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rPr>
              <w:t>pegaspargase</w:t>
            </w:r>
          </w:p>
        </w:tc>
        <w:tc>
          <w:tcPr>
            <w:tcW w:w="113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color w:val="000000"/>
                <w:sz w:val="16"/>
                <w:szCs w:val="16"/>
                <w:shd w:fill="F8F8F8" w:val="clear"/>
              </w:rPr>
            </w:pPr>
            <w:r>
              <w:rPr>
                <w:rFonts w:cs="Arial" w:ascii="Arial" w:hAnsi="Arial"/>
                <w:color w:val="000000"/>
                <w:sz w:val="16"/>
                <w:szCs w:val="16"/>
              </w:rPr>
              <w:t xml:space="preserve">пегаспаргаза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ind w:left="-108" w:hanging="0"/>
              <w:jc w:val="center"/>
              <w:rPr>
                <w:rFonts w:ascii="Arial" w:hAnsi="Arial" w:cs="Arial"/>
                <w:color w:val="000000"/>
                <w:sz w:val="16"/>
                <w:szCs w:val="16"/>
              </w:rPr>
            </w:pPr>
            <w:r>
              <w:rPr>
                <w:rFonts w:cs="Arial" w:ascii="Arial" w:hAnsi="Arial"/>
                <w:color w:val="000000"/>
                <w:sz w:val="16"/>
                <w:szCs w:val="16"/>
              </w:rPr>
              <w:t>L01X X24</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ін'єкцій/інфузій, 750 МО/мл; по 3750 МО у флаконі; по 1 флакону в коробці з картону з маркуванням українською мовою; по 3750 МО у флаконі з маркуванням іноземною мовою; по 1 флакону в стандартно-експортній упаковці з маркуванням іноземною мовою, яка міститься в коробці з картону з маркуванням українською мовою; по 3750 МО у флаконі з маркуванням іноземною мовою; по 1 флакону в коробці з картону з маркуванням іноземною мовою зі стікером українською мовою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rPr>
              <w:t>Лє Лаборатуар Серв'є</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випробування стабільності (випробування на проникнення барвника):</w:t>
              <w:br/>
              <w:t xml:space="preserve">Авіста Фарма Солюшнс, Інк., США; </w:t>
              <w:br/>
              <w:t>Контроль якості під час випуску продукту за показником час відновлення, прозорість, зовнішній вигляд, рН, домішки, визначення TNBS, концентрація білка, сила дії/активність, специфічна(питома) активність, однорідність дозованих одиниць, вміст вологи, чистота, ідентичність:</w:t>
              <w:br/>
              <w:t>ЕйчДабл’юВай Фарма Сервісез ГмбХ, Німеччина;</w:t>
              <w:br/>
              <w:t>випробування стабільності, контроль якості під час випуску продукту, маркування та вторинне пакування:</w:t>
              <w:br/>
              <w:t xml:space="preserve">Екселід, Інк., США; </w:t>
              <w:br/>
              <w:t>контроль якості під час випуску продукту за показником стерильність, механічні включення (невидимі частки), бактеріальні ендотоксини:</w:t>
              <w:br/>
              <w:t>Лабор ЛС СЕ &amp; Ко. КГ, Німеччина;</w:t>
              <w:br/>
              <w:t>Маркування, вторинне пакування, випуск серії готового лікарського засобу:</w:t>
              <w:br/>
              <w:t>Лабораторії Серв'є Індастрі, Францiя;</w:t>
              <w:br/>
              <w:t>виробництво, контроль якості під час випуску продукту за показником вміст води:</w:t>
              <w:br/>
              <w:t>Ліофілізейшн Сервісез оф Н’ю Інгленд, Інк., США;</w:t>
              <w:br/>
              <w:t>Маркування, вторинне пакування:</w:t>
              <w:br/>
              <w:t>Дере Ложістік, Франція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США/</w:t>
            </w:r>
          </w:p>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lang w:val="ru-RU"/>
              </w:rPr>
              <w:t xml:space="preserve">Перереєстрація на необмежений термін. </w:t>
              <w:br/>
              <w:br/>
              <w:t>Оновлено інформацію в інструкції для медичного застосування лікарського засобу у розділі "Побічні реакції", а також редаговано текст у розділах "Фармакотерапевтична група. Код АТХ" (без зміни коду АТХ), "Показання" та "Місцезнаходження заявника".</w:t>
              <w:br/>
              <w:t>Резюме плану управління ризиками версія 7.0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ind w:firstLine="145"/>
              <w:jc w:val="center"/>
              <w:rPr>
                <w:rFonts w:ascii="Arial" w:hAnsi="Arial" w:cs="Arial"/>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UA/18776/01/01</w:t>
            </w:r>
          </w:p>
        </w:tc>
      </w:tr>
    </w:tbl>
    <w:p>
      <w:pPr>
        <w:pStyle w:val="Normal"/>
        <w:ind w:left="567" w:right="20" w:hanging="0"/>
        <w:rPr>
          <w:b/>
          <w:b/>
          <w:bCs/>
          <w:sz w:val="28"/>
          <w:szCs w:val="28"/>
        </w:rPr>
      </w:pPr>
      <w:r>
        <w:rPr>
          <w:b/>
          <w:bCs/>
          <w:sz w:val="28"/>
          <w:szCs w:val="28"/>
        </w:rPr>
      </w:r>
    </w:p>
    <w:p>
      <w:pPr>
        <w:pStyle w:val="Normal"/>
        <w:rPr>
          <w:rFonts w:ascii="Arial" w:hAnsi="Arial" w:cs="Arial"/>
          <w:sz w:val="18"/>
          <w:szCs w:val="18"/>
        </w:rPr>
      </w:pPr>
      <w:r>
        <w:rPr>
          <w:rFonts w:eastAsia="Arial" w:cs="Arial" w:ascii="Arial" w:hAnsi="Arial"/>
        </w:rPr>
        <w:t xml:space="preserve">          </w:t>
      </w:r>
      <w:r>
        <w:rPr>
          <w:rFonts w:cs="Arial" w:ascii="Arial" w:hAnsi="Arial"/>
        </w:rPr>
        <w:t>*</w:t>
      </w:r>
      <w:r>
        <w:rPr>
          <w:rFonts w:cs="Arial" w:ascii="Arial" w:hAnsi="Arial"/>
          <w:sz w:val="28"/>
          <w:szCs w:val="28"/>
        </w:rPr>
        <w:t xml:space="preserve"> </w:t>
      </w:r>
      <w:r>
        <w:rPr>
          <w:rFonts w:cs="Arial" w:ascii="Arial" w:hAnsi="Arial"/>
          <w:i/>
          <w:sz w:val="18"/>
          <w:szCs w:val="18"/>
        </w:rPr>
        <w:t>відповідно до інформації офіційного сайту Центру ВООЗ по співпраці в методології статистичних досліджень (</w:t>
      </w:r>
      <w:hyperlink r:id="rId5">
        <w:r>
          <w:rPr>
            <w:rStyle w:val="InternetLink"/>
            <w:rFonts w:cs="Arial" w:ascii="Arial" w:hAnsi="Arial"/>
            <w:i/>
            <w:sz w:val="18"/>
            <w:szCs w:val="18"/>
          </w:rPr>
          <w:t>https://www.whocc.no/atc_ddd_index/</w:t>
        </w:r>
      </w:hyperlink>
      <w:r>
        <w:rPr>
          <w:rStyle w:val="InternetLink"/>
          <w:rFonts w:cs="Arial" w:ascii="Arial" w:hAnsi="Arial"/>
          <w:i/>
          <w:sz w:val="18"/>
          <w:szCs w:val="18"/>
        </w:rPr>
        <w:t>)</w:t>
      </w:r>
    </w:p>
    <w:p>
      <w:pPr>
        <w:pStyle w:val="Normal"/>
        <w:ind w:left="567" w:right="20" w:hanging="0"/>
        <w:rPr>
          <w:rFonts w:ascii="Arial" w:hAnsi="Arial" w:cs="Arial"/>
          <w:b/>
          <w:b/>
          <w:bCs/>
          <w:sz w:val="28"/>
          <w:szCs w:val="28"/>
        </w:rPr>
      </w:pPr>
      <w:r>
        <w:rPr>
          <w:rFonts w:cs="Arial" w:ascii="Arial" w:hAnsi="Arial"/>
          <w:b/>
          <w:bCs/>
          <w:sz w:val="28"/>
          <w:szCs w:val="28"/>
        </w:rPr>
      </w:r>
    </w:p>
    <w:p>
      <w:pPr>
        <w:pStyle w:val="Normal"/>
        <w:ind w:left="567" w:right="20" w:hanging="0"/>
        <w:rPr>
          <w:b/>
          <w:b/>
          <w:bCs/>
          <w:sz w:val="28"/>
          <w:szCs w:val="28"/>
        </w:rPr>
      </w:pPr>
      <w:r>
        <w:rPr>
          <w:b/>
          <w:bCs/>
          <w:sz w:val="28"/>
          <w:szCs w:val="28"/>
        </w:rPr>
      </w:r>
    </w:p>
    <w:p>
      <w:pPr>
        <w:pStyle w:val="Normal"/>
        <w:ind w:left="567" w:right="20" w:hanging="0"/>
        <w:rPr/>
      </w:pPr>
      <w:r>
        <w:rPr>
          <w:b/>
          <w:bCs/>
          <w:sz w:val="28"/>
          <w:szCs w:val="28"/>
        </w:rPr>
        <w:t xml:space="preserve">Начальник </w:t>
      </w:r>
    </w:p>
    <w:p>
      <w:pPr>
        <w:sectPr>
          <w:headerReference w:type="default" r:id="rId6"/>
          <w:headerReference w:type="first" r:id="rId7"/>
          <w:type w:val="nextPage"/>
          <w:pgSz w:orient="landscape" w:w="16838" w:h="11906"/>
          <w:pgMar w:left="1560" w:right="899" w:header="709" w:top="1418" w:footer="0" w:bottom="567" w:gutter="0"/>
          <w:pgNumType w:fmt="decimal"/>
          <w:formProt w:val="false"/>
          <w:titlePg/>
          <w:textDirection w:val="lrTb"/>
          <w:docGrid w:type="default" w:linePitch="360" w:charSpace="0"/>
        </w:sectPr>
        <w:pStyle w:val="Normal"/>
        <w:ind w:left="567" w:right="20" w:hanging="0"/>
        <w:rPr/>
      </w:pPr>
      <w:r>
        <w:rPr>
          <w:rStyle w:val="Cs7864ebcf1"/>
          <w:sz w:val="28"/>
          <w:szCs w:val="28"/>
        </w:rPr>
        <w:t>Фармацевтичного управління                                                                                               Олександр ГРІЦЕНКО</w:t>
      </w:r>
      <w:r>
        <w:rPr>
          <w:rStyle w:val="Cs7864ebcf1"/>
          <w:rFonts w:cs="Arial" w:ascii="Arial" w:hAnsi="Arial"/>
          <w:sz w:val="28"/>
          <w:szCs w:val="28"/>
        </w:rPr>
        <w:t xml:space="preserve">                       </w:t>
      </w:r>
    </w:p>
    <w:p>
      <w:pPr>
        <w:pStyle w:val="Normal"/>
        <w:rPr>
          <w:rStyle w:val="Cs7864ebcf1"/>
          <w:rFonts w:ascii="Arial" w:hAnsi="Arial" w:cs="Arial"/>
          <w:b/>
          <w:b/>
          <w:sz w:val="28"/>
          <w:szCs w:val="28"/>
          <w:lang w:val="uk-UA"/>
        </w:rPr>
      </w:pPr>
      <w:r>
        <w:rPr/>
      </w:r>
    </w:p>
    <w:p>
      <w:pPr>
        <w:pStyle w:val="Heading4"/>
        <w:numPr>
          <w:ilvl w:val="3"/>
          <w:numId w:val="1"/>
        </w:numPr>
        <w:tabs>
          <w:tab w:val="left" w:pos="12600" w:leader="none"/>
        </w:tabs>
        <w:rPr>
          <w:rFonts w:cs="Arial"/>
        </w:rPr>
      </w:pPr>
      <w:r>
        <w:rPr>
          <w:rFonts w:eastAsia="Times New Roman" w:cs="Times New Roman"/>
          <w:sz w:val="18"/>
          <w:szCs w:val="18"/>
        </w:rPr>
        <w:t xml:space="preserve">                                                                                                                                                                                                      </w:t>
      </w:r>
      <w:r>
        <mc:AlternateContent>
          <mc:Choice Requires="wps">
            <w:drawing>
              <wp:anchor behindDoc="0" distT="0" distB="0" distL="114300" distR="114300" simplePos="0" locked="0" layoutInCell="1" allowOverlap="1" relativeHeight="4">
                <wp:simplePos x="0" y="0"/>
                <wp:positionH relativeFrom="page">
                  <wp:posOffset>7898130</wp:posOffset>
                </wp:positionH>
                <wp:positionV relativeFrom="paragraph">
                  <wp:posOffset>-131445</wp:posOffset>
                </wp:positionV>
                <wp:extent cx="2430145" cy="1314450"/>
                <wp:effectExtent l="0" t="0" r="0" b="0"/>
                <wp:wrapSquare wrapText="bothSides"/>
                <wp:docPr id="3" name="Frame2"/>
                <a:graphic xmlns:a="http://schemas.openxmlformats.org/drawingml/2006/main">
                  <a:graphicData uri="http://schemas.microsoft.com/office/word/2010/wordprocessingShape">
                    <wps:wsp>
                      <wps:cNvSpPr txBox="1"/>
                      <wps:spPr>
                        <a:xfrm>
                          <a:off x="0" y="0"/>
                          <a:ext cx="2430145" cy="1314450"/>
                        </a:xfrm>
                        <a:prstGeom prst="rect"/>
                        <a:solidFill>
                          <a:srgbClr val="FFFFFF">
                            <a:alpha val="0"/>
                          </a:srgbClr>
                        </a:solidFill>
                      </wps:spPr>
                      <wps:txbx>
                        <w:txbxContent>
                          <w:tbl>
                            <w:tblPr>
                              <w:tblW w:w="3827" w:type="dxa"/>
                              <w:jc w:val="left"/>
                              <w:tblInd w:w="108" w:type="dxa"/>
                              <w:tblBorders/>
                              <w:tblCellMar>
                                <w:top w:w="0" w:type="dxa"/>
                                <w:left w:w="108" w:type="dxa"/>
                                <w:bottom w:w="0" w:type="dxa"/>
                                <w:right w:w="108" w:type="dxa"/>
                              </w:tblCellMar>
                            </w:tblPr>
                            <w:tblGrid>
                              <w:gridCol w:w="3827"/>
                            </w:tblGrid>
                            <w:tr>
                              <w:trPr/>
                              <w:tc>
                                <w:tcPr>
                                  <w:tcW w:w="3827" w:type="dxa"/>
                                  <w:tcBorders/>
                                  <w:shd w:fill="auto" w:val="clear"/>
                                </w:tcPr>
                                <w:p>
                                  <w:pPr>
                                    <w:pStyle w:val="Heading4"/>
                                    <w:numPr>
                                      <w:ilvl w:val="3"/>
                                      <w:numId w:val="1"/>
                                    </w:numPr>
                                    <w:tabs>
                                      <w:tab w:val="left" w:pos="12600" w:leader="none"/>
                                    </w:tabs>
                                    <w:spacing w:before="0" w:after="0"/>
                                    <w:jc w:val="both"/>
                                    <w:rPr>
                                      <w:b w:val="false"/>
                                      <w:b w:val="false"/>
                                      <w:sz w:val="18"/>
                                      <w:szCs w:val="18"/>
                                    </w:rPr>
                                  </w:pPr>
                                  <w:r>
                                    <w:rPr>
                                      <w:b w:val="false"/>
                                      <w:sz w:val="18"/>
                                      <w:szCs w:val="18"/>
                                    </w:rPr>
                                    <w:t xml:space="preserve">Додаток 2 </w:t>
                                  </w:r>
                                </w:p>
                                <w:p>
                                  <w:pPr>
                                    <w:pStyle w:val="Normal"/>
                                    <w:jc w:val="both"/>
                                    <w:rPr/>
                                  </w:pPr>
                                  <w:r>
                                    <w:rPr>
                                      <w:sz w:val="18"/>
                                      <w:szCs w:val="18"/>
                                    </w:rPr>
                                    <w:t>до наказу Міністерства охорони здоров’я України «Про державну перереєстрацію лікарських засобів та внесення змін до реєстраційних матеріалів лікарських засобів, які зареєстровані компетентними органами Сполучених Штатів Америки, Великої Британії, Швейцарської Конфедерації, Японії, Австралії, Канади, Європейського Союзу»</w:t>
                                  </w:r>
                                </w:p>
                                <w:p>
                                  <w:pPr>
                                    <w:pStyle w:val="Normal"/>
                                    <w:jc w:val="both"/>
                                    <w:rPr>
                                      <w:rFonts w:cs="Calibri"/>
                                      <w:u w:val="single"/>
                                    </w:rPr>
                                  </w:pPr>
                                  <w:r>
                                    <w:rPr>
                                      <w:sz w:val="18"/>
                                      <w:szCs w:val="18"/>
                                      <w:u w:val="single"/>
                                    </w:rPr>
                                    <w:t>від 22 вересня 2026 року № 1383</w:t>
                                  </w:r>
                                </w:p>
                              </w:tc>
                            </w:tr>
                          </w:tbl>
                        </w:txbxContent>
                      </wps:txbx>
                      <wps:bodyPr anchor="t">
                        <a:noAutofit/>
                      </wps:bodyPr>
                    </wps:wsp>
                  </a:graphicData>
                </a:graphic>
              </wp:anchor>
            </w:drawing>
          </mc:Choice>
          <mc:Fallback>
            <w:pict>
              <v:rect fillcolor="#FFFFFF" style="position:absolute;rotation:0;width:191.35pt;height:103.5pt;mso-wrap-distance-left:9pt;mso-wrap-distance-right:9pt;margin-top:-10.35pt;mso-position-vertical-relative:text;margin-left:621.9pt;mso-position-horizontal-relative:page">
                <v:fill opacity="0f"/>
                <v:textbox>
                  <w:txbxContent>
                    <w:tbl>
                      <w:tblPr>
                        <w:tblW w:w="3827" w:type="dxa"/>
                        <w:jc w:val="left"/>
                        <w:tblInd w:w="108" w:type="dxa"/>
                        <w:tblBorders/>
                        <w:tblCellMar>
                          <w:top w:w="0" w:type="dxa"/>
                          <w:left w:w="108" w:type="dxa"/>
                          <w:bottom w:w="0" w:type="dxa"/>
                          <w:right w:w="108" w:type="dxa"/>
                        </w:tblCellMar>
                      </w:tblPr>
                      <w:tblGrid>
                        <w:gridCol w:w="3827"/>
                      </w:tblGrid>
                      <w:tr>
                        <w:trPr/>
                        <w:tc>
                          <w:tcPr>
                            <w:tcW w:w="3827" w:type="dxa"/>
                            <w:tcBorders/>
                            <w:shd w:fill="auto" w:val="clear"/>
                          </w:tcPr>
                          <w:p>
                            <w:pPr>
                              <w:pStyle w:val="Heading4"/>
                              <w:numPr>
                                <w:ilvl w:val="3"/>
                                <w:numId w:val="1"/>
                              </w:numPr>
                              <w:tabs>
                                <w:tab w:val="left" w:pos="12600" w:leader="none"/>
                              </w:tabs>
                              <w:spacing w:before="0" w:after="0"/>
                              <w:jc w:val="both"/>
                              <w:rPr>
                                <w:b w:val="false"/>
                                <w:b w:val="false"/>
                                <w:sz w:val="18"/>
                                <w:szCs w:val="18"/>
                              </w:rPr>
                            </w:pPr>
                            <w:r>
                              <w:rPr>
                                <w:b w:val="false"/>
                                <w:sz w:val="18"/>
                                <w:szCs w:val="18"/>
                              </w:rPr>
                              <w:t xml:space="preserve">Додаток 2 </w:t>
                            </w:r>
                          </w:p>
                          <w:p>
                            <w:pPr>
                              <w:pStyle w:val="Normal"/>
                              <w:jc w:val="both"/>
                              <w:rPr/>
                            </w:pPr>
                            <w:r>
                              <w:rPr>
                                <w:sz w:val="18"/>
                                <w:szCs w:val="18"/>
                              </w:rPr>
                              <w:t>до наказу Міністерства охорони здоров’я України «Про державну перереєстрацію лікарських засобів та внесення змін до реєстраційних матеріалів лікарських засобів, які зареєстровані компетентними органами Сполучених Штатів Америки, Великої Британії, Швейцарської Конфедерації, Японії, Австралії, Канади, Європейського Союзу»</w:t>
                            </w:r>
                          </w:p>
                          <w:p>
                            <w:pPr>
                              <w:pStyle w:val="Normal"/>
                              <w:jc w:val="both"/>
                              <w:rPr>
                                <w:rFonts w:cs="Calibri"/>
                                <w:u w:val="single"/>
                              </w:rPr>
                            </w:pPr>
                            <w:r>
                              <w:rPr>
                                <w:sz w:val="18"/>
                                <w:szCs w:val="18"/>
                                <w:u w:val="single"/>
                              </w:rPr>
                              <w:t>від 22 вересня 2026 року № 1383</w:t>
                            </w:r>
                          </w:p>
                        </w:tc>
                      </w:tr>
                    </w:tbl>
                  </w:txbxContent>
                </v:textbox>
                <w10:wrap type="square"/>
              </v:rect>
            </w:pict>
          </mc:Fallback>
        </mc:AlternateContent>
      </w:r>
    </w:p>
    <w:p>
      <w:pPr>
        <w:pStyle w:val="Heading4"/>
        <w:numPr>
          <w:ilvl w:val="3"/>
          <w:numId w:val="1"/>
        </w:numPr>
        <w:tabs>
          <w:tab w:val="left" w:pos="12600" w:leader="none"/>
        </w:tabs>
        <w:rPr>
          <w:rFonts w:cs="Arial"/>
          <w:sz w:val="18"/>
          <w:szCs w:val="18"/>
        </w:rPr>
      </w:pPr>
      <w:r>
        <w:rPr>
          <w:rFonts w:cs="Arial"/>
          <w:sz w:val="18"/>
          <w:szCs w:val="18"/>
        </w:rPr>
      </w:r>
    </w:p>
    <w:p>
      <w:pPr>
        <w:pStyle w:val="Heading4"/>
        <w:numPr>
          <w:ilvl w:val="3"/>
          <w:numId w:val="1"/>
        </w:numPr>
        <w:tabs>
          <w:tab w:val="left" w:pos="12600" w:leader="none"/>
        </w:tabs>
        <w:rPr>
          <w:rFonts w:cs="Arial"/>
          <w:sz w:val="18"/>
          <w:szCs w:val="18"/>
        </w:rPr>
      </w:pPr>
      <w:r>
        <w:rPr>
          <w:rFonts w:cs="Arial"/>
          <w:sz w:val="18"/>
          <w:szCs w:val="18"/>
        </w:rPr>
      </w:r>
    </w:p>
    <w:p>
      <w:pPr>
        <w:pStyle w:val="Heading4"/>
        <w:numPr>
          <w:ilvl w:val="3"/>
          <w:numId w:val="1"/>
        </w:numPr>
        <w:tabs>
          <w:tab w:val="left" w:pos="12600" w:leader="none"/>
        </w:tabs>
        <w:rPr>
          <w:rFonts w:cs="Arial"/>
          <w:sz w:val="18"/>
          <w:szCs w:val="18"/>
        </w:rPr>
      </w:pPr>
      <w:r>
        <w:rPr>
          <w:rFonts w:cs="Arial"/>
          <w:sz w:val="18"/>
          <w:szCs w:val="18"/>
        </w:rPr>
      </w:r>
    </w:p>
    <w:p>
      <w:pPr>
        <w:pStyle w:val="Heading4"/>
        <w:numPr>
          <w:ilvl w:val="3"/>
          <w:numId w:val="1"/>
        </w:numPr>
        <w:tabs>
          <w:tab w:val="left" w:pos="12600" w:leader="none"/>
        </w:tabs>
        <w:rPr>
          <w:rFonts w:cs="Arial"/>
          <w:sz w:val="18"/>
          <w:szCs w:val="18"/>
        </w:rPr>
      </w:pPr>
      <w:r>
        <w:rPr>
          <w:rFonts w:cs="Arial"/>
          <w:sz w:val="18"/>
          <w:szCs w:val="18"/>
        </w:rPr>
      </w:r>
    </w:p>
    <w:p>
      <w:pPr>
        <w:pStyle w:val="Heading2"/>
        <w:numPr>
          <w:ilvl w:val="1"/>
          <w:numId w:val="1"/>
        </w:numPr>
        <w:tabs>
          <w:tab w:val="left" w:pos="12600" w:leader="none"/>
        </w:tabs>
        <w:spacing w:before="0" w:after="0"/>
        <w:jc w:val="center"/>
        <w:rPr>
          <w:rFonts w:ascii="Times New Roman" w:hAnsi="Times New Roman" w:cs="Times New Roman"/>
          <w:i w:val="false"/>
          <w:i w:val="false"/>
          <w:caps/>
        </w:rPr>
      </w:pPr>
      <w:r>
        <w:rPr>
          <w:rFonts w:cs="Times New Roman" w:ascii="Times New Roman" w:hAnsi="Times New Roman"/>
          <w:i w:val="false"/>
        </w:rPr>
        <w:t>ПЕРЕЛІК</w:t>
      </w:r>
    </w:p>
    <w:p>
      <w:pPr>
        <w:pStyle w:val="Normal1"/>
        <w:ind w:left="284" w:hanging="0"/>
        <w:jc w:val="center"/>
        <w:rPr/>
      </w:pPr>
      <w:r>
        <w:rPr>
          <w:b/>
          <w:caps/>
          <w:sz w:val="28"/>
          <w:szCs w:val="28"/>
        </w:rPr>
        <w:t xml:space="preserve">ЛІКАРСЬКИХ ЗАСОБІВ (МЕДИЧНИХ ІМУНОБІОЛОГІЧНИХ ПРЕПАРАТІВ), </w:t>
      </w:r>
      <w:r>
        <w:rPr>
          <w:b/>
          <w:sz w:val="28"/>
          <w:szCs w:val="28"/>
        </w:rPr>
        <w:t xml:space="preserve">ЯКІ ЗАРЕЄСТРОВАНІ КОМПЕТЕНТНИМИ ОРГАНАМИ СПОЛУЧЕНИХ ШТАТІВ АМЕРИКИ, ВЕЛИКОЇ БРИТАНІЇ, 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 </w:t>
      </w:r>
      <w:r>
        <w:rPr>
          <w:b/>
          <w:caps/>
          <w:sz w:val="28"/>
          <w:szCs w:val="28"/>
        </w:rPr>
        <w:t>ЩОДО ЯКИХ БУЛИ ВНЕСЕНІ ЗМІНИ ДО РЕЄСТРАЦІЙНИХ МАТЕРІАЛІВ, ЯКІ ВНОСЯТЬСЯ ДО ДЕРЖАВНОГО РЕЄСТРУ ЛІКАРСЬКИХ ЗАСОБІВ</w:t>
      </w:r>
    </w:p>
    <w:p>
      <w:pPr>
        <w:pStyle w:val="Normal1"/>
        <w:ind w:left="284" w:hanging="0"/>
        <w:jc w:val="center"/>
        <w:rPr>
          <w:b/>
          <w:b/>
          <w:caps/>
          <w:sz w:val="28"/>
          <w:szCs w:val="28"/>
        </w:rPr>
      </w:pPr>
      <w:r>
        <w:rPr>
          <w:b/>
          <w:caps/>
          <w:sz w:val="28"/>
          <w:szCs w:val="28"/>
        </w:rPr>
      </w:r>
    </w:p>
    <w:tbl>
      <w:tblPr>
        <w:tblW w:w="15887" w:type="dxa"/>
        <w:jc w:val="left"/>
        <w:tblInd w:w="-890"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709"/>
        <w:gridCol w:w="1135"/>
        <w:gridCol w:w="1276"/>
        <w:gridCol w:w="1134"/>
        <w:gridCol w:w="992"/>
        <w:gridCol w:w="1559"/>
        <w:gridCol w:w="1134"/>
        <w:gridCol w:w="851"/>
        <w:gridCol w:w="1559"/>
        <w:gridCol w:w="992"/>
        <w:gridCol w:w="1985"/>
        <w:gridCol w:w="992"/>
        <w:gridCol w:w="1569"/>
      </w:tblGrid>
      <w:tr>
        <w:trPr>
          <w:tblHeader w:val="true"/>
        </w:trPr>
        <w:tc>
          <w:tcPr>
            <w:tcW w:w="709"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135"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1276"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992"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559"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851"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w:t>
            </w:r>
          </w:p>
        </w:tc>
        <w:tc>
          <w:tcPr>
            <w:tcW w:w="1559"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992"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w:t>
            </w:r>
          </w:p>
        </w:tc>
        <w:tc>
          <w:tcPr>
            <w:tcW w:w="1985"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992"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ind w:left="-108" w:right="-108" w:hanging="0"/>
              <w:jc w:val="center"/>
              <w:rPr>
                <w:rFonts w:ascii="Arial" w:hAnsi="Arial" w:cs="Arial"/>
                <w:b/>
                <w:b/>
                <w:i/>
                <w:i/>
                <w:sz w:val="16"/>
                <w:szCs w:val="16"/>
              </w:rPr>
            </w:pPr>
            <w:r>
              <w:rPr>
                <w:rFonts w:cs="Arial" w:ascii="Arial" w:hAnsi="Arial"/>
                <w:b/>
                <w:i/>
                <w:sz w:val="16"/>
                <w:szCs w:val="16"/>
              </w:rPr>
              <w:t>Умови відпуску</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rHeight w:val="433" w:hRule="atLeast"/>
        </w:trPr>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3"/>
              </w:numPr>
              <w:tabs>
                <w:tab w:val="left" w:pos="12600" w:leader="none"/>
              </w:tabs>
              <w:snapToGrid w:val="false"/>
              <w:spacing w:before="0" w:after="0"/>
              <w:contextualSpacing/>
              <w:rPr>
                <w:rFonts w:ascii="Arial" w:hAnsi="Arial" w:cs="Arial"/>
                <w:b/>
                <w:b/>
                <w:i/>
                <w:i/>
                <w:sz w:val="16"/>
                <w:szCs w:val="16"/>
              </w:rPr>
            </w:pPr>
            <w:r>
              <w:rPr>
                <w:rFonts w:cs="Arial" w:ascii="Arial" w:hAnsi="Arial"/>
                <w:b/>
                <w:i/>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АДЕЛЬ®Д</w:t>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jc w:val="center"/>
              <w:rPr>
                <w:rFonts w:ascii="Arial" w:hAnsi="Arial" w:cs="Arial"/>
                <w:color w:val="000000"/>
                <w:sz w:val="16"/>
                <w:szCs w:val="16"/>
                <w:shd w:fill="F8F8F8" w:val="clear"/>
              </w:rPr>
            </w:pPr>
            <w:r>
              <w:rPr>
                <w:rFonts w:cs="Arial" w:ascii="Arial" w:hAnsi="Arial"/>
                <w:color w:val="000000"/>
                <w:sz w:val="16"/>
                <w:szCs w:val="16"/>
              </w:rPr>
              <w:t>tamsulosin and dutasteride</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eastAsia="Calibri" w:cs="Arial"/>
                <w:sz w:val="16"/>
                <w:szCs w:val="16"/>
              </w:rPr>
            </w:pPr>
            <w:r>
              <w:rPr>
                <w:rFonts w:cs="Arial" w:ascii="Arial" w:hAnsi="Arial"/>
                <w:color w:val="000000"/>
                <w:sz w:val="16"/>
                <w:szCs w:val="16"/>
              </w:rPr>
              <w:t>дутастерид, тамсулозину гідрохлорид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ind w:left="-108" w:hanging="0"/>
              <w:jc w:val="center"/>
              <w:rPr>
                <w:rFonts w:ascii="Arial" w:hAnsi="Arial" w:cs="Arial"/>
                <w:color w:val="000000"/>
                <w:sz w:val="16"/>
                <w:szCs w:val="16"/>
                <w:shd w:fill="F8F8F8" w:val="clear"/>
              </w:rPr>
            </w:pPr>
            <w:r>
              <w:rPr>
                <w:rFonts w:cs="Arial" w:ascii="Arial" w:hAnsi="Arial"/>
                <w:color w:val="000000"/>
                <w:sz w:val="16"/>
                <w:szCs w:val="16"/>
              </w:rPr>
              <w:t>G04CA52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lang w:val="ru-RU"/>
              </w:rPr>
            </w:pPr>
            <w:r>
              <w:rPr>
                <w:rFonts w:cs="Arial" w:ascii="Arial" w:hAnsi="Arial"/>
                <w:color w:val="000000"/>
                <w:sz w:val="16"/>
                <w:szCs w:val="16"/>
                <w:lang w:val="ru-RU"/>
              </w:rPr>
              <w:t>капсули тверді по 0,5 мг/0,4 мг по 30 капсул у флаконі, по 1 флакону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інтермедіату (Дутастерид м'які желатинові капсули), виробництво кінцевого продукту; первинне-вторинне пакування, контроль (хімічний/фізичний) і випуск серії: ЛАБОРАТОРІОС ЛЕОН ФАРМА,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bCs/>
                <w:color w:val="000000"/>
                <w:sz w:val="16"/>
                <w:szCs w:val="16"/>
              </w:rPr>
            </w:pPr>
            <w:r>
              <w:rPr>
                <w:rFonts w:cs="Arial" w:ascii="Arial" w:hAnsi="Arial"/>
                <w:color w:val="000000"/>
                <w:sz w:val="16"/>
                <w:szCs w:val="16"/>
              </w:rPr>
              <w:t>B.II.e.2.c), Type IA - Change in the specification parameters and/or limits of the immediate packaging of the finished product</w:t>
              <w:br/>
              <w:t>c) deletion of a non-significant specification parameter (e.g. deletion of an obsolete parameter)</w:t>
              <w:br/>
              <w:t>- Deletion of a non significant specification parameter in the packing cap with desiccant capsule of the finished product.</w:t>
              <w:br/>
              <w:t>It is proposed the deletion of the non-significant specification "external wide dimension" of the packaging cap with desiccant capsule (primary packaging of Dutasteride/tamsulosin 0.5 mg/0.4 mg hard capsules).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spacing w:lineRule="auto" w:line="276"/>
              <w:ind w:left="-108" w:right="-108" w:hanging="0"/>
              <w:jc w:val="center"/>
              <w:rPr>
                <w:rFonts w:ascii="Arial" w:hAnsi="Arial" w:cs="Arial"/>
                <w:i/>
                <w:i/>
                <w:sz w:val="16"/>
                <w:szCs w:val="16"/>
              </w:rPr>
            </w:pPr>
            <w:r>
              <w:rPr>
                <w:rFonts w:cs="Arial" w:ascii="Arial" w:hAnsi="Arial"/>
                <w:i/>
                <w:sz w:val="16"/>
                <w:szCs w:val="16"/>
              </w:rPr>
              <w:t>За рецептом</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UA/19644/01/01</w:t>
            </w:r>
          </w:p>
        </w:tc>
      </w:tr>
      <w:tr>
        <w:trPr>
          <w:trHeight w:val="433" w:hRule="atLeast"/>
        </w:trPr>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3"/>
              </w:numPr>
              <w:tabs>
                <w:tab w:val="left" w:pos="12600" w:leader="none"/>
              </w:tabs>
              <w:snapToGrid w:val="false"/>
              <w:spacing w:before="0" w:after="0"/>
              <w:contextualSpacing/>
              <w:rPr>
                <w:rFonts w:ascii="Arial" w:hAnsi="Arial" w:cs="Arial"/>
                <w:b/>
                <w:b/>
                <w:sz w:val="16"/>
                <w:szCs w:val="16"/>
              </w:rPr>
            </w:pPr>
            <w:r>
              <w:rPr>
                <w:rFonts w:cs="Arial" w:ascii="Arial" w:hAnsi="Arial"/>
                <w:b/>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АДЕЛЬ®Д</w:t>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jc w:val="center"/>
              <w:rPr>
                <w:rFonts w:ascii="Arial" w:hAnsi="Arial" w:cs="Arial"/>
                <w:color w:val="000000"/>
                <w:sz w:val="16"/>
                <w:szCs w:val="16"/>
                <w:shd w:fill="F8F8F8" w:val="clear"/>
              </w:rPr>
            </w:pPr>
            <w:r>
              <w:rPr>
                <w:rFonts w:cs="Arial" w:ascii="Arial" w:hAnsi="Arial"/>
                <w:color w:val="000000"/>
                <w:sz w:val="16"/>
                <w:szCs w:val="16"/>
              </w:rPr>
              <w:t>tamsulosin and dutasteride</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eastAsia="Calibri" w:cs="Arial"/>
                <w:sz w:val="16"/>
                <w:szCs w:val="16"/>
              </w:rPr>
            </w:pPr>
            <w:r>
              <w:rPr>
                <w:rFonts w:cs="Arial" w:ascii="Arial" w:hAnsi="Arial"/>
                <w:color w:val="000000"/>
                <w:sz w:val="16"/>
                <w:szCs w:val="16"/>
              </w:rPr>
              <w:t>дутастерид, тамсулозину гідрохлорид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ind w:left="-108" w:hanging="0"/>
              <w:jc w:val="center"/>
              <w:rPr>
                <w:rFonts w:ascii="Arial" w:hAnsi="Arial" w:cs="Arial"/>
                <w:color w:val="000000"/>
                <w:sz w:val="16"/>
                <w:szCs w:val="16"/>
                <w:shd w:fill="F8F8F8" w:val="clear"/>
              </w:rPr>
            </w:pPr>
            <w:r>
              <w:rPr>
                <w:rFonts w:cs="Arial" w:ascii="Arial" w:hAnsi="Arial"/>
                <w:color w:val="000000"/>
                <w:sz w:val="16"/>
                <w:szCs w:val="16"/>
              </w:rPr>
              <w:t>G04CA52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lang w:val="ru-RU"/>
              </w:rPr>
            </w:pPr>
            <w:r>
              <w:rPr>
                <w:rFonts w:cs="Arial" w:ascii="Arial" w:hAnsi="Arial"/>
                <w:color w:val="000000"/>
                <w:sz w:val="16"/>
                <w:szCs w:val="16"/>
                <w:lang w:val="ru-RU"/>
              </w:rPr>
              <w:t>капсули тверді по 0,5 мг/0,4 мг по 30 капсул у флаконі, по 1 флакону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інтермедіату (Дутастерид м'які желатинові капсули), виробництво кінцевого продукту; первинне-вторинне пакування, контроль (хімічний/фізичний) і випуск серії: ЛАБОРАТОРІОС ЛЕОН ФАРМА,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bCs/>
                <w:color w:val="000000"/>
                <w:sz w:val="16"/>
                <w:szCs w:val="16"/>
              </w:rPr>
            </w:pPr>
            <w:r>
              <w:rPr>
                <w:rFonts w:cs="Arial" w:ascii="Arial" w:hAnsi="Arial"/>
                <w:color w:val="000000"/>
                <w:sz w:val="16"/>
                <w:szCs w:val="16"/>
              </w:rPr>
              <w:t>C.I.2, type IAIN - Change in the product information and/or packaging text for a medicinal product with a know active substance with/without innovation, biosimilar or preparation for parallel import following assessment of the same change for the reference medicinal product/reference preparation</w:t>
              <w:br/>
              <w:t>a) Implementation of one or more changes for which no new additional data is required to be submitted by the marketing authorisation holder.</w:t>
              <w:br/>
              <w:t>- Variation to align the information for healthcare professionals and package leaflet for Dutasterid/Tamsulosin Xiromed, as of May 2020, with the information for healthcare professionals and package leafet for the reference product Duodart, as of October 2025.</w:t>
              <w:br/>
              <w:t>Термін введення зміни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spacing w:lineRule="auto" w:line="276"/>
              <w:ind w:left="-108" w:right="-108" w:hanging="0"/>
              <w:jc w:val="center"/>
              <w:rPr>
                <w:rFonts w:ascii="Arial" w:hAnsi="Arial" w:cs="Arial"/>
                <w:i/>
                <w:i/>
                <w:sz w:val="16"/>
                <w:szCs w:val="16"/>
              </w:rPr>
            </w:pPr>
            <w:r>
              <w:rPr>
                <w:rFonts w:cs="Arial" w:ascii="Arial" w:hAnsi="Arial"/>
                <w:i/>
                <w:sz w:val="16"/>
                <w:szCs w:val="16"/>
              </w:rPr>
              <w:t>за рецептом</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UA/19644/01/01</w:t>
            </w:r>
          </w:p>
        </w:tc>
      </w:tr>
      <w:tr>
        <w:trPr>
          <w:trHeight w:val="433" w:hRule="atLeast"/>
        </w:trPr>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3"/>
              </w:numPr>
              <w:tabs>
                <w:tab w:val="left" w:pos="12600" w:leader="none"/>
              </w:tabs>
              <w:snapToGrid w:val="false"/>
              <w:spacing w:before="0" w:after="0"/>
              <w:contextualSpacing/>
              <w:rPr>
                <w:rFonts w:ascii="Arial" w:hAnsi="Arial" w:cs="Arial"/>
                <w:b/>
                <w:b/>
                <w:sz w:val="16"/>
                <w:szCs w:val="16"/>
              </w:rPr>
            </w:pPr>
            <w:r>
              <w:rPr>
                <w:rFonts w:cs="Arial" w:ascii="Arial" w:hAnsi="Arial"/>
                <w:b/>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БРІХАЛІ™</w:t>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jc w:val="center"/>
              <w:rPr>
                <w:rFonts w:ascii="Arial" w:hAnsi="Arial" w:cs="Arial"/>
                <w:color w:val="000000"/>
                <w:sz w:val="16"/>
                <w:szCs w:val="16"/>
                <w:shd w:fill="F8F8F8" w:val="clear"/>
              </w:rPr>
            </w:pPr>
            <w:r>
              <w:rPr>
                <w:rFonts w:cs="Arial" w:ascii="Arial" w:hAnsi="Arial"/>
                <w:color w:val="000000"/>
                <w:sz w:val="16"/>
                <w:szCs w:val="16"/>
                <w:shd w:fill="F8F8F8" w:val="clear"/>
              </w:rPr>
              <w:t>Ulobetasol</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eastAsia="Calibri" w:cs="Arial"/>
                <w:sz w:val="16"/>
                <w:szCs w:val="16"/>
              </w:rPr>
            </w:pPr>
            <w:r>
              <w:rPr>
                <w:rFonts w:cs="Arial" w:ascii="Arial" w:hAnsi="Arial"/>
                <w:color w:val="000000"/>
                <w:sz w:val="16"/>
                <w:szCs w:val="16"/>
                <w:shd w:fill="F8F8F8" w:val="clear"/>
              </w:rPr>
              <w:t>галобетазолу пропіонат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ind w:left="-108" w:hanging="0"/>
              <w:jc w:val="center"/>
              <w:rPr>
                <w:rFonts w:ascii="Arial" w:hAnsi="Arial" w:cs="Arial"/>
                <w:color w:val="000000"/>
                <w:sz w:val="16"/>
                <w:szCs w:val="16"/>
                <w:shd w:fill="F8F8F8" w:val="clear"/>
              </w:rPr>
            </w:pPr>
            <w:r>
              <w:rPr>
                <w:rFonts w:cs="Arial" w:ascii="Arial" w:hAnsi="Arial"/>
                <w:color w:val="000000"/>
                <w:sz w:val="16"/>
                <w:szCs w:val="16"/>
                <w:shd w:fill="F8F8F8" w:val="clear"/>
              </w:rPr>
              <w:t>D07AC21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lang w:val="ru-RU"/>
              </w:rPr>
            </w:pPr>
            <w:r>
              <w:rPr>
                <w:rFonts w:cs="Arial" w:ascii="Arial" w:hAnsi="Arial"/>
                <w:color w:val="000000"/>
                <w:sz w:val="16"/>
                <w:szCs w:val="16"/>
                <w:lang w:val="ru-RU"/>
              </w:rPr>
              <w:t>лосьйон, 0,01 %, по 100 г у тубі,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ТОВ "БАУШ ХЕЛС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альтернативна дільниця, на які проводяться мікробіологічні дослідження:</w:t>
              <w:br/>
              <w:t>Пасифік БіоЛабс (ПБЛ), Сполучені Штати Америки;</w:t>
              <w:br/>
              <w:t>дільниця, на якій проводяться випробування розміру крапель емульсії:</w:t>
              <w:br/>
              <w:t>Партикал Текнолоджи Лабс (ПТЛ), Сполучені Штати Америки;</w:t>
              <w:br/>
              <w:t>виробництво, пакування, маркування, випуск серії та дослідження стабільності:</w:t>
              <w:br/>
              <w:t>Бауш Хелс Компаніс Інк., Канада;</w:t>
              <w:br/>
              <w:t>альтернативна дільниця, на якій проводяться випробування допоміжних речовин:</w:t>
              <w:br/>
              <w:t>Елемент Матіріалс Текнолоджи Канада Інк., Канада;</w:t>
              <w:br/>
              <w:t>ЕсДжіЕс Канада Інк., Канада;</w:t>
              <w:br/>
              <w:t>ЕсДжіЕс Канада Інк., Канада;</w:t>
              <w:br/>
              <w:t>Неофарм Лабс Інк., Канада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Сполучені Штати Америки/</w:t>
            </w:r>
          </w:p>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Канада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b/>
                <w:b/>
                <w:color w:val="000000"/>
                <w:sz w:val="16"/>
                <w:szCs w:val="16"/>
              </w:rPr>
            </w:pPr>
            <w:r>
              <w:rPr>
                <w:rFonts w:cs="Arial" w:ascii="Arial" w:hAnsi="Arial"/>
                <w:color w:val="000000"/>
                <w:sz w:val="16"/>
                <w:szCs w:val="16"/>
              </w:rPr>
              <w:t xml:space="preserve">внесення змін до реєстраційних матеріалів: вилучення виробника Бауш Хелс Америкас Інк. / Bausch Health Americas, Inc., розташованого за адресою: 1330 Редвуд Вей Петалума, Каліфорнія 94954, Сполучені Штати Америки / 1330 Redwood Way Petaluma, California 94954, United States of America. </w:t>
            </w:r>
            <w:r>
              <w:rPr>
                <w:rFonts w:cs="Arial" w:ascii="Arial" w:hAnsi="Arial"/>
                <w:color w:val="000000"/>
                <w:sz w:val="16"/>
                <w:szCs w:val="16"/>
                <w:lang w:val="ru-RU"/>
              </w:rPr>
              <w:t>Функції виробника: альтернативна дільниця, на якій проводиться вхідний контроль якості АФІ та альтернативна дільниця, на якій проводяться випуск серії та дослідження стабільності готового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spacing w:lineRule="auto" w:line="276"/>
              <w:ind w:left="-108" w:right="-108" w:hanging="0"/>
              <w:jc w:val="center"/>
              <w:rPr>
                <w:rFonts w:ascii="Arial" w:hAnsi="Arial" w:cs="Arial"/>
                <w:i/>
                <w:i/>
                <w:sz w:val="16"/>
                <w:szCs w:val="16"/>
              </w:rPr>
            </w:pPr>
            <w:r>
              <w:rPr>
                <w:rFonts w:cs="Arial" w:ascii="Arial" w:hAnsi="Arial"/>
                <w:i/>
                <w:sz w:val="16"/>
                <w:szCs w:val="16"/>
              </w:rPr>
              <w:t>за рецептом</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UA/18952/01/01</w:t>
            </w:r>
          </w:p>
        </w:tc>
      </w:tr>
      <w:tr>
        <w:trPr>
          <w:trHeight w:val="433" w:hRule="atLeast"/>
        </w:trPr>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3"/>
              </w:numPr>
              <w:tabs>
                <w:tab w:val="left" w:pos="12600" w:leader="none"/>
              </w:tabs>
              <w:snapToGrid w:val="false"/>
              <w:spacing w:before="0" w:after="0"/>
              <w:contextualSpacing/>
              <w:rPr>
                <w:rFonts w:ascii="Arial" w:hAnsi="Arial" w:cs="Arial"/>
                <w:b/>
                <w:b/>
                <w:sz w:val="16"/>
                <w:szCs w:val="16"/>
              </w:rPr>
            </w:pPr>
            <w:r>
              <w:rPr>
                <w:rFonts w:cs="Arial" w:ascii="Arial" w:hAnsi="Arial"/>
                <w:b/>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ДУОБРІЇ™</w:t>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lang w:val="ru-RU"/>
              </w:rPr>
              <w:t>Tazarotene and ulobetasol</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lang w:val="ru-RU"/>
              </w:rPr>
              <w:t>галобетазолу пропіонат, тазаротен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ind w:left="-108" w:hanging="0"/>
              <w:jc w:val="center"/>
              <w:rPr>
                <w:rFonts w:ascii="Arial" w:hAnsi="Arial" w:cs="Arial"/>
                <w:color w:val="000000"/>
                <w:sz w:val="16"/>
                <w:szCs w:val="16"/>
              </w:rPr>
            </w:pPr>
            <w:r>
              <w:rPr>
                <w:rFonts w:cs="Arial" w:ascii="Arial" w:hAnsi="Arial"/>
                <w:color w:val="000000"/>
                <w:sz w:val="16"/>
                <w:szCs w:val="16"/>
                <w:lang w:val="ru-RU"/>
              </w:rPr>
              <w:t>D05AX55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lang w:val="ru-RU"/>
              </w:rPr>
            </w:pPr>
            <w:r>
              <w:rPr>
                <w:rFonts w:cs="Arial" w:ascii="Arial" w:hAnsi="Arial"/>
                <w:color w:val="000000"/>
                <w:sz w:val="16"/>
                <w:szCs w:val="16"/>
                <w:lang w:val="ru-RU"/>
              </w:rPr>
              <w:t>лосьйон, 0,01%/0,045%; по 45 г у тубі, по 1 тубі в картонній коробці; по 60 г у тубі, по 1 тубі в картонній коробці; по 100 г у тубі,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ТОВ "БАУШ ХЕЛС УКРАЇНА"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pPr>
            <w:r>
              <w:rPr>
                <w:rFonts w:cs="Arial" w:ascii="Arial" w:hAnsi="Arial"/>
                <w:color w:val="000000"/>
                <w:sz w:val="16"/>
                <w:szCs w:val="16"/>
              </w:rPr>
              <w:t>Виробництво, пакування, маркування, випуск серії та дослідження стабільності:</w:t>
              <w:br/>
              <w:t>Бауш Хелс Компаніс Інк., Канада;</w:t>
              <w:br/>
              <w:br/>
              <w:t>Альтернативна дільниця, на якій проводяться мікробіологічні дослідження:</w:t>
              <w:br/>
              <w:t>Пасифік БіоЛабс (ПБЛ), Сполучені Штати Америки;</w:t>
              <w:br/>
              <w:br/>
              <w:t>Дільниця, на якій проводяться випробування розміру крапель емульсії:</w:t>
              <w:br/>
              <w:t>Партикал Текнолоджи Лабс (ПТЛ), Сполучені Штати Америки;</w:t>
              <w:br/>
              <w:br/>
              <w:t>Альтернативні дільниці, на яких проводяться випробування допоміжних речовин:</w:t>
              <w:br/>
              <w:t xml:space="preserve">Елемент Матіріалс Текнолоджи Канада Інк., Канада; </w:t>
              <w:br/>
              <w:br/>
              <w:t xml:space="preserve">ЕсДжіЕс Канада Інк., Канада; </w:t>
              <w:br/>
              <w:br/>
              <w:t>ЕсДжіЕс Канада Інк., Канада;</w:t>
              <w:br/>
              <w:br/>
              <w:t>Неофарм Лабс Інк., Канада</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Канада/ Сполучені Штати Америки</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Зміну подано до Управління з контролю за харчовими продуктами та лікарськими засобами США (FDA) у складі групової додаткової заявки (grouped supplemental New Drug Application) за категорією Changes Being Effected in 0 Days (CBE 0).</w:t>
              <w:br/>
              <w:t xml:space="preserve">Зміна передбачає вилучення виробника Бауш Хелс Америкас Інк. / Bausch Health Americas, Inc., розташованого за адресою: 1330 Редвуд Вей, Петалума, Каліфорнія 94954, Сполучені Штати Америки / 1330 Redwood Way, Petaluma, California 94954, United States of America. </w:t>
              <w:br/>
            </w:r>
            <w:r>
              <w:rPr>
                <w:rFonts w:cs="Arial" w:ascii="Arial" w:hAnsi="Arial"/>
                <w:color w:val="000000"/>
                <w:sz w:val="16"/>
                <w:szCs w:val="16"/>
                <w:lang w:val="ru-RU"/>
              </w:rPr>
              <w:t>Функції виробника: альтернативна дільниця, на якій проводиться вхідний контроль якості АФІ, та альтернативна дільниця, на якій проводяться випуск серій та дослідження стабільності готового лікарського засобу.</w:t>
              <w:br/>
              <w:t>Відповідно оновлено розділ 3.2.</w:t>
            </w:r>
            <w:r>
              <w:rPr>
                <w:rFonts w:cs="Arial" w:ascii="Arial" w:hAnsi="Arial"/>
                <w:color w:val="000000"/>
                <w:sz w:val="16"/>
                <w:szCs w:val="16"/>
              </w:rPr>
              <w:t>S</w:t>
            </w:r>
            <w:r>
              <w:rPr>
                <w:rFonts w:cs="Arial" w:ascii="Arial" w:hAnsi="Arial"/>
                <w:color w:val="000000"/>
                <w:sz w:val="16"/>
                <w:szCs w:val="16"/>
                <w:lang w:val="ru-RU"/>
              </w:rPr>
              <w:t xml:space="preserve">.2.1 </w:t>
            </w:r>
            <w:r>
              <w:rPr>
                <w:rFonts w:cs="Arial" w:ascii="Arial" w:hAnsi="Arial"/>
                <w:color w:val="000000"/>
                <w:sz w:val="16"/>
                <w:szCs w:val="16"/>
              </w:rPr>
              <w:t>Manufacturer</w:t>
            </w:r>
            <w:r>
              <w:rPr>
                <w:rFonts w:cs="Arial" w:ascii="Arial" w:hAnsi="Arial"/>
                <w:color w:val="000000"/>
                <w:sz w:val="16"/>
                <w:szCs w:val="16"/>
                <w:lang w:val="ru-RU"/>
              </w:rPr>
              <w:t>(</w:t>
            </w:r>
            <w:r>
              <w:rPr>
                <w:rFonts w:cs="Arial" w:ascii="Arial" w:hAnsi="Arial"/>
                <w:color w:val="000000"/>
                <w:sz w:val="16"/>
                <w:szCs w:val="16"/>
              </w:rPr>
              <w:t>s</w:t>
            </w:r>
            <w:r>
              <w:rPr>
                <w:rFonts w:cs="Arial" w:ascii="Arial" w:hAnsi="Arial"/>
                <w:color w:val="000000"/>
                <w:sz w:val="16"/>
                <w:szCs w:val="16"/>
                <w:lang w:val="ru-RU"/>
              </w:rPr>
              <w:t xml:space="preserve">) для виробника АФІ галобетазолу пропіонату </w:t>
            </w:r>
            <w:r>
              <w:rPr>
                <w:rFonts w:cs="Arial" w:ascii="Arial" w:hAnsi="Arial"/>
                <w:color w:val="000000"/>
                <w:sz w:val="16"/>
                <w:szCs w:val="16"/>
              </w:rPr>
              <w:t>Hovione</w:t>
            </w:r>
            <w:r>
              <w:rPr>
                <w:rFonts w:cs="Arial" w:ascii="Arial" w:hAnsi="Arial"/>
                <w:color w:val="000000"/>
                <w:sz w:val="16"/>
                <w:szCs w:val="16"/>
                <w:lang w:val="ru-RU"/>
              </w:rPr>
              <w:t xml:space="preserve"> </w:t>
            </w:r>
            <w:r>
              <w:rPr>
                <w:rFonts w:cs="Arial" w:ascii="Arial" w:hAnsi="Arial"/>
                <w:color w:val="000000"/>
                <w:sz w:val="16"/>
                <w:szCs w:val="16"/>
              </w:rPr>
              <w:t>FarmaCiencia</w:t>
            </w:r>
            <w:r>
              <w:rPr>
                <w:rFonts w:cs="Arial" w:ascii="Arial" w:hAnsi="Arial"/>
                <w:color w:val="000000"/>
                <w:sz w:val="16"/>
                <w:szCs w:val="16"/>
                <w:lang w:val="ru-RU"/>
              </w:rPr>
              <w:t xml:space="preserve"> </w:t>
            </w:r>
            <w:r>
              <w:rPr>
                <w:rFonts w:cs="Arial" w:ascii="Arial" w:hAnsi="Arial"/>
                <w:color w:val="000000"/>
                <w:sz w:val="16"/>
                <w:szCs w:val="16"/>
              </w:rPr>
              <w:t>S</w:t>
            </w:r>
            <w:r>
              <w:rPr>
                <w:rFonts w:cs="Arial" w:ascii="Arial" w:hAnsi="Arial"/>
                <w:color w:val="000000"/>
                <w:sz w:val="16"/>
                <w:szCs w:val="16"/>
                <w:lang w:val="ru-RU"/>
              </w:rPr>
              <w:t>.</w:t>
            </w:r>
            <w:r>
              <w:rPr>
                <w:rFonts w:cs="Arial" w:ascii="Arial" w:hAnsi="Arial"/>
                <w:color w:val="000000"/>
                <w:sz w:val="16"/>
                <w:szCs w:val="16"/>
              </w:rPr>
              <w:t>A</w:t>
            </w:r>
            <w:r>
              <w:rPr>
                <w:rFonts w:cs="Arial" w:ascii="Arial" w:hAnsi="Arial"/>
                <w:color w:val="000000"/>
                <w:sz w:val="16"/>
                <w:szCs w:val="16"/>
                <w:lang w:val="ru-RU"/>
              </w:rPr>
              <w:t xml:space="preserve">., Португалія, та для виробника АФІ тазаротену </w:t>
            </w:r>
            <w:r>
              <w:rPr>
                <w:rFonts w:cs="Arial" w:ascii="Arial" w:hAnsi="Arial"/>
                <w:color w:val="000000"/>
                <w:sz w:val="16"/>
                <w:szCs w:val="16"/>
              </w:rPr>
              <w:t>PCAS</w:t>
            </w:r>
            <w:r>
              <w:rPr>
                <w:rFonts w:cs="Arial" w:ascii="Arial" w:hAnsi="Arial"/>
                <w:color w:val="000000"/>
                <w:sz w:val="16"/>
                <w:szCs w:val="16"/>
                <w:lang w:val="ru-RU"/>
              </w:rPr>
              <w:t xml:space="preserve"> </w:t>
            </w:r>
            <w:r>
              <w:rPr>
                <w:rFonts w:cs="Arial" w:ascii="Arial" w:hAnsi="Arial"/>
                <w:color w:val="000000"/>
                <w:sz w:val="16"/>
                <w:szCs w:val="16"/>
              </w:rPr>
              <w:t>Finland</w:t>
            </w:r>
            <w:r>
              <w:rPr>
                <w:rFonts w:cs="Arial" w:ascii="Arial" w:hAnsi="Arial"/>
                <w:color w:val="000000"/>
                <w:sz w:val="16"/>
                <w:szCs w:val="16"/>
                <w:lang w:val="ru-RU"/>
              </w:rPr>
              <w:t xml:space="preserve"> </w:t>
            </w:r>
            <w:r>
              <w:rPr>
                <w:rFonts w:cs="Arial" w:ascii="Arial" w:hAnsi="Arial"/>
                <w:color w:val="000000"/>
                <w:sz w:val="16"/>
                <w:szCs w:val="16"/>
              </w:rPr>
              <w:t>Oy</w:t>
            </w:r>
            <w:r>
              <w:rPr>
                <w:rFonts w:cs="Arial" w:ascii="Arial" w:hAnsi="Arial"/>
                <w:color w:val="000000"/>
                <w:sz w:val="16"/>
                <w:szCs w:val="16"/>
                <w:lang w:val="ru-RU"/>
              </w:rPr>
              <w:t>, Фінляндія, а також розділ 3.2.</w:t>
            </w:r>
            <w:r>
              <w:rPr>
                <w:rFonts w:cs="Arial" w:ascii="Arial" w:hAnsi="Arial"/>
                <w:color w:val="000000"/>
                <w:sz w:val="16"/>
                <w:szCs w:val="16"/>
              </w:rPr>
              <w:t>P</w:t>
            </w:r>
            <w:r>
              <w:rPr>
                <w:rFonts w:cs="Arial" w:ascii="Arial" w:hAnsi="Arial"/>
                <w:color w:val="000000"/>
                <w:sz w:val="16"/>
                <w:szCs w:val="16"/>
                <w:lang w:val="ru-RU"/>
              </w:rPr>
              <w:t xml:space="preserve">.3.1 </w:t>
            </w:r>
            <w:r>
              <w:rPr>
                <w:rFonts w:cs="Arial" w:ascii="Arial" w:hAnsi="Arial"/>
                <w:color w:val="000000"/>
                <w:sz w:val="16"/>
                <w:szCs w:val="16"/>
              </w:rPr>
              <w:t>Manufacturer</w:t>
            </w:r>
            <w:r>
              <w:rPr>
                <w:rFonts w:cs="Arial" w:ascii="Arial" w:hAnsi="Arial"/>
                <w:color w:val="000000"/>
                <w:sz w:val="16"/>
                <w:szCs w:val="16"/>
                <w:lang w:val="ru-RU"/>
              </w:rPr>
              <w:t>(</w:t>
            </w:r>
            <w:r>
              <w:rPr>
                <w:rFonts w:cs="Arial" w:ascii="Arial" w:hAnsi="Arial"/>
                <w:color w:val="000000"/>
                <w:sz w:val="16"/>
                <w:szCs w:val="16"/>
              </w:rPr>
              <w:t>s</w:t>
            </w:r>
            <w:r>
              <w:rPr>
                <w:rFonts w:cs="Arial" w:ascii="Arial" w:hAnsi="Arial"/>
                <w:color w:val="000000"/>
                <w:sz w:val="16"/>
                <w:szCs w:val="16"/>
                <w:lang w:val="ru-RU"/>
              </w:rPr>
              <w:t>).</w:t>
              <w:br/>
              <w:t>Змін у розділі 3.2.</w:t>
            </w:r>
            <w:r>
              <w:rPr>
                <w:rFonts w:cs="Arial" w:ascii="Arial" w:hAnsi="Arial"/>
                <w:color w:val="000000"/>
                <w:sz w:val="16"/>
                <w:szCs w:val="16"/>
              </w:rPr>
              <w:t>S</w:t>
            </w:r>
            <w:r>
              <w:rPr>
                <w:rFonts w:cs="Arial" w:ascii="Arial" w:hAnsi="Arial"/>
                <w:color w:val="000000"/>
                <w:sz w:val="16"/>
                <w:szCs w:val="16"/>
                <w:lang w:val="ru-RU"/>
              </w:rPr>
              <w:t xml:space="preserve">.2.1 </w:t>
            </w:r>
            <w:r>
              <w:rPr>
                <w:rFonts w:cs="Arial" w:ascii="Arial" w:hAnsi="Arial"/>
                <w:color w:val="000000"/>
                <w:sz w:val="16"/>
                <w:szCs w:val="16"/>
              </w:rPr>
              <w:t>Manufacturer</w:t>
            </w:r>
            <w:r>
              <w:rPr>
                <w:rFonts w:cs="Arial" w:ascii="Arial" w:hAnsi="Arial"/>
                <w:color w:val="000000"/>
                <w:sz w:val="16"/>
                <w:szCs w:val="16"/>
                <w:lang w:val="ru-RU"/>
              </w:rPr>
              <w:t>(</w:t>
            </w:r>
            <w:r>
              <w:rPr>
                <w:rFonts w:cs="Arial" w:ascii="Arial" w:hAnsi="Arial"/>
                <w:color w:val="000000"/>
                <w:sz w:val="16"/>
                <w:szCs w:val="16"/>
              </w:rPr>
              <w:t>s</w:t>
            </w:r>
            <w:r>
              <w:rPr>
                <w:rFonts w:cs="Arial" w:ascii="Arial" w:hAnsi="Arial"/>
                <w:color w:val="000000"/>
                <w:sz w:val="16"/>
                <w:szCs w:val="16"/>
                <w:lang w:val="ru-RU"/>
              </w:rPr>
              <w:t xml:space="preserve">) для виробника АФІ галобетазолу пропіонату </w:t>
            </w:r>
            <w:r>
              <w:rPr>
                <w:rFonts w:cs="Arial" w:ascii="Arial" w:hAnsi="Arial"/>
                <w:color w:val="000000"/>
                <w:sz w:val="16"/>
                <w:szCs w:val="16"/>
              </w:rPr>
              <w:t>Sterling</w:t>
            </w:r>
            <w:r>
              <w:rPr>
                <w:rFonts w:cs="Arial" w:ascii="Arial" w:hAnsi="Arial"/>
                <w:color w:val="000000"/>
                <w:sz w:val="16"/>
                <w:szCs w:val="16"/>
                <w:lang w:val="ru-RU"/>
              </w:rPr>
              <w:t xml:space="preserve"> </w:t>
            </w:r>
            <w:r>
              <w:rPr>
                <w:rFonts w:cs="Arial" w:ascii="Arial" w:hAnsi="Arial"/>
                <w:color w:val="000000"/>
                <w:sz w:val="16"/>
                <w:szCs w:val="16"/>
              </w:rPr>
              <w:t>S</w:t>
            </w:r>
            <w:r>
              <w:rPr>
                <w:rFonts w:cs="Arial" w:ascii="Arial" w:hAnsi="Arial"/>
                <w:color w:val="000000"/>
                <w:sz w:val="16"/>
                <w:szCs w:val="16"/>
                <w:lang w:val="ru-RU"/>
              </w:rPr>
              <w:t>.</w:t>
            </w:r>
            <w:r>
              <w:rPr>
                <w:rFonts w:cs="Arial" w:ascii="Arial" w:hAnsi="Arial"/>
                <w:color w:val="000000"/>
                <w:sz w:val="16"/>
                <w:szCs w:val="16"/>
              </w:rPr>
              <w:t>p</w:t>
            </w:r>
            <w:r>
              <w:rPr>
                <w:rFonts w:cs="Arial" w:ascii="Arial" w:hAnsi="Arial"/>
                <w:color w:val="000000"/>
                <w:sz w:val="16"/>
                <w:szCs w:val="16"/>
                <w:lang w:val="ru-RU"/>
              </w:rPr>
              <w:t>.</w:t>
            </w:r>
            <w:r>
              <w:rPr>
                <w:rFonts w:cs="Arial" w:ascii="Arial" w:hAnsi="Arial"/>
                <w:color w:val="000000"/>
                <w:sz w:val="16"/>
                <w:szCs w:val="16"/>
              </w:rPr>
              <w:t>A</w:t>
            </w:r>
            <w:r>
              <w:rPr>
                <w:rFonts w:cs="Arial" w:ascii="Arial" w:hAnsi="Arial"/>
                <w:color w:val="000000"/>
                <w:sz w:val="16"/>
                <w:szCs w:val="16"/>
                <w:lang w:val="ru-RU"/>
              </w:rPr>
              <w:t xml:space="preserve">., Італія, та для виробника АФІ тазаротену </w:t>
            </w:r>
            <w:r>
              <w:rPr>
                <w:rFonts w:cs="Arial" w:ascii="Arial" w:hAnsi="Arial"/>
                <w:color w:val="000000"/>
                <w:sz w:val="16"/>
                <w:szCs w:val="16"/>
              </w:rPr>
              <w:t>Olon</w:t>
            </w:r>
            <w:r>
              <w:rPr>
                <w:rFonts w:cs="Arial" w:ascii="Arial" w:hAnsi="Arial"/>
                <w:color w:val="000000"/>
                <w:sz w:val="16"/>
                <w:szCs w:val="16"/>
                <w:lang w:val="ru-RU"/>
              </w:rPr>
              <w:t xml:space="preserve"> </w:t>
            </w:r>
            <w:r>
              <w:rPr>
                <w:rFonts w:cs="Arial" w:ascii="Arial" w:hAnsi="Arial"/>
                <w:color w:val="000000"/>
                <w:sz w:val="16"/>
                <w:szCs w:val="16"/>
              </w:rPr>
              <w:t>S</w:t>
            </w:r>
            <w:r>
              <w:rPr>
                <w:rFonts w:cs="Arial" w:ascii="Arial" w:hAnsi="Arial"/>
                <w:color w:val="000000"/>
                <w:sz w:val="16"/>
                <w:szCs w:val="16"/>
                <w:lang w:val="ru-RU"/>
              </w:rPr>
              <w:t>.</w:t>
            </w:r>
            <w:r>
              <w:rPr>
                <w:rFonts w:cs="Arial" w:ascii="Arial" w:hAnsi="Arial"/>
                <w:color w:val="000000"/>
                <w:sz w:val="16"/>
                <w:szCs w:val="16"/>
              </w:rPr>
              <w:t>p</w:t>
            </w:r>
            <w:r>
              <w:rPr>
                <w:rFonts w:cs="Arial" w:ascii="Arial" w:hAnsi="Arial"/>
                <w:color w:val="000000"/>
                <w:sz w:val="16"/>
                <w:szCs w:val="16"/>
                <w:lang w:val="ru-RU"/>
              </w:rPr>
              <w:t>.</w:t>
            </w:r>
            <w:r>
              <w:rPr>
                <w:rFonts w:cs="Arial" w:ascii="Arial" w:hAnsi="Arial"/>
                <w:color w:val="000000"/>
                <w:sz w:val="16"/>
                <w:szCs w:val="16"/>
              </w:rPr>
              <w:t>A</w:t>
            </w:r>
            <w:r>
              <w:rPr>
                <w:rFonts w:cs="Arial" w:ascii="Arial" w:hAnsi="Arial"/>
                <w:color w:val="000000"/>
                <w:sz w:val="16"/>
                <w:szCs w:val="16"/>
                <w:lang w:val="ru-RU"/>
              </w:rPr>
              <w:t>., Італія, не відбулося.</w:t>
              <w:br/>
              <w:t>Додатково в розділі 3.2.</w:t>
            </w:r>
            <w:r>
              <w:rPr>
                <w:rFonts w:cs="Arial" w:ascii="Arial" w:hAnsi="Arial"/>
                <w:color w:val="000000"/>
                <w:sz w:val="16"/>
                <w:szCs w:val="16"/>
              </w:rPr>
              <w:t>S</w:t>
            </w:r>
            <w:r>
              <w:rPr>
                <w:rFonts w:cs="Arial" w:ascii="Arial" w:hAnsi="Arial"/>
                <w:color w:val="000000"/>
                <w:sz w:val="16"/>
                <w:szCs w:val="16"/>
                <w:lang w:val="ru-RU"/>
              </w:rPr>
              <w:t xml:space="preserve">.2.1 </w:t>
            </w:r>
            <w:r>
              <w:rPr>
                <w:rFonts w:cs="Arial" w:ascii="Arial" w:hAnsi="Arial"/>
                <w:color w:val="000000"/>
                <w:sz w:val="16"/>
                <w:szCs w:val="16"/>
              </w:rPr>
              <w:t>Manufacturer</w:t>
            </w:r>
            <w:r>
              <w:rPr>
                <w:rFonts w:cs="Arial" w:ascii="Arial" w:hAnsi="Arial"/>
                <w:color w:val="000000"/>
                <w:sz w:val="16"/>
                <w:szCs w:val="16"/>
                <w:lang w:val="ru-RU"/>
              </w:rPr>
              <w:t>(</w:t>
            </w:r>
            <w:r>
              <w:rPr>
                <w:rFonts w:cs="Arial" w:ascii="Arial" w:hAnsi="Arial"/>
                <w:color w:val="000000"/>
                <w:sz w:val="16"/>
                <w:szCs w:val="16"/>
              </w:rPr>
              <w:t>s</w:t>
            </w:r>
            <w:r>
              <w:rPr>
                <w:rFonts w:cs="Arial" w:ascii="Arial" w:hAnsi="Arial"/>
                <w:color w:val="000000"/>
                <w:sz w:val="16"/>
                <w:szCs w:val="16"/>
                <w:lang w:val="ru-RU"/>
              </w:rPr>
              <w:t xml:space="preserve">) для виробника АФІ галобетазолу пропіонату </w:t>
            </w:r>
            <w:r>
              <w:rPr>
                <w:rFonts w:cs="Arial" w:ascii="Arial" w:hAnsi="Arial"/>
                <w:color w:val="000000"/>
                <w:sz w:val="16"/>
                <w:szCs w:val="16"/>
              </w:rPr>
              <w:t>Hovione</w:t>
            </w:r>
            <w:r>
              <w:rPr>
                <w:rFonts w:cs="Arial" w:ascii="Arial" w:hAnsi="Arial"/>
                <w:color w:val="000000"/>
                <w:sz w:val="16"/>
                <w:szCs w:val="16"/>
                <w:lang w:val="ru-RU"/>
              </w:rPr>
              <w:t xml:space="preserve"> </w:t>
            </w:r>
            <w:r>
              <w:rPr>
                <w:rFonts w:cs="Arial" w:ascii="Arial" w:hAnsi="Arial"/>
                <w:color w:val="000000"/>
                <w:sz w:val="16"/>
                <w:szCs w:val="16"/>
              </w:rPr>
              <w:t>FarmaCiencia</w:t>
            </w:r>
            <w:r>
              <w:rPr>
                <w:rFonts w:cs="Arial" w:ascii="Arial" w:hAnsi="Arial"/>
                <w:color w:val="000000"/>
                <w:sz w:val="16"/>
                <w:szCs w:val="16"/>
                <w:lang w:val="ru-RU"/>
              </w:rPr>
              <w:t xml:space="preserve"> </w:t>
            </w:r>
            <w:r>
              <w:rPr>
                <w:rFonts w:cs="Arial" w:ascii="Arial" w:hAnsi="Arial"/>
                <w:color w:val="000000"/>
                <w:sz w:val="16"/>
                <w:szCs w:val="16"/>
              </w:rPr>
              <w:t>S</w:t>
            </w:r>
            <w:r>
              <w:rPr>
                <w:rFonts w:cs="Arial" w:ascii="Arial" w:hAnsi="Arial"/>
                <w:color w:val="000000"/>
                <w:sz w:val="16"/>
                <w:szCs w:val="16"/>
                <w:lang w:val="ru-RU"/>
              </w:rPr>
              <w:t>.</w:t>
            </w:r>
            <w:r>
              <w:rPr>
                <w:rFonts w:cs="Arial" w:ascii="Arial" w:hAnsi="Arial"/>
                <w:color w:val="000000"/>
                <w:sz w:val="16"/>
                <w:szCs w:val="16"/>
              </w:rPr>
              <w:t>A</w:t>
            </w:r>
            <w:r>
              <w:rPr>
                <w:rFonts w:cs="Arial" w:ascii="Arial" w:hAnsi="Arial"/>
                <w:color w:val="000000"/>
                <w:sz w:val="16"/>
                <w:szCs w:val="16"/>
                <w:lang w:val="ru-RU"/>
              </w:rPr>
              <w:t xml:space="preserve">., Португалія, та виробника АФІ тазаротену </w:t>
            </w:r>
            <w:r>
              <w:rPr>
                <w:rFonts w:cs="Arial" w:ascii="Arial" w:hAnsi="Arial"/>
                <w:color w:val="000000"/>
                <w:sz w:val="16"/>
                <w:szCs w:val="16"/>
              </w:rPr>
              <w:t>PCAS</w:t>
            </w:r>
            <w:r>
              <w:rPr>
                <w:rFonts w:cs="Arial" w:ascii="Arial" w:hAnsi="Arial"/>
                <w:color w:val="000000"/>
                <w:sz w:val="16"/>
                <w:szCs w:val="16"/>
                <w:lang w:val="ru-RU"/>
              </w:rPr>
              <w:t xml:space="preserve"> </w:t>
            </w:r>
            <w:r>
              <w:rPr>
                <w:rFonts w:cs="Arial" w:ascii="Arial" w:hAnsi="Arial"/>
                <w:color w:val="000000"/>
                <w:sz w:val="16"/>
                <w:szCs w:val="16"/>
              </w:rPr>
              <w:t>Finland</w:t>
            </w:r>
            <w:r>
              <w:rPr>
                <w:rFonts w:cs="Arial" w:ascii="Arial" w:hAnsi="Arial"/>
                <w:color w:val="000000"/>
                <w:sz w:val="16"/>
                <w:szCs w:val="16"/>
                <w:lang w:val="ru-RU"/>
              </w:rPr>
              <w:t xml:space="preserve"> </w:t>
            </w:r>
            <w:r>
              <w:rPr>
                <w:rFonts w:cs="Arial" w:ascii="Arial" w:hAnsi="Arial"/>
                <w:color w:val="000000"/>
                <w:sz w:val="16"/>
                <w:szCs w:val="16"/>
              </w:rPr>
              <w:t>Oy</w:t>
            </w:r>
            <w:r>
              <w:rPr>
                <w:rFonts w:cs="Arial" w:ascii="Arial" w:hAnsi="Arial"/>
                <w:color w:val="000000"/>
                <w:sz w:val="16"/>
                <w:szCs w:val="16"/>
                <w:lang w:val="ru-RU"/>
              </w:rPr>
              <w:t>, Фінляндія, а також у розділі 3.2.</w:t>
            </w:r>
            <w:r>
              <w:rPr>
                <w:rFonts w:cs="Arial" w:ascii="Arial" w:hAnsi="Arial"/>
                <w:color w:val="000000"/>
                <w:sz w:val="16"/>
                <w:szCs w:val="16"/>
              </w:rPr>
              <w:t>P</w:t>
            </w:r>
            <w:r>
              <w:rPr>
                <w:rFonts w:cs="Arial" w:ascii="Arial" w:hAnsi="Arial"/>
                <w:color w:val="000000"/>
                <w:sz w:val="16"/>
                <w:szCs w:val="16"/>
                <w:lang w:val="ru-RU"/>
              </w:rPr>
              <w:t xml:space="preserve">.3.1 </w:t>
            </w:r>
            <w:r>
              <w:rPr>
                <w:rFonts w:cs="Arial" w:ascii="Arial" w:hAnsi="Arial"/>
                <w:color w:val="000000"/>
                <w:sz w:val="16"/>
                <w:szCs w:val="16"/>
              </w:rPr>
              <w:t>Manufacturer</w:t>
            </w:r>
            <w:r>
              <w:rPr>
                <w:rFonts w:cs="Arial" w:ascii="Arial" w:hAnsi="Arial"/>
                <w:color w:val="000000"/>
                <w:sz w:val="16"/>
                <w:szCs w:val="16"/>
                <w:lang w:val="ru-RU"/>
              </w:rPr>
              <w:t>(</w:t>
            </w:r>
            <w:r>
              <w:rPr>
                <w:rFonts w:cs="Arial" w:ascii="Arial" w:hAnsi="Arial"/>
                <w:color w:val="000000"/>
                <w:sz w:val="16"/>
                <w:szCs w:val="16"/>
              </w:rPr>
              <w:t>s</w:t>
            </w:r>
            <w:r>
              <w:rPr>
                <w:rFonts w:cs="Arial" w:ascii="Arial" w:hAnsi="Arial"/>
                <w:color w:val="000000"/>
                <w:sz w:val="16"/>
                <w:szCs w:val="16"/>
                <w:lang w:val="ru-RU"/>
              </w:rPr>
              <w:t>) внесено незначні зміни в контактних даних виробничих дільниць.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i/>
                <w:i/>
                <w:sz w:val="16"/>
                <w:szCs w:val="16"/>
              </w:rPr>
            </w:pPr>
            <w:r>
              <w:rPr>
                <w:rFonts w:cs="Arial" w:ascii="Arial" w:hAnsi="Arial"/>
                <w:i/>
                <w:sz w:val="16"/>
                <w:szCs w:val="16"/>
              </w:rPr>
              <w:t xml:space="preserve">за </w:t>
            </w:r>
          </w:p>
          <w:p>
            <w:pPr>
              <w:pStyle w:val="Normal1"/>
              <w:tabs>
                <w:tab w:val="left" w:pos="12600" w:leader="none"/>
              </w:tabs>
              <w:spacing w:lineRule="auto" w:line="276"/>
              <w:ind w:left="-185" w:hanging="0"/>
              <w:jc w:val="center"/>
              <w:rPr>
                <w:rFonts w:ascii="Arial" w:hAnsi="Arial" w:cs="Arial"/>
                <w:i/>
                <w:i/>
                <w:sz w:val="16"/>
                <w:szCs w:val="16"/>
              </w:rPr>
            </w:pPr>
            <w:r>
              <w:rPr>
                <w:rFonts w:cs="Arial" w:ascii="Arial" w:hAnsi="Arial"/>
                <w:i/>
                <w:sz w:val="16"/>
                <w:szCs w:val="16"/>
              </w:rPr>
              <w:t>рецептом</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UA/18956/01/01</w:t>
            </w:r>
          </w:p>
        </w:tc>
      </w:tr>
      <w:tr>
        <w:trPr>
          <w:trHeight w:val="433" w:hRule="atLeast"/>
        </w:trPr>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3"/>
              </w:numPr>
              <w:tabs>
                <w:tab w:val="left" w:pos="12600" w:leader="none"/>
              </w:tabs>
              <w:snapToGrid w:val="false"/>
              <w:spacing w:before="0" w:after="0"/>
              <w:contextualSpacing/>
              <w:rPr>
                <w:rFonts w:ascii="Arial" w:hAnsi="Arial" w:cs="Arial"/>
                <w:b/>
                <w:b/>
                <w:sz w:val="16"/>
                <w:szCs w:val="16"/>
              </w:rPr>
            </w:pPr>
            <w:r>
              <w:rPr>
                <w:rFonts w:cs="Arial" w:ascii="Arial" w:hAnsi="Arial"/>
                <w:b/>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ЗІРАБЕВ</w:t>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bevacizumab</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rPr>
              <w:t>бевацизумаб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ind w:left="-108" w:hanging="0"/>
              <w:jc w:val="center"/>
              <w:rPr>
                <w:rFonts w:ascii="Arial" w:hAnsi="Arial" w:cs="Arial"/>
                <w:color w:val="000000"/>
                <w:sz w:val="16"/>
                <w:szCs w:val="16"/>
              </w:rPr>
            </w:pPr>
            <w:r>
              <w:rPr>
                <w:rFonts w:cs="Arial" w:ascii="Arial" w:hAnsi="Arial"/>
                <w:color w:val="000000"/>
                <w:sz w:val="16"/>
                <w:szCs w:val="16"/>
                <w:shd w:fill="F8F8F8" w:val="clear"/>
              </w:rPr>
              <w:t>L01F G01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lang w:val="ru-RU"/>
              </w:rPr>
              <w:t>концентрат для розчину для інфузій, 25 мг/мл; по 100 мг/4 мл у флаконі; по 1 флакону у картонній коробці; по 400 мг/16 мл у флаконі;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Пфайзер Ейч.Сі.Пі. Корпорейшн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Зберігання АФІ, виробництво, первинне пакування, тестування при випуску, випуск серії, вторинне пакування, маркування:</w:t>
              <w:br/>
              <w:t xml:space="preserve">Фармація і Апджон Компані ЛЛС, США; Тестування при випуску серії, тестування при дослідженні стабільності: </w:t>
            </w:r>
          </w:p>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Ваєт БіоФарма Дівіжн оф Ваєт Фармасеутикалс ЛЛС, США; Тестування при випуску серії, тестування при дослідженні стабільності: Пфайзер Ірландія Фармасьютікалз, Ірландiя; </w:t>
            </w:r>
          </w:p>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lang w:val="ru-RU"/>
              </w:rPr>
              <w:t>Випуск серії: Пфайзер Сервіс Компані БВ, Бельгія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США/</w:t>
            </w:r>
          </w:p>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Зміну з безпеки внесено за результатами єдиної оцінки періодично оновлюваного звіту з безпеки (процедура PSUSA/00000403/20502, звітний період з 26.02.2022 до 25.02.2025) відповідно до наукових висновків та рекомендацій PRAC.</w:t>
              <w:br/>
            </w:r>
            <w:r>
              <w:rPr>
                <w:rFonts w:cs="Arial" w:ascii="Arial" w:hAnsi="Arial"/>
                <w:color w:val="000000"/>
                <w:sz w:val="16"/>
                <w:szCs w:val="16"/>
                <w:lang w:val="ru-RU"/>
              </w:rPr>
              <w:t xml:space="preserve">Зміни вносяться до розділу "Побічні реакції" інструкції для медичного застосування лікарського засобу. </w:t>
            </w:r>
            <w:r>
              <w:rPr>
                <w:rFonts w:cs="Arial" w:ascii="Arial" w:hAnsi="Arial"/>
                <w:color w:val="000000"/>
                <w:sz w:val="16"/>
                <w:szCs w:val="16"/>
              </w:rPr>
              <w:t>Термін введення змін -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i/>
                <w:i/>
                <w:sz w:val="16"/>
                <w:szCs w:val="16"/>
              </w:rPr>
            </w:pPr>
            <w:r>
              <w:rPr>
                <w:rFonts w:cs="Arial" w:ascii="Arial" w:hAnsi="Arial"/>
                <w:i/>
                <w:sz w:val="16"/>
                <w:szCs w:val="16"/>
              </w:rPr>
              <w:t>за рецептом</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UA/18148/01/01</w:t>
            </w:r>
          </w:p>
        </w:tc>
      </w:tr>
      <w:tr>
        <w:trPr>
          <w:trHeight w:val="433" w:hRule="atLeast"/>
        </w:trPr>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3"/>
              </w:numPr>
              <w:tabs>
                <w:tab w:val="left" w:pos="12600" w:leader="none"/>
              </w:tabs>
              <w:snapToGrid w:val="false"/>
              <w:spacing w:before="0" w:after="0"/>
              <w:contextualSpacing/>
              <w:rPr>
                <w:rFonts w:ascii="Arial" w:hAnsi="Arial" w:cs="Arial"/>
                <w:b/>
                <w:b/>
                <w:sz w:val="16"/>
                <w:szCs w:val="16"/>
              </w:rPr>
            </w:pPr>
            <w:r>
              <w:rPr>
                <w:rFonts w:cs="Arial" w:ascii="Arial" w:hAnsi="Arial"/>
                <w:b/>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ЛАМЗЕДЕ</w:t>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Velmanase alfa</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rPr>
              <w:t>велманаза альфа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ind w:left="-108" w:hanging="0"/>
              <w:jc w:val="center"/>
              <w:rPr>
                <w:rFonts w:ascii="Arial" w:hAnsi="Arial" w:cs="Arial"/>
                <w:color w:val="000000"/>
                <w:sz w:val="16"/>
                <w:szCs w:val="16"/>
              </w:rPr>
            </w:pPr>
            <w:r>
              <w:rPr>
                <w:rFonts w:cs="Arial" w:ascii="Arial" w:hAnsi="Arial"/>
                <w:color w:val="000000"/>
                <w:sz w:val="16"/>
                <w:szCs w:val="16"/>
              </w:rPr>
              <w:t>A16AB15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інфузій, 10 мг; по 10 мг у флаконі з маркуванням англійською мовою; по 1 флакону в картонній коробці з маркуванням німецькою мовою зі стикером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К'єзі Фармас'ютікелз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випробування при випуску, випробування на стабільність, первинне пакування:</w:t>
              <w:br/>
              <w:t>Патеон Італія С.п.А., Італiя</w:t>
              <w:br/>
              <w:t>випробування при випуску, випуск серії, вторинне пакування, зберігання та дистрибуція:</w:t>
              <w:br/>
              <w:t>К'єзі Фармацеутиці С.п.А., Італія</w:t>
              <w:br/>
              <w:t>випробування при випуску: лише невидимі частки:</w:t>
              <w:br/>
              <w:t xml:space="preserve">Конфарма Франція - Гомбург, Францiя </w:t>
              <w:br/>
              <w:t>ЛАЛ-тест, невидимі частки, випробування цілісності системи контейнер/закупорювальний засіб:</w:t>
              <w:br/>
              <w:t>Єврофінс Біолаб Срл, Італія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Італiя/ Францiя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Q.I.b.1.z Change in the specification attribute and/or acceptance criteria of an active substance, starting material/reagent/intermediate used in the manufacturing process of the active substance - Q.I.b.1.z Other variation</w:t>
              <w:br/>
              <w:t>Q.I.b.1.z type IB: To delete the test for total organic carbon (TOC) from the control of the raw materials Verd.P._HPW_001_0.2 µm filtr. and Verd.P._WFI_001_0.2 µm filtr. used as process solvents in the manufacturing process of the active substance velmanase alfa.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i/>
                <w:i/>
                <w:sz w:val="16"/>
                <w:szCs w:val="16"/>
              </w:rPr>
            </w:pPr>
            <w:r>
              <w:rPr>
                <w:rFonts w:cs="Arial" w:ascii="Arial" w:hAnsi="Arial"/>
                <w:i/>
                <w:sz w:val="16"/>
                <w:szCs w:val="16"/>
              </w:rPr>
              <w:t xml:space="preserve">за </w:t>
            </w:r>
          </w:p>
          <w:p>
            <w:pPr>
              <w:pStyle w:val="Normal1"/>
              <w:tabs>
                <w:tab w:val="left" w:pos="12600" w:leader="none"/>
              </w:tabs>
              <w:spacing w:lineRule="auto" w:line="276"/>
              <w:ind w:left="-185" w:hanging="0"/>
              <w:jc w:val="center"/>
              <w:rPr>
                <w:rFonts w:ascii="Arial" w:hAnsi="Arial" w:cs="Arial"/>
                <w:i/>
                <w:i/>
                <w:sz w:val="16"/>
                <w:szCs w:val="16"/>
              </w:rPr>
            </w:pPr>
            <w:r>
              <w:rPr>
                <w:rFonts w:cs="Arial" w:ascii="Arial" w:hAnsi="Arial"/>
                <w:i/>
                <w:sz w:val="16"/>
                <w:szCs w:val="16"/>
              </w:rPr>
              <w:t>рецептом</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UA/18519/01/01</w:t>
            </w:r>
          </w:p>
        </w:tc>
      </w:tr>
      <w:tr>
        <w:trPr>
          <w:trHeight w:val="433" w:hRule="atLeast"/>
        </w:trPr>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3"/>
              </w:numPr>
              <w:tabs>
                <w:tab w:val="left" w:pos="12600" w:leader="none"/>
              </w:tabs>
              <w:snapToGrid w:val="false"/>
              <w:spacing w:before="0" w:after="0"/>
              <w:contextualSpacing/>
              <w:rPr>
                <w:rFonts w:ascii="Arial" w:hAnsi="Arial" w:cs="Arial"/>
                <w:b/>
                <w:b/>
                <w:sz w:val="16"/>
                <w:szCs w:val="16"/>
              </w:rPr>
            </w:pPr>
            <w:r>
              <w:rPr>
                <w:rFonts w:cs="Arial" w:ascii="Arial" w:hAnsi="Arial"/>
                <w:b/>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ЛАМЗЕДЕ</w:t>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Velmanase alfa</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rPr>
              <w:t>велманаза альфа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ind w:left="-108" w:hanging="0"/>
              <w:jc w:val="center"/>
              <w:rPr>
                <w:rFonts w:ascii="Arial" w:hAnsi="Arial" w:cs="Arial"/>
                <w:color w:val="000000"/>
                <w:sz w:val="16"/>
                <w:szCs w:val="16"/>
              </w:rPr>
            </w:pPr>
            <w:r>
              <w:rPr>
                <w:rFonts w:cs="Arial" w:ascii="Arial" w:hAnsi="Arial"/>
                <w:color w:val="000000"/>
                <w:sz w:val="16"/>
                <w:szCs w:val="16"/>
              </w:rPr>
              <w:t>A16AB15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інфузій, 10 мг; по 10 мг у флаконі з маркуванням англійською мовою; по 1 флакону в картонній коробці з маркуванням німецькою мовою зі стикером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К'єзі Фармас'ютікелз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pPr>
            <w:r>
              <w:rPr>
                <w:rFonts w:cs="Arial" w:ascii="Arial" w:hAnsi="Arial"/>
                <w:color w:val="000000"/>
                <w:sz w:val="16"/>
                <w:szCs w:val="16"/>
              </w:rPr>
              <w:t>виробництво лікарського засобу, випробування при випуску, випробування на стабільність, первинне пакування:</w:t>
              <w:br/>
              <w:t>Патеон Італія С.п.А., Італiя;</w:t>
              <w:br/>
              <w:t>випробування при випуску, випуск серії, вторинне пакування, зберігання та дистрибуція:</w:t>
              <w:br/>
              <w:t>К'єзі Фармацеутиці С.п.А., Італія;</w:t>
              <w:br/>
              <w:t>випробування при випуску: лише невидимі частки:</w:t>
              <w:br/>
              <w:t xml:space="preserve">Конфарма Франція - Гомбург, Францiя; </w:t>
              <w:br/>
              <w:t>ЛАЛ-тест, невидимі частки, випробування цілісності системи контейнер/закупорювальний засіб:</w:t>
              <w:br/>
              <w:t>Єврофінс Біолаб Срл, Італія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Італiя/ Францiя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Type IB - Q.I.c.1.c: Change in immediate packaging of the active substance - change in immediate packaging of nonsterile liquid active substance: To introduce the second-generation 6L Celsius® FFTp bag from Sartorius as an alternative immediate packaging for the storage of the active substance velmanase alfa.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 xml:space="preserve">за </w:t>
            </w:r>
          </w:p>
          <w:p>
            <w:pPr>
              <w:pStyle w:val="Normal1"/>
              <w:tabs>
                <w:tab w:val="left" w:pos="12600" w:leader="none"/>
              </w:tabs>
              <w:spacing w:lineRule="auto" w:line="276"/>
              <w:ind w:left="-185" w:hanging="0"/>
              <w:jc w:val="center"/>
              <w:rPr>
                <w:rFonts w:ascii="Arial" w:hAnsi="Arial" w:cs="Arial"/>
                <w:i/>
                <w:i/>
                <w:sz w:val="16"/>
                <w:szCs w:val="16"/>
              </w:rPr>
            </w:pPr>
            <w:r>
              <w:rPr>
                <w:rFonts w:cs="Arial" w:ascii="Arial" w:hAnsi="Arial"/>
                <w:i/>
                <w:sz w:val="16"/>
                <w:szCs w:val="16"/>
              </w:rPr>
              <w:t>рецептом</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UA/18519/01/01</w:t>
            </w:r>
          </w:p>
        </w:tc>
      </w:tr>
      <w:tr>
        <w:trPr>
          <w:trHeight w:val="433" w:hRule="atLeast"/>
        </w:trPr>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3"/>
              </w:numPr>
              <w:tabs>
                <w:tab w:val="left" w:pos="12600" w:leader="none"/>
              </w:tabs>
              <w:snapToGrid w:val="false"/>
              <w:spacing w:before="0" w:after="0"/>
              <w:contextualSpacing/>
              <w:rPr>
                <w:rFonts w:ascii="Arial" w:hAnsi="Arial" w:cs="Arial"/>
                <w:b/>
                <w:b/>
                <w:sz w:val="16"/>
                <w:szCs w:val="16"/>
              </w:rPr>
            </w:pPr>
            <w:r>
              <w:rPr>
                <w:rFonts w:cs="Arial" w:ascii="Arial" w:hAnsi="Arial"/>
                <w:b/>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НІМЕНРИКС®</w:t>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shd w:fill="F8F8F8" w:val="clear"/>
              </w:rPr>
              <w:t>Meningococcus A,C,Y,W-135, tetravalent purified polysaccharides antigen conjugated</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lang w:val="uk-UA"/>
              </w:rPr>
              <w:t xml:space="preserve">полісахарид </w:t>
            </w:r>
            <w:r>
              <w:rPr>
                <w:rFonts w:cs="Arial" w:ascii="Arial" w:hAnsi="Arial"/>
                <w:sz w:val="16"/>
                <w:szCs w:val="16"/>
              </w:rPr>
              <w:t>Neisseria</w:t>
            </w:r>
            <w:r>
              <w:rPr>
                <w:rFonts w:cs="Arial" w:ascii="Arial" w:hAnsi="Arial"/>
                <w:sz w:val="16"/>
                <w:szCs w:val="16"/>
                <w:lang w:val="uk-UA"/>
              </w:rPr>
              <w:t xml:space="preserve"> </w:t>
            </w:r>
            <w:r>
              <w:rPr>
                <w:rFonts w:cs="Arial" w:ascii="Arial" w:hAnsi="Arial"/>
                <w:sz w:val="16"/>
                <w:szCs w:val="16"/>
              </w:rPr>
              <w:t>meningitidis</w:t>
            </w:r>
            <w:r>
              <w:rPr>
                <w:rFonts w:cs="Arial" w:ascii="Arial" w:hAnsi="Arial"/>
                <w:sz w:val="16"/>
                <w:szCs w:val="16"/>
                <w:lang w:val="uk-UA"/>
              </w:rPr>
              <w:t xml:space="preserve"> серогрупи </w:t>
            </w:r>
            <w:r>
              <w:rPr>
                <w:rFonts w:cs="Arial" w:ascii="Arial" w:hAnsi="Arial"/>
                <w:sz w:val="16"/>
                <w:szCs w:val="16"/>
              </w:rPr>
              <w:t>A</w:t>
            </w:r>
            <w:r>
              <w:rPr>
                <w:rFonts w:cs="Arial" w:ascii="Arial" w:hAnsi="Arial"/>
                <w:sz w:val="16"/>
                <w:szCs w:val="16"/>
                <w:vertAlign w:val="superscript"/>
                <w:lang w:val="uk-UA"/>
              </w:rPr>
              <w:t>1</w:t>
            </w:r>
            <w:r>
              <w:rPr>
                <w:rFonts w:cs="Arial" w:ascii="Arial" w:hAnsi="Arial"/>
                <w:sz w:val="16"/>
                <w:szCs w:val="16"/>
                <w:lang w:val="uk-UA"/>
              </w:rPr>
              <w:t xml:space="preserve">; полісахарид </w:t>
            </w:r>
            <w:r>
              <w:rPr>
                <w:rFonts w:cs="Arial" w:ascii="Arial" w:hAnsi="Arial"/>
                <w:sz w:val="16"/>
                <w:szCs w:val="16"/>
              </w:rPr>
              <w:t>Neisseria</w:t>
            </w:r>
            <w:r>
              <w:rPr>
                <w:rFonts w:cs="Arial" w:ascii="Arial" w:hAnsi="Arial"/>
                <w:sz w:val="16"/>
                <w:szCs w:val="16"/>
                <w:lang w:val="uk-UA"/>
              </w:rPr>
              <w:t xml:space="preserve"> </w:t>
            </w:r>
            <w:r>
              <w:rPr>
                <w:rFonts w:cs="Arial" w:ascii="Arial" w:hAnsi="Arial"/>
                <w:sz w:val="16"/>
                <w:szCs w:val="16"/>
              </w:rPr>
              <w:t>meningitidis</w:t>
            </w:r>
            <w:r>
              <w:rPr>
                <w:rFonts w:cs="Arial" w:ascii="Arial" w:hAnsi="Arial"/>
                <w:sz w:val="16"/>
                <w:szCs w:val="16"/>
                <w:lang w:val="uk-UA"/>
              </w:rPr>
              <w:t xml:space="preserve"> серогрупи </w:t>
            </w:r>
            <w:r>
              <w:rPr>
                <w:rFonts w:cs="Arial" w:ascii="Arial" w:hAnsi="Arial"/>
                <w:sz w:val="16"/>
                <w:szCs w:val="16"/>
              </w:rPr>
              <w:t>C</w:t>
            </w:r>
            <w:r>
              <w:rPr>
                <w:rFonts w:cs="Arial" w:ascii="Arial" w:hAnsi="Arial"/>
                <w:sz w:val="16"/>
                <w:szCs w:val="16"/>
                <w:vertAlign w:val="superscript"/>
                <w:lang w:val="uk-UA"/>
              </w:rPr>
              <w:t>1</w:t>
            </w:r>
            <w:r>
              <w:rPr>
                <w:rFonts w:cs="Arial" w:ascii="Arial" w:hAnsi="Arial"/>
                <w:sz w:val="16"/>
                <w:szCs w:val="16"/>
                <w:lang w:val="uk-UA"/>
              </w:rPr>
              <w:t xml:space="preserve">;  полісахарид </w:t>
            </w:r>
            <w:r>
              <w:rPr>
                <w:rFonts w:cs="Arial" w:ascii="Arial" w:hAnsi="Arial"/>
                <w:sz w:val="16"/>
                <w:szCs w:val="16"/>
              </w:rPr>
              <w:t>Neisseria</w:t>
            </w:r>
            <w:r>
              <w:rPr>
                <w:rFonts w:cs="Arial" w:ascii="Arial" w:hAnsi="Arial"/>
                <w:sz w:val="16"/>
                <w:szCs w:val="16"/>
                <w:lang w:val="uk-UA"/>
              </w:rPr>
              <w:t xml:space="preserve"> </w:t>
            </w:r>
            <w:r>
              <w:rPr>
                <w:rFonts w:cs="Arial" w:ascii="Arial" w:hAnsi="Arial"/>
                <w:sz w:val="16"/>
                <w:szCs w:val="16"/>
              </w:rPr>
              <w:t>meningitidis</w:t>
            </w:r>
            <w:r>
              <w:rPr>
                <w:rFonts w:cs="Arial" w:ascii="Arial" w:hAnsi="Arial"/>
                <w:sz w:val="16"/>
                <w:szCs w:val="16"/>
                <w:lang w:val="uk-UA"/>
              </w:rPr>
              <w:t xml:space="preserve"> серогрупи </w:t>
            </w:r>
            <w:r>
              <w:rPr>
                <w:rFonts w:cs="Arial" w:ascii="Arial" w:hAnsi="Arial"/>
                <w:sz w:val="16"/>
                <w:szCs w:val="16"/>
              </w:rPr>
              <w:t>W</w:t>
            </w:r>
            <w:r>
              <w:rPr>
                <w:rFonts w:cs="Arial" w:ascii="Arial" w:hAnsi="Arial"/>
                <w:sz w:val="16"/>
                <w:szCs w:val="16"/>
                <w:lang w:val="uk-UA"/>
              </w:rPr>
              <w:t>-135</w:t>
            </w:r>
            <w:r>
              <w:rPr>
                <w:rFonts w:cs="Arial" w:ascii="Arial" w:hAnsi="Arial"/>
                <w:sz w:val="16"/>
                <w:szCs w:val="16"/>
                <w:vertAlign w:val="superscript"/>
                <w:lang w:val="uk-UA"/>
              </w:rPr>
              <w:t>1</w:t>
            </w:r>
            <w:r>
              <w:rPr>
                <w:rFonts w:cs="Arial" w:ascii="Arial" w:hAnsi="Arial"/>
                <w:sz w:val="16"/>
                <w:szCs w:val="16"/>
                <w:lang w:val="uk-UA"/>
              </w:rPr>
              <w:t xml:space="preserve">; полісахарид </w:t>
            </w:r>
            <w:r>
              <w:rPr>
                <w:rFonts w:cs="Arial" w:ascii="Arial" w:hAnsi="Arial"/>
                <w:sz w:val="16"/>
                <w:szCs w:val="16"/>
              </w:rPr>
              <w:t>Neisseria</w:t>
            </w:r>
            <w:r>
              <w:rPr>
                <w:rFonts w:cs="Arial" w:ascii="Arial" w:hAnsi="Arial"/>
                <w:sz w:val="16"/>
                <w:szCs w:val="16"/>
                <w:lang w:val="uk-UA"/>
              </w:rPr>
              <w:t xml:space="preserve"> </w:t>
            </w:r>
            <w:r>
              <w:rPr>
                <w:rFonts w:cs="Arial" w:ascii="Arial" w:hAnsi="Arial"/>
                <w:sz w:val="16"/>
                <w:szCs w:val="16"/>
              </w:rPr>
              <w:t>meningitidis</w:t>
            </w:r>
            <w:r>
              <w:rPr>
                <w:rFonts w:cs="Arial" w:ascii="Arial" w:hAnsi="Arial"/>
                <w:sz w:val="16"/>
                <w:szCs w:val="16"/>
                <w:lang w:val="uk-UA"/>
              </w:rPr>
              <w:t xml:space="preserve"> серогрупи </w:t>
            </w:r>
            <w:r>
              <w:rPr>
                <w:rFonts w:cs="Arial" w:ascii="Arial" w:hAnsi="Arial"/>
                <w:sz w:val="16"/>
                <w:szCs w:val="16"/>
              </w:rPr>
              <w:t>Y</w:t>
            </w:r>
            <w:r>
              <w:rPr>
                <w:rFonts w:cs="Arial" w:ascii="Arial" w:hAnsi="Arial"/>
                <w:sz w:val="16"/>
                <w:szCs w:val="16"/>
                <w:vertAlign w:val="superscript"/>
                <w:lang w:val="uk-UA"/>
              </w:rPr>
              <w:t>1</w:t>
            </w:r>
            <w:r>
              <w:rPr>
                <w:rFonts w:cs="Arial" w:ascii="Arial" w:hAnsi="Arial"/>
                <w:sz w:val="16"/>
                <w:szCs w:val="16"/>
                <w:lang w:val="uk-UA"/>
              </w:rPr>
              <w:t xml:space="preserve"> – 5 мкг</w:t>
            </w:r>
          </w:p>
          <w:p>
            <w:pPr>
              <w:pStyle w:val="Normal"/>
              <w:tabs>
                <w:tab w:val="left" w:pos="12600" w:leader="none"/>
              </w:tabs>
              <w:rPr>
                <w:rFonts w:ascii="Arial" w:hAnsi="Arial" w:cs="Arial"/>
                <w:sz w:val="16"/>
                <w:szCs w:val="16"/>
                <w:lang w:val="uk-UA"/>
              </w:rPr>
            </w:pPr>
            <w:r>
              <w:rPr>
                <w:rFonts w:cs="Arial" w:ascii="Arial" w:hAnsi="Arial"/>
                <w:sz w:val="16"/>
                <w:szCs w:val="16"/>
                <w:lang w:val="uk-UA"/>
              </w:rPr>
            </w:r>
          </w:p>
          <w:p>
            <w:pPr>
              <w:pStyle w:val="Normal1"/>
              <w:tabs>
                <w:tab w:val="left" w:pos="12600" w:leader="none"/>
              </w:tabs>
              <w:rPr>
                <w:rFonts w:ascii="Arial" w:hAnsi="Arial" w:cs="Arial"/>
                <w:color w:val="000000"/>
                <w:sz w:val="16"/>
                <w:szCs w:val="16"/>
              </w:rPr>
            </w:pPr>
            <w:r>
              <w:rPr>
                <w:rFonts w:cs="Arial" w:ascii="Arial" w:hAnsi="Arial"/>
                <w:sz w:val="16"/>
                <w:szCs w:val="16"/>
                <w:vertAlign w:val="superscript"/>
                <w:lang w:val="ru-RU"/>
              </w:rPr>
              <w:t xml:space="preserve">1 </w:t>
            </w:r>
            <w:r>
              <w:rPr>
                <w:rFonts w:cs="Arial" w:ascii="Arial" w:hAnsi="Arial"/>
                <w:sz w:val="16"/>
                <w:szCs w:val="16"/>
                <w:lang w:val="ru-RU"/>
              </w:rPr>
              <w:t>кон’югований з білком-носієм правцевого анатоксину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ind w:left="-108" w:hanging="0"/>
              <w:jc w:val="center"/>
              <w:rPr>
                <w:rFonts w:ascii="Arial" w:hAnsi="Arial" w:cs="Arial"/>
                <w:color w:val="000000"/>
                <w:sz w:val="16"/>
                <w:szCs w:val="16"/>
              </w:rPr>
            </w:pPr>
            <w:r>
              <w:rPr>
                <w:rFonts w:cs="Arial" w:ascii="Arial" w:hAnsi="Arial"/>
                <w:color w:val="000000"/>
                <w:sz w:val="16"/>
                <w:szCs w:val="16"/>
                <w:shd w:fill="F8F8F8" w:val="clear"/>
              </w:rPr>
              <w:t>J07AH08</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lang w:val="ru-RU"/>
              </w:rPr>
            </w:pPr>
            <w:r>
              <w:rPr>
                <w:rFonts w:cs="Arial" w:ascii="Arial" w:hAnsi="Arial"/>
                <w:color w:val="000000"/>
                <w:sz w:val="16"/>
                <w:szCs w:val="16"/>
                <w:lang w:val="ru-RU"/>
              </w:rPr>
              <w:t>порошок та розчинник для розчину для ін'єкцій, 1 доза у флаконі; по 1 флакону з порошком (1 доза) в комплекті з розчинником (0,5 мл) у попередньо наповненому шприці та двома голками запаковують у блістер та вкладають у картонну коробку; по 1 флакону з порошком (1 доза) в комплекті з розчинником (0,5 мл) у попередньо наповненому шприці без голки запаковують у блістер; 10 блістерів вкладають у картонну коробку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lang w:val="ru-RU"/>
              </w:rPr>
              <w:t>ПФАЙЗЕР ЕЙЧ.СІ.ПІ. КОРПОРЕЙШН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формування, наповнення, ліофілізація, контроль якості, пакування/маркування, випуск серії готового продукту; формування та наповнення, пакування/маркування, контроль якості, випуск серії розчинника:</w:t>
              <w:br/>
              <w:t xml:space="preserve">Пфайзер Менюфекчуринг Бельгія НВ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A.4, IA</w:t>
              <w:br/>
              <w:t>To clarify that Wyeth Pharmaceutical Division of Wyeth Holdings LLC (4300 Oak Park, Sanford, NC 27330, United States) is an alternative name for Wyeth Holdings LLC (registered legal entity name of purified N. meningitidis polysaccharides MenA, MenC, MenW, MenY and purified tetanus toxoid manufacturing and testing site, including testing of working cell banks and cell bank storage).</w:t>
              <w:br/>
              <w:t>Q.I.b.1.z, IB</w:t>
              <w:br/>
              <w:t>To change the specification of the Na-glutamate raw material used in the media preparation for fermentation processes of each N. meningitidis serogroup A, C, W and Y. The specification grade changes from “non-compendial” to “USP-NF”.</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spacing w:lineRule="auto" w:line="276"/>
              <w:ind w:left="-185" w:hanging="0"/>
              <w:jc w:val="center"/>
              <w:rPr>
                <w:rFonts w:ascii="Arial" w:hAnsi="Arial" w:cs="Arial"/>
                <w:i/>
                <w:i/>
                <w:sz w:val="16"/>
                <w:szCs w:val="16"/>
              </w:rPr>
            </w:pPr>
            <w:r>
              <w:rPr>
                <w:rFonts w:cs="Arial" w:ascii="Arial" w:hAnsi="Arial"/>
                <w:i/>
                <w:sz w:val="16"/>
                <w:szCs w:val="16"/>
              </w:rPr>
              <w:t>за рецептом</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UA/16901/01/01</w:t>
            </w:r>
          </w:p>
        </w:tc>
      </w:tr>
      <w:tr>
        <w:trPr>
          <w:trHeight w:val="433" w:hRule="atLeast"/>
        </w:trPr>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numPr>
                <w:ilvl w:val="0"/>
                <w:numId w:val="3"/>
              </w:numPr>
              <w:tabs>
                <w:tab w:val="left" w:pos="12600" w:leader="none"/>
              </w:tabs>
              <w:snapToGrid w:val="false"/>
              <w:spacing w:before="0" w:after="0"/>
              <w:contextualSpacing/>
              <w:rPr>
                <w:rFonts w:ascii="Arial" w:hAnsi="Arial" w:cs="Arial"/>
                <w:b/>
                <w:b/>
                <w:sz w:val="16"/>
                <w:szCs w:val="16"/>
              </w:rPr>
            </w:pPr>
            <w:r>
              <w:rPr>
                <w:rFonts w:cs="Arial" w:ascii="Arial" w:hAnsi="Arial"/>
                <w:b/>
                <w:sz w:val="16"/>
                <w:szCs w:val="16"/>
              </w:rPr>
            </w:r>
          </w:p>
        </w:tc>
        <w:tc>
          <w:tcPr>
            <w:tcW w:w="11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sz w:val="16"/>
                <w:szCs w:val="16"/>
              </w:rPr>
            </w:pPr>
            <w:r>
              <w:rPr>
                <w:rFonts w:cs="Arial" w:ascii="Arial" w:hAnsi="Arial"/>
                <w:b/>
                <w:sz w:val="16"/>
                <w:szCs w:val="16"/>
              </w:rPr>
              <w:t>ТАМОКСИФЕН САНДОЗ®</w:t>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jc w:val="center"/>
              <w:rPr>
                <w:rFonts w:ascii="Arial" w:hAnsi="Arial" w:cs="Arial"/>
                <w:color w:val="000000"/>
                <w:sz w:val="16"/>
                <w:szCs w:val="16"/>
                <w:shd w:fill="F8F8F8" w:val="clear"/>
              </w:rPr>
            </w:pPr>
            <w:r>
              <w:rPr>
                <w:rFonts w:cs="Arial" w:ascii="Arial" w:hAnsi="Arial"/>
                <w:color w:val="000000"/>
                <w:sz w:val="16"/>
                <w:szCs w:val="16"/>
              </w:rPr>
              <w:t>tamoxifen</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eastAsia="Calibri" w:cs="Arial"/>
                <w:sz w:val="16"/>
                <w:szCs w:val="16"/>
              </w:rPr>
            </w:pPr>
            <w:r>
              <w:rPr>
                <w:rFonts w:cs="Arial" w:ascii="Arial" w:hAnsi="Arial"/>
                <w:color w:val="000000"/>
                <w:sz w:val="16"/>
                <w:szCs w:val="16"/>
              </w:rPr>
              <w:t>тамоксифен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ind w:left="-108" w:hanging="0"/>
              <w:jc w:val="center"/>
              <w:rPr>
                <w:rFonts w:ascii="Arial" w:hAnsi="Arial" w:cs="Arial"/>
                <w:color w:val="000000"/>
                <w:sz w:val="16"/>
                <w:szCs w:val="16"/>
                <w:shd w:fill="F8F8F8" w:val="clear"/>
              </w:rPr>
            </w:pPr>
            <w:r>
              <w:rPr>
                <w:rFonts w:cs="Arial" w:ascii="Arial" w:hAnsi="Arial"/>
                <w:color w:val="000000"/>
                <w:sz w:val="16"/>
                <w:szCs w:val="16"/>
              </w:rPr>
              <w:t>L02BA01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lang w:val="ru-RU"/>
              </w:rPr>
            </w:pPr>
            <w:r>
              <w:rPr>
                <w:rFonts w:cs="Arial" w:ascii="Arial" w:hAnsi="Arial"/>
                <w:color w:val="000000"/>
                <w:sz w:val="16"/>
                <w:szCs w:val="16"/>
                <w:lang w:val="ru-RU"/>
              </w:rPr>
              <w:t xml:space="preserve">таблетки, вкриті плівковою оболонкою 20 мг, по 10 таблеток, вкритих плівковою оболонкою у блістері; по 3 або по 10 блістерів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rPr>
              <w:t>ТОВ "Сандоз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Салютас Фарма ГмбХ, Німеччина; вторинне пакування: Салютас Фарма ГмбХ, Німеччина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b/>
                <w:b/>
                <w:color w:val="000000"/>
                <w:sz w:val="16"/>
                <w:szCs w:val="16"/>
              </w:rPr>
            </w:pPr>
            <w:r>
              <w:rPr>
                <w:rFonts w:cs="Arial" w:ascii="Arial" w:hAnsi="Arial"/>
                <w:color w:val="000000"/>
                <w:sz w:val="16"/>
                <w:szCs w:val="16"/>
              </w:rPr>
              <w:t>Зміни I типу: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виробника(Б.III.1. (а)-1,IAнп), Submission of a new Ph. Eur. certificate of suitability (RO-CEP 2021-495 - Rev - 01) for an active substance Tamoxifen from already approved API manufacturer Excella used in the manufacturing of finished product Tamoxifen 10mg, 20mg, 30mg &amp; 40mg FCT.</w:t>
              <w:br/>
              <w:t>Зміни I типу: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виробника(Б.III.1. (а)-1,IAнп), Submission of a new Ph. Eur. certificate of suitability (CEP 2021-495 - Rev 03) for an active substance Tamoxifen from already approved API manufacturer Excella used in the manufacturing of finished product Tamoxifen 10mg, 20mg, 30mg &amp; 40mg FCT.</w:t>
              <w:br/>
            </w:r>
            <w:r>
              <w:rPr>
                <w:rFonts w:cs="Arial" w:ascii="Arial" w:hAnsi="Arial"/>
                <w:color w:val="000000"/>
                <w:sz w:val="16"/>
                <w:szCs w:val="16"/>
                <w:lang w:val="ru-RU"/>
              </w:rPr>
              <w:t xml:space="preserve">Зміни </w:t>
            </w:r>
            <w:r>
              <w:rPr>
                <w:rFonts w:cs="Arial" w:ascii="Arial" w:hAnsi="Arial"/>
                <w:color w:val="000000"/>
                <w:sz w:val="16"/>
                <w:szCs w:val="16"/>
              </w:rPr>
              <w:t>I</w:t>
            </w:r>
            <w:r>
              <w:rPr>
                <w:rFonts w:cs="Arial" w:ascii="Arial" w:hAnsi="Arial"/>
                <w:color w:val="000000"/>
                <w:sz w:val="16"/>
                <w:szCs w:val="16"/>
                <w:lang w:val="ru-RU"/>
              </w:rPr>
              <w:t xml:space="preserve"> типу: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зміни)(Б.</w:t>
            </w:r>
            <w:r>
              <w:rPr>
                <w:rFonts w:cs="Arial" w:ascii="Arial" w:hAnsi="Arial"/>
                <w:color w:val="000000"/>
                <w:sz w:val="16"/>
                <w:szCs w:val="16"/>
              </w:rPr>
              <w:t>II</w:t>
            </w:r>
            <w:r>
              <w:rPr>
                <w:rFonts w:cs="Arial" w:ascii="Arial" w:hAnsi="Arial"/>
                <w:color w:val="000000"/>
                <w:sz w:val="16"/>
                <w:szCs w:val="16"/>
                <w:lang w:val="ru-RU"/>
              </w:rPr>
              <w:t xml:space="preserve">.г.1. </w:t>
            </w:r>
            <w:r>
              <w:rPr>
                <w:rFonts w:cs="Arial" w:ascii="Arial" w:hAnsi="Arial"/>
                <w:color w:val="000000"/>
                <w:sz w:val="16"/>
                <w:szCs w:val="16"/>
              </w:rPr>
              <w:t>(х),ІБ), Reduction in testing frequency for non-stability indicating test parameter Mean weight from shelf-life specification of finished product.</w:t>
              <w:br/>
              <w:t>Reduction in testing frequency for non-stability indicating test parameter Identity Tamoxifen from shelf-life specification of finished product.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spacing w:lineRule="auto" w:line="276"/>
              <w:ind w:left="-185" w:hanging="0"/>
              <w:jc w:val="center"/>
              <w:rPr>
                <w:rFonts w:ascii="Arial" w:hAnsi="Arial" w:cs="Arial"/>
                <w:i/>
                <w:i/>
                <w:sz w:val="16"/>
                <w:szCs w:val="16"/>
              </w:rPr>
            </w:pPr>
            <w:r>
              <w:rPr>
                <w:rFonts w:cs="Arial" w:ascii="Arial" w:hAnsi="Arial"/>
                <w:i/>
                <w:sz w:val="16"/>
                <w:szCs w:val="16"/>
              </w:rPr>
              <w:t xml:space="preserve">за </w:t>
            </w:r>
          </w:p>
          <w:p>
            <w:pPr>
              <w:pStyle w:val="Normal1"/>
              <w:tabs>
                <w:tab w:val="left" w:pos="12600" w:leader="none"/>
              </w:tabs>
              <w:spacing w:lineRule="auto" w:line="276"/>
              <w:ind w:left="-108" w:right="-108" w:hanging="0"/>
              <w:jc w:val="center"/>
              <w:rPr>
                <w:rFonts w:ascii="Arial" w:hAnsi="Arial" w:cs="Arial"/>
                <w:i/>
                <w:i/>
                <w:sz w:val="16"/>
                <w:szCs w:val="16"/>
              </w:rPr>
            </w:pPr>
            <w:r>
              <w:rPr>
                <w:rFonts w:cs="Arial" w:ascii="Arial" w:hAnsi="Arial"/>
                <w:i/>
                <w:sz w:val="16"/>
                <w:szCs w:val="16"/>
              </w:rPr>
              <w:t>рецептом</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UA/19585/01/01</w:t>
            </w:r>
          </w:p>
        </w:tc>
      </w:tr>
    </w:tbl>
    <w:p>
      <w:pPr>
        <w:pStyle w:val="11"/>
        <w:rPr>
          <w:rFonts w:ascii="Arial" w:hAnsi="Arial" w:cs="Arial"/>
        </w:rPr>
      </w:pPr>
      <w:r>
        <w:rPr>
          <w:rFonts w:cs="Arial" w:ascii="Arial" w:hAnsi="Arial"/>
        </w:rPr>
      </w:r>
    </w:p>
    <w:p>
      <w:pPr>
        <w:pStyle w:val="Normal"/>
        <w:rPr>
          <w:rFonts w:ascii="Arial" w:hAnsi="Arial" w:cs="Arial"/>
        </w:rPr>
      </w:pPr>
      <w:r>
        <w:rPr>
          <w:rFonts w:cs="Arial" w:ascii="Arial" w:hAnsi="Arial"/>
        </w:rPr>
        <w:t>*</w:t>
      </w:r>
      <w:r>
        <w:rPr>
          <w:rFonts w:cs="Arial" w:ascii="Arial" w:hAnsi="Arial"/>
          <w:sz w:val="28"/>
          <w:szCs w:val="28"/>
        </w:rPr>
        <w:t xml:space="preserve"> </w:t>
      </w:r>
      <w:r>
        <w:rPr>
          <w:rFonts w:cs="Arial" w:ascii="Arial" w:hAnsi="Arial"/>
          <w:i/>
          <w:sz w:val="18"/>
          <w:szCs w:val="18"/>
        </w:rPr>
        <w:t>відповідно до інформації офіційного сайту Центру ВООЗ по співпраці в методології статистичних досліджень (</w:t>
      </w:r>
      <w:hyperlink r:id="rId8">
        <w:r>
          <w:rPr>
            <w:rStyle w:val="InternetLink"/>
            <w:rFonts w:cs="Arial" w:ascii="Arial" w:hAnsi="Arial"/>
            <w:i/>
            <w:sz w:val="18"/>
            <w:szCs w:val="18"/>
          </w:rPr>
          <w:t>https://www.whocc.no/atc_ddd_index/</w:t>
        </w:r>
      </w:hyperlink>
      <w:r>
        <w:rPr>
          <w:rStyle w:val="InternetLink"/>
          <w:rFonts w:cs="Arial" w:ascii="Arial" w:hAnsi="Arial"/>
          <w:i/>
          <w:sz w:val="18"/>
          <w:szCs w:val="18"/>
        </w:rPr>
        <w:t>)</w:t>
      </w:r>
    </w:p>
    <w:p>
      <w:pPr>
        <w:pStyle w:val="Normal1"/>
        <w:jc w:val="center"/>
        <w:rPr>
          <w:rFonts w:ascii="Arial" w:hAnsi="Arial" w:cs="Arial"/>
          <w:lang w:val="ru-RU"/>
        </w:rPr>
      </w:pPr>
      <w:r>
        <w:rPr>
          <w:rFonts w:cs="Arial" w:ascii="Arial" w:hAnsi="Arial"/>
          <w:lang w:val="ru-RU"/>
        </w:rPr>
      </w:r>
    </w:p>
    <w:p>
      <w:pPr>
        <w:pStyle w:val="Normal1"/>
        <w:jc w:val="center"/>
        <w:rPr>
          <w:lang w:val="ru-RU"/>
        </w:rPr>
      </w:pPr>
      <w:r>
        <w:rPr>
          <w:lang w:val="ru-RU"/>
        </w:rPr>
      </w:r>
    </w:p>
    <w:p>
      <w:pPr>
        <w:pStyle w:val="Normal"/>
        <w:ind w:left="540" w:hanging="0"/>
        <w:rPr/>
      </w:pPr>
      <w:r>
        <w:rPr>
          <w:b/>
          <w:sz w:val="28"/>
          <w:szCs w:val="28"/>
        </w:rPr>
        <w:t>Начальник</w:t>
      </w:r>
    </w:p>
    <w:p>
      <w:pPr>
        <w:pStyle w:val="Normal"/>
        <w:ind w:left="540" w:hanging="0"/>
        <w:rPr>
          <w:b/>
          <w:b/>
          <w:sz w:val="22"/>
          <w:szCs w:val="22"/>
        </w:rPr>
      </w:pPr>
      <w:r>
        <w:rPr>
          <w:b/>
          <w:sz w:val="28"/>
          <w:szCs w:val="28"/>
        </w:rPr>
        <w:t>Фармацевтичного управління                                                                                                  Олександр ГРІЦЕНКО</w:t>
        <w:tab/>
        <w:t xml:space="preserve">        </w:t>
        <w:tab/>
        <w:tab/>
        <w:t xml:space="preserve">          </w:t>
        <w:tab/>
        <w:tab/>
      </w:r>
    </w:p>
    <w:p>
      <w:pPr>
        <w:pStyle w:val="Normal"/>
        <w:rPr/>
      </w:pPr>
      <w:r>
        <w:rPr>
          <w:rFonts w:eastAsia="Times New Roman"/>
          <w:b/>
          <w:sz w:val="28"/>
          <w:szCs w:val="28"/>
          <w:lang w:val="uk-UA"/>
        </w:rPr>
        <w:t xml:space="preserve">                                                                                            </w:t>
      </w:r>
    </w:p>
    <w:sectPr>
      <w:headerReference w:type="default" r:id="rId9"/>
      <w:headerReference w:type="first" r:id="rId10"/>
      <w:type w:val="nextPage"/>
      <w:pgSz w:orient="landscape" w:w="16838" w:h="11906"/>
      <w:pgMar w:left="1560" w:right="899" w:header="709" w:top="1418" w:footer="0" w:bottom="567"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Calibri Light">
    <w:charset w:val="cc"/>
    <w:family w:val="swiss"/>
    <w:pitch w:val="variable"/>
  </w:font>
  <w:font w:name="Arial">
    <w:charset w:val="cc"/>
    <w:family w:val="swiss"/>
    <w:pitch w:val="variable"/>
  </w:font>
  <w:font w:name="Courier New">
    <w:charset w:val="cc"/>
    <w:family w:val="modern"/>
    <w:pitch w:val="default"/>
  </w:font>
  <w:font w:name="Liberation Sans">
    <w:altName w:val="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fldChar w:fldCharType="begin"/>
    </w:r>
    <w:r>
      <w:instrText> PAGE </w:instrText>
    </w:r>
    <w:r>
      <w:fldChar w:fldCharType="separate"/>
    </w:r>
    <w:r>
      <w:t>2</w:t>
    </w:r>
    <w:r>
      <w:fldChar w:fldCharType="end"/>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p>
    <w:pPr>
      <w:pStyle w:val="Header"/>
      <w:tabs>
        <w:tab w:val="left" w:pos="4110" w:leader="none"/>
      </w:tabs>
      <w:rPr>
        <w:lang w:val="uk-UA"/>
      </w:rPr>
    </w:pPr>
    <w:r>
      <w:rPr>
        <w:lang w:val="uk-UA"/>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fldChar w:fldCharType="begin"/>
    </w:r>
    <w:r>
      <w:instrText> PAGE </w:instrText>
    </w:r>
    <w:r>
      <w:fldChar w:fldCharType="separate"/>
    </w:r>
    <w:r>
      <w:t>7</w:t>
    </w:r>
    <w:r>
      <w:fldChar w:fldCharType="end"/>
    </w:r>
  </w:p>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p>
    <w:pPr>
      <w:pStyle w:val="Header"/>
      <w:tabs>
        <w:tab w:val="left" w:pos="4110" w:leader="none"/>
      </w:tabs>
      <w:rPr>
        <w:lang w:val="uk-UA"/>
      </w:rPr>
    </w:pPr>
    <w:r>
      <w:rPr>
        <w:lang w:val="uk-UA"/>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fldChar w:fldCharType="begin"/>
    </w:r>
    <w:r>
      <w:instrText> PAGE </w:instrText>
    </w:r>
    <w:r>
      <w:fldChar w:fldCharType="separate"/>
    </w:r>
    <w:r>
      <w:t>17</w:t>
    </w:r>
    <w:r>
      <w:fldChar w:fldCharType="end"/>
    </w:r>
  </w:p>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p>
    <w:pPr>
      <w:pStyle w:val="Header"/>
      <w:tabs>
        <w:tab w:val="left" w:pos="4110" w:leader="none"/>
      </w:tabs>
      <w:rPr>
        <w:lang w:val="uk-UA"/>
      </w:rPr>
    </w:pPr>
    <w:r>
      <w:rPr>
        <w:lang w:val="uk-UA"/>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1440" w:hanging="360"/>
      </w:pPr>
      <w:rPr>
        <w:sz w:val="28"/>
        <w:szCs w:val="28"/>
        <w:lang w:val="uk-UA"/>
      </w:rPr>
    </w:lvl>
  </w:abstractNum>
  <w:abstractNum w:abstractNumId="3">
    <w:lvl w:ilvl="0">
      <w:start w:val="1"/>
      <w:numFmt w:val="decimal"/>
      <w:lvlText w:val="%1."/>
      <w:lvlJc w:val="left"/>
      <w:pPr>
        <w:ind w:left="360" w:hanging="360"/>
      </w:pPr>
      <w:rPr/>
    </w:lvl>
  </w:abstractNum>
  <w:abstractNum w:abstractNumId="4">
    <w:lvl w:ilvl="0">
      <w:start w:val="1"/>
      <w:numFmt w:val="decimal"/>
      <w:lvlText w:val="%1."/>
      <w:lvlJc w:val="left"/>
      <w:pPr>
        <w:ind w:left="1440" w:hanging="360"/>
      </w:pPr>
      <w:rPr>
        <w:sz w:val="28"/>
        <w:szCs w:val="28"/>
        <w:lang w:val="uk-UA"/>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8"/>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ru-RU" w:eastAsia="zh-CN" w:bidi="hi-IN"/>
      </w:rPr>
    </w:rPrDefault>
    <w:pPrDefault>
      <w:pPr/>
    </w:pPrDefault>
  </w:docDefaults>
  <w:style w:type="paragraph" w:styleId="Normal">
    <w:name w:val="Normal"/>
    <w:qFormat/>
    <w:pPr>
      <w:widowControl/>
      <w:bidi w:val="0"/>
    </w:pPr>
    <w:rPr>
      <w:rFonts w:ascii="Times New Roman" w:hAnsi="Times New Roman" w:eastAsia="Calibri"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jc w:val="both"/>
      <w:outlineLvl w:val="0"/>
    </w:pPr>
    <w:rPr>
      <w:rFonts w:eastAsia="Times New Roman"/>
      <w:b/>
      <w:sz w:val="26"/>
      <w:lang w:val="ru-RU"/>
    </w:rPr>
  </w:style>
  <w:style w:type="paragraph" w:styleId="Heading2">
    <w:name w:val="Heading 2"/>
    <w:basedOn w:val="Normal"/>
    <w:next w:val="Normal"/>
    <w:qFormat/>
    <w:pPr>
      <w:keepNext w:val="true"/>
      <w:numPr>
        <w:ilvl w:val="1"/>
        <w:numId w:val="1"/>
      </w:numPr>
      <w:spacing w:before="240" w:after="60"/>
      <w:outlineLvl w:val="1"/>
    </w:pPr>
    <w:rPr>
      <w:rFonts w:ascii="Calibri Light" w:hAnsi="Calibri Light" w:eastAsia="Times New Roman" w:cs="Times New Roman"/>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eastAsia="Times New Roman"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character" w:styleId="WW8Num1z0">
    <w:name w:val="WW8Num1z0"/>
    <w:qFormat/>
    <w:rPr>
      <w:sz w:val="28"/>
      <w:szCs w:val="28"/>
      <w:lang w:val="uk-UA"/>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Style10">
    <w:name w:val="Основной шрифт абзаца"/>
    <w:qFormat/>
    <w:rPr/>
  </w:style>
  <w:style w:type="character" w:styleId="1">
    <w:name w:val="Заголовок 1 Знак"/>
    <w:qFormat/>
    <w:rPr>
      <w:rFonts w:ascii="Times New Roman" w:hAnsi="Times New Roman" w:eastAsia="Times New Roman" w:cs="Times New Roman"/>
      <w:b/>
      <w:sz w:val="26"/>
    </w:rPr>
  </w:style>
  <w:style w:type="character" w:styleId="3">
    <w:name w:val="Заголовок 3 Знак"/>
    <w:qFormat/>
    <w:rPr>
      <w:rFonts w:ascii="Arial" w:hAnsi="Arial" w:eastAsia="Times New Roman" w:cs="Arial"/>
      <w:b/>
      <w:bCs/>
      <w:sz w:val="26"/>
      <w:szCs w:val="26"/>
      <w:lang w:val="ru-RU"/>
    </w:rPr>
  </w:style>
  <w:style w:type="character" w:styleId="HTML">
    <w:name w:val="Стандартный HTML Знак"/>
    <w:qFormat/>
    <w:rPr>
      <w:rFonts w:ascii="Courier New" w:hAnsi="Courier New" w:cs="Courier New"/>
      <w:color w:val="000000"/>
      <w:sz w:val="21"/>
      <w:szCs w:val="21"/>
      <w:lang w:val="ru-RU"/>
    </w:rPr>
  </w:style>
  <w:style w:type="character" w:styleId="31">
    <w:name w:val="Основной текст с отступом 3 Знак"/>
    <w:qFormat/>
    <w:rPr>
      <w:rFonts w:ascii="Times New Roman" w:hAnsi="Times New Roman" w:cs="Times New Roman"/>
      <w:sz w:val="16"/>
      <w:szCs w:val="16"/>
      <w:lang w:val="ru-RU"/>
    </w:rPr>
  </w:style>
  <w:style w:type="character" w:styleId="Style11">
    <w:name w:val="Верхний колонтитул Знак"/>
    <w:qFormat/>
    <w:rPr>
      <w:rFonts w:ascii="Times New Roman" w:hAnsi="Times New Roman" w:cs="Times New Roman"/>
      <w:lang w:val="ru-RU"/>
    </w:rPr>
  </w:style>
  <w:style w:type="character" w:styleId="Style12">
    <w:name w:val="Нижний колонтитул Знак"/>
    <w:qFormat/>
    <w:rPr>
      <w:rFonts w:ascii="Times New Roman" w:hAnsi="Times New Roman" w:cs="Times New Roman"/>
      <w:lang w:val="ru-RU"/>
    </w:rPr>
  </w:style>
  <w:style w:type="character" w:styleId="PageNumber">
    <w:name w:val="Page Number"/>
    <w:basedOn w:val="Style10"/>
    <w:rPr/>
  </w:style>
  <w:style w:type="character" w:styleId="2">
    <w:name w:val="Заголовок 2 Знак"/>
    <w:qFormat/>
    <w:rPr>
      <w:rFonts w:ascii="Calibri Light" w:hAnsi="Calibri Light" w:eastAsia="Times New Roman" w:cs="Times New Roman"/>
      <w:b/>
      <w:bCs/>
      <w:i/>
      <w:iCs/>
      <w:sz w:val="28"/>
      <w:szCs w:val="28"/>
      <w:lang w:val="ru-RU"/>
    </w:rPr>
  </w:style>
  <w:style w:type="character" w:styleId="Cs7864ebcf1">
    <w:name w:val="cs7864ebcf1"/>
    <w:qFormat/>
    <w:rPr>
      <w:rFonts w:ascii="Times New Roman" w:hAnsi="Times New Roman" w:cs="Times New Roman"/>
      <w:b/>
      <w:bCs/>
      <w:i w:val="false"/>
      <w:iCs w:val="false"/>
      <w:color w:val="000000"/>
      <w:sz w:val="26"/>
      <w:szCs w:val="26"/>
    </w:rPr>
  </w:style>
  <w:style w:type="character" w:styleId="InternetLink">
    <w:name w:val="Internet Link"/>
    <w:rPr>
      <w:color w:val="0000FF"/>
      <w:u w:val="single"/>
    </w:rPr>
  </w:style>
  <w:style w:type="paragraph" w:styleId="Heading">
    <w:name w:val="Heading"/>
    <w:basedOn w:val="Normal"/>
    <w:next w:val="TextBody"/>
    <w:qFormat/>
    <w:pPr>
      <w:keepNext w:val="true"/>
      <w:spacing w:before="240" w:after="120"/>
    </w:pPr>
    <w:rPr>
      <w:rFonts w:ascii="Liberation Sans" w:hAnsi="Liberation Sans" w:eastAsia="DejaVu Sans" w:cs="DejaVu Sans"/>
      <w:sz w:val="28"/>
      <w:szCs w:val="28"/>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TML1">
    <w:name w:val="Стандартный HTML"/>
    <w:basedOn w:val="Normal"/>
    <w:qFormat/>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color w:val="000000"/>
      <w:sz w:val="21"/>
      <w:szCs w:val="21"/>
    </w:rPr>
  </w:style>
  <w:style w:type="paragraph" w:styleId="32">
    <w:name w:val="Основной текст с отступом 3"/>
    <w:basedOn w:val="Normal"/>
    <w:qFormat/>
    <w:pPr>
      <w:spacing w:before="0" w:after="120"/>
      <w:ind w:left="283" w:hanging="0"/>
    </w:pPr>
    <w:rPr>
      <w:sz w:val="16"/>
      <w:szCs w:val="16"/>
    </w:rPr>
  </w:style>
  <w:style w:type="paragraph" w:styleId="Header">
    <w:name w:val="Header"/>
    <w:basedOn w:val="Normal"/>
    <w:pPr>
      <w:tabs>
        <w:tab w:val="center" w:pos="4819" w:leader="none"/>
        <w:tab w:val="right" w:pos="9639" w:leader="none"/>
      </w:tabs>
    </w:pPr>
    <w:rPr/>
  </w:style>
  <w:style w:type="paragraph" w:styleId="Footer">
    <w:name w:val="Footer"/>
    <w:basedOn w:val="Normal"/>
    <w:pPr>
      <w:tabs>
        <w:tab w:val="center" w:pos="4819" w:leader="none"/>
        <w:tab w:val="right" w:pos="9639" w:leader="none"/>
      </w:tabs>
    </w:pPr>
    <w:rPr/>
  </w:style>
  <w:style w:type="paragraph" w:styleId="Style13">
    <w:name w:val="Абзац списка"/>
    <w:basedOn w:val="Normal"/>
    <w:qFormat/>
    <w:pPr>
      <w:ind w:left="708" w:hanging="0"/>
    </w:pPr>
    <w:rPr/>
  </w:style>
  <w:style w:type="paragraph" w:styleId="Normal1">
    <w:name w:val="LO-Normal"/>
    <w:basedOn w:val="Normal"/>
    <w:qFormat/>
    <w:pPr/>
    <w:rPr>
      <w:rFonts w:eastAsia="Times New Roman"/>
      <w:sz w:val="24"/>
      <w:szCs w:val="24"/>
      <w:lang w:val="uk-UA"/>
    </w:rPr>
  </w:style>
  <w:style w:type="paragraph" w:styleId="11">
    <w:name w:val="Обычный1"/>
    <w:basedOn w:val="Normal"/>
    <w:qFormat/>
    <w:pPr/>
    <w:rPr>
      <w:rFonts w:eastAsia="Times New Roman"/>
      <w:sz w:val="24"/>
      <w:szCs w:val="24"/>
      <w:lang w:val="uk-U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yperlink" Target="https://www.whocc.no/atc_ddd_index/" TargetMode="External"/><Relationship Id="rId6" Type="http://schemas.openxmlformats.org/officeDocument/2006/relationships/header" Target="header3.xml"/><Relationship Id="rId7" Type="http://schemas.openxmlformats.org/officeDocument/2006/relationships/header" Target="header4.xml"/><Relationship Id="rId8" Type="http://schemas.openxmlformats.org/officeDocument/2006/relationships/hyperlink" Target="https://www.whocc.no/atc_ddd_index/" TargetMode="Externa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5</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2026-09-22T13:22:00Z</dcterms:created>
  <dc:creator>Valentina</dc:creator>
  <dc:description/>
  <dc:language>ru-RU</dc:language>
  <cp:lastModifiedBy>Кунцевич Олена Іванівна</cp:lastModifiedBy>
  <cp:lastPrinted>2025-05-20T11:44:00Z</cp:lastPrinted>
  <dcterms:modified xsi:type="dcterms:W3CDTF">2026-09-22T13:27:00Z</dcterms:modified>
  <cp:revision>6</cp:revision>
  <dc:subject/>
  <dc:title> </dc:title>
</cp:coreProperties>
</file>