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header5.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media/image1.png" ContentType="image/png"/>
  <Override PartName="/word/header4.xml" ContentType="application/vnd.openxmlformats-officedocument.wordprocessingml.header+xml"/>
  <Override PartName="/word/header1.xml" ContentType="application/vnd.openxmlformats-officedocument.wordprocessingml.header+xml"/>
  <Override PartName="/word/settings.xml" ContentType="application/vnd.openxmlformats-officedocument.wordprocessingml.settings+xml"/>
  <Override PartName="/word/header2.xml" ContentType="application/vnd.openxmlformats-officedocument.wordprocessingml.header+xml"/>
  <Override PartName="/word/header3.xml" ContentType="application/vnd.openxmlformats-officedocument.wordprocessingml.header+xml"/>
  <Override PartName="/word/styles.xml" ContentType="application/vnd.openxmlformats-officedocument.wordprocessingml.styles+xml"/>
  <Override PartName="/word/header6.xml" ContentType="application/vnd.openxmlformats-officedocument.wordprocessingml.header+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rPr>
      </w:pPr>
      <w:r>
        <w:rPr>
          <w:lang w:val="ru-RU" w:eastAsia="ru-RU"/>
        </w:rPr>
        <w:drawing>
          <wp:inline distT="0" distB="0" distL="0" distR="0">
            <wp:extent cx="389255" cy="586740"/>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rcRect l="-68" t="-49" r="-68" b="-49"/>
                    <a:stretch>
                      <a:fillRect/>
                    </a:stretch>
                  </pic:blipFill>
                  <pic:spPr bwMode="auto">
                    <a:xfrm>
                      <a:off x="0" y="0"/>
                      <a:ext cx="389255" cy="586740"/>
                    </a:xfrm>
                    <a:prstGeom prst="rect">
                      <a:avLst/>
                    </a:prstGeom>
                  </pic:spPr>
                </pic:pic>
              </a:graphicData>
            </a:graphic>
          </wp:inline>
        </w:drawing>
      </w:r>
    </w:p>
    <w:p>
      <w:pPr>
        <w:pStyle w:val="Normal"/>
        <w:jc w:val="center"/>
        <w:rPr>
          <w:b/>
          <w:b/>
          <w:sz w:val="16"/>
          <w:szCs w:val="16"/>
        </w:rPr>
      </w:pPr>
      <w:r>
        <w:rPr>
          <w:b/>
          <w:sz w:val="16"/>
          <w:szCs w:val="16"/>
        </w:rPr>
      </w:r>
    </w:p>
    <w:p>
      <w:pPr>
        <w:pStyle w:val="Heading1"/>
        <w:numPr>
          <w:ilvl w:val="0"/>
          <w:numId w:val="1"/>
        </w:numPr>
        <w:jc w:val="center"/>
        <w:rPr>
          <w:rFonts w:eastAsia="Calibri"/>
          <w:sz w:val="28"/>
          <w:szCs w:val="28"/>
        </w:rPr>
      </w:pPr>
      <w:r>
        <w:rPr>
          <w:rFonts w:eastAsia="Calibri"/>
          <w:sz w:val="28"/>
          <w:szCs w:val="28"/>
        </w:rPr>
        <w:t>МІНІСТЕРСТВО ОХОРОНИ ЗДОРОВ’Я УКРАЇНИ</w:t>
      </w:r>
    </w:p>
    <w:p>
      <w:pPr>
        <w:pStyle w:val="Normal"/>
        <w:jc w:val="center"/>
        <w:rPr>
          <w:rFonts w:eastAsia="Calibri"/>
          <w:b/>
          <w:b/>
          <w:sz w:val="16"/>
          <w:szCs w:val="16"/>
        </w:rPr>
      </w:pPr>
      <w:r>
        <w:rPr>
          <w:rFonts w:eastAsia="Calibri"/>
          <w:b/>
          <w:sz w:val="16"/>
          <w:szCs w:val="16"/>
        </w:rPr>
      </w:r>
    </w:p>
    <w:p>
      <w:pPr>
        <w:pStyle w:val="Heading3"/>
        <w:numPr>
          <w:ilvl w:val="2"/>
          <w:numId w:val="1"/>
        </w:numPr>
        <w:spacing w:before="0" w:after="0"/>
        <w:jc w:val="center"/>
        <w:rPr>
          <w:rFonts w:ascii="Times New Roman" w:hAnsi="Times New Roman" w:eastAsia="Calibri" w:cs="Times New Roman"/>
          <w:sz w:val="30"/>
          <w:szCs w:val="30"/>
        </w:rPr>
      </w:pPr>
      <w:r>
        <w:rPr>
          <w:rFonts w:eastAsia="Calibri" w:cs="Times New Roman" w:ascii="Times New Roman" w:hAnsi="Times New Roman"/>
          <w:sz w:val="30"/>
          <w:szCs w:val="30"/>
        </w:rPr>
        <w:t>Н А К А З</w:t>
      </w:r>
    </w:p>
    <w:p>
      <w:pPr>
        <w:pStyle w:val="Normal"/>
        <w:jc w:val="center"/>
        <w:rPr>
          <w:sz w:val="24"/>
          <w:szCs w:val="24"/>
          <w:lang w:val="uk-UA"/>
        </w:rPr>
      </w:pPr>
      <w:r>
        <w:rPr>
          <w:sz w:val="24"/>
          <w:szCs w:val="24"/>
        </w:rPr>
        <w:t>Київ</w:t>
      </w:r>
    </w:p>
    <w:p>
      <w:pPr>
        <w:pStyle w:val="Normal"/>
        <w:ind w:left="-851" w:right="-766" w:firstLine="851"/>
        <w:jc w:val="both"/>
        <w:rPr>
          <w:sz w:val="28"/>
          <w:szCs w:val="28"/>
          <w:lang w:val="uk-UA"/>
        </w:rPr>
      </w:pPr>
      <w:r>
        <w:rPr>
          <w:sz w:val="28"/>
          <w:szCs w:val="28"/>
          <w:lang w:val="uk-UA"/>
        </w:rPr>
        <w:t>06 жовтня 2026 року                                                                                             № 1505</w:t>
      </w:r>
    </w:p>
    <w:p>
      <w:pPr>
        <w:pStyle w:val="Normal"/>
        <w:ind w:left="-851" w:right="-766" w:firstLine="851"/>
        <w:jc w:val="both"/>
        <w:rPr>
          <w:sz w:val="28"/>
          <w:szCs w:val="28"/>
          <w:lang w:val="uk-UA"/>
        </w:rPr>
      </w:pPr>
      <w:r>
        <w:rPr>
          <w:sz w:val="28"/>
          <w:szCs w:val="28"/>
          <w:lang w:val="uk-UA"/>
        </w:rPr>
      </w:r>
    </w:p>
    <w:p>
      <w:pPr>
        <w:pStyle w:val="Normal"/>
        <w:ind w:left="-851" w:right="-766" w:firstLine="851"/>
        <w:jc w:val="both"/>
        <w:rPr>
          <w:sz w:val="28"/>
          <w:szCs w:val="28"/>
          <w:lang w:val="uk-UA"/>
        </w:rPr>
      </w:pPr>
      <w:r>
        <w:rPr>
          <w:sz w:val="28"/>
          <w:szCs w:val="28"/>
          <w:lang w:val="uk-UA"/>
        </w:rPr>
      </w:r>
    </w:p>
    <w:p>
      <w:pPr>
        <w:pStyle w:val="HTML1"/>
        <w:jc w:val="both"/>
        <w:rPr>
          <w:rFonts w:ascii="Times New Roman" w:hAnsi="Times New Roman" w:cs="Times New Roman"/>
          <w:b/>
          <w:b/>
          <w:color w:val="000000"/>
          <w:sz w:val="28"/>
          <w:szCs w:val="28"/>
          <w:lang w:val="uk-UA"/>
        </w:rPr>
      </w:pPr>
      <w:r>
        <w:rPr>
          <w:rFonts w:cs="Times New Roman" w:ascii="Times New Roman" w:hAnsi="Times New Roman"/>
          <w:b/>
          <w:color w:val="000000"/>
          <w:sz w:val="28"/>
          <w:szCs w:val="28"/>
          <w:lang w:val="uk-UA"/>
        </w:rPr>
        <w:t>Про державну реєстрацію лікарських засобів, які закуповуються особою, уповноваженою на здійснення закупівель у сфері охорони здоров’я, та подаються на державну реєстрацію після визначення переможця процедури закупівлі, та внесення змін до реєстраційних матеріалів на лікарський засіб, який закуповується особою, уповноваженою на здійснення закупівель у сфері охорони здоров’я</w:t>
      </w:r>
    </w:p>
    <w:p>
      <w:pPr>
        <w:pStyle w:val="HTML1"/>
        <w:jc w:val="both"/>
        <w:rPr>
          <w:rFonts w:ascii="Times New Roman" w:hAnsi="Times New Roman" w:cs="Times New Roman"/>
          <w:b/>
          <w:b/>
          <w:color w:val="000000"/>
          <w:sz w:val="28"/>
          <w:szCs w:val="28"/>
          <w:lang w:val="uk-UA"/>
        </w:rPr>
      </w:pPr>
      <w:r>
        <w:rPr>
          <w:rFonts w:cs="Times New Roman" w:ascii="Times New Roman" w:hAnsi="Times New Roman"/>
          <w:b/>
          <w:color w:val="000000"/>
          <w:sz w:val="28"/>
          <w:szCs w:val="28"/>
          <w:lang w:val="uk-UA"/>
        </w:rPr>
      </w:r>
    </w:p>
    <w:p>
      <w:pPr>
        <w:pStyle w:val="HTML1"/>
        <w:ind w:firstLine="720"/>
        <w:jc w:val="both"/>
        <w:rPr>
          <w:rFonts w:ascii="Times New Roman" w:hAnsi="Times New Roman" w:cs="Times New Roman"/>
          <w:sz w:val="28"/>
          <w:szCs w:val="28"/>
          <w:lang w:val="uk-UA"/>
        </w:rPr>
      </w:pPr>
      <w:r>
        <w:rPr>
          <w:rFonts w:cs="Times New Roman" w:ascii="Times New Roman" w:hAnsi="Times New Roman"/>
          <w:sz w:val="28"/>
          <w:szCs w:val="28"/>
          <w:lang w:val="uk-UA"/>
        </w:rPr>
        <w:t>Відповідно до частини дванадцятої статті 9</w:t>
      </w:r>
      <w:r>
        <w:rPr>
          <w:rFonts w:cs="Times New Roman" w:ascii="Times New Roman" w:hAnsi="Times New Roman"/>
          <w:sz w:val="28"/>
          <w:szCs w:val="28"/>
          <w:vertAlign w:val="superscript"/>
          <w:lang w:val="uk-UA"/>
        </w:rPr>
        <w:t>1</w:t>
      </w:r>
      <w:r>
        <w:rPr>
          <w:rFonts w:cs="Times New Roman" w:ascii="Times New Roman" w:hAnsi="Times New Roman"/>
          <w:sz w:val="28"/>
          <w:szCs w:val="28"/>
          <w:lang w:val="uk-UA"/>
        </w:rPr>
        <w:t xml:space="preserve"> Закону України «Про лікарські засоби», абзацу двадцять п’ятого підпункту 12 пункту 4 Положення про Міністерство охорони здоров’я України, затвердженого постановою Кабінету Міністрів України від 25 березня 2015 року № 267 (в редакції постанови Кабінету Міністрів України від 24 січня 2020 року № 90), пункту 4 розділу І, пункту 9 розділу ІІ та підпункту 1 пункту 2 розділу ІІІ Порядку проведення перевірки реєстраційних матеріалів на їх автентичність на лікарський засіб, який подається на державну реєстрацію з метою його закупівлі особою, уповноваженою на здійснення закупівель у сфері охорони здоров'я, або спеціалізованою організацією, затвердженого наказом Міністерства охорони здоров'я України від 15 червня 2020 року № 1391, зареєстрованого в Міністерстві юстиції України 14 липня 2020 року за № 659/34942, на підставі результатів перевірки реєстраційних матеріалів на їх автентичність, доданих до заяв про державну реєстрацію лікарського засобу, який закуповується особою, уповноваженою на здійснення закупівель у сфері охорони здоров’я, або лікарського засобу, який підлягає закупівлі спеціалізованою організацією, від    17 серпня 2026 року № 22029 та від 01 вересня 2026 року № 23244, проведених державним підприємством «Державний експертний центр Міністерства охорони здоров’я України», висновків за результатами перевірки реєстраційних матеріалів на їх автентичність на лікарський засіб, який подається на державну реєстрацію з метою його закупівлі особою, уповноваженою на здійснення закупівель у сфері охорони здоров'я, або спеціалізованою організацією, від 04 вересня 2026 року та від 24 вересня 2026 року, та висновку про результати перевірки матеріалів щодо внесення змін до реєстраційних матеріалів на лікарський засіб, який закуповується особою, уповноваженою на здійснення закупівель у сфері охорони здоров’я, від 04 вересня 2026 року, що надійшли до Міністерства охорони здоров'я України листами державного підприємства «Державний експертний центр Міністерства охорони здоров’я України» від 04 вересня 2026 року № 3792/22.2-26, № 3802/22.2-26 та від 25 вересня 2026 року   № 4101/22.2-26, </w:t>
      </w:r>
    </w:p>
    <w:p>
      <w:pPr>
        <w:pStyle w:val="32"/>
        <w:spacing w:before="0" w:after="0"/>
        <w:ind w:left="0" w:hanging="0"/>
        <w:rPr>
          <w:rFonts w:ascii="Times New Roman" w:hAnsi="Times New Roman" w:cs="Times New Roman"/>
          <w:b/>
          <w:b/>
          <w:bCs/>
          <w:sz w:val="28"/>
          <w:szCs w:val="28"/>
          <w:lang w:val="uk-UA"/>
        </w:rPr>
      </w:pPr>
      <w:r>
        <w:rPr>
          <w:rFonts w:cs="Times New Roman"/>
          <w:b/>
          <w:bCs/>
          <w:sz w:val="28"/>
          <w:szCs w:val="28"/>
          <w:lang w:val="uk-UA"/>
        </w:rPr>
      </w:r>
    </w:p>
    <w:p>
      <w:pPr>
        <w:pStyle w:val="32"/>
        <w:spacing w:before="0" w:after="0"/>
        <w:ind w:left="0" w:hanging="0"/>
        <w:rPr>
          <w:b/>
          <w:b/>
          <w:bCs/>
          <w:sz w:val="28"/>
          <w:szCs w:val="28"/>
          <w:lang w:val="uk-UA"/>
        </w:rPr>
      </w:pPr>
      <w:r>
        <w:rPr>
          <w:b/>
          <w:bCs/>
          <w:sz w:val="28"/>
          <w:szCs w:val="28"/>
          <w:lang w:val="uk-UA"/>
        </w:rPr>
        <w:t>НАКАЗУЮ:</w:t>
      </w:r>
    </w:p>
    <w:p>
      <w:pPr>
        <w:pStyle w:val="32"/>
        <w:spacing w:before="0" w:after="0"/>
        <w:ind w:left="0" w:hanging="0"/>
        <w:rPr>
          <w:b/>
          <w:b/>
          <w:bCs/>
          <w:sz w:val="28"/>
          <w:szCs w:val="28"/>
          <w:lang w:val="uk-UA"/>
        </w:rPr>
      </w:pPr>
      <w:r>
        <w:rPr>
          <w:b/>
          <w:bCs/>
          <w:sz w:val="28"/>
          <w:szCs w:val="28"/>
          <w:lang w:val="uk-UA"/>
        </w:rPr>
      </w:r>
    </w:p>
    <w:p>
      <w:pPr>
        <w:pStyle w:val="Normal"/>
        <w:numPr>
          <w:ilvl w:val="0"/>
          <w:numId w:val="2"/>
        </w:numPr>
        <w:tabs>
          <w:tab w:val="left" w:pos="851" w:leader="none"/>
        </w:tabs>
        <w:ind w:left="0" w:firstLine="567"/>
        <w:jc w:val="both"/>
        <w:rPr/>
      </w:pPr>
      <w:r>
        <w:rPr>
          <w:sz w:val="28"/>
          <w:szCs w:val="28"/>
          <w:lang w:val="uk-UA"/>
        </w:rPr>
        <w:t xml:space="preserve">Зареєструвати </w:t>
      </w:r>
      <w:r>
        <w:rPr>
          <w:sz w:val="28"/>
          <w:szCs w:val="28"/>
          <w:lang w:val="uk-UA" w:eastAsia="ru-RU"/>
        </w:rPr>
        <w:t xml:space="preserve">лікарські засоби, які закуповуються особою, уповноваженою на здійснення закупівель у сфері охорони здоров’я, та подаються на державну реєстрацію після визначення переможця процедури закупівлі, </w:t>
      </w:r>
      <w:r>
        <w:rPr>
          <w:sz w:val="28"/>
          <w:szCs w:val="28"/>
          <w:lang w:val="uk-UA"/>
        </w:rPr>
        <w:t>та внести до Державного реєстру лікарських засобів згідно з     додатком 1.</w:t>
      </w:r>
    </w:p>
    <w:p>
      <w:pPr>
        <w:pStyle w:val="Normal"/>
        <w:tabs>
          <w:tab w:val="left" w:pos="851" w:leader="none"/>
        </w:tabs>
        <w:ind w:left="567" w:hanging="0"/>
        <w:jc w:val="both"/>
        <w:rPr>
          <w:sz w:val="28"/>
          <w:szCs w:val="28"/>
          <w:lang w:val="uk-UA"/>
        </w:rPr>
      </w:pPr>
      <w:r>
        <w:rPr>
          <w:sz w:val="28"/>
          <w:szCs w:val="28"/>
          <w:lang w:val="uk-UA"/>
        </w:rPr>
      </w:r>
    </w:p>
    <w:p>
      <w:pPr>
        <w:pStyle w:val="Normal"/>
        <w:numPr>
          <w:ilvl w:val="0"/>
          <w:numId w:val="2"/>
        </w:numPr>
        <w:tabs>
          <w:tab w:val="left" w:pos="851" w:leader="none"/>
        </w:tabs>
        <w:ind w:left="0" w:firstLine="567"/>
        <w:jc w:val="both"/>
        <w:rPr/>
      </w:pPr>
      <w:r>
        <w:rPr>
          <w:sz w:val="28"/>
          <w:szCs w:val="28"/>
          <w:lang w:val="uk-UA"/>
        </w:rPr>
        <w:t xml:space="preserve">Внести зміни до реєстраційних матеріалів на </w:t>
      </w:r>
      <w:r>
        <w:rPr>
          <w:sz w:val="28"/>
          <w:szCs w:val="28"/>
          <w:lang w:val="uk-UA" w:eastAsia="ru-RU"/>
        </w:rPr>
        <w:t xml:space="preserve">лікарський засіб, який закуповується особою, уповноваженою на здійснення закупівель у сфері охорони здоров’я, </w:t>
      </w:r>
      <w:r>
        <w:rPr>
          <w:sz w:val="28"/>
          <w:szCs w:val="28"/>
          <w:lang w:val="uk-UA"/>
        </w:rPr>
        <w:t>та до Державного реєстру лікарських засобів згідно з додатком 2.</w:t>
      </w:r>
    </w:p>
    <w:p>
      <w:pPr>
        <w:pStyle w:val="Normal"/>
        <w:tabs>
          <w:tab w:val="left" w:pos="851" w:leader="none"/>
        </w:tabs>
        <w:ind w:left="567" w:hanging="0"/>
        <w:jc w:val="both"/>
        <w:rPr>
          <w:sz w:val="28"/>
          <w:szCs w:val="28"/>
          <w:lang w:val="uk-UA"/>
        </w:rPr>
      </w:pPr>
      <w:r>
        <w:rPr>
          <w:sz w:val="28"/>
          <w:szCs w:val="28"/>
          <w:lang w:val="uk-UA"/>
        </w:rPr>
      </w:r>
    </w:p>
    <w:p>
      <w:pPr>
        <w:pStyle w:val="Normal"/>
        <w:numPr>
          <w:ilvl w:val="0"/>
          <w:numId w:val="2"/>
        </w:numPr>
        <w:tabs>
          <w:tab w:val="left" w:pos="720" w:leader="none"/>
          <w:tab w:val="left" w:pos="851" w:leader="none"/>
          <w:tab w:val="left" w:pos="993" w:leader="none"/>
        </w:tabs>
        <w:ind w:left="0" w:firstLine="567"/>
        <w:jc w:val="both"/>
        <w:rPr/>
      </w:pPr>
      <w:r>
        <w:rPr>
          <w:rFonts w:eastAsia="Times New Roman"/>
          <w:sz w:val="28"/>
          <w:szCs w:val="28"/>
          <w:lang w:val="uk-UA"/>
        </w:rPr>
        <w:t xml:space="preserve"> </w:t>
      </w:r>
      <w:r>
        <w:rPr>
          <w:sz w:val="28"/>
          <w:szCs w:val="28"/>
          <w:lang w:val="uk-UA"/>
        </w:rPr>
        <w:t>Фармацевтичному управлінню (Олександру Гріценку) забезпечити оприлюднення цього наказу на офіційному вебсайті Міністерства охорони здоров’я України.</w:t>
      </w:r>
    </w:p>
    <w:p>
      <w:pPr>
        <w:pStyle w:val="Normal"/>
        <w:tabs>
          <w:tab w:val="left" w:pos="851" w:leader="none"/>
        </w:tabs>
        <w:ind w:firstLine="567"/>
        <w:jc w:val="both"/>
        <w:rPr>
          <w:sz w:val="28"/>
          <w:szCs w:val="28"/>
          <w:lang w:val="uk-UA"/>
        </w:rPr>
      </w:pPr>
      <w:r>
        <w:rPr>
          <w:sz w:val="28"/>
          <w:szCs w:val="28"/>
          <w:lang w:val="uk-UA"/>
        </w:rPr>
      </w:r>
    </w:p>
    <w:p>
      <w:pPr>
        <w:pStyle w:val="32"/>
        <w:numPr>
          <w:ilvl w:val="0"/>
          <w:numId w:val="2"/>
        </w:numPr>
        <w:tabs>
          <w:tab w:val="left" w:pos="0" w:leader="none"/>
          <w:tab w:val="left" w:pos="851" w:leader="none"/>
        </w:tabs>
        <w:spacing w:before="0" w:after="0"/>
        <w:ind w:left="0" w:firstLine="567"/>
        <w:jc w:val="both"/>
        <w:rPr>
          <w:sz w:val="28"/>
          <w:szCs w:val="28"/>
          <w:lang w:val="uk-UA"/>
        </w:rPr>
      </w:pPr>
      <w:r>
        <w:rPr>
          <w:sz w:val="28"/>
          <w:szCs w:val="28"/>
          <w:lang w:val="uk-UA"/>
        </w:rPr>
        <w:t>Контроль за виконанням цього наказу покласти на заступника Міністра Євгенія Гончара.</w:t>
      </w:r>
    </w:p>
    <w:p>
      <w:pPr>
        <w:pStyle w:val="32"/>
        <w:tabs>
          <w:tab w:val="left" w:pos="0" w:leader="none"/>
          <w:tab w:val="left" w:pos="851" w:leader="none"/>
        </w:tabs>
        <w:spacing w:before="0" w:after="0"/>
        <w:ind w:left="0" w:firstLine="567"/>
        <w:rPr>
          <w:sz w:val="28"/>
          <w:szCs w:val="28"/>
          <w:lang w:val="uk-UA"/>
        </w:rPr>
      </w:pPr>
      <w:r>
        <w:rPr>
          <w:sz w:val="28"/>
          <w:szCs w:val="28"/>
          <w:lang w:val="uk-UA"/>
        </w:rPr>
      </w:r>
    </w:p>
    <w:p>
      <w:pPr>
        <w:pStyle w:val="32"/>
        <w:tabs>
          <w:tab w:val="left" w:pos="0" w:leader="none"/>
          <w:tab w:val="left" w:pos="1134" w:leader="none"/>
        </w:tabs>
        <w:spacing w:before="0" w:after="0"/>
        <w:ind w:left="709" w:hanging="0"/>
        <w:rPr>
          <w:sz w:val="28"/>
          <w:szCs w:val="28"/>
          <w:lang w:val="uk-UA"/>
        </w:rPr>
      </w:pPr>
      <w:r>
        <w:rPr>
          <w:sz w:val="28"/>
          <w:szCs w:val="28"/>
          <w:lang w:val="uk-UA"/>
        </w:rPr>
      </w:r>
    </w:p>
    <w:p>
      <w:pPr>
        <w:pStyle w:val="32"/>
        <w:tabs>
          <w:tab w:val="left" w:pos="0" w:leader="none"/>
          <w:tab w:val="left" w:pos="1134" w:leader="none"/>
        </w:tabs>
        <w:spacing w:before="0" w:after="0"/>
        <w:ind w:left="709" w:hanging="0"/>
        <w:rPr>
          <w:sz w:val="28"/>
          <w:szCs w:val="28"/>
          <w:lang w:val="uk-UA"/>
        </w:rPr>
      </w:pPr>
      <w:r>
        <w:rPr>
          <w:sz w:val="28"/>
          <w:szCs w:val="28"/>
          <w:lang w:val="uk-UA"/>
        </w:rPr>
      </w:r>
    </w:p>
    <w:p>
      <w:pPr>
        <w:sectPr>
          <w:headerReference w:type="default" r:id="rId3"/>
          <w:headerReference w:type="first" r:id="rId4"/>
          <w:type w:val="nextPage"/>
          <w:pgSz w:w="11906" w:h="16838"/>
          <w:pgMar w:left="1560" w:right="567" w:header="709" w:top="765" w:footer="0" w:bottom="1560" w:gutter="0"/>
          <w:pgNumType w:fmt="decimal"/>
          <w:formProt w:val="false"/>
          <w:titlePg/>
          <w:textDirection w:val="lrTb"/>
          <w:docGrid w:type="default" w:linePitch="360" w:charSpace="0"/>
        </w:sectPr>
        <w:pStyle w:val="Normal"/>
        <w:rPr>
          <w:b/>
          <w:b/>
          <w:sz w:val="28"/>
          <w:szCs w:val="28"/>
          <w:lang w:val="uk-UA"/>
        </w:rPr>
      </w:pPr>
      <w:r>
        <w:rPr>
          <w:b/>
          <w:sz w:val="28"/>
          <w:szCs w:val="28"/>
          <w:lang w:val="uk-UA"/>
        </w:rPr>
        <w:t xml:space="preserve">Міністр                                                                                             </w:t>
      </w:r>
      <w:bookmarkStart w:id="0" w:name="n4"/>
      <w:bookmarkEnd w:id="0"/>
      <w:r>
        <w:rPr>
          <w:b/>
          <w:sz w:val="28"/>
          <w:szCs w:val="28"/>
          <w:lang w:val="uk-UA"/>
        </w:rPr>
        <w:t>Віктор ЛЯШКО</w:t>
      </w:r>
    </w:p>
    <w:tbl>
      <w:tblPr>
        <w:tblW w:w="3906" w:type="dxa"/>
        <w:jc w:val="left"/>
        <w:tblInd w:w="11448" w:type="dxa"/>
        <w:tblBorders/>
        <w:tblCellMar>
          <w:top w:w="0" w:type="dxa"/>
          <w:left w:w="108" w:type="dxa"/>
          <w:bottom w:w="0" w:type="dxa"/>
          <w:right w:w="108" w:type="dxa"/>
        </w:tblCellMar>
      </w:tblPr>
      <w:tblGrid>
        <w:gridCol w:w="3906"/>
      </w:tblGrid>
      <w:tr>
        <w:trPr/>
        <w:tc>
          <w:tcPr>
            <w:tcW w:w="3906" w:type="dxa"/>
            <w:tcBorders/>
            <w:shd w:fill="auto" w:val="clear"/>
          </w:tcPr>
          <w:p>
            <w:pPr>
              <w:pStyle w:val="Heading4"/>
              <w:numPr>
                <w:ilvl w:val="3"/>
                <w:numId w:val="1"/>
              </w:numPr>
              <w:tabs>
                <w:tab w:val="left" w:pos="12600" w:leader="none"/>
              </w:tabs>
              <w:spacing w:before="0" w:after="0"/>
              <w:rPr>
                <w:sz w:val="18"/>
                <w:szCs w:val="18"/>
                <w:lang w:val="uk-UA"/>
              </w:rPr>
            </w:pPr>
            <w:r>
              <w:rPr>
                <w:sz w:val="18"/>
                <w:szCs w:val="18"/>
                <w:lang w:val="uk-UA"/>
              </w:rPr>
              <w:t>Додаток 1</w:t>
            </w:r>
          </w:p>
          <w:p>
            <w:pPr>
              <w:pStyle w:val="Heading4"/>
              <w:numPr>
                <w:ilvl w:val="3"/>
                <w:numId w:val="1"/>
              </w:numPr>
              <w:tabs>
                <w:tab w:val="left" w:pos="12600" w:leader="none"/>
              </w:tabs>
              <w:spacing w:before="0" w:after="0"/>
              <w:rPr>
                <w:sz w:val="18"/>
                <w:szCs w:val="18"/>
                <w:lang w:val="uk-UA"/>
              </w:rPr>
            </w:pPr>
            <w:r>
              <w:rPr>
                <w:sz w:val="18"/>
                <w:szCs w:val="18"/>
                <w:lang w:val="uk-UA"/>
              </w:rPr>
              <w:t>до наказу Міністерства охорони</w:t>
            </w:r>
          </w:p>
          <w:p>
            <w:pPr>
              <w:pStyle w:val="Heading4"/>
              <w:numPr>
                <w:ilvl w:val="3"/>
                <w:numId w:val="1"/>
              </w:numPr>
              <w:tabs>
                <w:tab w:val="left" w:pos="12600" w:leader="none"/>
              </w:tabs>
              <w:spacing w:before="0" w:after="0"/>
              <w:rPr>
                <w:sz w:val="18"/>
                <w:szCs w:val="18"/>
                <w:lang w:val="uk-UA"/>
              </w:rPr>
            </w:pPr>
            <w:r>
              <w:rPr>
                <w:sz w:val="18"/>
                <w:szCs w:val="18"/>
                <w:lang w:val="uk-UA"/>
              </w:rPr>
              <w:t>здоров’я України «Про державну реєстрацію лікарських засобів, які закуповуються особою, уповноваженою на здійснення закупівель у сфері охорони здоров’я, та подаються на державну реєстрацію після визначення переможця процедури закупівлі, та внесення змін до реєстраційних матеріалів на лікарський засіб, який закуповується особою, уповноваженою на здійснення закупівель у сфері охорони здоров’я»</w:t>
            </w:r>
          </w:p>
          <w:p>
            <w:pPr>
              <w:pStyle w:val="Heading4"/>
              <w:numPr>
                <w:ilvl w:val="3"/>
                <w:numId w:val="1"/>
              </w:numPr>
              <w:tabs>
                <w:tab w:val="left" w:pos="12600" w:leader="none"/>
              </w:tabs>
              <w:spacing w:before="0" w:after="0"/>
              <w:rPr>
                <w:rFonts w:cs="Arial"/>
                <w:sz w:val="18"/>
                <w:szCs w:val="18"/>
              </w:rPr>
            </w:pPr>
            <w:r>
              <w:rPr>
                <w:bCs w:val="false"/>
                <w:iCs/>
                <w:sz w:val="18"/>
                <w:szCs w:val="18"/>
                <w:u w:val="single"/>
              </w:rPr>
              <w:t xml:space="preserve">від 06 жовтня 2026 року № 1505 </w:t>
            </w:r>
          </w:p>
        </w:tc>
      </w:tr>
    </w:tbl>
    <w:p>
      <w:pPr>
        <w:pStyle w:val="Heading4"/>
        <w:numPr>
          <w:ilvl w:val="3"/>
          <w:numId w:val="1"/>
        </w:numPr>
        <w:tabs>
          <w:tab w:val="left" w:pos="12600" w:leader="none"/>
        </w:tabs>
        <w:rPr/>
      </w:pPr>
      <w:r>
        <w:rPr/>
      </w:r>
    </w:p>
    <w:p>
      <w:pPr>
        <w:pStyle w:val="Heading4"/>
        <w:numPr>
          <w:ilvl w:val="3"/>
          <w:numId w:val="1"/>
        </w:numPr>
        <w:tabs>
          <w:tab w:val="left" w:pos="12600" w:leader="none"/>
        </w:tabs>
        <w:spacing w:before="0" w:after="0"/>
        <w:jc w:val="center"/>
        <w:rPr>
          <w:caps/>
        </w:rPr>
      </w:pPr>
      <w:r>
        <w:rPr/>
        <w:t>ПЕРЕЛІК</w:t>
      </w:r>
    </w:p>
    <w:p>
      <w:pPr>
        <w:pStyle w:val="Heading4"/>
        <w:numPr>
          <w:ilvl w:val="3"/>
          <w:numId w:val="1"/>
        </w:numPr>
        <w:tabs>
          <w:tab w:val="left" w:pos="12600" w:leader="none"/>
        </w:tabs>
        <w:spacing w:before="0" w:after="0"/>
        <w:jc w:val="center"/>
        <w:rPr>
          <w:caps/>
        </w:rPr>
      </w:pPr>
      <w:r>
        <w:rPr>
          <w:caps/>
        </w:rPr>
        <w:t>зареєстрованих ЛІКАРСЬКИХ ЗАСОБІВ, які вносяться до державного реєстру лікарських засобів З МЕТОЮ ЇХ закупівлі особою, уповноваженою на здійснення закупівель у сфері охорони здоров'я, ТА були ПОДАні НА ДЕРЖАВНУ РЕЄСТРАЦІЮ ПІСЛЯ ВИЗНАЧЕННЯ ПЕРЕМОЖЦЯ ПРОЦЕДУРИ ЗАКУПІВЛІ</w:t>
      </w:r>
    </w:p>
    <w:p>
      <w:pPr>
        <w:pStyle w:val="Normal1"/>
        <w:jc w:val="center"/>
        <w:rPr>
          <w:rFonts w:ascii="Arial" w:hAnsi="Arial" w:cs="Arial"/>
          <w:caps/>
          <w:sz w:val="16"/>
          <w:szCs w:val="16"/>
        </w:rPr>
      </w:pPr>
      <w:r>
        <w:rPr>
          <w:rFonts w:cs="Arial" w:ascii="Arial" w:hAnsi="Arial"/>
          <w:caps/>
          <w:sz w:val="16"/>
          <w:szCs w:val="16"/>
        </w:rPr>
      </w:r>
    </w:p>
    <w:tbl>
      <w:tblPr>
        <w:tblW w:w="16312" w:type="dxa"/>
        <w:jc w:val="left"/>
        <w:tblInd w:w="-5"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601"/>
        <w:gridCol w:w="1384"/>
        <w:gridCol w:w="1134"/>
        <w:gridCol w:w="709"/>
        <w:gridCol w:w="958"/>
        <w:gridCol w:w="1701"/>
        <w:gridCol w:w="1276"/>
        <w:gridCol w:w="1134"/>
        <w:gridCol w:w="1417"/>
        <w:gridCol w:w="851"/>
        <w:gridCol w:w="1559"/>
        <w:gridCol w:w="1027"/>
        <w:gridCol w:w="992"/>
        <w:gridCol w:w="1569"/>
      </w:tblGrid>
      <w:tr>
        <w:trPr/>
        <w:tc>
          <w:tcPr>
            <w:tcW w:w="601"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384"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1134"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709"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958"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701"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1276"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1134"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w:t>
            </w:r>
          </w:p>
        </w:tc>
        <w:tc>
          <w:tcPr>
            <w:tcW w:w="1417"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851"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w:t>
            </w:r>
          </w:p>
        </w:tc>
        <w:tc>
          <w:tcPr>
            <w:tcW w:w="1559"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1027"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992"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Рекламування</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c>
          <w:tcPr>
            <w:tcW w:w="60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center"/>
              <w:rPr>
                <w:rFonts w:ascii="Arial" w:hAnsi="Arial" w:cs="Arial"/>
                <w:b/>
                <w:b/>
                <w:i/>
                <w:i/>
                <w:sz w:val="16"/>
                <w:szCs w:val="16"/>
                <w:lang w:eastAsia="en-US"/>
              </w:rPr>
            </w:pPr>
            <w:r>
              <w:rPr>
                <w:rFonts w:cs="Arial" w:ascii="Arial" w:hAnsi="Arial"/>
                <w:b/>
                <w:i/>
                <w:sz w:val="16"/>
                <w:szCs w:val="16"/>
                <w:lang w:eastAsia="en-US"/>
              </w:rPr>
            </w:r>
          </w:p>
        </w:tc>
        <w:tc>
          <w:tcPr>
            <w:tcW w:w="138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snapToGrid w:val="false"/>
              <w:jc w:val="center"/>
              <w:rPr>
                <w:rFonts w:ascii="Arial" w:hAnsi="Arial" w:cs="Arial"/>
                <w:b/>
                <w:b/>
                <w:i/>
                <w:i/>
                <w:color w:val="000000"/>
                <w:sz w:val="16"/>
                <w:szCs w:val="16"/>
                <w:lang w:eastAsia="en-US"/>
              </w:rPr>
            </w:pPr>
            <w:r>
              <w:rPr>
                <w:rFonts w:cs="Arial" w:ascii="Arial" w:hAnsi="Arial"/>
                <w:b/>
                <w:i/>
                <w:color w:val="000000"/>
                <w:sz w:val="16"/>
                <w:szCs w:val="16"/>
                <w:lang w:eastAsia="en-US"/>
              </w:rPr>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70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958"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170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1276"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1417"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85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155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1027"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992"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tabs>
                <w:tab w:val="left" w:pos="12600" w:leader="none"/>
              </w:tabs>
              <w:snapToGrid w:val="false"/>
              <w:jc w:val="center"/>
              <w:rPr>
                <w:rFonts w:ascii="Arial" w:hAnsi="Arial" w:cs="Arial"/>
                <w:sz w:val="16"/>
                <w:szCs w:val="16"/>
              </w:rPr>
            </w:pPr>
            <w:r>
              <w:rPr>
                <w:rFonts w:cs="Arial" w:ascii="Arial" w:hAnsi="Arial"/>
                <w:sz w:val="16"/>
                <w:szCs w:val="16"/>
              </w:rPr>
            </w:r>
          </w:p>
        </w:tc>
      </w:tr>
      <w:tr>
        <w:trPr/>
        <w:tc>
          <w:tcPr>
            <w:tcW w:w="60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rPr>
                <w:rFonts w:ascii="Arial" w:hAnsi="Arial" w:cs="Arial"/>
                <w:b/>
                <w:b/>
                <w:sz w:val="16"/>
                <w:szCs w:val="16"/>
                <w:lang w:eastAsia="en-US"/>
              </w:rPr>
            </w:pPr>
            <w:r>
              <w:rPr>
                <w:rFonts w:cs="Arial" w:ascii="Arial" w:hAnsi="Arial"/>
                <w:b/>
                <w:sz w:val="16"/>
                <w:szCs w:val="16"/>
                <w:lang w:eastAsia="en-US"/>
              </w:rPr>
              <w:t>1.</w:t>
            </w:r>
          </w:p>
        </w:tc>
        <w:tc>
          <w:tcPr>
            <w:tcW w:w="138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КЛАДРИБІН</w:t>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1"/>
              <w:tabs>
                <w:tab w:val="left" w:pos="12600" w:leader="none"/>
              </w:tabs>
              <w:rPr/>
            </w:pPr>
            <w:hyperlink r:id="rId5">
              <w:r>
                <w:rPr>
                  <w:rStyle w:val="InternetLink"/>
                  <w:rFonts w:cs="Arial" w:ascii="Arial" w:hAnsi="Arial"/>
                  <w:color w:val="000000"/>
                  <w:sz w:val="16"/>
                  <w:szCs w:val="16"/>
                </w:rPr>
                <w:t>cladribine</w:t>
              </w:r>
            </w:hyperlink>
            <w:r>
              <w:rPr>
                <w:rFonts w:cs="Arial" w:ascii="Arial" w:hAnsi="Arial"/>
                <w:color w:val="000000"/>
                <w:sz w:val="16"/>
                <w:szCs w:val="16"/>
              </w:rPr>
              <w:t> </w:t>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кладрибін</w:t>
            </w:r>
          </w:p>
        </w:tc>
        <w:tc>
          <w:tcPr>
            <w:tcW w:w="958"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L01BB04</w:t>
            </w:r>
          </w:p>
        </w:tc>
        <w:tc>
          <w:tcPr>
            <w:tcW w:w="170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 мг/10 мл (1 мг/мл) по 10 мл у однодозовому флаконі; по 1 однодозовому флакону в картонній коробці</w:t>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1276"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М.БІОТЕК ЛІМІТЕД</w:t>
              <w:br/>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7"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Хісун Фармасьютікал (Ханчжоу) Ко., Лтд.</w:t>
              <w:br/>
            </w:r>
          </w:p>
        </w:tc>
        <w:tc>
          <w:tcPr>
            <w:tcW w:w="85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155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до введення в дію Закону України від 28 липня 2022 року № 2469-IX «Про лікарські засоби»</w:t>
            </w:r>
          </w:p>
        </w:tc>
        <w:tc>
          <w:tcPr>
            <w:tcW w:w="1027"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1"/>
              <w:tabs>
                <w:tab w:val="left" w:pos="12600" w:leader="none"/>
              </w:tabs>
              <w:jc w:val="center"/>
              <w:rPr>
                <w:rFonts w:ascii="Arial" w:hAnsi="Arial" w:cs="Arial"/>
                <w:i/>
                <w:i/>
                <w:sz w:val="16"/>
                <w:szCs w:val="16"/>
              </w:rPr>
            </w:pPr>
            <w:r>
              <w:rPr>
                <w:rFonts w:cs="Arial" w:ascii="Arial" w:hAnsi="Arial"/>
                <w:i/>
                <w:sz w:val="16"/>
                <w:szCs w:val="16"/>
              </w:rPr>
              <w:t xml:space="preserve">за </w:t>
            </w:r>
          </w:p>
          <w:p>
            <w:pPr>
              <w:pStyle w:val="Normal"/>
              <w:tabs>
                <w:tab w:val="left" w:pos="12600" w:leader="none"/>
              </w:tabs>
              <w:ind w:right="-107" w:hanging="0"/>
              <w:jc w:val="center"/>
              <w:rPr>
                <w:rFonts w:ascii="Arial" w:hAnsi="Arial" w:cs="Arial"/>
                <w:b/>
                <w:b/>
                <w:i/>
                <w:i/>
                <w:color w:val="000000"/>
                <w:sz w:val="16"/>
                <w:szCs w:val="16"/>
              </w:rPr>
            </w:pPr>
            <w:r>
              <w:rPr>
                <w:rFonts w:cs="Arial" w:ascii="Arial" w:hAnsi="Arial"/>
                <w:i/>
                <w:sz w:val="16"/>
                <w:szCs w:val="16"/>
              </w:rPr>
              <w:t>рецептом</w:t>
            </w:r>
          </w:p>
        </w:tc>
        <w:tc>
          <w:tcPr>
            <w:tcW w:w="992"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jc w:val="center"/>
              <w:rPr>
                <w:rFonts w:ascii="Arial" w:hAnsi="Arial" w:cs="Arial"/>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tabs>
                <w:tab w:val="left" w:pos="12600" w:leader="none"/>
              </w:tabs>
              <w:rPr>
                <w:rFonts w:ascii="Arial" w:hAnsi="Arial" w:cs="Arial"/>
                <w:bCs/>
                <w:sz w:val="16"/>
                <w:szCs w:val="16"/>
              </w:rPr>
            </w:pPr>
            <w:r>
              <w:rPr>
                <w:rFonts w:cs="Arial" w:ascii="Arial" w:hAnsi="Arial"/>
                <w:bCs/>
                <w:color w:val="000000"/>
                <w:sz w:val="16"/>
                <w:szCs w:val="16"/>
              </w:rPr>
              <w:t>UA/21440/01/0</w:t>
            </w:r>
            <w:r>
              <w:rPr>
                <w:rFonts w:cs="Arial" w:ascii="Arial" w:hAnsi="Arial"/>
                <w:bCs/>
                <w:color w:val="000000"/>
                <w:sz w:val="16"/>
                <w:szCs w:val="16"/>
                <w:lang w:val="en-US"/>
              </w:rPr>
              <w:t>1</w:t>
            </w:r>
          </w:p>
        </w:tc>
      </w:tr>
      <w:tr>
        <w:trPr/>
        <w:tc>
          <w:tcPr>
            <w:tcW w:w="60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rPr>
                <w:rFonts w:ascii="Arial" w:hAnsi="Arial" w:cs="Arial"/>
                <w:b/>
                <w:b/>
                <w:sz w:val="16"/>
                <w:szCs w:val="16"/>
                <w:lang w:eastAsia="en-US"/>
              </w:rPr>
            </w:pPr>
            <w:r>
              <w:rPr>
                <w:rFonts w:cs="Arial" w:ascii="Arial" w:hAnsi="Arial"/>
                <w:b/>
                <w:sz w:val="16"/>
                <w:szCs w:val="16"/>
                <w:lang w:eastAsia="en-US"/>
              </w:rPr>
              <w:t>2.</w:t>
            </w:r>
          </w:p>
        </w:tc>
        <w:tc>
          <w:tcPr>
            <w:tcW w:w="138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rPr/>
            </w:pPr>
            <w:r>
              <w:rPr>
                <w:rFonts w:cs="Arial" w:ascii="Arial" w:hAnsi="Arial"/>
                <w:b/>
                <w:sz w:val="16"/>
                <w:szCs w:val="16"/>
              </w:rPr>
              <w:t>ДАПТОМІЦИН</w:t>
            </w:r>
            <w:r>
              <w:rPr>
                <w:rFonts w:cs="Arial" w:ascii="Arial" w:hAnsi="Arial"/>
                <w:b/>
                <w:sz w:val="16"/>
                <w:szCs w:val="16"/>
                <w:lang w:val="en-US"/>
              </w:rPr>
              <w:t xml:space="preserve"> </w:t>
            </w:r>
            <w:r>
              <w:rPr>
                <w:rFonts w:cs="Arial" w:ascii="Arial" w:hAnsi="Arial"/>
                <w:b/>
                <w:sz w:val="16"/>
                <w:szCs w:val="16"/>
              </w:rPr>
              <w:t>ДЛЯ</w:t>
            </w:r>
            <w:r>
              <w:rPr>
                <w:rFonts w:cs="Arial" w:ascii="Arial" w:hAnsi="Arial"/>
                <w:b/>
                <w:sz w:val="16"/>
                <w:szCs w:val="16"/>
                <w:lang w:val="en-US"/>
              </w:rPr>
              <w:t xml:space="preserve"> </w:t>
            </w:r>
            <w:r>
              <w:rPr>
                <w:rFonts w:cs="Arial" w:ascii="Arial" w:hAnsi="Arial"/>
                <w:b/>
                <w:sz w:val="16"/>
                <w:szCs w:val="16"/>
              </w:rPr>
              <w:t>ІН</w:t>
            </w:r>
            <w:r>
              <w:rPr>
                <w:rFonts w:cs="Arial" w:ascii="Arial" w:hAnsi="Arial"/>
                <w:b/>
                <w:sz w:val="16"/>
                <w:szCs w:val="16"/>
                <w:lang w:val="en-US"/>
              </w:rPr>
              <w:t>'</w:t>
            </w:r>
            <w:r>
              <w:rPr>
                <w:rFonts w:cs="Arial" w:ascii="Arial" w:hAnsi="Arial"/>
                <w:b/>
                <w:sz w:val="16"/>
                <w:szCs w:val="16"/>
              </w:rPr>
              <w:t>ЄКЦІЙ</w:t>
            </w:r>
            <w:r>
              <w:rPr>
                <w:rFonts w:cs="Arial" w:ascii="Arial" w:hAnsi="Arial"/>
                <w:b/>
                <w:sz w:val="16"/>
                <w:szCs w:val="16"/>
                <w:lang w:val="en-US"/>
              </w:rPr>
              <w:t xml:space="preserve"> DAPTOMYCIN FOR INJECTION</w:t>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rPr>
                <w:rFonts w:ascii="Arial" w:hAnsi="Arial" w:cs="Arial"/>
                <w:sz w:val="16"/>
                <w:szCs w:val="16"/>
              </w:rPr>
            </w:pPr>
            <w:r>
              <w:rPr>
                <w:rFonts w:cs="Arial" w:ascii="Arial" w:hAnsi="Arial"/>
                <w:color w:val="000000"/>
                <w:sz w:val="16"/>
                <w:szCs w:val="16"/>
              </w:rPr>
              <w:t>daptomycin</w:t>
            </w:r>
          </w:p>
        </w:tc>
        <w:tc>
          <w:tcPr>
            <w:tcW w:w="70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rPr>
                <w:rFonts w:ascii="Arial" w:hAnsi="Arial" w:cs="Arial"/>
                <w:sz w:val="16"/>
                <w:szCs w:val="16"/>
              </w:rPr>
            </w:pPr>
            <w:r>
              <w:rPr>
                <w:rFonts w:cs="Arial" w:ascii="Arial" w:hAnsi="Arial"/>
                <w:color w:val="000000"/>
                <w:sz w:val="16"/>
                <w:szCs w:val="16"/>
              </w:rPr>
              <w:t>даптоміцин</w:t>
            </w:r>
          </w:p>
        </w:tc>
        <w:tc>
          <w:tcPr>
            <w:tcW w:w="958"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rPr>
                <w:rFonts w:ascii="Arial" w:hAnsi="Arial" w:cs="Arial"/>
                <w:sz w:val="16"/>
                <w:szCs w:val="16"/>
              </w:rPr>
            </w:pPr>
            <w:r>
              <w:rPr>
                <w:rFonts w:cs="Arial" w:ascii="Arial" w:hAnsi="Arial"/>
                <w:color w:val="000000"/>
                <w:sz w:val="16"/>
                <w:szCs w:val="16"/>
              </w:rPr>
              <w:t>J01X X09</w:t>
            </w:r>
          </w:p>
        </w:tc>
        <w:tc>
          <w:tcPr>
            <w:tcW w:w="170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rPr>
                <w:rFonts w:ascii="Arial" w:hAnsi="Arial" w:cs="Arial"/>
                <w:sz w:val="16"/>
                <w:szCs w:val="16"/>
              </w:rPr>
            </w:pPr>
            <w:r>
              <w:rPr>
                <w:rFonts w:cs="Arial" w:ascii="Arial" w:hAnsi="Arial"/>
                <w:color w:val="000000"/>
                <w:sz w:val="16"/>
                <w:szCs w:val="16"/>
              </w:rPr>
              <w:t>порошок ліофілізований для розчину для ін'єкцій або інфузій, по 350 мг/флакон, по 1 флакону у пачці</w:t>
            </w:r>
          </w:p>
        </w:tc>
        <w:tc>
          <w:tcPr>
            <w:tcW w:w="1276"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jc w:val="center"/>
              <w:rPr>
                <w:rFonts w:ascii="Arial" w:hAnsi="Arial" w:cs="Arial"/>
                <w:sz w:val="16"/>
                <w:szCs w:val="16"/>
              </w:rPr>
            </w:pPr>
            <w:r>
              <w:rPr>
                <w:rFonts w:cs="Arial" w:ascii="Arial" w:hAnsi="Arial"/>
                <w:color w:val="000000"/>
                <w:sz w:val="16"/>
                <w:szCs w:val="16"/>
              </w:rPr>
              <w:t>Нанкін Кінг-Френд Байокемікал Фармасьютікал Ко., Лтд</w:t>
              <w:br/>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jc w:val="center"/>
              <w:rPr>
                <w:rFonts w:ascii="Arial" w:hAnsi="Arial" w:cs="Arial"/>
                <w:sz w:val="16"/>
                <w:szCs w:val="16"/>
              </w:rPr>
            </w:pPr>
            <w:r>
              <w:rPr>
                <w:rFonts w:cs="Arial" w:ascii="Arial" w:hAnsi="Arial"/>
                <w:color w:val="000000"/>
                <w:sz w:val="16"/>
                <w:szCs w:val="16"/>
              </w:rPr>
              <w:t>Китайська Народна Республіка</w:t>
            </w:r>
          </w:p>
        </w:tc>
        <w:tc>
          <w:tcPr>
            <w:tcW w:w="1417"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контроль якості, первинна й вторинна упаковка та випуск серій готових лікарських засобів:</w:t>
              <w:br/>
              <w:t>Нанкін Кінг-Френд Байокемікал Фармасьютікал Ко., Лтд., Китай</w:t>
              <w:br/>
            </w:r>
          </w:p>
          <w:p>
            <w:pPr>
              <w:pStyle w:val="Normal1"/>
              <w:tabs>
                <w:tab w:val="left" w:pos="12600" w:leader="none"/>
              </w:tabs>
              <w:jc w:val="center"/>
              <w:rPr>
                <w:rFonts w:ascii="Arial" w:hAnsi="Arial" w:cs="Arial"/>
                <w:sz w:val="16"/>
                <w:szCs w:val="16"/>
              </w:rPr>
            </w:pPr>
            <w:r>
              <w:rPr>
                <w:rFonts w:cs="Arial" w:ascii="Arial" w:hAnsi="Arial"/>
                <w:color w:val="000000"/>
                <w:sz w:val="16"/>
                <w:szCs w:val="16"/>
              </w:rPr>
              <w:t>контроль якості готового ЛЗ за показником специфікації "Elemental impurities" USP &lt;232&gt;, USP &lt;233&gt;:</w:t>
              <w:br/>
              <w:t xml:space="preserve">Кіндос Фармасьютікалз Ко., Лтд., Китай </w:t>
              <w:br/>
            </w:r>
          </w:p>
        </w:tc>
        <w:tc>
          <w:tcPr>
            <w:tcW w:w="85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1"/>
              <w:tabs>
                <w:tab w:val="left" w:pos="12600" w:leader="none"/>
              </w:tabs>
              <w:jc w:val="center"/>
              <w:rPr>
                <w:rFonts w:ascii="Arial" w:hAnsi="Arial" w:cs="Arial"/>
                <w:sz w:val="16"/>
                <w:szCs w:val="16"/>
              </w:rPr>
            </w:pPr>
            <w:r>
              <w:rPr>
                <w:rFonts w:cs="Arial" w:ascii="Arial" w:hAnsi="Arial"/>
                <w:color w:val="000000"/>
                <w:sz w:val="16"/>
                <w:szCs w:val="16"/>
              </w:rPr>
              <w:t>Китай</w:t>
            </w:r>
          </w:p>
        </w:tc>
        <w:tc>
          <w:tcPr>
            <w:tcW w:w="155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jc w:val="center"/>
              <w:rPr>
                <w:rFonts w:ascii="Arial" w:hAnsi="Arial" w:cs="Arial"/>
                <w:sz w:val="16"/>
                <w:szCs w:val="16"/>
              </w:rPr>
            </w:pPr>
            <w:r>
              <w:rPr>
                <w:rFonts w:cs="Arial" w:ascii="Arial" w:hAnsi="Arial"/>
                <w:color w:val="000000"/>
                <w:sz w:val="16"/>
                <w:szCs w:val="16"/>
              </w:rPr>
              <w:t>реєстрація до введення в дію Закону України від 28 липня 2022 року № 2469-IX «Про лікарські засоби»</w:t>
            </w:r>
          </w:p>
        </w:tc>
        <w:tc>
          <w:tcPr>
            <w:tcW w:w="1027"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1"/>
              <w:tabs>
                <w:tab w:val="left" w:pos="12600" w:leader="none"/>
              </w:tabs>
              <w:jc w:val="center"/>
              <w:rPr>
                <w:rFonts w:ascii="Arial" w:hAnsi="Arial" w:cs="Arial"/>
                <w:i/>
                <w:i/>
                <w:sz w:val="16"/>
                <w:szCs w:val="16"/>
              </w:rPr>
            </w:pPr>
            <w:r>
              <w:rPr>
                <w:rFonts w:cs="Arial" w:ascii="Arial" w:hAnsi="Arial"/>
                <w:i/>
                <w:sz w:val="16"/>
                <w:szCs w:val="16"/>
              </w:rPr>
              <w:t xml:space="preserve">за </w:t>
            </w:r>
          </w:p>
          <w:p>
            <w:pPr>
              <w:pStyle w:val="Normal"/>
              <w:tabs>
                <w:tab w:val="left" w:pos="12600" w:leader="none"/>
              </w:tabs>
              <w:ind w:right="-107" w:hanging="0"/>
              <w:jc w:val="center"/>
              <w:rPr>
                <w:rFonts w:ascii="Arial" w:hAnsi="Arial" w:cs="Arial"/>
                <w:i/>
                <w:i/>
                <w:sz w:val="16"/>
                <w:szCs w:val="16"/>
              </w:rPr>
            </w:pPr>
            <w:r>
              <w:rPr>
                <w:rFonts w:cs="Arial" w:ascii="Arial" w:hAnsi="Arial"/>
                <w:i/>
                <w:sz w:val="16"/>
                <w:szCs w:val="16"/>
              </w:rPr>
              <w:t>рецептом</w:t>
            </w:r>
          </w:p>
        </w:tc>
        <w:tc>
          <w:tcPr>
            <w:tcW w:w="992"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tabs>
                <w:tab w:val="left" w:pos="12600" w:leader="none"/>
              </w:tabs>
              <w:rPr>
                <w:rFonts w:ascii="Arial" w:hAnsi="Arial" w:cs="Arial"/>
                <w:bCs/>
                <w:sz w:val="16"/>
                <w:szCs w:val="16"/>
              </w:rPr>
            </w:pPr>
            <w:r>
              <w:rPr>
                <w:rFonts w:cs="Arial" w:ascii="Arial" w:hAnsi="Arial"/>
                <w:bCs/>
                <w:color w:val="000000"/>
                <w:sz w:val="16"/>
                <w:szCs w:val="16"/>
              </w:rPr>
              <w:t>UA/21477/01/0</w:t>
            </w:r>
            <w:r>
              <w:rPr>
                <w:rFonts w:cs="Arial" w:ascii="Arial" w:hAnsi="Arial"/>
                <w:bCs/>
                <w:color w:val="000000"/>
                <w:sz w:val="16"/>
                <w:szCs w:val="16"/>
                <w:lang w:val="en-US"/>
              </w:rPr>
              <w:t>1</w:t>
            </w:r>
          </w:p>
        </w:tc>
      </w:tr>
    </w:tbl>
    <w:p>
      <w:pPr>
        <w:pStyle w:val="Normal1"/>
        <w:rPr>
          <w:sz w:val="16"/>
          <w:szCs w:val="16"/>
        </w:rPr>
      </w:pPr>
      <w:r>
        <w:rPr>
          <w:sz w:val="16"/>
          <w:szCs w:val="16"/>
        </w:rPr>
      </w:r>
    </w:p>
    <w:p>
      <w:pPr>
        <w:pStyle w:val="Normal1"/>
        <w:rPr>
          <w:sz w:val="16"/>
          <w:szCs w:val="16"/>
        </w:rPr>
      </w:pPr>
      <w:r>
        <w:rPr>
          <w:sz w:val="16"/>
          <w:szCs w:val="16"/>
        </w:rPr>
      </w:r>
    </w:p>
    <w:p>
      <w:pPr>
        <w:pStyle w:val="Normal1"/>
        <w:rPr>
          <w:sz w:val="16"/>
          <w:szCs w:val="16"/>
        </w:rPr>
      </w:pPr>
      <w:r>
        <w:rPr>
          <w:sz w:val="16"/>
          <w:szCs w:val="16"/>
        </w:rPr>
      </w:r>
    </w:p>
    <w:p>
      <w:pPr>
        <w:pStyle w:val="Normal1"/>
        <w:rPr>
          <w:sz w:val="16"/>
          <w:szCs w:val="16"/>
        </w:rPr>
      </w:pPr>
      <w:r>
        <w:rPr>
          <w:sz w:val="16"/>
          <w:szCs w:val="16"/>
        </w:rPr>
      </w:r>
    </w:p>
    <w:p>
      <w:pPr>
        <w:pStyle w:val="Normal"/>
        <w:ind w:left="284" w:hanging="0"/>
        <w:rPr/>
      </w:pPr>
      <w:r>
        <w:rPr>
          <w:b/>
          <w:sz w:val="28"/>
          <w:szCs w:val="28"/>
        </w:rPr>
        <w:t xml:space="preserve">Начальник </w:t>
      </w:r>
    </w:p>
    <w:p>
      <w:pPr>
        <w:sectPr>
          <w:headerReference w:type="default" r:id="rId6"/>
          <w:headerReference w:type="first" r:id="rId7"/>
          <w:type w:val="nextPage"/>
          <w:pgSz w:orient="landscape" w:w="16838" w:h="11906"/>
          <w:pgMar w:left="850" w:right="850" w:header="708" w:top="764" w:footer="0" w:bottom="426" w:gutter="0"/>
          <w:pgNumType w:fmt="decimal"/>
          <w:formProt w:val="false"/>
          <w:titlePg/>
          <w:textDirection w:val="lrTb"/>
          <w:docGrid w:type="default" w:linePitch="360" w:charSpace="0"/>
        </w:sectPr>
        <w:pStyle w:val="Normal"/>
        <w:ind w:left="284" w:hanging="0"/>
        <w:rPr>
          <w:b/>
          <w:b/>
          <w:sz w:val="22"/>
          <w:szCs w:val="22"/>
        </w:rPr>
      </w:pPr>
      <w:r>
        <w:rPr>
          <w:b/>
          <w:sz w:val="22"/>
          <w:szCs w:val="22"/>
        </w:rPr>
        <w:t xml:space="preserve">Фармацевтичного управління    </w:t>
        <w:tab/>
        <w:tab/>
        <w:t xml:space="preserve">       </w:t>
        <w:tab/>
        <w:tab/>
        <w:t xml:space="preserve">                                                              Олександр ГРІЦЕНКО</w:t>
      </w:r>
    </w:p>
    <w:tbl>
      <w:tblPr>
        <w:tblW w:w="3906" w:type="dxa"/>
        <w:jc w:val="left"/>
        <w:tblInd w:w="11448" w:type="dxa"/>
        <w:tblBorders/>
        <w:tblCellMar>
          <w:top w:w="0" w:type="dxa"/>
          <w:left w:w="108" w:type="dxa"/>
          <w:bottom w:w="0" w:type="dxa"/>
          <w:right w:w="108" w:type="dxa"/>
        </w:tblCellMar>
      </w:tblPr>
      <w:tblGrid>
        <w:gridCol w:w="3906"/>
      </w:tblGrid>
      <w:tr>
        <w:trPr/>
        <w:tc>
          <w:tcPr>
            <w:tcW w:w="3906" w:type="dxa"/>
            <w:tcBorders/>
            <w:shd w:fill="auto" w:val="clear"/>
          </w:tcPr>
          <w:p>
            <w:pPr>
              <w:pStyle w:val="Heading4"/>
              <w:numPr>
                <w:ilvl w:val="3"/>
                <w:numId w:val="1"/>
              </w:numPr>
              <w:tabs>
                <w:tab w:val="left" w:pos="12600" w:leader="none"/>
              </w:tabs>
              <w:spacing w:before="0" w:after="0"/>
              <w:rPr>
                <w:sz w:val="18"/>
                <w:szCs w:val="18"/>
                <w:lang w:val="uk-UA"/>
              </w:rPr>
            </w:pPr>
            <w:r>
              <w:rPr>
                <w:sz w:val="18"/>
                <w:szCs w:val="18"/>
                <w:lang w:val="uk-UA"/>
              </w:rPr>
              <w:t>Додаток 2</w:t>
            </w:r>
          </w:p>
          <w:p>
            <w:pPr>
              <w:pStyle w:val="Heading4"/>
              <w:numPr>
                <w:ilvl w:val="3"/>
                <w:numId w:val="1"/>
              </w:numPr>
              <w:tabs>
                <w:tab w:val="left" w:pos="12600" w:leader="none"/>
              </w:tabs>
              <w:spacing w:before="0" w:after="0"/>
              <w:rPr>
                <w:sz w:val="18"/>
                <w:szCs w:val="18"/>
                <w:lang w:val="uk-UA"/>
              </w:rPr>
            </w:pPr>
            <w:r>
              <w:rPr>
                <w:sz w:val="18"/>
                <w:szCs w:val="18"/>
                <w:lang w:val="uk-UA"/>
              </w:rPr>
              <w:t>до наказу Міністерства охорони</w:t>
            </w:r>
          </w:p>
          <w:p>
            <w:pPr>
              <w:pStyle w:val="Heading4"/>
              <w:numPr>
                <w:ilvl w:val="3"/>
                <w:numId w:val="1"/>
              </w:numPr>
              <w:tabs>
                <w:tab w:val="left" w:pos="12600" w:leader="none"/>
              </w:tabs>
              <w:spacing w:before="0" w:after="0"/>
              <w:rPr>
                <w:sz w:val="18"/>
                <w:szCs w:val="18"/>
                <w:lang w:val="uk-UA"/>
              </w:rPr>
            </w:pPr>
            <w:r>
              <w:rPr>
                <w:sz w:val="18"/>
                <w:szCs w:val="18"/>
                <w:lang w:val="uk-UA"/>
              </w:rPr>
              <w:t>здоров’я України «Про державну реєстрацію лікарських засобів, які закуповуються особою, уповноваженою на здійснення закупівель у сфері охорони здоров’я, та подаються на державну реєстрацію після визначення переможця процедури закупівлі, та внесення змін до реєстраційних матеріалів на лікарський засіб, який закуповується особою, уповноваженою на здійснення закупівель у сфері охорони здоров’я»</w:t>
            </w:r>
          </w:p>
          <w:p>
            <w:pPr>
              <w:pStyle w:val="Heading4"/>
              <w:numPr>
                <w:ilvl w:val="3"/>
                <w:numId w:val="1"/>
              </w:numPr>
              <w:tabs>
                <w:tab w:val="left" w:pos="12600" w:leader="none"/>
              </w:tabs>
              <w:spacing w:before="0" w:after="0"/>
              <w:rPr>
                <w:rFonts w:cs="Arial"/>
                <w:sz w:val="18"/>
                <w:szCs w:val="18"/>
              </w:rPr>
            </w:pPr>
            <w:r>
              <w:rPr>
                <w:bCs w:val="false"/>
                <w:iCs/>
                <w:sz w:val="18"/>
                <w:szCs w:val="18"/>
                <w:u w:val="single"/>
              </w:rPr>
              <w:t>від 06 жовтня 2026 року № 1505</w:t>
            </w:r>
          </w:p>
        </w:tc>
      </w:tr>
    </w:tbl>
    <w:p>
      <w:pPr>
        <w:pStyle w:val="Heading4"/>
        <w:numPr>
          <w:ilvl w:val="3"/>
          <w:numId w:val="1"/>
        </w:numPr>
        <w:tabs>
          <w:tab w:val="left" w:pos="12600" w:leader="none"/>
        </w:tabs>
        <w:rPr>
          <w:rFonts w:cs="Arial"/>
        </w:rPr>
      </w:pPr>
      <w:r>
        <w:rPr>
          <w:rFonts w:eastAsia="Times New Roman" w:cs="Times New Roman"/>
          <w:sz w:val="18"/>
          <w:szCs w:val="18"/>
        </w:rPr>
        <w:t xml:space="preserve">                                                                                                                                                                                                </w:t>
      </w:r>
    </w:p>
    <w:p>
      <w:pPr>
        <w:pStyle w:val="Heading4"/>
        <w:numPr>
          <w:ilvl w:val="3"/>
          <w:numId w:val="1"/>
        </w:numPr>
        <w:tabs>
          <w:tab w:val="left" w:pos="12600" w:leader="none"/>
        </w:tabs>
        <w:spacing w:before="0" w:after="0"/>
        <w:jc w:val="center"/>
        <w:rPr>
          <w:caps/>
        </w:rPr>
      </w:pPr>
      <w:r>
        <w:rPr/>
        <w:t>ПЕРЕЛІК</w:t>
      </w:r>
    </w:p>
    <w:p>
      <w:pPr>
        <w:pStyle w:val="Heading4"/>
        <w:numPr>
          <w:ilvl w:val="3"/>
          <w:numId w:val="1"/>
        </w:numPr>
        <w:tabs>
          <w:tab w:val="left" w:pos="12600" w:leader="none"/>
        </w:tabs>
        <w:spacing w:before="0" w:after="0"/>
        <w:jc w:val="center"/>
        <w:rPr>
          <w:rFonts w:cs="Arial"/>
          <w:sz w:val="16"/>
          <w:szCs w:val="16"/>
        </w:rPr>
      </w:pPr>
      <w:r>
        <w:rPr>
          <w:caps/>
        </w:rPr>
        <w:t>ЛІКАРСЬКИХ ЗАСОБІВ, ЩОДО ЯКИХ БУЛИ ВНЕСЕНІ ЗМІНИ ДО РЕЄСТРАЦІЙНИХ МАТЕРІАЛІВ, які вносяться до державного реєстру лікарських засобів З МЕТОЮ ЇХ закупівлі особою, уповноваженою на здійснення закупівель у сфері охорони здоров'я</w:t>
      </w:r>
    </w:p>
    <w:p>
      <w:pPr>
        <w:pStyle w:val="Normal1"/>
        <w:jc w:val="center"/>
        <w:rPr>
          <w:rFonts w:cs="Arial"/>
          <w:sz w:val="16"/>
          <w:szCs w:val="16"/>
        </w:rPr>
      </w:pPr>
      <w:r>
        <w:rPr>
          <w:rFonts w:cs="Arial"/>
          <w:sz w:val="16"/>
          <w:szCs w:val="16"/>
        </w:rPr>
      </w:r>
    </w:p>
    <w:p>
      <w:pPr>
        <w:pStyle w:val="Normal1"/>
        <w:jc w:val="center"/>
        <w:rPr>
          <w:sz w:val="16"/>
          <w:szCs w:val="16"/>
        </w:rPr>
      </w:pPr>
      <w:r>
        <w:rPr>
          <w:sz w:val="16"/>
          <w:szCs w:val="16"/>
        </w:rPr>
      </w:r>
    </w:p>
    <w:tbl>
      <w:tblPr>
        <w:tblW w:w="16063" w:type="dxa"/>
        <w:jc w:val="left"/>
        <w:tblInd w:w="-5"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602"/>
        <w:gridCol w:w="1275"/>
        <w:gridCol w:w="992"/>
        <w:gridCol w:w="852"/>
        <w:gridCol w:w="708"/>
        <w:gridCol w:w="1560"/>
        <w:gridCol w:w="850"/>
        <w:gridCol w:w="709"/>
        <w:gridCol w:w="1701"/>
        <w:gridCol w:w="851"/>
        <w:gridCol w:w="3544"/>
        <w:gridCol w:w="992"/>
        <w:gridCol w:w="1427"/>
      </w:tblGrid>
      <w:tr>
        <w:trPr>
          <w:tblHeader w:val="true"/>
        </w:trPr>
        <w:tc>
          <w:tcPr>
            <w:tcW w:w="602"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275"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992"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852"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708"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560"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850"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709"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w:t>
            </w:r>
          </w:p>
        </w:tc>
        <w:tc>
          <w:tcPr>
            <w:tcW w:w="1701"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851"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w:t>
            </w:r>
          </w:p>
        </w:tc>
        <w:tc>
          <w:tcPr>
            <w:tcW w:w="3544"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992"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blHeader w:val="true"/>
        </w:trPr>
        <w:tc>
          <w:tcPr>
            <w:tcW w:w="602"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center"/>
              <w:rPr>
                <w:rFonts w:ascii="Arial" w:hAnsi="Arial" w:cs="Arial"/>
                <w:b/>
                <w:b/>
                <w:i/>
                <w:i/>
                <w:sz w:val="16"/>
                <w:szCs w:val="16"/>
                <w:lang w:eastAsia="en-US"/>
              </w:rPr>
            </w:pPr>
            <w:r>
              <w:rPr>
                <w:rFonts w:cs="Arial" w:ascii="Arial" w:hAnsi="Arial"/>
                <w:b/>
                <w:i/>
                <w:sz w:val="16"/>
                <w:szCs w:val="16"/>
                <w:lang w:eastAsia="en-US"/>
              </w:rPr>
            </w:r>
          </w:p>
        </w:tc>
        <w:tc>
          <w:tcPr>
            <w:tcW w:w="127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snapToGrid w:val="false"/>
              <w:jc w:val="center"/>
              <w:rPr>
                <w:rFonts w:ascii="Arial" w:hAnsi="Arial" w:cs="Arial"/>
                <w:b/>
                <w:b/>
                <w:i/>
                <w:i/>
                <w:sz w:val="16"/>
                <w:szCs w:val="16"/>
                <w:lang w:eastAsia="en-US"/>
              </w:rPr>
            </w:pPr>
            <w:r>
              <w:rPr>
                <w:rFonts w:cs="Arial" w:ascii="Arial" w:hAnsi="Arial"/>
                <w:b/>
                <w:i/>
                <w:sz w:val="16"/>
                <w:szCs w:val="16"/>
                <w:lang w:eastAsia="en-US"/>
              </w:rPr>
            </w:r>
          </w:p>
        </w:tc>
        <w:tc>
          <w:tcPr>
            <w:tcW w:w="992"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852"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snapToGrid w:val="false"/>
              <w:jc w:val="center"/>
              <w:rPr>
                <w:rFonts w:ascii="Arial" w:hAnsi="Arial" w:cs="Arial"/>
                <w:sz w:val="16"/>
                <w:szCs w:val="16"/>
              </w:rPr>
            </w:pPr>
            <w:r>
              <w:rPr>
                <w:rFonts w:cs="Arial" w:ascii="Arial" w:hAnsi="Arial"/>
                <w:sz w:val="16"/>
                <w:szCs w:val="16"/>
              </w:rPr>
            </w:r>
          </w:p>
        </w:tc>
        <w:tc>
          <w:tcPr>
            <w:tcW w:w="708"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snapToGrid w:val="false"/>
              <w:jc w:val="center"/>
              <w:rPr>
                <w:rFonts w:ascii="Arial" w:hAnsi="Arial" w:cs="Arial"/>
                <w:sz w:val="16"/>
                <w:szCs w:val="16"/>
              </w:rPr>
            </w:pPr>
            <w:r>
              <w:rPr>
                <w:rFonts w:cs="Arial" w:ascii="Arial" w:hAnsi="Arial"/>
                <w:sz w:val="16"/>
                <w:szCs w:val="16"/>
              </w:rPr>
            </w:r>
          </w:p>
        </w:tc>
        <w:tc>
          <w:tcPr>
            <w:tcW w:w="1560"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snapToGrid w:val="false"/>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snapToGrid w:val="false"/>
              <w:jc w:val="center"/>
              <w:rPr>
                <w:rFonts w:ascii="Arial" w:hAnsi="Arial" w:cs="Arial"/>
                <w:sz w:val="16"/>
                <w:szCs w:val="16"/>
              </w:rPr>
            </w:pPr>
            <w:r>
              <w:rPr>
                <w:rFonts w:cs="Arial" w:ascii="Arial" w:hAnsi="Arial"/>
                <w:sz w:val="16"/>
                <w:szCs w:val="16"/>
              </w:rPr>
            </w:r>
          </w:p>
        </w:tc>
        <w:tc>
          <w:tcPr>
            <w:tcW w:w="70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snapToGrid w:val="false"/>
              <w:jc w:val="center"/>
              <w:rPr>
                <w:rFonts w:ascii="Arial" w:hAnsi="Arial" w:cs="Arial"/>
                <w:sz w:val="16"/>
                <w:szCs w:val="16"/>
              </w:rPr>
            </w:pPr>
            <w:r>
              <w:rPr>
                <w:rFonts w:cs="Arial" w:ascii="Arial" w:hAnsi="Arial"/>
                <w:sz w:val="16"/>
                <w:szCs w:val="16"/>
              </w:rPr>
            </w:r>
          </w:p>
        </w:tc>
        <w:tc>
          <w:tcPr>
            <w:tcW w:w="170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snapToGrid w:val="false"/>
              <w:jc w:val="center"/>
              <w:rPr>
                <w:rFonts w:ascii="Arial" w:hAnsi="Arial" w:cs="Arial"/>
                <w:sz w:val="16"/>
                <w:szCs w:val="16"/>
              </w:rPr>
            </w:pPr>
            <w:r>
              <w:rPr>
                <w:rFonts w:cs="Arial" w:ascii="Arial" w:hAnsi="Arial"/>
                <w:sz w:val="16"/>
                <w:szCs w:val="16"/>
              </w:rPr>
            </w:r>
          </w:p>
        </w:tc>
        <w:tc>
          <w:tcPr>
            <w:tcW w:w="85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snapToGrid w:val="false"/>
              <w:jc w:val="center"/>
              <w:rPr>
                <w:rFonts w:ascii="Arial" w:hAnsi="Arial" w:cs="Arial"/>
                <w:sz w:val="16"/>
                <w:szCs w:val="16"/>
              </w:rPr>
            </w:pPr>
            <w:r>
              <w:rPr>
                <w:rFonts w:cs="Arial" w:ascii="Arial" w:hAnsi="Arial"/>
                <w:sz w:val="16"/>
                <w:szCs w:val="16"/>
              </w:rPr>
            </w:r>
          </w:p>
        </w:tc>
        <w:tc>
          <w:tcPr>
            <w:tcW w:w="354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snapToGrid w:val="false"/>
              <w:jc w:val="center"/>
              <w:rPr>
                <w:rFonts w:ascii="Arial" w:hAnsi="Arial" w:cs="Arial"/>
                <w:sz w:val="16"/>
                <w:szCs w:val="16"/>
              </w:rPr>
            </w:pPr>
            <w:r>
              <w:rPr>
                <w:rFonts w:cs="Arial" w:ascii="Arial" w:hAnsi="Arial"/>
                <w:sz w:val="16"/>
                <w:szCs w:val="16"/>
              </w:rPr>
            </w:r>
          </w:p>
        </w:tc>
        <w:tc>
          <w:tcPr>
            <w:tcW w:w="992"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r>
      <w:tr>
        <w:trPr>
          <w:trHeight w:val="1187" w:hRule="atLeast"/>
        </w:trPr>
        <w:tc>
          <w:tcPr>
            <w:tcW w:w="60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Msolistparagraph"/>
              <w:numPr>
                <w:ilvl w:val="0"/>
                <w:numId w:val="4"/>
              </w:numPr>
              <w:tabs>
                <w:tab w:val="left" w:pos="12600" w:leader="none"/>
              </w:tabs>
              <w:snapToGrid w:val="false"/>
              <w:ind w:left="360" w:hanging="360"/>
              <w:rPr>
                <w:rFonts w:ascii="Arial" w:hAnsi="Arial" w:cs="Arial"/>
                <w:b/>
                <w:b/>
                <w:sz w:val="16"/>
                <w:szCs w:val="16"/>
                <w:lang w:eastAsia="en-US"/>
              </w:rPr>
            </w:pPr>
            <w:r>
              <w:rPr>
                <w:rFonts w:cs="Arial" w:ascii="Arial" w:hAnsi="Arial"/>
                <w:b/>
                <w:sz w:val="16"/>
                <w:szCs w:val="16"/>
                <w:lang w:eastAsia="en-US"/>
              </w:rPr>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b/>
                <w:b/>
                <w:i/>
                <w:i/>
                <w:color w:val="000000"/>
                <w:sz w:val="16"/>
                <w:szCs w:val="16"/>
              </w:rPr>
            </w:pPr>
            <w:r>
              <w:rPr>
                <w:rFonts w:cs="Arial" w:ascii="Arial" w:hAnsi="Arial"/>
                <w:b/>
                <w:sz w:val="16"/>
                <w:szCs w:val="16"/>
              </w:rPr>
              <w:t>РАПАМУН / RAPAMUNE®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lang w:val="ru-RU"/>
              </w:rPr>
            </w:pPr>
            <w:r>
              <w:rPr>
                <w:rFonts w:cs="Arial" w:ascii="Arial" w:hAnsi="Arial"/>
                <w:color w:val="000000"/>
                <w:sz w:val="16"/>
                <w:szCs w:val="16"/>
              </w:rPr>
              <w:t>Sirolimus</w:t>
            </w:r>
          </w:p>
        </w:tc>
        <w:tc>
          <w:tcPr>
            <w:tcW w:w="8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lang w:val="ru-RU"/>
              </w:rPr>
            </w:pPr>
            <w:r>
              <w:rPr>
                <w:rFonts w:cs="Arial" w:ascii="Arial" w:hAnsi="Arial"/>
                <w:color w:val="000000"/>
                <w:sz w:val="16"/>
                <w:szCs w:val="16"/>
              </w:rPr>
              <w:t>сиролімус</w:t>
            </w:r>
          </w:p>
        </w:tc>
        <w:tc>
          <w:tcPr>
            <w:tcW w:w="70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lang w:val="ru-RU"/>
              </w:rPr>
            </w:pPr>
            <w:r>
              <w:rPr>
                <w:rFonts w:cs="Arial" w:ascii="Arial" w:hAnsi="Arial"/>
                <w:color w:val="000000"/>
                <w:sz w:val="16"/>
                <w:szCs w:val="16"/>
              </w:rPr>
              <w:t>L04AA10</w:t>
            </w:r>
          </w:p>
        </w:tc>
        <w:tc>
          <w:tcPr>
            <w:tcW w:w="156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lang w:val="ru-RU"/>
              </w:rPr>
            </w:pPr>
            <w:r>
              <w:rPr>
                <w:rFonts w:cs="Arial" w:ascii="Arial" w:hAnsi="Arial"/>
                <w:color w:val="000000"/>
                <w:sz w:val="16"/>
                <w:szCs w:val="16"/>
              </w:rPr>
              <w:t>таблетки, вкриті оболонкою по 1 мг</w:t>
            </w:r>
            <w:r>
              <w:rPr>
                <w:rFonts w:cs="Arial" w:ascii="Arial" w:hAnsi="Arial"/>
                <w:color w:val="000000"/>
                <w:sz w:val="16"/>
                <w:szCs w:val="16"/>
                <w:lang w:val="ru-RU"/>
              </w:rPr>
              <w:t>;</w:t>
            </w:r>
            <w:r>
              <w:rPr>
                <w:rFonts w:cs="Arial" w:ascii="Arial" w:hAnsi="Arial"/>
                <w:color w:val="000000"/>
                <w:sz w:val="16"/>
                <w:szCs w:val="16"/>
              </w:rPr>
              <w:t xml:space="preserve"> по 10 таблеток у блістері; по 10 блістерів у картонній упаковці з маркуванням іспанською мовою</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Пфайзер Ейч. Сі. Пі. Корпорейшн</w:t>
              <w:b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lang w:val="ru-RU"/>
              </w:rPr>
            </w:pPr>
            <w:r>
              <w:rPr>
                <w:rFonts w:cs="Arial" w:ascii="Arial" w:hAnsi="Arial"/>
                <w:color w:val="000000"/>
                <w:sz w:val="16"/>
                <w:szCs w:val="16"/>
              </w:rPr>
              <w:t>США</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первинне та вторинне пакування, тестування при випуску та випробування стабільності, випуск серії:</w:t>
              <w:br/>
              <w:t>Пфайзер Менюфекчуринг Дойчленд ГмбХ, Німеччина;</w:t>
              <w:br/>
              <w:br/>
              <w:t>виробництво та тестування при випуску проміжного продукту сиролімус наносистеми дисперсної:</w:t>
              <w:br/>
              <w:t>Ново Нордіск Продакшн Ірландія Лімітед, Ірландія;</w:t>
              <w:br/>
              <w:br/>
              <w:t>тестування сиролімус наносистеми дисперсної, виробництво in bulk; первинне та вторинне пакування, тестування при випуску та випуск серії:</w:t>
              <w:br/>
              <w:t>Пфайзер Ірландія Фармасьютікалз Анлімітед Компані, Ірландія;</w:t>
              <w:br/>
              <w:br/>
              <w:t>випробування стабільності:</w:t>
              <w:br/>
              <w:t>Пфайзер Інк., США</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ind w:left="-110" w:right="-105" w:hanging="0"/>
              <w:jc w:val="center"/>
              <w:rPr>
                <w:rFonts w:ascii="Arial" w:hAnsi="Arial" w:cs="Arial"/>
                <w:color w:val="000000"/>
                <w:sz w:val="16"/>
                <w:szCs w:val="16"/>
              </w:rPr>
            </w:pPr>
            <w:r>
              <w:rPr>
                <w:rFonts w:cs="Arial" w:ascii="Arial" w:hAnsi="Arial"/>
                <w:color w:val="000000"/>
                <w:sz w:val="16"/>
                <w:szCs w:val="16"/>
              </w:rPr>
              <w:t>Німеччина/ Ірландія/ США</w:t>
            </w:r>
          </w:p>
        </w:tc>
        <w:tc>
          <w:tcPr>
            <w:tcW w:w="354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IA A6. Зміна коду АТС для сиролімусу відповідно до переглянутої класифікації імуносупресантів, заствердженої ВООЗ та опублікованої 26 січня 2024 року, а саме заміна коду L04AA10 на L04AH01</w:t>
              <w:br/>
              <w:t>IB C.I.z Оновлення до розділів "4.4 особливості застосування" та "4.5 Взаємодія з іншими лікарськими засобами й інші види взаємодій" короткої характеристики лікарського засобу з метою включення інформації про лікарську взаємодію з канабіолом відповідно до оцінки сигналу щодо системного підвищення рівнів у сироватці крові та токсичності інгібіторів кальциневрину та інгібіторів mTOR (EPITT №19614), згідно з рекомендацією PRAC, прийнятою на засіданні у березні 2022 року. Відповідні оновлення також було внесено до розділу "Прийом препарату Рапамун з іншими лікарськими засобами" інструкції про застосування лікарського засобу (листок-вкладиш: інформація для пацієнта). Зазначені зміни не впливають негативно на якість, безпеку та ефективність лікарського засобу.</w:t>
              <w:br/>
              <w:t>Оновлення до розділу 4.5 "взаємодія з іншими лікарськими засобами й інші види взаємодій" пункту "Інші можливі взаємодії" Короткої характеристики лікарського засобу (SmPC) шляхом включення інформації провзаємодію між сиролімусом та летермовіром, відповідно до рекомендації PRAC на підставі наявних даних щодо лікарської взаємодії, отриманих у результаті кумулятивного аналізу, включаючи два випадки, зареєстровані в глобальній базі даних безпеки власника реєстраційного посвідчення, а також результати одного дослідження фармакокінетики у людини. Відповідні оновлення також було внесено до розділу "Прийом препарату Рапамун з іншими лікарськими засобами" інструкції про застосування лікарського засобу (листок-вкладиш: інформація для пацієнта). Зазначені зміни не впливають негативно на якість, безпеку та ефективність лікарського засобу.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i/>
                <w:i/>
                <w:sz w:val="16"/>
                <w:szCs w:val="16"/>
              </w:rPr>
            </w:pPr>
            <w:r>
              <w:rPr>
                <w:rFonts w:cs="Arial" w:ascii="Arial" w:hAnsi="Arial"/>
                <w:i/>
                <w:sz w:val="16"/>
                <w:szCs w:val="16"/>
              </w:rPr>
              <w:t xml:space="preserve">за </w:t>
            </w:r>
          </w:p>
          <w:p>
            <w:pPr>
              <w:pStyle w:val="Normal1"/>
              <w:tabs>
                <w:tab w:val="left" w:pos="12600" w:leader="none"/>
              </w:tabs>
              <w:ind w:left="-105" w:hanging="0"/>
              <w:jc w:val="center"/>
              <w:rPr>
                <w:rFonts w:ascii="Arial" w:hAnsi="Arial" w:cs="Arial"/>
                <w:b/>
                <w:b/>
                <w:i/>
                <w:i/>
                <w:color w:val="000000"/>
                <w:sz w:val="16"/>
                <w:szCs w:val="16"/>
              </w:rPr>
            </w:pPr>
            <w:r>
              <w:rPr>
                <w:rFonts w:cs="Arial" w:ascii="Arial" w:hAnsi="Arial"/>
                <w:i/>
                <w:sz w:val="16"/>
                <w:szCs w:val="16"/>
              </w:rPr>
              <w:t>рецептом</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1"/>
              <w:tabs>
                <w:tab w:val="left" w:pos="12600" w:leader="none"/>
              </w:tabs>
              <w:jc w:val="center"/>
              <w:rPr>
                <w:rFonts w:ascii="Arial" w:hAnsi="Arial" w:cs="Arial"/>
                <w:sz w:val="16"/>
                <w:szCs w:val="16"/>
              </w:rPr>
            </w:pPr>
            <w:r>
              <w:rPr>
                <w:rFonts w:cs="Arial" w:ascii="Arial" w:hAnsi="Arial"/>
                <w:sz w:val="16"/>
                <w:szCs w:val="16"/>
              </w:rPr>
              <w:t>UA/19100/01/01</w:t>
            </w:r>
          </w:p>
        </w:tc>
      </w:tr>
    </w:tbl>
    <w:p>
      <w:pPr>
        <w:pStyle w:val="Normal"/>
        <w:ind w:left="284" w:hanging="0"/>
        <w:rPr>
          <w:b/>
          <w:b/>
          <w:sz w:val="28"/>
          <w:szCs w:val="28"/>
        </w:rPr>
      </w:pPr>
      <w:r>
        <w:rPr>
          <w:b/>
          <w:sz w:val="28"/>
          <w:szCs w:val="28"/>
        </w:rPr>
      </w:r>
    </w:p>
    <w:p>
      <w:pPr>
        <w:pStyle w:val="Normal"/>
        <w:ind w:left="284" w:hanging="0"/>
        <w:rPr>
          <w:b/>
          <w:b/>
          <w:sz w:val="28"/>
          <w:szCs w:val="28"/>
        </w:rPr>
      </w:pPr>
      <w:r>
        <w:rPr>
          <w:b/>
          <w:sz w:val="28"/>
          <w:szCs w:val="28"/>
        </w:rPr>
      </w:r>
    </w:p>
    <w:p>
      <w:pPr>
        <w:pStyle w:val="Normal"/>
        <w:ind w:left="284" w:hanging="0"/>
        <w:rPr/>
      </w:pPr>
      <w:r>
        <w:rPr>
          <w:b/>
          <w:sz w:val="28"/>
          <w:szCs w:val="28"/>
        </w:rPr>
        <w:t xml:space="preserve">Начальник </w:t>
      </w:r>
    </w:p>
    <w:p>
      <w:pPr>
        <w:pStyle w:val="Normal"/>
        <w:ind w:left="284" w:hanging="0"/>
        <w:rPr>
          <w:b/>
          <w:b/>
          <w:sz w:val="22"/>
          <w:szCs w:val="22"/>
        </w:rPr>
      </w:pPr>
      <w:r>
        <w:rPr>
          <w:b/>
          <w:sz w:val="28"/>
          <w:szCs w:val="28"/>
        </w:rPr>
        <w:t xml:space="preserve">Фармацевтичного управління    </w:t>
        <w:tab/>
        <w:tab/>
        <w:t xml:space="preserve">       </w:t>
        <w:tab/>
        <w:tab/>
        <w:t xml:space="preserve">                                                              Олександр ГРІЦЕНКО</w:t>
      </w:r>
    </w:p>
    <w:p>
      <w:pPr>
        <w:pStyle w:val="Normal"/>
        <w:rPr>
          <w:b/>
          <w:b/>
          <w:sz w:val="28"/>
          <w:szCs w:val="28"/>
          <w:lang w:val="uk-UA"/>
        </w:rPr>
      </w:pPr>
      <w:r>
        <w:rPr>
          <w:b/>
          <w:sz w:val="28"/>
          <w:szCs w:val="28"/>
          <w:lang w:val="uk-UA"/>
        </w:rPr>
      </w:r>
    </w:p>
    <w:sectPr>
      <w:headerReference w:type="default" r:id="rId8"/>
      <w:headerReference w:type="first" r:id="rId9"/>
      <w:type w:val="nextPage"/>
      <w:pgSz w:orient="landscape" w:w="16838" w:h="11906"/>
      <w:pgMar w:left="850" w:right="850" w:header="708" w:top="764" w:footer="0" w:bottom="426"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cc"/>
    <w:family w:val="roman"/>
    <w:pitch w:val="variable"/>
  </w:font>
  <w:font w:name="Arial">
    <w:charset w:val="cc"/>
    <w:family w:val="swiss"/>
    <w:pitch w:val="variable"/>
  </w:font>
  <w:font w:name="Courier New">
    <w:charset w:val="cc"/>
    <w:family w:val="modern"/>
    <w:pitch w:val="default"/>
  </w:font>
  <w:font w:name="Liberation Sans">
    <w:altName w:val="Arial"/>
    <w:charset w:val="01"/>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fldChar w:fldCharType="begin"/>
    </w:r>
    <w:r>
      <w:instrText> PAGE </w:instrText>
    </w:r>
    <w:r>
      <w:fldChar w:fldCharType="separate"/>
    </w:r>
    <w:r>
      <w:t>2</w:t>
    </w:r>
    <w:r>
      <w:fldChar w:fldCharType="end"/>
    </w:r>
  </w:p>
  <w:p>
    <w:pPr>
      <w:pStyle w:val="Header"/>
      <w:rPr>
        <w:lang w:val="uk-UA"/>
      </w:rPr>
    </w:pPr>
    <w:r>
      <w:rPr>
        <w:lang w:val="uk-UA"/>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tabs>
        <w:tab w:val="left" w:pos="4110" w:leader="none"/>
      </w:tabs>
      <w:rPr/>
    </w:pPr>
    <w:r>
      <w:rPr/>
      <w:tab/>
    </w:r>
    <w:r>
      <w:rPr>
        <w:lang w:val="uk-UA"/>
      </w:rPr>
      <w:t xml:space="preserve">             </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tabs>
        <w:tab w:val="center" w:pos="4819" w:leader="none"/>
        <w:tab w:val="center" w:pos="7569" w:leader="none"/>
        <w:tab w:val="right" w:pos="9639" w:leader="none"/>
        <w:tab w:val="left" w:pos="11715" w:leader="none"/>
      </w:tabs>
      <w:rPr/>
    </w:pPr>
    <w:r>
      <w:rPr/>
      <w:tab/>
      <w:tab/>
    </w:r>
    <w:r>
      <w:rPr/>
      <w:fldChar w:fldCharType="begin"/>
    </w:r>
    <w:r>
      <w:instrText> PAGE </w:instrText>
    </w:r>
    <w:r>
      <w:fldChar w:fldCharType="separate"/>
    </w:r>
    <w:r>
      <w:t>4</w:t>
    </w:r>
    <w:r>
      <w:fldChar w:fldCharType="end"/>
    </w:r>
    <w:r>
      <w:rPr/>
      <w:tab/>
      <w:tab/>
      <w:t xml:space="preserve">                Продовження додатка 1</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tabs>
        <w:tab w:val="left" w:pos="4110" w:leader="none"/>
      </w:tabs>
      <w:rPr/>
    </w:pPr>
    <w:r>
      <w:rPr/>
      <w:tab/>
    </w:r>
    <w:r>
      <w:rPr>
        <w:lang w:val="uk-UA"/>
      </w:rPr>
      <w:t xml:space="preserve">             </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tabs>
        <w:tab w:val="center" w:pos="4819" w:leader="none"/>
        <w:tab w:val="center" w:pos="7569" w:leader="none"/>
        <w:tab w:val="right" w:pos="9639" w:leader="none"/>
        <w:tab w:val="left" w:pos="11715" w:leader="none"/>
      </w:tabs>
      <w:rPr/>
    </w:pPr>
    <w:r>
      <w:rPr/>
      <w:tab/>
      <w:tab/>
    </w:r>
    <w:r>
      <w:rPr/>
      <w:fldChar w:fldCharType="begin"/>
    </w:r>
    <w:r>
      <w:instrText> PAGE </w:instrText>
    </w:r>
    <w:r>
      <w:fldChar w:fldCharType="separate"/>
    </w:r>
    <w:r>
      <w:t>6</w:t>
    </w:r>
    <w:r>
      <w:fldChar w:fldCharType="end"/>
    </w:r>
    <w:r>
      <w:rPr/>
      <w:tab/>
      <w:tab/>
      <w:t xml:space="preserve">                Продовження додатка 2 </w:t>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tabs>
        <w:tab w:val="left" w:pos="4110" w:leader="none"/>
      </w:tabs>
      <w:rPr/>
    </w:pPr>
    <w:r>
      <w:rPr/>
      <w:tab/>
    </w:r>
    <w:r>
      <w:rPr>
        <w:lang w:val="uk-UA"/>
      </w:rPr>
      <w:t xml:space="preserve">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1211" w:hanging="360"/>
      </w:pPr>
      <w:rPr>
        <w:sz w:val="28"/>
        <w:szCs w:val="28"/>
        <w:lang w:val="uk-UA"/>
      </w:rPr>
    </w:lvl>
  </w:abstractNum>
  <w:abstractNum w:abstractNumId="3">
    <w:lvl w:ilvl="0">
      <w:start w:val="1"/>
      <w:numFmt w:val="decimal"/>
      <w:lvlText w:val="%1."/>
      <w:lvlJc w:val="left"/>
      <w:pPr>
        <w:ind w:left="720" w:hanging="360"/>
      </w:pPr>
      <w:rPr>
        <w:b w:val="false"/>
      </w:rPr>
    </w:lvl>
  </w:abstractNum>
  <w:abstractNum w:abstractNumId="4">
    <w:lvl w:ilvl="0">
      <w:start w:val="1"/>
      <w:numFmt w:val="decimal"/>
      <w:lvlText w:val="%1."/>
      <w:lvlJc w:val="left"/>
      <w:pPr>
        <w:ind w:left="720" w:hanging="360"/>
      </w:pPr>
      <w:rPr>
        <w:b w:val="false"/>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16"/>
  <w:defaultTabStop w:val="708"/>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ru-RU" w:eastAsia="zh-CN" w:bidi="hi-IN"/>
      </w:rPr>
    </w:rPrDefault>
    <w:pPrDefault>
      <w:pPr/>
    </w:pPrDefault>
  </w:docDefaults>
  <w:style w:type="paragraph" w:styleId="Normal">
    <w:name w:val="Normal"/>
    <w:qFormat/>
    <w:pPr>
      <w:widowControl/>
      <w:bidi w:val="0"/>
    </w:pPr>
    <w:rPr>
      <w:rFonts w:ascii="Times New Roman" w:hAnsi="Times New Roman" w:eastAsia="Calibri" w:cs="Times New Roman"/>
      <w:color w:val="auto"/>
      <w:sz w:val="20"/>
      <w:szCs w:val="20"/>
      <w:lang w:val="ru-RU" w:bidi="ar-SA" w:eastAsia="zh-CN"/>
    </w:rPr>
  </w:style>
  <w:style w:type="paragraph" w:styleId="Heading1">
    <w:name w:val="Heading 1"/>
    <w:basedOn w:val="Normal"/>
    <w:next w:val="Normal"/>
    <w:qFormat/>
    <w:pPr>
      <w:keepNext w:val="true"/>
      <w:numPr>
        <w:ilvl w:val="0"/>
        <w:numId w:val="1"/>
      </w:numPr>
      <w:jc w:val="both"/>
      <w:outlineLvl w:val="0"/>
    </w:pPr>
    <w:rPr>
      <w:rFonts w:eastAsia="Times New Roman"/>
      <w:b/>
      <w:sz w:val="26"/>
      <w:lang w:val="ru-RU"/>
    </w:rPr>
  </w:style>
  <w:style w:type="paragraph" w:styleId="Heading3">
    <w:name w:val="Heading 3"/>
    <w:basedOn w:val="Normal"/>
    <w:next w:val="Normal"/>
    <w:qFormat/>
    <w:pPr>
      <w:keepNext w:val="true"/>
      <w:numPr>
        <w:ilvl w:val="2"/>
        <w:numId w:val="1"/>
      </w:numPr>
      <w:spacing w:before="240" w:after="60"/>
      <w:outlineLvl w:val="2"/>
    </w:pPr>
    <w:rPr>
      <w:rFonts w:ascii="Arial" w:hAnsi="Arial" w:eastAsia="Times New Roman"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sz w:val="28"/>
      <w:szCs w:val="28"/>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z w:val="28"/>
      <w:szCs w:val="28"/>
      <w:lang w:val="uk-UA"/>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b w:val="false"/>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Style11">
    <w:name w:val="Основной шрифт абзаца"/>
    <w:qFormat/>
    <w:rPr/>
  </w:style>
  <w:style w:type="character" w:styleId="1">
    <w:name w:val="Заголовок 1 Знак"/>
    <w:qFormat/>
    <w:rPr>
      <w:rFonts w:ascii="Times New Roman" w:hAnsi="Times New Roman" w:eastAsia="Times New Roman" w:cs="Times New Roman"/>
      <w:b/>
      <w:sz w:val="26"/>
    </w:rPr>
  </w:style>
  <w:style w:type="character" w:styleId="3">
    <w:name w:val="Заголовок 3 Знак"/>
    <w:qFormat/>
    <w:rPr>
      <w:rFonts w:ascii="Arial" w:hAnsi="Arial" w:eastAsia="Times New Roman" w:cs="Arial"/>
      <w:b/>
      <w:bCs/>
      <w:sz w:val="26"/>
      <w:szCs w:val="26"/>
      <w:lang w:val="ru-RU"/>
    </w:rPr>
  </w:style>
  <w:style w:type="character" w:styleId="HTML">
    <w:name w:val="Стандартный HTML Знак"/>
    <w:qFormat/>
    <w:rPr>
      <w:rFonts w:ascii="Courier New" w:hAnsi="Courier New" w:cs="Courier New"/>
      <w:color w:val="000000"/>
      <w:sz w:val="21"/>
      <w:szCs w:val="21"/>
      <w:lang w:val="ru-RU"/>
    </w:rPr>
  </w:style>
  <w:style w:type="character" w:styleId="31">
    <w:name w:val="Основной текст с отступом 3 Знак"/>
    <w:qFormat/>
    <w:rPr>
      <w:rFonts w:ascii="Times New Roman" w:hAnsi="Times New Roman" w:cs="Times New Roman"/>
      <w:sz w:val="16"/>
      <w:szCs w:val="16"/>
      <w:lang w:val="ru-RU"/>
    </w:rPr>
  </w:style>
  <w:style w:type="character" w:styleId="Style12">
    <w:name w:val="Верхний колонтитул Знак"/>
    <w:qFormat/>
    <w:rPr>
      <w:rFonts w:ascii="Times New Roman" w:hAnsi="Times New Roman" w:cs="Times New Roman"/>
      <w:lang w:val="ru-RU"/>
    </w:rPr>
  </w:style>
  <w:style w:type="character" w:styleId="Style13">
    <w:name w:val="Нижний колонтитул Знак"/>
    <w:qFormat/>
    <w:rPr>
      <w:rFonts w:ascii="Times New Roman" w:hAnsi="Times New Roman" w:cs="Times New Roman"/>
      <w:lang w:val="ru-RU"/>
    </w:rPr>
  </w:style>
  <w:style w:type="character" w:styleId="PageNumber">
    <w:name w:val="Page Number"/>
    <w:basedOn w:val="Style11"/>
    <w:rPr/>
  </w:style>
  <w:style w:type="character" w:styleId="Rvts9">
    <w:name w:val="rvts9"/>
    <w:qFormat/>
    <w:rPr/>
  </w:style>
  <w:style w:type="character" w:styleId="Rvts23">
    <w:name w:val="rvts23"/>
    <w:qFormat/>
    <w:rPr/>
  </w:style>
  <w:style w:type="character" w:styleId="InternetLink">
    <w:name w:val="Internet 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DejaVu Sans" w:cs="DejaVu Sans"/>
      <w:sz w:val="28"/>
      <w:szCs w:val="28"/>
    </w:rPr>
  </w:style>
  <w:style w:type="paragraph" w:styleId="TextBody">
    <w:name w:val="Body Text"/>
    <w:basedOn w:val="Normal"/>
    <w:pPr>
      <w:spacing w:lineRule="auto" w:line="288"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HTML1">
    <w:name w:val="Стандартный HTML"/>
    <w:basedOn w:val="Normal"/>
    <w:qFormat/>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color w:val="000000"/>
      <w:sz w:val="21"/>
      <w:szCs w:val="21"/>
    </w:rPr>
  </w:style>
  <w:style w:type="paragraph" w:styleId="32">
    <w:name w:val="Основной текст с отступом 3"/>
    <w:basedOn w:val="Normal"/>
    <w:qFormat/>
    <w:pPr>
      <w:spacing w:before="0" w:after="120"/>
      <w:ind w:left="283" w:hanging="0"/>
    </w:pPr>
    <w:rPr>
      <w:sz w:val="16"/>
      <w:szCs w:val="16"/>
    </w:rPr>
  </w:style>
  <w:style w:type="paragraph" w:styleId="Header">
    <w:name w:val="Header"/>
    <w:basedOn w:val="Normal"/>
    <w:pPr>
      <w:tabs>
        <w:tab w:val="center" w:pos="4819" w:leader="none"/>
        <w:tab w:val="right" w:pos="9639" w:leader="none"/>
      </w:tabs>
    </w:pPr>
    <w:rPr/>
  </w:style>
  <w:style w:type="paragraph" w:styleId="Footer">
    <w:name w:val="Footer"/>
    <w:basedOn w:val="Normal"/>
    <w:pPr>
      <w:tabs>
        <w:tab w:val="center" w:pos="4819" w:leader="none"/>
        <w:tab w:val="right" w:pos="9639" w:leader="none"/>
      </w:tabs>
    </w:pPr>
    <w:rPr/>
  </w:style>
  <w:style w:type="paragraph" w:styleId="Style14">
    <w:name w:val="Абзац списка"/>
    <w:basedOn w:val="Normal"/>
    <w:qFormat/>
    <w:pPr>
      <w:ind w:left="708" w:hanging="0"/>
    </w:pPr>
    <w:rPr/>
  </w:style>
  <w:style w:type="paragraph" w:styleId="Rvps7">
    <w:name w:val="rvps7"/>
    <w:basedOn w:val="Normal"/>
    <w:qFormat/>
    <w:pPr>
      <w:spacing w:before="280" w:after="280"/>
    </w:pPr>
    <w:rPr>
      <w:rFonts w:eastAsia="Times New Roman"/>
      <w:sz w:val="24"/>
      <w:szCs w:val="24"/>
      <w:lang w:val="uk-UA"/>
    </w:rPr>
  </w:style>
  <w:style w:type="paragraph" w:styleId="Rvps14">
    <w:name w:val="rvps14"/>
    <w:basedOn w:val="Normal"/>
    <w:qFormat/>
    <w:pPr>
      <w:spacing w:before="280" w:after="280"/>
    </w:pPr>
    <w:rPr>
      <w:rFonts w:eastAsia="Times New Roman"/>
      <w:sz w:val="24"/>
      <w:szCs w:val="24"/>
      <w:lang w:val="uk-UA"/>
    </w:rPr>
  </w:style>
  <w:style w:type="paragraph" w:styleId="Rvps6">
    <w:name w:val="rvps6"/>
    <w:basedOn w:val="Normal"/>
    <w:qFormat/>
    <w:pPr>
      <w:spacing w:before="280" w:after="280"/>
    </w:pPr>
    <w:rPr>
      <w:rFonts w:eastAsia="Times New Roman"/>
      <w:sz w:val="24"/>
      <w:szCs w:val="24"/>
      <w:lang w:val="uk-UA"/>
    </w:rPr>
  </w:style>
  <w:style w:type="paragraph" w:styleId="Normal1">
    <w:name w:val="LO-Normal"/>
    <w:basedOn w:val="Normal"/>
    <w:qFormat/>
    <w:pPr/>
    <w:rPr>
      <w:rFonts w:eastAsia="Times New Roman"/>
      <w:sz w:val="24"/>
      <w:szCs w:val="24"/>
      <w:lang w:val="uk-UA"/>
    </w:rPr>
  </w:style>
  <w:style w:type="paragraph" w:styleId="Msolistparagraph">
    <w:name w:val="msolistparagraph"/>
    <w:basedOn w:val="Normal"/>
    <w:qFormat/>
    <w:pPr>
      <w:spacing w:before="0" w:after="0"/>
      <w:ind w:left="720" w:hanging="0"/>
      <w:contextualSpacing/>
    </w:pPr>
    <w:rPr>
      <w:rFonts w:eastAsia="Times New Roman"/>
      <w:sz w:val="24"/>
      <w:szCs w:val="24"/>
      <w:lang w:val="uk-U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yperlink" Target="https://atcddd.fhi.no/atc_ddd_index/?code=L01BB04" TargetMode="External"/><Relationship Id="rId6" Type="http://schemas.openxmlformats.org/officeDocument/2006/relationships/header" Target="header3.xml"/><Relationship Id="rId7" Type="http://schemas.openxmlformats.org/officeDocument/2006/relationships/header" Target="header4.xml"/><Relationship Id="rId8" Type="http://schemas.openxmlformats.org/officeDocument/2006/relationships/header" Target="header5.xml"/><Relationship Id="rId9" Type="http://schemas.openxmlformats.org/officeDocument/2006/relationships/header" Target="header6.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4</TotalTime>
  <Application>LibreOffice/5.3.6.1$Linux_X86_64 LibreOffice_project/30$Build-1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2026-10-07T11:55:00Z</dcterms:created>
  <dc:creator>Valentina</dc:creator>
  <dc:description/>
  <dc:language>ru-RU</dc:language>
  <cp:lastModifiedBy>Кунцевич Олена Іванівна</cp:lastModifiedBy>
  <cp:lastPrinted>2020-07-30T18:32:00Z</cp:lastPrinted>
  <dcterms:modified xsi:type="dcterms:W3CDTF">2026-10-07T11:58:00Z</dcterms:modified>
  <cp:revision>6</cp:revision>
  <dc:subject/>
  <dc:title> </dc:title>
</cp:coreProperties>
</file>