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footer2.xml" ContentType="application/vnd.openxmlformats-officedocument.wordprocessingml.footer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jc w:val="center"/>
        <w:rPr>
          <w:rFonts w:ascii="Arial" w:hAnsi="Arial" w:eastAsia="Times New Roman" w:cs="Arial"/>
          <w:b/>
          <w:b/>
          <w:sz w:val="24"/>
          <w:szCs w:val="24"/>
          <w:lang w:val="uk-UA" w:eastAsia="uk-UA"/>
        </w:rPr>
      </w:pPr>
      <w:r>
        <w:rPr>
          <w:rFonts w:eastAsia="Times New Roman" w:cs="Arial" w:ascii="Arial" w:hAnsi="Arial"/>
          <w:b/>
          <w:sz w:val="24"/>
          <w:szCs w:val="24"/>
          <w:lang w:val="uk-UA" w:eastAsia="uk-UA"/>
        </w:rPr>
        <w:t>ПЕРЕЛІК</w:t>
      </w:r>
    </w:p>
    <w:p>
      <w:pPr>
        <w:pStyle w:val="Normal"/>
        <w:spacing w:lineRule="auto" w:line="240" w:before="0" w:after="0"/>
        <w:jc w:val="center"/>
        <w:rPr>
          <w:rFonts w:ascii="Arial" w:hAnsi="Arial" w:eastAsia="Times New Roman" w:cs="Arial"/>
          <w:b/>
          <w:b/>
          <w:sz w:val="24"/>
          <w:szCs w:val="24"/>
          <w:u w:val="single"/>
          <w:lang w:val="uk-UA" w:eastAsia="uk-UA"/>
        </w:rPr>
      </w:pPr>
      <w:r>
        <w:rPr>
          <w:rFonts w:eastAsia="Times New Roman" w:cs="Arial" w:ascii="Arial" w:hAnsi="Arial"/>
          <w:b/>
          <w:sz w:val="24"/>
          <w:szCs w:val="24"/>
          <w:lang w:val="uk-UA" w:eastAsia="uk-UA"/>
        </w:rPr>
        <w:t xml:space="preserve">ЛІКАРСЬКИХ ЗАСОБІВ ЩОДО ЯКИХ ЗАВЕРШЕНО РОЗГЛЯД РЕЄСТРАЦІЙНИХ МАТЕРІАЛІВ ПРО ВНЕСЕННЯ ЗМІН ДО РЕЄСТРАЦІЙНИХ МАТЕРІАЛІВ ПРОТЯГОМ ДІЇ РЕЄСТРАЦІЙНОГО ПОСВІДЧЕННЯ НА ЛІКАРСЬКІ ЗАСОБИ, </w:t>
      </w:r>
      <w:r>
        <w:rPr>
          <w:rFonts w:eastAsia="Times New Roman" w:cs="Arial" w:ascii="Arial" w:hAnsi="Arial"/>
          <w:b/>
          <w:sz w:val="24"/>
          <w:szCs w:val="24"/>
          <w:u w:val="single"/>
          <w:lang w:val="uk-UA" w:eastAsia="uk-UA"/>
        </w:rPr>
        <w:t>ЯКІ ЗАРЕЄСТРОВАНІ КОМПЕТЕНТНИМИ ОРГАНАМИ</w:t>
      </w:r>
      <w:r>
        <w:rPr>
          <w:rFonts w:eastAsia="Times New Roman" w:cs="Arial" w:ascii="Arial" w:hAnsi="Arial"/>
          <w:b/>
          <w:sz w:val="24"/>
          <w:szCs w:val="24"/>
          <w:lang w:val="uk-UA" w:eastAsia="uk-UA"/>
        </w:rPr>
        <w:t xml:space="preserve"> СПОЛУЧЕНИХ ШТАТІВ АМЕРИКИ, </w:t>
      </w:r>
      <w:r>
        <w:rPr>
          <w:rFonts w:cs="Arial" w:ascii="Arial" w:hAnsi="Arial"/>
          <w:b/>
          <w:sz w:val="24"/>
          <w:szCs w:val="24"/>
          <w:lang w:val="uk-UA" w:eastAsia="ru-RU"/>
        </w:rPr>
        <w:t>ВЕЛИКОЇ БРИТАНІЇ</w:t>
      </w:r>
      <w:r>
        <w:rPr>
          <w:rFonts w:cs="Arial" w:ascii="Arial" w:hAnsi="Arial"/>
          <w:sz w:val="24"/>
          <w:szCs w:val="24"/>
          <w:lang w:val="uk-UA" w:eastAsia="ru-RU"/>
        </w:rPr>
        <w:t xml:space="preserve">, </w:t>
      </w:r>
      <w:r>
        <w:rPr>
          <w:rFonts w:eastAsia="Times New Roman" w:cs="Arial" w:ascii="Arial" w:hAnsi="Arial"/>
          <w:b/>
          <w:sz w:val="24"/>
          <w:szCs w:val="24"/>
          <w:lang w:val="uk-UA"/>
        </w:rPr>
        <w:t>ШВЕЙЦАРСЬКОЇ КОНФЕДЕРАЦІЇ</w:t>
      </w:r>
      <w:r>
        <w:rPr>
          <w:rFonts w:eastAsia="Times New Roman" w:cs="Arial" w:ascii="Arial" w:hAnsi="Arial"/>
          <w:b/>
          <w:sz w:val="24"/>
          <w:szCs w:val="24"/>
          <w:lang w:val="uk-UA" w:eastAsia="uk-UA"/>
        </w:rPr>
        <w:t xml:space="preserve">, ЯПОНІЇ, </w:t>
      </w:r>
      <w:r>
        <w:rPr>
          <w:rFonts w:eastAsia="Times New Roman" w:cs="Arial" w:ascii="Arial" w:hAnsi="Arial"/>
          <w:b/>
          <w:sz w:val="24"/>
          <w:szCs w:val="24"/>
          <w:u w:val="single"/>
          <w:lang w:val="uk-UA" w:eastAsia="uk-UA"/>
        </w:rPr>
        <w:t>АВСТРАЛІЇ</w:t>
      </w:r>
      <w:r>
        <w:rPr>
          <w:rFonts w:eastAsia="Times New Roman" w:cs="Arial" w:ascii="Arial" w:hAnsi="Arial"/>
          <w:b/>
          <w:sz w:val="24"/>
          <w:szCs w:val="24"/>
          <w:lang w:val="uk-UA" w:eastAsia="uk-UA"/>
        </w:rPr>
        <w:t>, КАНАДИ, ЛІКАРСЬКИХ ЗАСОБІВ, ЩО ЗА ЦЕНТРАЛІЗОВАНОЮ ПРОЦЕДУРОЮ ЗАРЕЄСТРОВАНІ КОМПЕТЕНТНИМ ОРГАНОМ ЄВРОПЕЙСЬКОГО СОЮЗУ</w:t>
      </w:r>
    </w:p>
    <w:p>
      <w:pPr>
        <w:pStyle w:val="Normal"/>
        <w:spacing w:lineRule="auto" w:line="240" w:before="0" w:after="0"/>
        <w:jc w:val="center"/>
        <w:rPr>
          <w:rFonts w:ascii="Arial" w:hAnsi="Arial" w:eastAsia="Times New Roman" w:cs="Arial"/>
          <w:b/>
          <w:b/>
          <w:sz w:val="24"/>
          <w:szCs w:val="24"/>
          <w:u w:val="single"/>
          <w:lang w:val="uk-UA" w:eastAsia="uk-UA"/>
        </w:rPr>
      </w:pPr>
      <w:r>
        <w:rPr>
          <w:rFonts w:eastAsia="Times New Roman" w:cs="Arial" w:ascii="Arial" w:hAnsi="Arial"/>
          <w:b/>
          <w:sz w:val="24"/>
          <w:szCs w:val="24"/>
          <w:u w:val="single"/>
          <w:lang w:val="uk-UA" w:eastAsia="uk-UA"/>
        </w:rPr>
      </w:r>
    </w:p>
    <w:tbl>
      <w:tblPr>
        <w:tblW w:w="15745" w:type="dxa"/>
        <w:jc w:val="lef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0" w:type="dxa"/>
          <w:left w:w="103" w:type="dxa"/>
          <w:bottom w:w="0" w:type="dxa"/>
          <w:right w:w="108" w:type="dxa"/>
        </w:tblCellMar>
      </w:tblPr>
      <w:tblGrid>
        <w:gridCol w:w="561"/>
        <w:gridCol w:w="1282"/>
        <w:gridCol w:w="992"/>
        <w:gridCol w:w="993"/>
        <w:gridCol w:w="708"/>
        <w:gridCol w:w="1843"/>
        <w:gridCol w:w="1276"/>
        <w:gridCol w:w="992"/>
        <w:gridCol w:w="1559"/>
        <w:gridCol w:w="1134"/>
        <w:gridCol w:w="1701"/>
        <w:gridCol w:w="1134"/>
        <w:gridCol w:w="1570"/>
      </w:tblGrid>
      <w:tr>
        <w:trPr>
          <w:tblHeader w:val="true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BFBFB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  <w:lang w:val="uk-UA" w:eastAsia="uk-UA"/>
              </w:rPr>
            </w:pPr>
            <w:r>
              <w:rPr>
                <w:rFonts w:eastAsia="Times New Roman" w:cs="Arial" w:ascii="Arial" w:hAnsi="Arial"/>
                <w:b/>
                <w:i/>
                <w:sz w:val="16"/>
                <w:szCs w:val="16"/>
                <w:lang w:val="uk-UA" w:eastAsia="uk-UA"/>
              </w:rPr>
              <w:t>№</w:t>
            </w:r>
            <w:r>
              <w:rPr>
                <w:rFonts w:eastAsia="Arial" w:cs="Arial" w:ascii="Arial" w:hAnsi="Arial"/>
                <w:b/>
                <w:i/>
                <w:sz w:val="16"/>
                <w:szCs w:val="16"/>
                <w:lang w:val="uk-UA" w:eastAsia="uk-UA"/>
              </w:rPr>
              <w:t xml:space="preserve"> </w:t>
            </w:r>
            <w:r>
              <w:rPr>
                <w:rFonts w:eastAsia="Times New Roman" w:cs="Arial" w:ascii="Arial" w:hAnsi="Arial"/>
                <w:b/>
                <w:i/>
                <w:sz w:val="16"/>
                <w:szCs w:val="16"/>
                <w:lang w:val="uk-UA" w:eastAsia="uk-UA"/>
              </w:rPr>
              <w:t>п/п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BFBFB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i/>
                <w:i/>
                <w:sz w:val="16"/>
                <w:szCs w:val="16"/>
                <w:lang w:val="uk-UA" w:eastAsia="uk-UA"/>
              </w:rPr>
            </w:pPr>
            <w:r>
              <w:rPr>
                <w:rFonts w:eastAsia="Times New Roman" w:cs="Arial" w:ascii="Arial" w:hAnsi="Arial"/>
                <w:b/>
                <w:i/>
                <w:sz w:val="16"/>
                <w:szCs w:val="16"/>
                <w:lang w:val="uk-UA" w:eastAsia="uk-UA"/>
              </w:rPr>
              <w:t>Назва лікарського засобу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BFBFB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160"/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Міжнародна непатентована назва*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BFBFB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160"/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Назва діючої речовини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BFBFB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160"/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Код АТХ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BFBFB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i/>
                <w:i/>
                <w:sz w:val="16"/>
                <w:szCs w:val="16"/>
                <w:lang w:val="uk-UA" w:eastAsia="uk-UA"/>
              </w:rPr>
            </w:pPr>
            <w:r>
              <w:rPr>
                <w:rFonts w:eastAsia="Times New Roman" w:cs="Arial" w:ascii="Arial" w:hAnsi="Arial"/>
                <w:b/>
                <w:i/>
                <w:sz w:val="16"/>
                <w:szCs w:val="16"/>
                <w:lang w:val="uk-UA" w:eastAsia="uk-UA"/>
              </w:rPr>
              <w:t>Форма випуску (лікарська форма, упаковка)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BFBFB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i/>
                <w:i/>
                <w:sz w:val="16"/>
                <w:szCs w:val="16"/>
                <w:lang w:val="uk-UA" w:eastAsia="uk-UA"/>
              </w:rPr>
            </w:pPr>
            <w:r>
              <w:rPr>
                <w:rFonts w:eastAsia="Times New Roman" w:cs="Arial" w:ascii="Arial" w:hAnsi="Arial"/>
                <w:b/>
                <w:i/>
                <w:sz w:val="16"/>
                <w:szCs w:val="16"/>
                <w:lang w:val="uk-UA" w:eastAsia="uk-UA"/>
              </w:rPr>
              <w:t>Заявник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BFBFB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i/>
                <w:i/>
                <w:sz w:val="16"/>
                <w:szCs w:val="16"/>
                <w:lang w:val="uk-UA" w:eastAsia="uk-UA"/>
              </w:rPr>
            </w:pPr>
            <w:r>
              <w:rPr>
                <w:rFonts w:eastAsia="Times New Roman" w:cs="Arial" w:ascii="Arial" w:hAnsi="Arial"/>
                <w:b/>
                <w:i/>
                <w:sz w:val="16"/>
                <w:szCs w:val="16"/>
                <w:lang w:val="uk-UA" w:eastAsia="uk-UA"/>
              </w:rPr>
              <w:t>Країна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BFBFB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i/>
                <w:i/>
                <w:sz w:val="16"/>
                <w:szCs w:val="16"/>
                <w:lang w:val="uk-UA" w:eastAsia="uk-UA"/>
              </w:rPr>
            </w:pPr>
            <w:r>
              <w:rPr>
                <w:rFonts w:eastAsia="Times New Roman" w:cs="Arial" w:ascii="Arial" w:hAnsi="Arial"/>
                <w:b/>
                <w:i/>
                <w:sz w:val="16"/>
                <w:szCs w:val="16"/>
                <w:lang w:val="uk-UA" w:eastAsia="uk-UA"/>
              </w:rPr>
              <w:t>Виробник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BFBFB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i/>
                <w:i/>
                <w:sz w:val="16"/>
                <w:szCs w:val="16"/>
                <w:lang w:val="uk-UA" w:eastAsia="uk-UA"/>
              </w:rPr>
            </w:pPr>
            <w:r>
              <w:rPr>
                <w:rFonts w:eastAsia="Times New Roman" w:cs="Arial" w:ascii="Arial" w:hAnsi="Arial"/>
                <w:b/>
                <w:i/>
                <w:sz w:val="16"/>
                <w:szCs w:val="16"/>
                <w:lang w:val="uk-UA" w:eastAsia="uk-UA"/>
              </w:rPr>
              <w:t>Країна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BFBFB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i/>
                <w:i/>
                <w:sz w:val="16"/>
                <w:szCs w:val="16"/>
                <w:lang w:val="uk-UA" w:eastAsia="uk-UA"/>
              </w:rPr>
            </w:pPr>
            <w:r>
              <w:rPr>
                <w:rFonts w:eastAsia="Times New Roman" w:cs="Arial" w:ascii="Arial" w:hAnsi="Arial"/>
                <w:b/>
                <w:i/>
                <w:sz w:val="16"/>
                <w:szCs w:val="16"/>
                <w:lang w:val="uk-UA" w:eastAsia="uk-UA"/>
              </w:rPr>
              <w:t>Реєстраційна процедура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BFBFB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i/>
                <w:i/>
                <w:sz w:val="16"/>
                <w:szCs w:val="16"/>
                <w:lang w:val="uk-UA" w:eastAsia="uk-UA"/>
              </w:rPr>
            </w:pPr>
            <w:r>
              <w:rPr>
                <w:rFonts w:eastAsia="Times New Roman" w:cs="Arial" w:ascii="Arial" w:hAnsi="Arial"/>
                <w:b/>
                <w:i/>
                <w:sz w:val="16"/>
                <w:szCs w:val="16"/>
                <w:lang w:val="uk-UA" w:eastAsia="uk-UA"/>
              </w:rPr>
              <w:t>Умови відпуску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BFBFB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i/>
                <w:i/>
                <w:sz w:val="16"/>
                <w:szCs w:val="16"/>
                <w:lang w:val="uk-UA" w:eastAsia="uk-UA"/>
              </w:rPr>
            </w:pPr>
            <w:r>
              <w:rPr>
                <w:rFonts w:eastAsia="Times New Roman" w:cs="Arial" w:ascii="Arial" w:hAnsi="Arial"/>
                <w:b/>
                <w:i/>
                <w:sz w:val="16"/>
                <w:szCs w:val="16"/>
                <w:lang w:val="uk-UA" w:eastAsia="uk-UA"/>
              </w:rPr>
              <w:t>Номер реєстраційного посвідчення</w:t>
            </w:r>
          </w:p>
        </w:tc>
      </w:tr>
      <w:tr>
        <w:trPr>
          <w:trHeight w:val="433" w:hRule="atLeast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numPr>
                <w:ilvl w:val="0"/>
                <w:numId w:val="1"/>
              </w:numPr>
              <w:tabs>
                <w:tab w:val="left" w:pos="12600" w:leader="none"/>
              </w:tabs>
              <w:snapToGrid w:val="false"/>
              <w:spacing w:lineRule="auto" w:line="240" w:before="0" w:after="0"/>
              <w:contextualSpacing/>
              <w:rPr>
                <w:rFonts w:ascii="Arial" w:hAnsi="Arial" w:eastAsia="Times New Roman" w:cs="Arial"/>
                <w:b/>
                <w:b/>
                <w:i/>
                <w:i/>
                <w:sz w:val="16"/>
                <w:szCs w:val="16"/>
                <w:lang w:val="uk-UA" w:eastAsia="ru-RU"/>
              </w:rPr>
            </w:pPr>
            <w:r>
              <w:rPr>
                <w:rFonts w:eastAsia="Times New Roman" w:cs="Arial" w:ascii="Arial" w:hAnsi="Arial"/>
                <w:b/>
                <w:i/>
                <w:sz w:val="16"/>
                <w:szCs w:val="16"/>
                <w:lang w:val="uk-UA" w:eastAsia="ru-RU"/>
              </w:rPr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0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  <w:lang w:val="uk-UA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БЕСПОНЗА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inotuzumab ozogamicin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інотузумаб озогаміцин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L01XC26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порошок ліофілізований для розчину для інфузій, 0,9 мг; по 0,9 мг у флаконі; по 1 флакону у картонній коробці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Пфайзер Ейч.Сі.Пі. Корпорейшн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США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0"/>
              <w:jc w:val="center"/>
              <w:rPr/>
            </w:pP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виробництво, тестування при випуску серії, тестування при дослідженні стабільності, зберігання:</w:t>
              <w:br/>
              <w:t xml:space="preserve">Ваєт Фармасьютікал Дівіжн оф Ваєт Холдінгс ЛЛС, США; </w:t>
              <w:br/>
              <w:t>тестування на цілісність упаковки (при дослідженні стабільності):</w:t>
              <w:br/>
              <w:t>Вест Сервісес енд Солюшенс ЛЛ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C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, США;</w:t>
              <w:br/>
              <w:br/>
              <w:t>пакування, маркування, зберігання, випуск серій:</w:t>
              <w:br/>
              <w:t>Фармація і Апджон Компані ЛЛС, США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США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0"/>
              <w:jc w:val="center"/>
              <w:rPr/>
            </w:pP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 xml:space="preserve">1) Зміна назви та адреси виробника АФІ 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Pfizer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Ireland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Pharmaceuticals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 xml:space="preserve">, 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Ireland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 xml:space="preserve"> у зв 'язку із отриманням оновленого сертифіката НВП без зміни фактичної локації та виробничих процесів на ділянці:</w:t>
              <w:br/>
              <w:t>Діюча редакція:</w:t>
              <w:br/>
              <w:t>3.2.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S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 xml:space="preserve">.2.1 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Manufacturers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br/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Pfizer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Ireland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Pharmaceuticals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 xml:space="preserve">, </w:t>
              <w:br/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Grange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Castle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Business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Park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 xml:space="preserve">, 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Clondalkin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 xml:space="preserve">, 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Dublin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 xml:space="preserve"> 22, 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Ireland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br/>
              <w:t>Пропонована редакція:</w:t>
              <w:br/>
              <w:t>3.2.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S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 xml:space="preserve">.2.1 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Manufcaturers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br/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Pfizer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Ireland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Pharmaceuticals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Unlimited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Company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,</w:t>
              <w:br/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Grange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Castle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Business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Park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 xml:space="preserve">, 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Nangor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Road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 xml:space="preserve">, 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Dublin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 xml:space="preserve"> 22, 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D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 xml:space="preserve">22 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V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8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F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 xml:space="preserve">8, 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Ireland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br/>
              <w:t xml:space="preserve">2) Зміна назви виробника готового лікарського засобу, що відповідає за тестування на цілісність упаковки (при дослідженні стабільності) 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West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Pharmaceutical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Services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 xml:space="preserve">, 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Inc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 xml:space="preserve">., 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USA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 xml:space="preserve"> без зміни виробничих процесів на ділянці:</w:t>
              <w:br/>
              <w:t>3) Зміна вноситься з метою заміни наявних тестів «Ідентифікація натрію» та «Ідентифікація селеніту» для сировини натрій селеніт, що використовується у виробництві інотузумабу (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mAh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 xml:space="preserve">), на єдиний текст «Ідентифікація», який виконуватиметься з використанням раманівського спектрометра 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TruScan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.</w:t>
              <w:br/>
              <w:t xml:space="preserve">4) Зміни у приміщеннях та обладнанні для 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Wyeth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BioPharma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Division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of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Wyeth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Pharmaceuticals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LLC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 xml:space="preserve">, виробничого майданчика 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Andover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 xml:space="preserve">, який є затвердженим місцем виробництва проміжної речовини активної субстанції інотузумаб (мАб): класифікацію приміщення В2309, яке раніше було віднесено до зони 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ISO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 xml:space="preserve"> 8/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CNC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 xml:space="preserve"> (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Controlled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 xml:space="preserve">, 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Not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Classified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 xml:space="preserve">), підвищено до 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ISO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 xml:space="preserve"> 7/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ISO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 xml:space="preserve"> 8 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may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 xml:space="preserve"> приміщеннях та обладнанні для 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Wyeth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Pharmaceutical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Division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of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Wyeth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Holdings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LLC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 xml:space="preserve">, виробничого майданчика 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Pearl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River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, який є затвердженим місцем виробництва готового лікарського засобу: виробничі зони будівлі 250 були модифіковані для розміщення нового обладнання.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UA/19782/01/01</w:t>
            </w:r>
          </w:p>
        </w:tc>
      </w:tr>
      <w:tr>
        <w:trPr>
          <w:trHeight w:val="433" w:hRule="atLeast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numPr>
                <w:ilvl w:val="0"/>
                <w:numId w:val="1"/>
              </w:numPr>
              <w:tabs>
                <w:tab w:val="left" w:pos="12600" w:leader="none"/>
              </w:tabs>
              <w:snapToGrid w:val="false"/>
              <w:spacing w:lineRule="auto" w:line="240" w:before="0" w:after="0"/>
              <w:contextualSpacing/>
              <w:rPr>
                <w:rFonts w:ascii="Arial" w:hAnsi="Arial" w:eastAsia="Times New Roman" w:cs="Arial"/>
                <w:b/>
                <w:b/>
                <w:sz w:val="16"/>
                <w:szCs w:val="16"/>
                <w:lang w:val="uk-UA"/>
              </w:rPr>
            </w:pPr>
            <w:r>
              <w:rPr>
                <w:rFonts w:eastAsia="Times New Roman" w:cs="Arial" w:ascii="Arial" w:hAnsi="Arial"/>
                <w:b/>
                <w:sz w:val="16"/>
                <w:szCs w:val="16"/>
                <w:lang w:val="uk-UA"/>
              </w:rPr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0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  <w:lang w:val="uk-UA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НУРОФЄН® КОЛД&amp; ФЛЮ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shd w:fill="F8F8F8" w:val="clear"/>
              </w:rPr>
              <w:t>Ibuprofen, combinations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ібупрофен, фенілефрину гідрохлорид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M01AE51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таблетки, вкриті плівковою оболонкою, по 200 мг/5 мг; по 6, 12 таблеток в блістері; по 1 або 2 блістери в картонній коробці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Реккітт Бенкізер Хелскер Інтернешнл Лімітед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Велика Британiя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Реккітт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Бенкізер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Хелскер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Інтернешнл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Лімітед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Велика Британія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0"/>
              <w:jc w:val="center"/>
              <w:rPr/>
            </w:pP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Зміна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імпортера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/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зміни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,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що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стосуються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випуск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серії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та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контролю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якості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готового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лікарського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засобу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  <w:br/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в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)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заміна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або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додавання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виробника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,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що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відповідає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за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ввезення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та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/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або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випуск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серії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br/>
              <w:t xml:space="preserve">1.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 xml:space="preserve">Не включаючи контроль/випробування серії </w:t>
              <w:br/>
              <w:t>тип ІАнп</w:t>
              <w:br/>
              <w:t xml:space="preserve">- Додавання інформації щодо імпортера, відповідального за імпорт готового лікарського засобу на територію 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України.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UA/17937/01/01</w:t>
            </w:r>
          </w:p>
        </w:tc>
      </w:tr>
    </w:tbl>
    <w:p>
      <w:pPr>
        <w:pStyle w:val="Normal"/>
        <w:spacing w:lineRule="auto" w:line="240" w:before="0" w:after="0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sectPr>
      <w:footerReference w:type="default" r:id="rId2"/>
      <w:footerReference w:type="first" r:id="rId3"/>
      <w:type w:val="nextPage"/>
      <w:pgSz w:orient="landscape" w:w="16838" w:h="11906"/>
      <w:pgMar w:left="851" w:right="851" w:header="0" w:top="1134" w:footer="709" w:bottom="851" w:gutter="0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cc"/>
    <w:family w:val="swiss"/>
    <w:pitch w:val="variable"/>
  </w:font>
  <w:font w:name="Segoe UI">
    <w:charset w:val="cc"/>
    <w:family w:val="swiss"/>
    <w:pitch w:val="variable"/>
  </w:font>
  <w:font w:name="Liberation Sans">
    <w:altName w:val="Arial"/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Footer"/>
      <w:jc w:val="center"/>
      <w:rPr/>
    </w:pPr>
    <w:r>
      <w:rPr/>
      <w:fldChar w:fldCharType="begin"/>
    </w:r>
    <w:r>
      <w:instrText> PAGE </w:instrText>
    </w:r>
    <w:r>
      <w:fldChar w:fldCharType="separate"/>
    </w:r>
    <w:r>
      <w:t>4</w:t>
    </w:r>
    <w:r>
      <w:fldChar w:fldCharType="end"/>
    </w:r>
  </w:p>
  <w:p>
    <w:pPr>
      <w:pStyle w:val="Footer"/>
      <w:tabs>
        <w:tab w:val="center" w:pos="4844" w:leader="none"/>
        <w:tab w:val="right" w:pos="9689" w:leader="none"/>
      </w:tabs>
      <w:spacing w:before="0" w:after="160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Footer"/>
      <w:tabs>
        <w:tab w:val="center" w:pos="4844" w:leader="none"/>
        <w:tab w:val="right" w:pos="9689" w:leader="none"/>
      </w:tabs>
      <w:spacing w:before="0" w:after="160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360" w:hanging="36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30"/>
  <w:defaultTabStop w:val="720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DejaVu Sans"/>
        <w:sz w:val="24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bidi w:val="0"/>
      <w:spacing w:lineRule="auto" w:line="256" w:before="0" w:after="160"/>
    </w:pPr>
    <w:rPr>
      <w:rFonts w:ascii="Calibri" w:hAnsi="Calibri" w:eastAsia="Calibri" w:cs="Times New Roman"/>
      <w:color w:val="auto"/>
      <w:sz w:val="22"/>
      <w:szCs w:val="22"/>
      <w:lang w:val="en-US" w:bidi="ar-SA" w:eastAsia="zh-CN"/>
    </w:rPr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8Num3z0">
    <w:name w:val="WW8Num3z0"/>
    <w:qFormat/>
    <w:rPr>
      <w:rFonts w:cs="Times New Roman"/>
    </w:rPr>
  </w:style>
  <w:style w:type="character" w:styleId="Style14">
    <w:name w:val="Шрифт абзацу за промовчанням"/>
    <w:qFormat/>
    <w:rPr/>
  </w:style>
  <w:style w:type="character" w:styleId="Style15">
    <w:name w:val="Текст у виносці Знак"/>
    <w:qFormat/>
    <w:rPr>
      <w:rFonts w:ascii="Segoe UI" w:hAnsi="Segoe UI" w:cs="Segoe UI"/>
      <w:sz w:val="18"/>
      <w:szCs w:val="18"/>
    </w:rPr>
  </w:style>
  <w:style w:type="character" w:styleId="InternetLink">
    <w:name w:val="Internet Link"/>
    <w:rPr>
      <w:color w:val="0000FF"/>
      <w:u w:val="single"/>
    </w:rPr>
  </w:style>
  <w:style w:type="character" w:styleId="Style16">
    <w:name w:val="Верхній колонтитул Знак"/>
    <w:qFormat/>
    <w:rPr>
      <w:sz w:val="22"/>
      <w:szCs w:val="22"/>
    </w:rPr>
  </w:style>
  <w:style w:type="character" w:styleId="Style17">
    <w:name w:val="Нижній колонтитул Знак"/>
    <w:qFormat/>
    <w:rPr>
      <w:sz w:val="22"/>
      <w:szCs w:val="22"/>
    </w:rPr>
  </w:style>
  <w:style w:type="character" w:styleId="2">
    <w:name w:val="Основной текст (2)_"/>
    <w:qFormat/>
    <w:rPr>
      <w:sz w:val="22"/>
      <w:szCs w:val="22"/>
      <w:shd w:fill="FFFFFF" w:val="clear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TextBody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Style18">
    <w:name w:val="Звичайний"/>
    <w:qFormat/>
    <w:pPr>
      <w:widowControl/>
    </w:pPr>
    <w:rPr>
      <w:rFonts w:ascii="Times New Roman" w:hAnsi="Times New Roman" w:eastAsia="Times New Roman" w:cs="Times New Roman"/>
      <w:color w:val="auto"/>
      <w:sz w:val="24"/>
      <w:szCs w:val="24"/>
      <w:lang w:val="en-US" w:bidi="ar-SA" w:eastAsia="zh-CN"/>
    </w:rPr>
  </w:style>
  <w:style w:type="paragraph" w:styleId="Style19">
    <w:name w:val="Текст у виносці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pPr>
      <w:tabs>
        <w:tab w:val="center" w:pos="4844" w:leader="none"/>
        <w:tab w:val="right" w:pos="9689" w:leader="none"/>
      </w:tabs>
    </w:pPr>
    <w:rPr/>
  </w:style>
  <w:style w:type="paragraph" w:styleId="Footer">
    <w:name w:val="Footer"/>
    <w:basedOn w:val="Normal"/>
    <w:pPr>
      <w:tabs>
        <w:tab w:val="center" w:pos="4844" w:leader="none"/>
        <w:tab w:val="right" w:pos="9689" w:leader="none"/>
      </w:tabs>
    </w:pPr>
    <w:rPr/>
  </w:style>
  <w:style w:type="paragraph" w:styleId="21">
    <w:name w:val="Основной текст (2)1"/>
    <w:basedOn w:val="Normal"/>
    <w:qFormat/>
    <w:pPr>
      <w:widowControl w:val="false"/>
      <w:shd w:fill="FFFFFF" w:val="clear"/>
      <w:spacing w:lineRule="exact" w:line="250" w:before="0" w:after="480"/>
      <w:ind w:hanging="600"/>
      <w:jc w:val="both"/>
    </w:pPr>
    <w:rPr/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Application>LibreOffice/5.3.6.1$Linux_X86_64 LibreOffice_project/30$Build-1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2026-07-27T10:52:00Z</dcterms:created>
  <dc:creator>RePack by Diakov</dc:creator>
  <dc:description/>
  <dc:language>ru-RU</dc:language>
  <cp:lastModifiedBy>Чоларія Ольга Володимирівна</cp:lastModifiedBy>
  <cp:lastPrinted>2022-04-14T11:34:00Z</cp:lastPrinted>
  <dcterms:modified xsi:type="dcterms:W3CDTF">2026-07-27T10:54:00Z</dcterms:modified>
  <cp:revision>3</cp:revision>
  <dc:subject/>
  <dc:title/>
</cp:coreProperties>
</file>