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footer2.xml" ContentType="application/vnd.openxmlformats-officedocument.wordprocessingml.footer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240" w:before="0" w:after="0"/>
        <w:jc w:val="center"/>
        <w:rPr>
          <w:rFonts w:ascii="Arial" w:hAnsi="Arial" w:eastAsia="Times New Roman" w:cs="Arial"/>
          <w:b/>
          <w:b/>
          <w:sz w:val="24"/>
          <w:szCs w:val="24"/>
          <w:lang w:val="uk-UA" w:eastAsia="uk-UA"/>
        </w:rPr>
      </w:pPr>
      <w:r>
        <w:rPr>
          <w:rFonts w:eastAsia="Times New Roman" w:cs="Arial" w:ascii="Arial" w:hAnsi="Arial"/>
          <w:b/>
          <w:sz w:val="24"/>
          <w:szCs w:val="24"/>
          <w:lang w:val="uk-UA" w:eastAsia="uk-UA"/>
        </w:rPr>
        <w:t>ПЕРЕЛІК</w:t>
      </w:r>
    </w:p>
    <w:p>
      <w:pPr>
        <w:pStyle w:val="Normal"/>
        <w:spacing w:lineRule="auto" w:line="240" w:before="0" w:after="0"/>
        <w:jc w:val="center"/>
        <w:rPr/>
      </w:pPr>
      <w:r>
        <w:rPr>
          <w:rFonts w:eastAsia="Times New Roman" w:cs="Arial" w:ascii="Arial" w:hAnsi="Arial"/>
          <w:b/>
          <w:sz w:val="24"/>
          <w:szCs w:val="24"/>
          <w:lang w:val="uk-UA" w:eastAsia="uk-UA"/>
        </w:rPr>
        <w:t xml:space="preserve">ЛІКАРСЬКИХ ЗАСОБІВ ЩОДО ЯКИХ ЗАВЕРШЕНО РОЗГЛЯД РЕЄСТРАЦІЙНИХ МАТЕРІАЛІВ ПРО ВНЕСЕННЯ ЗМІН ДО РЕЄСТРАЦІЙНИХ МАТЕРІАЛІВ ПРОТЯГОМ ДІЇ РЕЄСТРАЦІЙНОГО ПОСВІДЧЕННЯ НА ЛІКАРСЬКІ ЗАСОБИ, </w:t>
      </w:r>
      <w:r>
        <w:rPr>
          <w:rFonts w:eastAsia="Times New Roman" w:cs="Arial" w:ascii="Arial" w:hAnsi="Arial"/>
          <w:b/>
          <w:sz w:val="24"/>
          <w:szCs w:val="24"/>
          <w:u w:val="single"/>
          <w:lang w:val="uk-UA" w:eastAsia="uk-UA"/>
        </w:rPr>
        <w:t>ЯКІ ЗАРЕЄСТРОВАНІ</w:t>
      </w:r>
      <w:r>
        <w:rPr>
          <w:rFonts w:eastAsia="Times New Roman" w:cs="Arial" w:ascii="Arial" w:hAnsi="Arial"/>
          <w:b/>
          <w:sz w:val="24"/>
          <w:szCs w:val="24"/>
          <w:lang w:val="uk-UA" w:eastAsia="uk-UA"/>
        </w:rPr>
        <w:t xml:space="preserve"> </w:t>
      </w:r>
      <w:r>
        <w:rPr>
          <w:rFonts w:eastAsia="Times New Roman" w:cs="Arial" w:ascii="Arial" w:hAnsi="Arial"/>
          <w:b/>
          <w:sz w:val="24"/>
          <w:szCs w:val="24"/>
          <w:u w:val="single"/>
          <w:lang w:val="uk-UA" w:eastAsia="uk-UA"/>
        </w:rPr>
        <w:t xml:space="preserve">КОМПЕТЕНТНИМИ ОРГАНАМИ </w:t>
      </w:r>
      <w:r>
        <w:rPr>
          <w:rFonts w:eastAsia="Times New Roman" w:cs="Arial" w:ascii="Arial" w:hAnsi="Arial"/>
          <w:b/>
          <w:sz w:val="24"/>
          <w:szCs w:val="24"/>
          <w:lang w:val="uk-UA" w:eastAsia="uk-UA"/>
        </w:rPr>
        <w:t xml:space="preserve">СПОЛУЧЕНИХ ШТАТІВ АМЕРИКИ, </w:t>
      </w:r>
      <w:r>
        <w:rPr>
          <w:rFonts w:cs="Arial" w:ascii="Arial" w:hAnsi="Arial"/>
          <w:b/>
          <w:sz w:val="24"/>
          <w:szCs w:val="24"/>
          <w:lang w:val="uk-UA" w:eastAsia="ru-RU"/>
        </w:rPr>
        <w:t>ВЕЛИКОЇ БРИТАНІЇ</w:t>
      </w:r>
      <w:r>
        <w:rPr>
          <w:rFonts w:cs="Arial" w:ascii="Arial" w:hAnsi="Arial"/>
          <w:sz w:val="24"/>
          <w:szCs w:val="24"/>
          <w:lang w:val="uk-UA" w:eastAsia="ru-RU"/>
        </w:rPr>
        <w:t xml:space="preserve">, </w:t>
      </w:r>
      <w:r>
        <w:rPr>
          <w:rFonts w:eastAsia="Times New Roman" w:cs="Arial" w:ascii="Arial" w:hAnsi="Arial"/>
          <w:b/>
          <w:sz w:val="24"/>
          <w:szCs w:val="24"/>
          <w:lang w:val="uk-UA"/>
        </w:rPr>
        <w:t>ШВЕЙЦАРСЬКОЇ КОНФЕДЕРАЦІЇ</w:t>
      </w:r>
      <w:r>
        <w:rPr>
          <w:rFonts w:eastAsia="Times New Roman" w:cs="Arial" w:ascii="Arial" w:hAnsi="Arial"/>
          <w:b/>
          <w:sz w:val="24"/>
          <w:szCs w:val="24"/>
          <w:lang w:val="uk-UA" w:eastAsia="uk-UA"/>
        </w:rPr>
        <w:t xml:space="preserve">, ЯПОНІЇ, АВСТРАЛІЇ, КАНАДИ, ЛІКАРСЬКИХ ЗАСОБІВ, ЩО ЗА ЦЕНТРАЛІЗОВАНОЮ ПРОЦЕДУРОЮ ЗАРЕЄСТРОВАНІ КОМПЕТЕНТНИМ ОРГАНОМ </w:t>
      </w:r>
      <w:r>
        <w:rPr>
          <w:rFonts w:eastAsia="Times New Roman" w:cs="Arial" w:ascii="Arial" w:hAnsi="Arial"/>
          <w:b/>
          <w:sz w:val="24"/>
          <w:szCs w:val="24"/>
          <w:u w:val="single"/>
          <w:lang w:val="uk-UA" w:eastAsia="uk-UA"/>
        </w:rPr>
        <w:t>ЄВРОПЕЙСЬКОГО СОЮЗУ</w:t>
      </w:r>
    </w:p>
    <w:p>
      <w:pPr>
        <w:pStyle w:val="Normal"/>
        <w:spacing w:lineRule="auto" w:line="240" w:before="0" w:after="0"/>
        <w:jc w:val="center"/>
        <w:rPr>
          <w:rFonts w:ascii="Arial" w:hAnsi="Arial" w:eastAsia="Times New Roman" w:cs="Arial"/>
          <w:b/>
          <w:b/>
          <w:sz w:val="24"/>
          <w:szCs w:val="24"/>
          <w:u w:val="single"/>
          <w:lang w:val="uk-UA" w:eastAsia="uk-UA"/>
        </w:rPr>
      </w:pPr>
      <w:r>
        <w:rPr>
          <w:rFonts w:eastAsia="Times New Roman" w:cs="Arial" w:ascii="Arial" w:hAnsi="Arial"/>
          <w:b/>
          <w:sz w:val="24"/>
          <w:szCs w:val="24"/>
          <w:u w:val="single"/>
          <w:lang w:val="uk-UA" w:eastAsia="uk-UA"/>
        </w:rPr>
      </w:r>
    </w:p>
    <w:tbl>
      <w:tblPr>
        <w:tblW w:w="15745" w:type="dxa"/>
        <w:jc w:val="left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CellMar>
          <w:top w:w="0" w:type="dxa"/>
          <w:left w:w="103" w:type="dxa"/>
          <w:bottom w:w="0" w:type="dxa"/>
          <w:right w:w="108" w:type="dxa"/>
        </w:tblCellMar>
      </w:tblPr>
      <w:tblGrid>
        <w:gridCol w:w="561"/>
        <w:gridCol w:w="1282"/>
        <w:gridCol w:w="992"/>
        <w:gridCol w:w="993"/>
        <w:gridCol w:w="708"/>
        <w:gridCol w:w="1843"/>
        <w:gridCol w:w="1276"/>
        <w:gridCol w:w="1134"/>
        <w:gridCol w:w="1417"/>
        <w:gridCol w:w="1134"/>
        <w:gridCol w:w="1701"/>
        <w:gridCol w:w="1134"/>
        <w:gridCol w:w="1570"/>
      </w:tblGrid>
      <w:tr>
        <w:trPr>
          <w:tblHeader w:val="true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BFBFB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pacing w:lineRule="auto" w:line="240" w:before="0" w:after="0"/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  <w:lang w:val="uk-UA" w:eastAsia="uk-UA"/>
              </w:rPr>
            </w:pPr>
            <w:r>
              <w:rPr>
                <w:rFonts w:eastAsia="Times New Roman" w:cs="Arial" w:ascii="Arial" w:hAnsi="Arial"/>
                <w:b/>
                <w:i/>
                <w:sz w:val="16"/>
                <w:szCs w:val="16"/>
                <w:lang w:val="uk-UA" w:eastAsia="uk-UA"/>
              </w:rPr>
              <w:t>№</w:t>
            </w:r>
            <w:r>
              <w:rPr>
                <w:rFonts w:eastAsia="Arial" w:cs="Arial" w:ascii="Arial" w:hAnsi="Arial"/>
                <w:b/>
                <w:i/>
                <w:sz w:val="16"/>
                <w:szCs w:val="16"/>
                <w:lang w:val="uk-UA" w:eastAsia="uk-UA"/>
              </w:rPr>
              <w:t xml:space="preserve"> </w:t>
            </w:r>
            <w:r>
              <w:rPr>
                <w:rFonts w:eastAsia="Times New Roman" w:cs="Arial" w:ascii="Arial" w:hAnsi="Arial"/>
                <w:b/>
                <w:i/>
                <w:sz w:val="16"/>
                <w:szCs w:val="16"/>
                <w:lang w:val="uk-UA" w:eastAsia="uk-UA"/>
              </w:rPr>
              <w:t>п/п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BFBFB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  <w:i/>
                <w:i/>
                <w:sz w:val="16"/>
                <w:szCs w:val="16"/>
                <w:lang w:val="uk-UA" w:eastAsia="uk-UA"/>
              </w:rPr>
            </w:pPr>
            <w:r>
              <w:rPr>
                <w:rFonts w:eastAsia="Times New Roman" w:cs="Arial" w:ascii="Arial" w:hAnsi="Arial"/>
                <w:b/>
                <w:i/>
                <w:sz w:val="16"/>
                <w:szCs w:val="16"/>
                <w:lang w:val="uk-UA" w:eastAsia="uk-UA"/>
              </w:rPr>
              <w:t>Назва лікарського засобу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BFBFB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pacing w:lineRule="auto" w:line="240" w:before="0" w:after="160"/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  <w:t>Міжнародна непатентована назва*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BFBFB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pacing w:lineRule="auto" w:line="240" w:before="0" w:after="160"/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  <w:t>Назва діючої речовини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BFBFB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pacing w:lineRule="auto" w:line="240" w:before="0" w:after="160"/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  <w:t>Код АТХ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BFBFB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  <w:i/>
                <w:i/>
                <w:sz w:val="16"/>
                <w:szCs w:val="16"/>
                <w:lang w:val="uk-UA" w:eastAsia="uk-UA"/>
              </w:rPr>
            </w:pPr>
            <w:r>
              <w:rPr>
                <w:rFonts w:eastAsia="Times New Roman" w:cs="Arial" w:ascii="Arial" w:hAnsi="Arial"/>
                <w:b/>
                <w:i/>
                <w:sz w:val="16"/>
                <w:szCs w:val="16"/>
                <w:lang w:val="uk-UA" w:eastAsia="uk-UA"/>
              </w:rPr>
              <w:t>Форма випуску (лікарська форма, упаковка)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BFBFB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  <w:i/>
                <w:i/>
                <w:sz w:val="16"/>
                <w:szCs w:val="16"/>
                <w:lang w:val="uk-UA" w:eastAsia="uk-UA"/>
              </w:rPr>
            </w:pPr>
            <w:r>
              <w:rPr>
                <w:rFonts w:eastAsia="Times New Roman" w:cs="Arial" w:ascii="Arial" w:hAnsi="Arial"/>
                <w:b/>
                <w:i/>
                <w:sz w:val="16"/>
                <w:szCs w:val="16"/>
                <w:lang w:val="uk-UA" w:eastAsia="uk-UA"/>
              </w:rPr>
              <w:t>Заявник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BFBFB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  <w:i/>
                <w:i/>
                <w:sz w:val="16"/>
                <w:szCs w:val="16"/>
                <w:lang w:val="uk-UA" w:eastAsia="uk-UA"/>
              </w:rPr>
            </w:pPr>
            <w:r>
              <w:rPr>
                <w:rFonts w:eastAsia="Times New Roman" w:cs="Arial" w:ascii="Arial" w:hAnsi="Arial"/>
                <w:b/>
                <w:i/>
                <w:sz w:val="16"/>
                <w:szCs w:val="16"/>
                <w:lang w:val="uk-UA" w:eastAsia="uk-UA"/>
              </w:rPr>
              <w:t>Країна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BFBFB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  <w:i/>
                <w:i/>
                <w:sz w:val="16"/>
                <w:szCs w:val="16"/>
                <w:lang w:val="uk-UA" w:eastAsia="uk-UA"/>
              </w:rPr>
            </w:pPr>
            <w:r>
              <w:rPr>
                <w:rFonts w:eastAsia="Times New Roman" w:cs="Arial" w:ascii="Arial" w:hAnsi="Arial"/>
                <w:b/>
                <w:i/>
                <w:sz w:val="16"/>
                <w:szCs w:val="16"/>
                <w:lang w:val="uk-UA" w:eastAsia="uk-UA"/>
              </w:rPr>
              <w:t>Виробник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BFBFB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  <w:i/>
                <w:i/>
                <w:sz w:val="16"/>
                <w:szCs w:val="16"/>
                <w:lang w:val="uk-UA" w:eastAsia="uk-UA"/>
              </w:rPr>
            </w:pPr>
            <w:r>
              <w:rPr>
                <w:rFonts w:eastAsia="Times New Roman" w:cs="Arial" w:ascii="Arial" w:hAnsi="Arial"/>
                <w:b/>
                <w:i/>
                <w:sz w:val="16"/>
                <w:szCs w:val="16"/>
                <w:lang w:val="uk-UA" w:eastAsia="uk-UA"/>
              </w:rPr>
              <w:t>Країна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BFBFB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  <w:i/>
                <w:i/>
                <w:sz w:val="16"/>
                <w:szCs w:val="16"/>
                <w:lang w:val="uk-UA" w:eastAsia="uk-UA"/>
              </w:rPr>
            </w:pPr>
            <w:r>
              <w:rPr>
                <w:rFonts w:eastAsia="Times New Roman" w:cs="Arial" w:ascii="Arial" w:hAnsi="Arial"/>
                <w:b/>
                <w:i/>
                <w:sz w:val="16"/>
                <w:szCs w:val="16"/>
                <w:lang w:val="uk-UA" w:eastAsia="uk-UA"/>
              </w:rPr>
              <w:t>Реєстраційна процедура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BFBFB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  <w:i/>
                <w:i/>
                <w:sz w:val="16"/>
                <w:szCs w:val="16"/>
                <w:lang w:val="uk-UA" w:eastAsia="uk-UA"/>
              </w:rPr>
            </w:pPr>
            <w:r>
              <w:rPr>
                <w:rFonts w:eastAsia="Times New Roman" w:cs="Arial" w:ascii="Arial" w:hAnsi="Arial"/>
                <w:b/>
                <w:i/>
                <w:sz w:val="16"/>
                <w:szCs w:val="16"/>
                <w:lang w:val="uk-UA" w:eastAsia="uk-UA"/>
              </w:rPr>
              <w:t>Умови відпуску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BFBFB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  <w:i/>
                <w:i/>
                <w:sz w:val="16"/>
                <w:szCs w:val="16"/>
                <w:lang w:val="uk-UA" w:eastAsia="uk-UA"/>
              </w:rPr>
            </w:pPr>
            <w:r>
              <w:rPr>
                <w:rFonts w:eastAsia="Times New Roman" w:cs="Arial" w:ascii="Arial" w:hAnsi="Arial"/>
                <w:b/>
                <w:i/>
                <w:sz w:val="16"/>
                <w:szCs w:val="16"/>
                <w:lang w:val="uk-UA" w:eastAsia="uk-UA"/>
              </w:rPr>
              <w:t>Номер реєстраційного посвідчення</w:t>
            </w:r>
          </w:p>
        </w:tc>
      </w:tr>
      <w:tr>
        <w:trPr>
          <w:trHeight w:val="433" w:hRule="atLeast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numPr>
                <w:ilvl w:val="0"/>
                <w:numId w:val="1"/>
              </w:numPr>
              <w:tabs>
                <w:tab w:val="left" w:pos="12600" w:leader="none"/>
              </w:tabs>
              <w:snapToGrid w:val="false"/>
              <w:spacing w:lineRule="auto" w:line="240" w:before="0" w:after="0"/>
              <w:contextualSpacing/>
              <w:rPr>
                <w:rFonts w:ascii="Arial" w:hAnsi="Arial" w:eastAsia="Times New Roman" w:cs="Arial"/>
                <w:b/>
                <w:b/>
                <w:i/>
                <w:i/>
                <w:sz w:val="16"/>
                <w:szCs w:val="16"/>
                <w:lang w:val="uk-UA" w:eastAsia="ru-RU"/>
              </w:rPr>
            </w:pPr>
            <w:r>
              <w:rPr>
                <w:rFonts w:eastAsia="Times New Roman" w:cs="Arial" w:ascii="Arial" w:hAnsi="Arial"/>
                <w:b/>
                <w:i/>
                <w:sz w:val="16"/>
                <w:szCs w:val="16"/>
                <w:lang w:val="uk-UA" w:eastAsia="ru-RU"/>
              </w:rPr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Style18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 xml:space="preserve">ТРЕКОНДІ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tcMar>
              <w:left w:w="103" w:type="dxa"/>
            </w:tcMar>
          </w:tcPr>
          <w:p>
            <w:pPr>
              <w:pStyle w:val="Style18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treosulfan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Style18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треосульфан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Style18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  <w:shd w:fill="F8F8F8" w:val="clear"/>
              </w:rPr>
              <w:t>L01AB02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Style18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порошок для розчину для інфузій, по 1 г; 1 або 5 флаконів з порошком в картонній коробці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Style18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Медак Гезельшафт фюр клініше Шпеціальпрепарате мбХ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Style18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Німеччина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Style18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маркування та вторинне пакування, випробування/контроль якості, випуск серії: Медак Гезельшафт фюр клініше Шпеціальпрепарате м.б.Х, Німеччина; виробництво лікарського засобу, первинне пакування, випробування/контроль якості: Онкотек Фарма Продакшн ГмбХ, Німеччина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Style18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Німеччина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Style18"/>
              <w:tabs>
                <w:tab w:val="left" w:pos="12600" w:leader="none"/>
              </w:tabs>
              <w:jc w:val="center"/>
              <w:rPr/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Зміни І типу - Зміни щодо безпеки/ефективності та фармаконагляду. Введення або зміни до узагальнених даних про систему фармаконагляду (введення узагальнених даних про систему фармаконагляду, зміна уповноваженої особи, відповідальної за здійснення фармаконагляду; контактної особи з фармаконагляду заявника для здійснення фармаконагляду в Україні, якщо вона відмінна від уповноваженої особи, відповідальної за здійснення фармаконагляду (включаючи контактні дані) та/або зміни у розміщенні мастер-файла системи фармаконагляду) (згідно наказу МОЗ від 17.11.2016 № 1245). 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Зміна контактної особи заявника, відповідальної за фармаконагляд в Україні. Діюча редакція: Агапов Владислав Олегович. Пропонована редакція: Дорошенко Анна Ігорівна. Зміна контактних даних контактної особи заявника, відповідальної за фармаконагляд в Україні.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Style18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</w:tcPr>
          <w:p>
            <w:pPr>
              <w:pStyle w:val="Style18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UA/19579/01/01</w:t>
            </w:r>
          </w:p>
        </w:tc>
      </w:tr>
      <w:tr>
        <w:trPr>
          <w:trHeight w:val="433" w:hRule="atLeast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numPr>
                <w:ilvl w:val="0"/>
                <w:numId w:val="1"/>
              </w:numPr>
              <w:tabs>
                <w:tab w:val="left" w:pos="12600" w:leader="none"/>
              </w:tabs>
              <w:snapToGrid w:val="false"/>
              <w:spacing w:lineRule="auto" w:line="240" w:before="0" w:after="0"/>
              <w:contextualSpacing/>
              <w:rPr>
                <w:rFonts w:ascii="Arial" w:hAnsi="Arial" w:eastAsia="Times New Roman" w:cs="Arial"/>
                <w:b/>
                <w:b/>
                <w:sz w:val="16"/>
                <w:szCs w:val="16"/>
                <w:lang w:val="uk-UA"/>
              </w:rPr>
            </w:pPr>
            <w:r>
              <w:rPr>
                <w:rFonts w:eastAsia="Times New Roman" w:cs="Arial" w:ascii="Arial" w:hAnsi="Arial"/>
                <w:b/>
                <w:sz w:val="16"/>
                <w:szCs w:val="16"/>
                <w:lang w:val="uk-UA"/>
              </w:rPr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Style18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 xml:space="preserve">ТРЕКОНДІ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tcMar>
              <w:left w:w="103" w:type="dxa"/>
            </w:tcMar>
          </w:tcPr>
          <w:p>
            <w:pPr>
              <w:pStyle w:val="Style18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treosulfan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Style18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треосульфан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Style18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  <w:shd w:fill="F8F8F8" w:val="clear"/>
              </w:rPr>
              <w:t>L01AB02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Style18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порошок для розчину для інфузій, по 5 г; 1 або 5 флаконів з порошком в картонній коробці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Style18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Медак Гезельшафт фюр клініше Шпеціальпрепарате мбХ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Style18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Німеччина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Style18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маркування та вторинне пакування, випробування/контроль якості, випуск серії: Медак Гезельшафт фюр клініше Шпеціальпрепарате м.б.Х, Німеччина; виробництво лікарського засобу, первинне пакування, випробування/контроль якості: Онкотек Фарма Продакшн ГмбХ, Німеччина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Style18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Німеччина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Style18"/>
              <w:tabs>
                <w:tab w:val="left" w:pos="12600" w:leader="none"/>
              </w:tabs>
              <w:jc w:val="center"/>
              <w:rPr/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Зміни І типу - Зміни щодо безпеки/ефективності та фармаконагляду. Введення або зміни до узагальнених даних про систему фармаконагляду (введення узагальнених даних про систему фармаконагляду, зміна уповноваженої особи, відповідальної за здійснення фармаконагляду; контактної особи з фармаконагляду заявника для здійснення фармаконагляду в Україні, якщо вона відмінна від уповноваженої особи, відповідальної за здійснення фармаконагляду (включаючи контактні дані) та/або зміни у розміщенні мастер-файла системи фармаконагляду) (згідно наказу МОЗ від 17.11.2016 № 1245). 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Зміна контактної особи заявника, відповідальної за фармаконагляд в Україні. Діюча редакція: Агапов Владислав Олегович. Пропонована редакція: Дорошенко Анна Ігорівна. Зміна контактних даних контактної особи заявника, відповідальної за фармаконагляд в Україні.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Style18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</w:tcPr>
          <w:p>
            <w:pPr>
              <w:pStyle w:val="Style18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UA/19579/01/02</w:t>
            </w:r>
          </w:p>
        </w:tc>
      </w:tr>
    </w:tbl>
    <w:p>
      <w:pPr>
        <w:pStyle w:val="Normal"/>
        <w:spacing w:lineRule="auto" w:line="240" w:before="0" w:after="0"/>
        <w:rPr>
          <w:rFonts w:ascii="Arial" w:hAnsi="Arial" w:cs="Arial"/>
          <w:sz w:val="16"/>
          <w:szCs w:val="16"/>
        </w:rPr>
      </w:pPr>
      <w:r>
        <w:rPr>
          <w:rFonts w:cs="Arial" w:ascii="Arial" w:hAnsi="Arial"/>
          <w:sz w:val="16"/>
          <w:szCs w:val="16"/>
        </w:rPr>
      </w:r>
    </w:p>
    <w:sectPr>
      <w:footerReference w:type="default" r:id="rId2"/>
      <w:footerReference w:type="first" r:id="rId3"/>
      <w:type w:val="nextPage"/>
      <w:pgSz w:orient="landscape" w:w="16838" w:h="11906"/>
      <w:pgMar w:left="851" w:right="851" w:header="0" w:top="1134" w:footer="709" w:bottom="851" w:gutter="0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cc"/>
    <w:family w:val="swiss"/>
    <w:pitch w:val="variable"/>
  </w:font>
  <w:font w:name="Segoe UI">
    <w:charset w:val="cc"/>
    <w:family w:val="swiss"/>
    <w:pitch w:val="variable"/>
  </w:font>
  <w:font w:name="Liberation Sans">
    <w:altName w:val="Arial"/>
    <w:charset w:val="01"/>
    <w:family w:val="swiss"/>
    <w:pitch w:val="variable"/>
  </w:font>
  <w:font w:name="Times New Roman">
    <w:charset w:val="cc"/>
    <w:family w:val="roman"/>
    <w:pitch w:val="variable"/>
  </w:font>
  <w:font w:name="Arial">
    <w:charset w:val="cc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Footer"/>
      <w:jc w:val="center"/>
      <w:rPr/>
    </w:pPr>
    <w:r>
      <w:rPr/>
      <w:fldChar w:fldCharType="begin"/>
    </w:r>
    <w:r>
      <w:instrText> PAGE </w:instrText>
    </w:r>
    <w:r>
      <w:fldChar w:fldCharType="separate"/>
    </w:r>
    <w:r>
      <w:t>3</w:t>
    </w:r>
    <w:r>
      <w:fldChar w:fldCharType="end"/>
    </w:r>
  </w:p>
  <w:p>
    <w:pPr>
      <w:pStyle w:val="Footer"/>
      <w:tabs>
        <w:tab w:val="center" w:pos="4844" w:leader="none"/>
        <w:tab w:val="right" w:pos="9689" w:leader="none"/>
      </w:tabs>
      <w:spacing w:before="0" w:after="160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Footer"/>
      <w:tabs>
        <w:tab w:val="center" w:pos="4844" w:leader="none"/>
        <w:tab w:val="right" w:pos="9689" w:leader="none"/>
      </w:tabs>
      <w:spacing w:before="0" w:after="160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."/>
      <w:lvlJc w:val="left"/>
      <w:pPr>
        <w:ind w:left="360" w:hanging="36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6"/>
  <w:defaultTabStop w:val="720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DejaVu Sans" w:cs="DejaVu Sans"/>
        <w:sz w:val="24"/>
        <w:szCs w:val="24"/>
        <w:lang w:val="ru-RU" w:eastAsia="zh-CN" w:bidi="hi-IN"/>
      </w:rPr>
    </w:rPrDefault>
    <w:pPrDefault>
      <w:pPr/>
    </w:pPrDefault>
  </w:docDefaults>
  <w:style w:type="paragraph" w:styleId="Normal">
    <w:name w:val="Normal"/>
    <w:qFormat/>
    <w:pPr>
      <w:widowControl/>
      <w:bidi w:val="0"/>
      <w:spacing w:lineRule="auto" w:line="256" w:before="0" w:after="160"/>
    </w:pPr>
    <w:rPr>
      <w:rFonts w:ascii="Calibri" w:hAnsi="Calibri" w:eastAsia="Calibri" w:cs="Times New Roman"/>
      <w:color w:val="auto"/>
      <w:sz w:val="22"/>
      <w:szCs w:val="22"/>
      <w:lang w:val="en-US" w:bidi="ar-SA" w:eastAsia="zh-CN"/>
    </w:rPr>
  </w:style>
  <w:style w:type="character" w:styleId="WW8Num1z0">
    <w:name w:val="WW8Num1z0"/>
    <w:qFormat/>
    <w:rPr/>
  </w:style>
  <w:style w:type="character" w:styleId="WW8Num1z1">
    <w:name w:val="WW8Num1z1"/>
    <w:qFormat/>
    <w:rPr/>
  </w:style>
  <w:style w:type="character" w:styleId="WW8Num1z2">
    <w:name w:val="WW8Num1z2"/>
    <w:qFormat/>
    <w:rPr/>
  </w:style>
  <w:style w:type="character" w:styleId="WW8Num1z3">
    <w:name w:val="WW8Num1z3"/>
    <w:qFormat/>
    <w:rPr/>
  </w:style>
  <w:style w:type="character" w:styleId="WW8Num1z4">
    <w:name w:val="WW8Num1z4"/>
    <w:qFormat/>
    <w:rPr/>
  </w:style>
  <w:style w:type="character" w:styleId="WW8Num1z5">
    <w:name w:val="WW8Num1z5"/>
    <w:qFormat/>
    <w:rPr/>
  </w:style>
  <w:style w:type="character" w:styleId="WW8Num1z6">
    <w:name w:val="WW8Num1z6"/>
    <w:qFormat/>
    <w:rPr/>
  </w:style>
  <w:style w:type="character" w:styleId="WW8Num1z7">
    <w:name w:val="WW8Num1z7"/>
    <w:qFormat/>
    <w:rPr/>
  </w:style>
  <w:style w:type="character" w:styleId="WW8Num1z8">
    <w:name w:val="WW8Num1z8"/>
    <w:qFormat/>
    <w:rPr/>
  </w:style>
  <w:style w:type="character" w:styleId="WW8Num2z0">
    <w:name w:val="WW8Num2z0"/>
    <w:qFormat/>
    <w:rPr/>
  </w:style>
  <w:style w:type="character" w:styleId="WW8Num2z1">
    <w:name w:val="WW8Num2z1"/>
    <w:qFormat/>
    <w:rPr/>
  </w:style>
  <w:style w:type="character" w:styleId="WW8Num2z2">
    <w:name w:val="WW8Num2z2"/>
    <w:qFormat/>
    <w:rPr/>
  </w:style>
  <w:style w:type="character" w:styleId="WW8Num2z3">
    <w:name w:val="WW8Num2z3"/>
    <w:qFormat/>
    <w:rPr/>
  </w:style>
  <w:style w:type="character" w:styleId="WW8Num2z4">
    <w:name w:val="WW8Num2z4"/>
    <w:qFormat/>
    <w:rPr/>
  </w:style>
  <w:style w:type="character" w:styleId="WW8Num2z5">
    <w:name w:val="WW8Num2z5"/>
    <w:qFormat/>
    <w:rPr/>
  </w:style>
  <w:style w:type="character" w:styleId="WW8Num2z6">
    <w:name w:val="WW8Num2z6"/>
    <w:qFormat/>
    <w:rPr/>
  </w:style>
  <w:style w:type="character" w:styleId="WW8Num2z7">
    <w:name w:val="WW8Num2z7"/>
    <w:qFormat/>
    <w:rPr/>
  </w:style>
  <w:style w:type="character" w:styleId="WW8Num2z8">
    <w:name w:val="WW8Num2z8"/>
    <w:qFormat/>
    <w:rPr/>
  </w:style>
  <w:style w:type="character" w:styleId="WW8Num3z0">
    <w:name w:val="WW8Num3z0"/>
    <w:qFormat/>
    <w:rPr>
      <w:rFonts w:cs="Times New Roman"/>
    </w:rPr>
  </w:style>
  <w:style w:type="character" w:styleId="Style14">
    <w:name w:val="Основной шрифт абзаца"/>
    <w:qFormat/>
    <w:rPr/>
  </w:style>
  <w:style w:type="character" w:styleId="Style15">
    <w:name w:val="Текст выноски Знак"/>
    <w:qFormat/>
    <w:rPr>
      <w:rFonts w:ascii="Segoe UI" w:hAnsi="Segoe UI" w:cs="Segoe UI"/>
      <w:sz w:val="18"/>
      <w:szCs w:val="18"/>
    </w:rPr>
  </w:style>
  <w:style w:type="character" w:styleId="InternetLink">
    <w:name w:val="Internet Link"/>
    <w:rPr>
      <w:color w:val="0000FF"/>
      <w:u w:val="single"/>
    </w:rPr>
  </w:style>
  <w:style w:type="character" w:styleId="Style16">
    <w:name w:val="Верхний колонтитул Знак"/>
    <w:qFormat/>
    <w:rPr>
      <w:sz w:val="22"/>
      <w:szCs w:val="22"/>
    </w:rPr>
  </w:style>
  <w:style w:type="character" w:styleId="Style17">
    <w:name w:val="Нижний колонтитул Знак"/>
    <w:qFormat/>
    <w:rPr>
      <w:sz w:val="22"/>
      <w:szCs w:val="22"/>
    </w:rPr>
  </w:style>
  <w:style w:type="character" w:styleId="2">
    <w:name w:val="Основной текст (2)_"/>
    <w:qFormat/>
    <w:rPr>
      <w:sz w:val="22"/>
      <w:szCs w:val="22"/>
      <w:shd w:fill="FFFFFF" w:val="clear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88" w:before="0" w:after="140"/>
    </w:pPr>
    <w:rPr/>
  </w:style>
  <w:style w:type="paragraph" w:styleId="List">
    <w:name w:val="List"/>
    <w:basedOn w:val="TextBody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/>
  </w:style>
  <w:style w:type="paragraph" w:styleId="Style18">
    <w:name w:val="Звичайний"/>
    <w:qFormat/>
    <w:pPr>
      <w:widowControl/>
    </w:pPr>
    <w:rPr>
      <w:rFonts w:ascii="Times New Roman" w:hAnsi="Times New Roman" w:eastAsia="Times New Roman" w:cs="Times New Roman"/>
      <w:color w:val="auto"/>
      <w:sz w:val="24"/>
      <w:szCs w:val="24"/>
      <w:lang w:val="en-US" w:bidi="ar-SA" w:eastAsia="zh-CN"/>
    </w:rPr>
  </w:style>
  <w:style w:type="paragraph" w:styleId="Style19">
    <w:name w:val="Текст выноски"/>
    <w:basedOn w:val="Normal"/>
    <w:qFormat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pPr>
      <w:tabs>
        <w:tab w:val="center" w:pos="4844" w:leader="none"/>
        <w:tab w:val="right" w:pos="9689" w:leader="none"/>
      </w:tabs>
    </w:pPr>
    <w:rPr/>
  </w:style>
  <w:style w:type="paragraph" w:styleId="Footer">
    <w:name w:val="Footer"/>
    <w:basedOn w:val="Normal"/>
    <w:pPr>
      <w:tabs>
        <w:tab w:val="center" w:pos="4844" w:leader="none"/>
        <w:tab w:val="right" w:pos="9689" w:leader="none"/>
      </w:tabs>
    </w:pPr>
    <w:rPr/>
  </w:style>
  <w:style w:type="paragraph" w:styleId="21">
    <w:name w:val="Основной текст (2)1"/>
    <w:basedOn w:val="Normal"/>
    <w:qFormat/>
    <w:pPr>
      <w:widowControl w:val="false"/>
      <w:shd w:fill="FFFFFF" w:val="clear"/>
      <w:spacing w:lineRule="exact" w:line="250" w:before="0" w:after="480"/>
      <w:ind w:hanging="600"/>
      <w:jc w:val="both"/>
    </w:pPr>
    <w:rPr/>
  </w:style>
  <w:style w:type="paragraph" w:styleId="TableContents">
    <w:name w:val="Table Contents"/>
    <w:basedOn w:val="Normal"/>
    <w:qFormat/>
    <w:pPr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Application>LibreOffice/5.3.6.1$Linux_X86_64 LibreOffice_project/30$Build-1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2026-09-21T13:05:00Z</dcterms:created>
  <dc:creator>RePack by Diakov</dc:creator>
  <dc:description/>
  <dc:language>ru-RU</dc:language>
  <cp:lastModifiedBy>Кунцевич Олена Іванівна</cp:lastModifiedBy>
  <cp:lastPrinted>2022-04-14T11:34:00Z</cp:lastPrinted>
  <dcterms:modified xsi:type="dcterms:W3CDTF">2026-09-21T13:11:00Z</dcterms:modified>
  <cp:revision>6</cp:revision>
  <dc:subject/>
  <dc:title/>
</cp:coreProperties>
</file>