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sz w:val="28"/>
          <w:szCs w:val="28"/>
          <w:lang w:val="uk-UA" w:eastAsia="uk-UA"/>
        </w:rPr>
      </w:pPr>
      <w:r>
        <w:rPr>
          <w:rFonts w:eastAsia="Times New Roman" w:cs="Arial" w:ascii="Arial" w:hAnsi="Arial"/>
          <w:b/>
          <w:sz w:val="28"/>
          <w:szCs w:val="28"/>
          <w:lang w:val="uk-UA" w:eastAsia="uk-UA"/>
        </w:rPr>
        <w:t>ПЕРЕЛІК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sz w:val="28"/>
          <w:szCs w:val="28"/>
          <w:lang w:val="uk-UA" w:eastAsia="uk-UA"/>
        </w:rPr>
      </w:pPr>
      <w:r>
        <w:rPr>
          <w:rFonts w:eastAsia="Times New Roman" w:cs="Arial" w:ascii="Arial" w:hAnsi="Arial"/>
          <w:b/>
          <w:sz w:val="28"/>
          <w:szCs w:val="28"/>
          <w:lang w:val="uk-UA" w:eastAsia="uk-UA"/>
        </w:rPr>
        <w:t xml:space="preserve">ЛІКАРСЬКИХ ЗАСОБІВ НА ЯКІ ЗАВЕРШЕНО РОЗГЛЯД РЕЄСТРАЦІЙНИХ МАТЕРІАЛІВ ПОДАНИХ НА ДЕРЖАВНУ РЕЄСТРАЦІЮ, </w:t>
      </w:r>
      <w:r>
        <w:rPr>
          <w:rFonts w:eastAsia="Times New Roman" w:cs="Arial" w:ascii="Arial" w:hAnsi="Arial"/>
          <w:b/>
          <w:sz w:val="28"/>
          <w:szCs w:val="28"/>
          <w:u w:val="single"/>
          <w:lang w:val="uk-UA" w:eastAsia="uk-UA"/>
        </w:rPr>
        <w:t xml:space="preserve">ЯКІ ЗАРЕЄСТРОВАНІ КОМПЕТЕНТНИМИ ОРГАНАМИ </w:t>
      </w:r>
      <w:r>
        <w:rPr>
          <w:rFonts w:eastAsia="Times New Roman" w:cs="Arial" w:ascii="Arial" w:hAnsi="Arial"/>
          <w:b/>
          <w:sz w:val="28"/>
          <w:szCs w:val="28"/>
          <w:lang w:val="uk-UA" w:eastAsia="uk-UA"/>
        </w:rPr>
        <w:t xml:space="preserve">СПОЛУЧЕНИХ ШТАТІВ АМЕРИКИ, ШВЕЙЦАРСЬКОЇ КОНФЕДЕРАЦІЇ, ЯПОНІЇ, АВСТРАЛІЇ, КАНАДИ, ЛІКАРСЬКИХ ЗАСОБІВ, ЩО ЗА ЦЕНТРАЛІЗОВАНОЮ ПРОЦЕДУРОЮ ЗАРЕЄСТРОВАНІ КОМПЕТЕНТНИМ ОРГАНОМ </w:t>
        <w:br/>
      </w:r>
      <w:r>
        <w:rPr>
          <w:rFonts w:eastAsia="Times New Roman" w:cs="Arial" w:ascii="Arial" w:hAnsi="Arial"/>
          <w:b/>
          <w:sz w:val="28"/>
          <w:szCs w:val="28"/>
          <w:u w:val="single"/>
          <w:lang w:val="uk-UA" w:eastAsia="uk-UA"/>
        </w:rPr>
        <w:t>ЄВРОПЕЙСЬКОГО СОЮЗУ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uk-UA" w:eastAsia="uk-UA"/>
        </w:rPr>
      </w:r>
    </w:p>
    <w:tbl>
      <w:tblPr>
        <w:tblW w:w="16170" w:type="dxa"/>
        <w:jc w:val="left"/>
        <w:tblInd w:w="-46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567"/>
        <w:gridCol w:w="1276"/>
        <w:gridCol w:w="1134"/>
        <w:gridCol w:w="851"/>
        <w:gridCol w:w="850"/>
        <w:gridCol w:w="1418"/>
        <w:gridCol w:w="1134"/>
        <w:gridCol w:w="992"/>
        <w:gridCol w:w="1559"/>
        <w:gridCol w:w="992"/>
        <w:gridCol w:w="1134"/>
        <w:gridCol w:w="1134"/>
        <w:gridCol w:w="1134"/>
        <w:gridCol w:w="1995"/>
      </w:tblGrid>
      <w:tr>
        <w:trPr>
          <w:tblHeader w:val="true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0CECE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  <w:lang w:val="uk-UA" w:eastAsia="uk-UA"/>
              </w:rPr>
              <w:t xml:space="preserve"> </w:t>
            </w: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п/п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0CECE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0CECE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0CECE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0CECE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0CECE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0CECE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0CECE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0CECE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0CECE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0CECE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0CECE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0CECE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Рекламування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D0CECE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>
        <w:trPr>
          <w:trHeight w:val="433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numPr>
                <w:ilvl w:val="0"/>
                <w:numId w:val="1"/>
              </w:numPr>
              <w:tabs>
                <w:tab w:val="left" w:pos="12600" w:leader="none"/>
              </w:tabs>
              <w:snapToGrid w:val="false"/>
              <w:spacing w:lineRule="auto" w:line="240" w:before="0" w:after="0"/>
              <w:contextualSpacing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ОЯВАС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bevacizumab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бевацизумаб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L01FG01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концентрат для розчину для інфузій, 25 мг/мл; по 100 мг/4 мл або по 400 мг/16 мл у флаконі;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СТАДА Арцнайміттель АГ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Німеччина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  <w:lang w:val="uk-UA"/>
              </w:rPr>
            </w:pPr>
            <w:r>
              <w:rPr>
                <w:rFonts w:cs="Arial" w:ascii="Arial" w:hAnsi="Arial"/>
                <w:sz w:val="16"/>
                <w:szCs w:val="16"/>
                <w:lang w:val="uk-UA"/>
              </w:rPr>
              <w:t xml:space="preserve">ГХ ГЕНХЕЛІКС C.A., Іспанiя (контроль якості, зберігання та дистрибуція, випуск серії); ДЕ САЛЮТЕ С.Р.Л., Італiя </w:t>
            </w:r>
          </w:p>
          <w:p>
            <w:pPr>
              <w:pStyle w:val="Style16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  <w:lang w:val="uk-UA"/>
              </w:rPr>
            </w:pPr>
            <w:r>
              <w:rPr>
                <w:rFonts w:cs="Arial" w:ascii="Arial" w:hAnsi="Arial"/>
                <w:sz w:val="16"/>
                <w:szCs w:val="16"/>
                <w:lang w:val="uk-UA"/>
              </w:rPr>
              <w:t xml:space="preserve">(вторинне пакування); МАНАНТІАЛ ІНТЕГРА, С.Л.Ю., Іспанiя </w:t>
            </w:r>
          </w:p>
          <w:p>
            <w:pPr>
              <w:pStyle w:val="Style16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  <w:lang w:val="uk-UA"/>
              </w:rPr>
            </w:pPr>
            <w:r>
              <w:rPr>
                <w:rFonts w:cs="Arial" w:ascii="Arial" w:hAnsi="Arial"/>
                <w:sz w:val="16"/>
                <w:szCs w:val="16"/>
                <w:lang w:val="uk-UA"/>
              </w:rPr>
              <w:t>(вторинне пакування); Престиж Промоушен Веркауфсфордерунг енд Вербесервіс ГмбХ, Німеччина (вторинне пакування, маркування); СТАДА Арцнайміттель АГ, Німеччина (вторинне пакування, випуск серії); ЮНІВЕРСАЛ ФАРМА, С.Л., Іспанiя (виробництво, первинне та вторинне пакування, контроль якості)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  <w:lang w:val="uk-UA"/>
              </w:rPr>
            </w:pPr>
            <w:r>
              <w:rPr>
                <w:rFonts w:cs="Arial" w:ascii="Arial" w:hAnsi="Arial"/>
                <w:sz w:val="16"/>
                <w:szCs w:val="16"/>
                <w:lang w:val="uk-UA"/>
              </w:rPr>
              <w:t>Іспанія/</w:t>
            </w:r>
          </w:p>
          <w:p>
            <w:pPr>
              <w:pStyle w:val="Style16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  <w:lang w:val="uk-UA"/>
              </w:rPr>
            </w:pPr>
            <w:r>
              <w:rPr>
                <w:rFonts w:cs="Arial" w:ascii="Arial" w:hAnsi="Arial"/>
                <w:sz w:val="16"/>
                <w:szCs w:val="16"/>
                <w:lang w:val="uk-UA"/>
              </w:rPr>
              <w:t>Італія/</w:t>
            </w:r>
          </w:p>
          <w:p>
            <w:pPr>
              <w:pStyle w:val="Style16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  <w:lang w:val="uk-UA"/>
              </w:rPr>
            </w:pPr>
            <w:r>
              <w:rPr>
                <w:rFonts w:cs="Arial" w:ascii="Arial" w:hAnsi="Arial"/>
                <w:sz w:val="16"/>
                <w:szCs w:val="16"/>
                <w:lang w:val="uk-UA"/>
              </w:rPr>
              <w:t>Німеччина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реєстрація на 5 років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  <w:lang w:val="uk-UA"/>
              </w:rPr>
            </w:pPr>
            <w:r>
              <w:rPr>
                <w:rFonts w:cs="Arial" w:ascii="Arial" w:hAnsi="Arial"/>
                <w:i/>
                <w:sz w:val="16"/>
                <w:szCs w:val="16"/>
                <w:lang w:val="uk-UA"/>
              </w:rPr>
              <w:t>Не підлягає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UA/2140</w:t>
            </w:r>
            <w:r>
              <w:rPr>
                <w:rFonts w:cs="Arial" w:ascii="Arial" w:hAnsi="Arial"/>
                <w:b/>
                <w:sz w:val="16"/>
                <w:szCs w:val="16"/>
                <w:lang w:val="uk-UA"/>
              </w:rPr>
              <w:t>4</w:t>
            </w:r>
            <w:r>
              <w:rPr>
                <w:rFonts w:cs="Arial" w:ascii="Arial" w:hAnsi="Arial"/>
                <w:b/>
                <w:sz w:val="16"/>
                <w:szCs w:val="16"/>
              </w:rPr>
              <w:t>/01/01</w:t>
            </w:r>
          </w:p>
        </w:tc>
      </w:tr>
    </w:tbl>
    <w:p>
      <w:pPr>
        <w:pStyle w:val="Normal"/>
        <w:rPr>
          <w:rFonts w:ascii="Arial" w:hAnsi="Arial" w:cs="Arial"/>
          <w:lang w:val="ru-RU"/>
        </w:rPr>
      </w:pPr>
      <w:r>
        <w:rPr>
          <w:rFonts w:cs="Arial" w:ascii="Arial" w:hAnsi="Arial"/>
          <w:lang w:val="ru-RU"/>
        </w:rPr>
      </w:r>
    </w:p>
    <w:p>
      <w:pPr>
        <w:pStyle w:val="Normal"/>
        <w:rPr/>
      </w:pPr>
      <w:r>
        <w:rPr>
          <w:rFonts w:cs="Arial" w:ascii="Arial" w:hAnsi="Arial"/>
          <w:lang w:val="ru-RU"/>
        </w:rPr>
        <w:t>*</w:t>
      </w:r>
      <w:r>
        <w:rPr>
          <w:rFonts w:cs="Arial" w:ascii="Arial" w:hAnsi="Arial"/>
          <w:sz w:val="28"/>
          <w:szCs w:val="28"/>
          <w:lang w:val="ru-RU"/>
        </w:rPr>
        <w:t xml:space="preserve"> </w:t>
      </w:r>
      <w:r>
        <w:rPr>
          <w:rFonts w:cs="Arial" w:ascii="Arial" w:hAnsi="Arial"/>
          <w:i/>
          <w:sz w:val="16"/>
          <w:szCs w:val="16"/>
          <w:lang w:val="ru-RU"/>
        </w:rPr>
        <w:t>відповідно до інформації офіційного сайту Центру ВООЗ по співпраці в методології статистичних досліджень (</w:t>
      </w:r>
      <w:hyperlink r:id="rId2">
        <w:r>
          <w:rPr>
            <w:rStyle w:val="InternetLink"/>
            <w:rFonts w:cs="Arial" w:ascii="Arial" w:hAnsi="Arial"/>
            <w:i/>
            <w:szCs w:val="16"/>
          </w:rPr>
          <w:t>https</w:t>
        </w:r>
        <w:r>
          <w:rPr>
            <w:rStyle w:val="InternetLink"/>
            <w:rFonts w:cs="Arial" w:ascii="Arial" w:hAnsi="Arial"/>
            <w:i/>
            <w:szCs w:val="16"/>
            <w:lang w:val="ru-RU"/>
          </w:rPr>
          <w:t>://</w:t>
        </w:r>
        <w:r>
          <w:rPr>
            <w:rStyle w:val="InternetLink"/>
            <w:rFonts w:cs="Arial" w:ascii="Arial" w:hAnsi="Arial"/>
            <w:i/>
            <w:szCs w:val="16"/>
          </w:rPr>
          <w:t>www</w:t>
        </w:r>
        <w:r>
          <w:rPr>
            <w:rStyle w:val="InternetLink"/>
            <w:rFonts w:cs="Arial" w:ascii="Arial" w:hAnsi="Arial"/>
            <w:i/>
            <w:szCs w:val="16"/>
            <w:lang w:val="ru-RU"/>
          </w:rPr>
          <w:t>.</w:t>
        </w:r>
        <w:r>
          <w:rPr>
            <w:rStyle w:val="InternetLink"/>
            <w:rFonts w:cs="Arial" w:ascii="Arial" w:hAnsi="Arial"/>
            <w:i/>
            <w:szCs w:val="16"/>
          </w:rPr>
          <w:t>whocc</w:t>
        </w:r>
        <w:r>
          <w:rPr>
            <w:rStyle w:val="InternetLink"/>
            <w:rFonts w:cs="Arial" w:ascii="Arial" w:hAnsi="Arial"/>
            <w:i/>
            <w:szCs w:val="16"/>
            <w:lang w:val="ru-RU"/>
          </w:rPr>
          <w:t>.</w:t>
        </w:r>
        <w:r>
          <w:rPr>
            <w:rStyle w:val="InternetLink"/>
            <w:rFonts w:cs="Arial" w:ascii="Arial" w:hAnsi="Arial"/>
            <w:i/>
            <w:szCs w:val="16"/>
          </w:rPr>
          <w:t>no</w:t>
        </w:r>
        <w:r>
          <w:rPr>
            <w:rStyle w:val="InternetLink"/>
            <w:rFonts w:cs="Arial" w:ascii="Arial" w:hAnsi="Arial"/>
            <w:i/>
            <w:szCs w:val="16"/>
            <w:lang w:val="ru-RU"/>
          </w:rPr>
          <w:t>/</w:t>
        </w:r>
        <w:r>
          <w:rPr>
            <w:rStyle w:val="InternetLink"/>
            <w:rFonts w:cs="Arial" w:ascii="Arial" w:hAnsi="Arial"/>
            <w:i/>
            <w:szCs w:val="16"/>
          </w:rPr>
          <w:t>atc</w:t>
        </w:r>
        <w:r>
          <w:rPr>
            <w:rStyle w:val="InternetLink"/>
            <w:rFonts w:cs="Arial" w:ascii="Arial" w:hAnsi="Arial"/>
            <w:i/>
            <w:szCs w:val="16"/>
            <w:lang w:val="ru-RU"/>
          </w:rPr>
          <w:t>_</w:t>
        </w:r>
        <w:r>
          <w:rPr>
            <w:rStyle w:val="InternetLink"/>
            <w:rFonts w:cs="Arial" w:ascii="Arial" w:hAnsi="Arial"/>
            <w:i/>
            <w:szCs w:val="16"/>
          </w:rPr>
          <w:t>ddd</w:t>
        </w:r>
        <w:r>
          <w:rPr>
            <w:rStyle w:val="InternetLink"/>
            <w:rFonts w:cs="Arial" w:ascii="Arial" w:hAnsi="Arial"/>
            <w:i/>
            <w:szCs w:val="16"/>
            <w:lang w:val="ru-RU"/>
          </w:rPr>
          <w:t>_</w:t>
        </w:r>
        <w:r>
          <w:rPr>
            <w:rStyle w:val="InternetLink"/>
            <w:rFonts w:cs="Arial" w:ascii="Arial" w:hAnsi="Arial"/>
            <w:i/>
            <w:szCs w:val="16"/>
          </w:rPr>
          <w:t>index</w:t>
        </w:r>
        <w:r>
          <w:rPr>
            <w:rStyle w:val="InternetLink"/>
            <w:rFonts w:cs="Arial" w:ascii="Arial" w:hAnsi="Arial"/>
            <w:i/>
            <w:szCs w:val="16"/>
            <w:lang w:val="ru-RU"/>
          </w:rPr>
          <w:t>/</w:t>
        </w:r>
      </w:hyperlink>
      <w:r>
        <w:rPr>
          <w:rStyle w:val="InternetLink"/>
          <w:rFonts w:cs="Arial" w:ascii="Arial" w:hAnsi="Arial"/>
          <w:i/>
          <w:szCs w:val="16"/>
          <w:lang w:val="ru-RU"/>
        </w:rPr>
        <w:t>)</w:t>
      </w:r>
    </w:p>
    <w:p>
      <w:pPr>
        <w:pStyle w:val="Normal"/>
        <w:spacing w:lineRule="auto" w:line="240" w:before="0" w:after="0"/>
        <w:jc w:val="center"/>
        <w:rPr>
          <w:rStyle w:val="InternetLink"/>
          <w:rFonts w:ascii="Times New Roman" w:hAnsi="Times New Roman" w:eastAsia="Times New Roman" w:cs="Times New Roman"/>
          <w:b/>
          <w:b/>
          <w:i/>
          <w:i/>
          <w:sz w:val="24"/>
          <w:szCs w:val="24"/>
          <w:lang w:val="ru-RU" w:eastAsia="uk-UA"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uk-UA" w:eastAsia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uk-UA" w:eastAsia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uk-UA" w:eastAsia="uk-UA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uk-UA" w:eastAsia="uk-U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  <w:lang w:val="ru-RU" w:eastAsia="uk-U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ru-RU" w:eastAsia="uk-UA"/>
        </w:rPr>
      </w:r>
    </w:p>
    <w:sectPr>
      <w:type w:val="nextPage"/>
      <w:pgSz w:orient="landscape" w:w="16838" w:h="11906"/>
      <w:pgMar w:left="851" w:right="851" w:header="0" w:top="1134" w:footer="0" w:bottom="851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6"/>
  <w:defaultTabStop w:val="72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lineRule="auto" w:line="256" w:before="0" w:after="160"/>
    </w:pPr>
    <w:rPr>
      <w:rFonts w:ascii="Calibri" w:hAnsi="Calibri" w:eastAsia="Calibri" w:cs="Times New Roman"/>
      <w:color w:val="auto"/>
      <w:sz w:val="22"/>
      <w:szCs w:val="22"/>
      <w:lang w:val="en-US" w:bidi="ar-SA" w:eastAsia="zh-CN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cs="Times New Roman"/>
    </w:rPr>
  </w:style>
  <w:style w:type="character" w:styleId="WW8Num3z0">
    <w:name w:val="WW8Num3z0"/>
    <w:qFormat/>
    <w:rPr>
      <w:rFonts w:cs="Times New Roman"/>
    </w:rPr>
  </w:style>
  <w:style w:type="character" w:styleId="Style14">
    <w:name w:val="Основной шрифт абзаца"/>
    <w:qFormat/>
    <w:rPr/>
  </w:style>
  <w:style w:type="character" w:styleId="Style15">
    <w:name w:val="Текст выноски Знак"/>
    <w:qFormat/>
    <w:rPr>
      <w:rFonts w:ascii="Segoe UI" w:hAnsi="Segoe UI" w:cs="Segoe UI"/>
      <w:sz w:val="18"/>
      <w:szCs w:val="18"/>
    </w:rPr>
  </w:style>
  <w:style w:type="character" w:styleId="InternetLink">
    <w:name w:val="Internet Link"/>
    <w:rPr>
      <w:color w:val="0000FF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Style16">
    <w:name w:val="Звичайний"/>
    <w:qFormat/>
    <w:pPr>
      <w:widowControl/>
    </w:pPr>
    <w:rPr>
      <w:rFonts w:ascii="Times New Roman" w:hAnsi="Times New Roman" w:eastAsia="Times New Roman" w:cs="Times New Roman"/>
      <w:color w:val="auto"/>
      <w:sz w:val="24"/>
      <w:szCs w:val="24"/>
      <w:lang w:val="en-US" w:bidi="ar-SA" w:eastAsia="zh-CN"/>
    </w:rPr>
  </w:style>
  <w:style w:type="paragraph" w:styleId="Style17">
    <w:name w:val="Текст выноски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whocc.no/atc_ddd_index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LibreOffice/5.3.6.1$Linux_X86_64 LibreOffice_project/30$Build-1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2026-08-13T14:30:00Z</dcterms:created>
  <dc:creator>RePack by Diakov</dc:creator>
  <dc:description/>
  <dc:language>ru-RU</dc:language>
  <cp:lastModifiedBy>Кунцевич Олена Іванівна</cp:lastModifiedBy>
  <cp:lastPrinted>2022-04-14T11:34:00Z</cp:lastPrinted>
  <dcterms:modified xsi:type="dcterms:W3CDTF">2026-08-13T15:05:00Z</dcterms:modified>
  <cp:revision>13</cp:revision>
  <dc:subject/>
  <dc:title/>
</cp:coreProperties>
</file>