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center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>ПЕРЕЛІК</w:t>
      </w:r>
    </w:p>
    <w:p>
      <w:pPr>
        <w:pStyle w:val="Normal1"/>
        <w:jc w:val="center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 xml:space="preserve">ЛІКАРСЬКИХ ЗАСОБІВ, НА ЯКІ ЗАВЕРШЕНО ПЕРЕВІРКУ РЕЄСТРАЦІЙНИХ МАТЕРІАЛІВ НА ЇХ АВТЕНТИЧНІСТЬ НА ЛІКАРСЬКИЙ ЗАСІБ, ЯКИЙ ПОДАЄТЬСЯ НА ДЕРЖАВНУ РЕЄСТРАЦІЮ З МЕТОЮ ЙОГО ЗАКУПІВЛІ ОСОБОЮ, УПОВНОВАЖЕНОЮ НА ЗДІЙСНЕННЯ ЗАКУПІВЕЛЬ У СФЕРІ ОХОРОНИ ЗДОРОВ'Я, </w:t>
        <w:br/>
        <w:t xml:space="preserve">ТА ПОДАЄТЬСЯ НА ДЕРЖАВНУ РЕЄСТРАЦІЮ ПІСЛЯ ВИЗНАЧЕННЯ ПЕРЕМОЖЦЯ ПРОЦЕДУРИ ЗАКУПІВЛІ </w:t>
      </w:r>
    </w:p>
    <w:p>
      <w:pPr>
        <w:pStyle w:val="Normal1"/>
        <w:jc w:val="center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tbl>
      <w:tblPr>
        <w:tblW w:w="15877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134"/>
        <w:gridCol w:w="992"/>
        <w:gridCol w:w="709"/>
        <w:gridCol w:w="992"/>
        <w:gridCol w:w="1134"/>
        <w:gridCol w:w="1134"/>
        <w:gridCol w:w="850"/>
        <w:gridCol w:w="2127"/>
        <w:gridCol w:w="992"/>
        <w:gridCol w:w="1559"/>
        <w:gridCol w:w="1134"/>
        <w:gridCol w:w="991"/>
        <w:gridCol w:w="1561"/>
      </w:tblGrid>
      <w:tr>
        <w:trPr>
          <w:tblHeader w:val="true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b/>
                <w:i/>
                <w:sz w:val="16"/>
                <w:szCs w:val="16"/>
              </w:rPr>
              <w:t>п/п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Рекламування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>
        <w:trPr>
          <w:tblHeader w:val="true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b/>
                <w:i/>
                <w:i/>
                <w:sz w:val="16"/>
                <w:szCs w:val="16"/>
                <w:lang w:val="ru-RU" w:eastAsia="en-US"/>
              </w:rPr>
            </w:pPr>
            <w:r>
              <w:rPr>
                <w:rFonts w:eastAsia="Calibri" w:cs="Arial" w:ascii="Arial" w:hAnsi="Arial"/>
                <w:b/>
                <w:i/>
                <w:sz w:val="16"/>
                <w:szCs w:val="16"/>
                <w:lang w:val="ru-RU" w:eastAsia="en-US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  <w:lang w:eastAsia="en-US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</w:tr>
      <w:tr>
        <w:trPr>
          <w:trHeight w:val="1187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msolistparagraph"/>
              <w:numPr>
                <w:ilvl w:val="0"/>
                <w:numId w:val="3"/>
              </w:numPr>
              <w:tabs>
                <w:tab w:val="clear" w:pos="708"/>
                <w:tab w:val="left" w:pos="12600" w:leader="none"/>
              </w:tabs>
              <w:snapToGrid w:val="false"/>
              <w:ind w:hanging="360" w:left="360" w:right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eastAsia="Calibri" w:cs="Arial" w:ascii="Arial" w:hAnsi="Arial"/>
                <w:b/>
                <w:sz w:val="16"/>
                <w:szCs w:val="16"/>
                <w:lang w:val="ru-RU" w:eastAsia="en-US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  <w:t>ВАНКОМІЦИНУ ГІДРОХЛОРИД ДЛЯ ІН'ЄКЦІЙ Ф.США (VANCOMYCIN HYDROCHLORIDE FOR INJECTION USP)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tbl>
            <w:tblPr>
              <w:tblW w:w="1454" w:type="dxa"/>
              <w:jc w:val="left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150" w:type="dxa"/>
              </w:tblCellMar>
            </w:tblPr>
            <w:tblGrid>
              <w:gridCol w:w="1284"/>
              <w:gridCol w:w="170"/>
            </w:tblGrid>
            <w:tr>
              <w:trPr/>
              <w:tc>
                <w:tcPr>
                  <w:tcW w:w="1284" w:type="dxa"/>
                  <w:tcBorders/>
                  <w:shd w:fill="FFFFFF" w:val="clear"/>
                  <w:vAlign w:val="center"/>
                </w:tcPr>
                <w:p>
                  <w:pPr>
                    <w:pStyle w:val="Normal1"/>
                    <w:tabs>
                      <w:tab w:val="clear" w:pos="708"/>
                      <w:tab w:val="left" w:pos="12600" w:leader="none"/>
                    </w:tabs>
                    <w:rPr/>
                  </w:pPr>
                  <w:hyperlink r:id="rId2">
                    <w:r>
                      <w:rPr>
                        <w:rStyle w:val="Hyperlink"/>
                        <w:rFonts w:cs="Arial" w:ascii="Arial" w:hAnsi="Arial"/>
                        <w:color w:val="000000"/>
                        <w:sz w:val="16"/>
                        <w:szCs w:val="16"/>
                      </w:rPr>
                      <w:t>vancomycin</w:t>
                    </w:r>
                  </w:hyperlink>
                  <w:r>
                    <w:rPr>
                      <w:rFonts w:cs="Verdana" w:ascii="Verdana" w:hAnsi="Verdana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70" w:type="dxa"/>
                  <w:tcBorders/>
                  <w:shd w:fill="FFFFFF" w:val="clear"/>
                  <w:vAlign w:val="center"/>
                </w:tcPr>
                <w:p>
                  <w:pPr>
                    <w:pStyle w:val="Normal"/>
                    <w:snapToGrid w:val="false"/>
                    <w:rPr>
                      <w:rFonts w:ascii="Verdana" w:hAnsi="Verdana" w:cs="Verdana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Verdana" w:ascii="Verdana" w:hAnsi="Verdana"/>
                      <w:color w:val="000000"/>
                      <w:sz w:val="18"/>
                      <w:szCs w:val="18"/>
                    </w:rPr>
                  </w:r>
                </w:p>
              </w:tc>
            </w:tr>
          </w:tbl>
          <w:p>
            <w:pPr>
              <w:pStyle w:val="Normal1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ванкоміцин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J01X A01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ліофілізований для розчину для інфузій, по 500 мг/флакон; по 500 мг порошку ліофілізованого у флаконі; по 10 флаконів у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Нанкін Кінг-Френд Байокемікал Фармасьютікал Ко., Лтд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Китайська Народна Республіка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контроль якості готового ЛЗ за показниками специфікації "Кількісне визначення" Ф.США, "Елементні домішки" Ф.США &lt;232&gt;, Ф.США &lt;233&gt;:</w:t>
              <w:br/>
              <w:t xml:space="preserve">Кіндос Фармасьютікалз Ко., Лтд., Китай </w:t>
              <w:br/>
              <w:br/>
              <w:t>виробництво, контроль якості, первинна й вторинна упаковка, контроль якості та випуск серій готових лікарських засобів:</w:t>
              <w:br/>
              <w:t>Нанкін Кінг-Френд Байокемікал Фармасьютікал Ко., Лтд., Китай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Китай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до введення в дію Закону України від 28 липня 2022 року № 2469-IX «Про лікарські засоби»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tabs>
                <w:tab w:val="clear" w:pos="708"/>
                <w:tab w:val="left" w:pos="12600" w:leader="none"/>
              </w:tabs>
              <w:ind w:left="-185" w:right="0"/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 xml:space="preserve">за </w:t>
            </w:r>
          </w:p>
          <w:p>
            <w:pPr>
              <w:pStyle w:val="Normal1"/>
              <w:tabs>
                <w:tab w:val="clear" w:pos="708"/>
                <w:tab w:val="left" w:pos="12600" w:leader="none"/>
              </w:tabs>
              <w:ind w:left="-185" w:right="0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рецептом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UA/21507/01/0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  <w:lang w:val="en-US"/>
              </w:rPr>
              <w:t>1</w:t>
            </w:r>
          </w:p>
        </w:tc>
      </w:tr>
    </w:tbl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sectPr>
      <w:type w:val="nextPage"/>
      <w:pgSz w:orient="landscape" w:w="16838" w:h="11906"/>
      <w:pgMar w:left="850" w:right="850" w:gutter="0" w:header="0" w:top="1417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Cambria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01"/>
    <w:family w:val="swiss"/>
    <w:pitch w:val="variable"/>
  </w:font>
  <w:font w:name="Verdana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8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uk-UA" w:bidi="ar-SA" w:eastAsia="zh-CN"/>
    </w:rPr>
  </w:style>
  <w:style w:type="paragraph" w:styleId="Heading2">
    <w:name w:val="heading 2"/>
    <w:basedOn w:val="Normal"/>
    <w:next w:val="Normal1"/>
    <w:qFormat/>
    <w:pPr>
      <w:keepNext w:val="true"/>
      <w:numPr>
        <w:ilvl w:val="1"/>
        <w:numId w:val="1"/>
      </w:numPr>
      <w:outlineLvl w:val="1"/>
    </w:pPr>
    <w:rPr>
      <w:rFonts w:ascii="Arial" w:hAnsi="Arial" w:eastAsia="Times New Roman" w:cs="Arial"/>
      <w:b/>
      <w:caps/>
      <w:sz w:val="16"/>
      <w:szCs w:val="20"/>
    </w:rPr>
  </w:style>
  <w:style w:type="paragraph" w:styleId="Heading4">
    <w:name w:val="heading 4"/>
    <w:basedOn w:val="Normal"/>
    <w:next w:val="Normal1"/>
    <w:qFormat/>
    <w:pPr>
      <w:keepNext w:val="true"/>
      <w:numPr>
        <w:ilvl w:val="3"/>
        <w:numId w:val="1"/>
      </w:numPr>
      <w:jc w:val="center"/>
      <w:outlineLvl w:val="3"/>
    </w:pPr>
    <w:rPr>
      <w:rFonts w:ascii="Arial" w:hAnsi="Arial" w:eastAsia="Times New Roman" w:cs="Arial"/>
      <w:b/>
      <w:sz w:val="20"/>
      <w:szCs w:val="20"/>
    </w:rPr>
  </w:style>
  <w:style w:type="character" w:styleId="Style12">
    <w:name w:val="Основной шрифт абзаца"/>
    <w:qFormat/>
    <w:rPr/>
  </w:style>
  <w:style w:type="character" w:styleId="2">
    <w:name w:val="Заголовок 2 Знак"/>
    <w:qFormat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4">
    <w:name w:val="Заголовок 4 Знак"/>
    <w:qFormat/>
    <w:rPr>
      <w:rFonts w:ascii="Cambria" w:hAnsi="Cambria" w:eastAsia="Times New Roman" w:cs="Times New Roman"/>
      <w:b/>
      <w:bCs/>
      <w:i/>
      <w:iCs/>
      <w:color w:val="4F81BD"/>
      <w:sz w:val="24"/>
      <w:szCs w:val="24"/>
    </w:rPr>
  </w:style>
  <w:style w:type="character" w:styleId="Heading2Char">
    <w:name w:val="Heading 2 Char"/>
    <w:qFormat/>
    <w:rPr>
      <w:rFonts w:ascii="Arial" w:hAnsi="Arial" w:eastAsia="Times New Roman" w:cs="Times New Roman"/>
      <w:b/>
      <w:bCs w:val="false"/>
      <w:caps/>
      <w:sz w:val="16"/>
      <w:lang w:val="ru-RU"/>
    </w:rPr>
  </w:style>
  <w:style w:type="character" w:styleId="Heading4Char">
    <w:name w:val="Heading 4 Char"/>
    <w:qFormat/>
    <w:rPr>
      <w:rFonts w:ascii="Arial" w:hAnsi="Arial" w:eastAsia="Times New Roman" w:cs="Times New Roman"/>
      <w:b/>
      <w:bCs w:val="false"/>
      <w:lang w:val="ru-RU"/>
    </w:rPr>
  </w:style>
  <w:style w:type="character" w:styleId="Style13">
    <w:name w:val="Текст выноски Знак"/>
    <w:qFormat/>
    <w:rPr>
      <w:rFonts w:ascii="Segoe UI" w:hAnsi="Segoe UI" w:eastAsia="Times New Roman" w:cs="Segoe UI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Normal1">
    <w:name w:val="Normal1"/>
    <w:basedOn w:val="Normal"/>
    <w:qFormat/>
    <w:pPr/>
    <w:rPr/>
  </w:style>
  <w:style w:type="paragraph" w:styleId="msolistparagraph">
    <w:name w:val="msolistparagraph"/>
    <w:basedOn w:val="Normal"/>
    <w:qFormat/>
    <w:pPr>
      <w:spacing w:before="0" w:after="0"/>
      <w:ind w:hanging="0" w:left="720" w:right="0"/>
      <w:contextualSpacing/>
    </w:pPr>
    <w:rPr/>
  </w:style>
  <w:style w:type="paragraph" w:styleId="Encryption">
    <w:name w:val="Encryption"/>
    <w:basedOn w:val="Normal"/>
    <w:qFormat/>
    <w:pPr>
      <w:jc w:val="both"/>
    </w:pPr>
    <w:rPr>
      <w:b/>
      <w:bCs/>
      <w:i/>
      <w:iCs/>
    </w:rPr>
  </w:style>
  <w:style w:type="paragraph" w:styleId="WW-Heading2">
    <w:name w:val="WW-Heading 2"/>
    <w:basedOn w:val="Normal"/>
    <w:qFormat/>
    <w:pPr/>
    <w:rPr/>
  </w:style>
  <w:style w:type="paragraph" w:styleId="WW-Heading4">
    <w:name w:val="WW-Heading 4"/>
    <w:basedOn w:val="Normal"/>
    <w:qFormat/>
    <w:pPr/>
    <w:rPr/>
  </w:style>
  <w:style w:type="paragraph" w:styleId="Style14">
    <w:name w:val="Текст выноски"/>
    <w:basedOn w:val="Normal"/>
    <w:qFormat/>
    <w:pPr/>
    <w:rPr>
      <w:rFonts w:ascii="Segoe UI" w:hAnsi="Segoe UI" w:cs="Segoe UI"/>
      <w:sz w:val="18"/>
      <w:szCs w:val="1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atcddd.fhi.no/atc_ddd_index/?code=J01XA01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2026-10-28T12:56:00Z</dcterms:created>
  <dc:creator>Vitaliya</dc:creator>
  <dc:description/>
  <cp:keywords/>
  <dc:language>en-US</dc:language>
  <cp:lastModifiedBy>Кунцевич Олена Іванівна</cp:lastModifiedBy>
  <cp:lastPrinted>2021-07-15T10:59:00Z</cp:lastPrinted>
  <dcterms:modified xsi:type="dcterms:W3CDTF">2026-10-28T16:50:00Z</dcterms:modified>
  <cp:revision>4</cp:revision>
  <dc:subject/>
  <dc:title/>
</cp:coreProperties>
</file>