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jc w:val="left"/>
              <w:rPr>
                <w:rFonts w:cs="Arial"/>
              </w:rPr>
            </w:pPr>
            <w:r>
              <w:rPr>
                <w:rFonts w:cs="Arial"/>
              </w:rPr>
              <w:t>Додаток</w:t>
            </w:r>
            <w:r>
              <w:rPr>
                <w:rFonts w:cs="Arial"/>
                <w:lang w:val="ru-RU"/>
              </w:rPr>
              <w:t xml:space="preserve"> 1</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Heading4"/>
              <w:numPr>
                <w:ilvl w:val="3"/>
                <w:numId w:val="1"/>
              </w:numPr>
              <w:tabs>
                <w:tab w:val="left" w:pos="12600" w:leader="none"/>
              </w:tabs>
              <w:jc w:val="left"/>
              <w:rPr>
                <w:rFonts w:cs="Arial"/>
              </w:rPr>
            </w:pPr>
            <w:r>
              <w:rPr>
                <w:rFonts w:cs="Arial"/>
              </w:rPr>
              <w:t>____________________ № _______</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jc w:val="center"/>
        <w:outlineLvl w:val="3"/>
        <w:rPr>
          <w:rFonts w:ascii="Arial" w:hAnsi="Arial" w:cs="Arial"/>
          <w:b/>
          <w:b/>
          <w:caps/>
        </w:rPr>
      </w:pPr>
      <w:r>
        <w:rPr>
          <w:rFonts w:cs="Arial" w:ascii="Arial" w:hAnsi="Arial"/>
          <w:b/>
          <w:caps/>
        </w:rPr>
        <w:t xml:space="preserve">ЛІКАРСЬКИХ ЗАСОБІВ, що пропонуються до державної реєстрації </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170"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1134"/>
        <w:gridCol w:w="992"/>
        <w:gridCol w:w="851"/>
        <w:gridCol w:w="1701"/>
        <w:gridCol w:w="1134"/>
        <w:gridCol w:w="1134"/>
        <w:gridCol w:w="1276"/>
        <w:gridCol w:w="1134"/>
        <w:gridCol w:w="1275"/>
        <w:gridCol w:w="1134"/>
        <w:gridCol w:w="993"/>
        <w:gridCol w:w="1569"/>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27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БРОТМІН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6 або 12 блістерів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ЛТД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та вторинне пакування:</w:t>
              <w:br/>
              <w:t>Медокемі (Фа Іст) Лтд., В’єтнам;</w:t>
              <w:br/>
              <w:t>контроль якості, випуск серії:</w:t>
              <w:br/>
              <w:t>Медокемі Лімітед, Кіпр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В’єтнам/</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3</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ДІОКОР КОР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24 мг/26 мг, по 14 таблеток у блістері, по 2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Асіно АГ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Ko. Інк.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4</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ДІОКОР КОР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49 мг/51 мг, по 7 таблеток у блістері, по 4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Асіно АГ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Ko. Інк.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4</w:t>
            </w:r>
            <w:r>
              <w:rPr>
                <w:rFonts w:cs="Arial" w:ascii="Arial" w:hAnsi="Arial"/>
                <w:sz w:val="16"/>
                <w:szCs w:val="16"/>
              </w:rPr>
              <w:t>/01/0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ДІОКОР КОР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97 мг/103 мг, по 7 таблеток у блістері, по 4 або по 8 блістерів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Асіно АГ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Ko. Інк.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4</w:t>
            </w:r>
            <w:r>
              <w:rPr>
                <w:rFonts w:cs="Arial" w:ascii="Arial" w:hAnsi="Arial"/>
                <w:sz w:val="16"/>
                <w:szCs w:val="16"/>
              </w:rPr>
              <w:t>/01/0</w:t>
            </w:r>
            <w:r>
              <w:rPr>
                <w:rFonts w:cs="Arial" w:ascii="Arial" w:hAnsi="Arial"/>
                <w:sz w:val="16"/>
                <w:szCs w:val="16"/>
                <w:lang w:val="en-US"/>
              </w:rPr>
              <w:t>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ІБРУНАТ 140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ibrutinib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ібрутиніб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L01E L01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капсули тверді, по 140 мг, по 10 капсул твердих у блістері; по 3 блістери в картонній коробці; по 30 капсул твердих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lang w:val="ru-RU"/>
              </w:rPr>
            </w:pPr>
            <w:r>
              <w:rPr>
                <w:rFonts w:cs="Arial" w:ascii="Arial" w:hAnsi="Arial"/>
                <w:sz w:val="16"/>
                <w:szCs w:val="16"/>
                <w:lang w:val="ru-RU"/>
              </w:rPr>
              <w:t>Натко Фарма Лімітед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Індія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Натко Фарма Лімітед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lineRule="auto" w:line="276"/>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МЕТАРА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mometasone, combinations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мометазону фуроату моногідрат мікронізований та оксиметазоліну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R01AD59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по 18 г (140 доз) у поліетиленовому флаконі з насосом-дозатором та насадкою-розпилювачем із захисним ковпачком; по 1 флакону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ТОВ «ВАЛАРТІН ФАРМА»,</w:t>
              <w:br/>
              <w:t>Україна;</w:t>
              <w:br/>
              <w:t>виробництво, пакування, контроль якості:</w:t>
              <w:br/>
              <w:t>ТОВ «Мікрофарм»,</w:t>
              <w:br/>
              <w:t>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5</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СУГАРЕЛЬ ІНТЕРА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sugammadex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сугамадекс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V03AB35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2 мл в ампулах скляних, по 5 ампул у чарунковій упаковці, по 1 або 2 чарункових упаковок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6</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ФОСМІВЕН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fosfomycin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фосфоміцин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J01XX01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 г у флаконі, по 1 флакону в пачці; по 10 флаконів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w:t>
            </w:r>
            <w:r>
              <w:rPr>
                <w:rFonts w:cs="Arial" w:ascii="Arial" w:hAnsi="Arial"/>
                <w:sz w:val="16"/>
                <w:szCs w:val="16"/>
                <w:lang w:val="ru-RU"/>
              </w:rPr>
              <w:t>7</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rPr>
            </w:pPr>
            <w:r>
              <w:rPr>
                <w:rFonts w:cs="Arial" w:ascii="Arial" w:hAnsi="Arial"/>
                <w:b/>
                <w:sz w:val="16"/>
                <w:szCs w:val="16"/>
              </w:rPr>
              <w:t>ХОЛАНЕТА® 250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ursodeoxycholic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урсодезоксихолева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А05АА02; А05В</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250 мг; по 10 таблеток у блістері, по 3 aбо 5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АТ "Фармак"</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АТ "Фармак"</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UA/2148</w:t>
            </w:r>
            <w:r>
              <w:rPr>
                <w:rFonts w:cs="Arial" w:ascii="Arial" w:hAnsi="Arial"/>
                <w:b/>
                <w:sz w:val="16"/>
                <w:szCs w:val="16"/>
                <w:lang w:val="ru-RU"/>
              </w:rPr>
              <w:t>8</w:t>
            </w:r>
            <w:r>
              <w:rPr>
                <w:rFonts w:cs="Arial" w:ascii="Arial" w:hAnsi="Arial"/>
                <w:b/>
                <w:sz w:val="16"/>
                <w:szCs w:val="16"/>
              </w:rPr>
              <w:t>/01/0</w:t>
            </w:r>
            <w:r>
              <w:rPr>
                <w:rFonts w:cs="Arial" w:ascii="Arial" w:hAnsi="Arial"/>
                <w:b/>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ЦЕФУРОКСИМ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lang w:val="ru-RU"/>
              </w:rPr>
              <w:t xml:space="preserve">порошок для розчину для ін’єкцій, по 750 мг, по 750 мг порошку у флаконі; </w:t>
            </w:r>
            <w:r>
              <w:rPr>
                <w:rFonts w:cs="Arial" w:ascii="Arial" w:hAnsi="Arial"/>
                <w:color w:val="000000"/>
                <w:sz w:val="16"/>
                <w:szCs w:val="16"/>
              </w:rPr>
              <w:t>in</w:t>
            </w:r>
            <w:r>
              <w:rPr>
                <w:rFonts w:cs="Arial" w:ascii="Arial" w:hAnsi="Arial"/>
                <w:color w:val="000000"/>
                <w:sz w:val="16"/>
                <w:szCs w:val="16"/>
                <w:lang w:val="ru-RU"/>
              </w:rPr>
              <w:t xml:space="preserve"> </w:t>
            </w:r>
            <w:r>
              <w:rPr>
                <w:rFonts w:cs="Arial" w:ascii="Arial" w:hAnsi="Arial"/>
                <w:color w:val="000000"/>
                <w:sz w:val="16"/>
                <w:szCs w:val="16"/>
              </w:rPr>
              <w:t>bulk</w:t>
            </w:r>
            <w:r>
              <w:rPr>
                <w:rFonts w:cs="Arial" w:ascii="Arial" w:hAnsi="Arial"/>
                <w:color w:val="000000"/>
                <w:sz w:val="16"/>
                <w:szCs w:val="16"/>
                <w:lang w:val="ru-RU"/>
              </w:rPr>
              <w:t>: по 207 флаконів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пакування, контроль якості та випуск серії:</w:t>
              <w:br/>
              <w:t>Ацс Добфар С.п.А.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spacing w:lineRule="auto" w:line="276"/>
              <w:jc w:val="center"/>
              <w:rPr>
                <w:rFonts w:ascii="Arial" w:hAnsi="Arial" w:cs="Arial"/>
                <w:sz w:val="16"/>
                <w:szCs w:val="16"/>
              </w:rPr>
            </w:pPr>
            <w:r>
              <w:rPr>
                <w:rFonts w:cs="Arial" w:ascii="Arial" w:hAnsi="Arial"/>
                <w:sz w:val="16"/>
                <w:szCs w:val="16"/>
              </w:rPr>
              <w:t>UA/21490/01/0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ЦЕФУРОКСИМ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lang w:val="ru-RU"/>
              </w:rPr>
              <w:t xml:space="preserve">порошок для розчину для ін’єкцій, по 1500 мг, по 1500 мг порошку у флаконі; </w:t>
            </w:r>
            <w:r>
              <w:rPr>
                <w:rFonts w:cs="Arial" w:ascii="Arial" w:hAnsi="Arial"/>
                <w:color w:val="000000"/>
                <w:sz w:val="16"/>
                <w:szCs w:val="16"/>
              </w:rPr>
              <w:t>in</w:t>
            </w:r>
            <w:r>
              <w:rPr>
                <w:rFonts w:cs="Arial" w:ascii="Arial" w:hAnsi="Arial"/>
                <w:color w:val="000000"/>
                <w:sz w:val="16"/>
                <w:szCs w:val="16"/>
                <w:lang w:val="ru-RU"/>
              </w:rPr>
              <w:t xml:space="preserve"> </w:t>
            </w:r>
            <w:r>
              <w:rPr>
                <w:rFonts w:cs="Arial" w:ascii="Arial" w:hAnsi="Arial"/>
                <w:color w:val="000000"/>
                <w:sz w:val="16"/>
                <w:szCs w:val="16"/>
              </w:rPr>
              <w:t>bulk</w:t>
            </w:r>
            <w:r>
              <w:rPr>
                <w:rFonts w:cs="Arial" w:ascii="Arial" w:hAnsi="Arial"/>
                <w:color w:val="000000"/>
                <w:sz w:val="16"/>
                <w:szCs w:val="16"/>
                <w:lang w:val="ru-RU"/>
              </w:rPr>
              <w:t>: по 119 флаконів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пакування, контроль якості та випуск серії:</w:t>
              <w:br/>
              <w:t>Ацс Добфар С.п.А.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spacing w:lineRule="auto" w:line="276"/>
              <w:jc w:val="center"/>
              <w:rPr>
                <w:rFonts w:ascii="Arial" w:hAnsi="Arial" w:cs="Arial"/>
                <w:sz w:val="16"/>
                <w:szCs w:val="16"/>
              </w:rPr>
            </w:pPr>
            <w:r>
              <w:rPr>
                <w:rFonts w:cs="Arial" w:ascii="Arial" w:hAnsi="Arial"/>
                <w:sz w:val="16"/>
                <w:szCs w:val="16"/>
              </w:rPr>
              <w:t>UA/21490/01/0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 xml:space="preserve">ЦЕФУРОКСИМ ЮРІЯ-ФАРМ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t>порошок для розчину для ін'єкцій по 1500 мг, по 1500 мг порошку у флаконі, по 10 флаконів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t>(контроль якості);</w:t>
              <w:br/>
              <w:t>ТОВ "Юрія-Фарм"</w:t>
              <w:br/>
              <w:t>(пакування із форми in bulk,фірми-виробника Ацс Добфар С.п.А., Італія)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lineRule="auto" w:line="276"/>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spacing w:lineRule="auto" w:line="276"/>
              <w:jc w:val="center"/>
              <w:rPr>
                <w:rFonts w:ascii="Arial" w:hAnsi="Arial" w:cs="Arial"/>
                <w:sz w:val="16"/>
                <w:szCs w:val="16"/>
              </w:rPr>
            </w:pPr>
            <w:r>
              <w:rPr>
                <w:rFonts w:cs="Arial" w:ascii="Arial" w:hAnsi="Arial"/>
                <w:sz w:val="16"/>
                <w:szCs w:val="16"/>
              </w:rPr>
              <w:t>UA/21491/01/0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ЦЕФУРОКСИМ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t>порошок для розчину для ін'єкцій по 750 мг, по 750 мг порошку у флаконі; по 10 флаконів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t>(контроль якості);</w:t>
              <w:br/>
              <w:t>ТОВ "Юрія-Фарм"</w:t>
              <w:br/>
              <w:t>(пакування із форми in bulk,фірми-виробника Ацс Добфар С.п.А., Італія)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spacing w:lineRule="auto" w:line="276"/>
              <w:jc w:val="center"/>
              <w:rPr>
                <w:rFonts w:ascii="Arial" w:hAnsi="Arial" w:cs="Arial"/>
                <w:sz w:val="16"/>
                <w:szCs w:val="16"/>
              </w:rPr>
            </w:pPr>
            <w:r>
              <w:rPr>
                <w:rFonts w:cs="Arial" w:ascii="Arial" w:hAnsi="Arial"/>
                <w:sz w:val="16"/>
                <w:szCs w:val="16"/>
              </w:rPr>
              <w:t>UA/21491/01/0</w:t>
            </w:r>
            <w:r>
              <w:rPr>
                <w:rFonts w:cs="Arial" w:ascii="Arial" w:hAnsi="Arial"/>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2">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Normal"/>
        <w:rPr>
          <w:rStyle w:val="Cs7864ebcf1"/>
          <w:rFonts w:ascii="Arial" w:hAnsi="Arial" w:cs="Arial"/>
          <w:color w:val="000000"/>
          <w:sz w:val="16"/>
          <w:szCs w:val="16"/>
          <w:lang w:val="ru-RU"/>
        </w:rPr>
      </w:pPr>
      <w:r>
        <w:rPr/>
      </w:r>
      <w:r>
        <w:br w:type="page"/>
      </w:r>
    </w:p>
    <w:p>
      <w:pPr>
        <w:pStyle w:val="Normal"/>
        <w:rPr>
          <w:rFonts w:ascii="Arial" w:hAnsi="Arial" w:cs="Arial"/>
          <w:sz w:val="16"/>
          <w:szCs w:val="16"/>
          <w:lang w:val="ru-RU"/>
        </w:rPr>
      </w:pPr>
      <w:r>
        <w:rPr>
          <w:rFonts w:cs="Arial" w:ascii="Arial" w:hAnsi="Arial"/>
          <w:sz w:val="16"/>
          <w:szCs w:val="16"/>
          <w:lang w:val="ru-RU"/>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jc w:val="left"/>
              <w:rPr>
                <w:rFonts w:cs="Arial"/>
              </w:rPr>
            </w:pPr>
            <w:r>
              <w:rPr>
                <w:rFonts w:cs="Arial"/>
              </w:rPr>
              <w:t>Додаток</w:t>
            </w:r>
            <w:r>
              <w:rPr>
                <w:rFonts w:cs="Arial"/>
                <w:lang w:val="ru-RU"/>
              </w:rPr>
              <w:t xml:space="preserve"> 2</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Heading4"/>
              <w:numPr>
                <w:ilvl w:val="3"/>
                <w:numId w:val="1"/>
              </w:numPr>
              <w:tabs>
                <w:tab w:val="left" w:pos="12600" w:leader="none"/>
              </w:tabs>
              <w:jc w:val="left"/>
              <w:rPr>
                <w:rFonts w:cs="Arial"/>
              </w:rPr>
            </w:pPr>
            <w:r>
              <w:rPr>
                <w:rFonts w:cs="Arial"/>
              </w:rPr>
              <w:t>____________________ № _______</w:t>
            </w:r>
          </w:p>
          <w:p>
            <w:pPr>
              <w:pStyle w:val="11"/>
              <w:rPr>
                <w:rFonts w:ascii="Arial" w:hAnsi="Arial" w:cs="Arial"/>
                <w:sz w:val="20"/>
                <w:szCs w:val="20"/>
              </w:rPr>
            </w:pPr>
            <w:r>
              <w:rPr>
                <w:rFonts w:cs="Arial" w:ascii="Arial" w:hAnsi="Arial"/>
                <w:sz w:val="20"/>
                <w:szCs w:val="20"/>
              </w:rPr>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t>ЛІКАРСЬКИХ ЗАСОБІВ, що пропонуються до державної ПЕРЕреєстрації</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418"/>
        <w:gridCol w:w="992"/>
        <w:gridCol w:w="992"/>
        <w:gridCol w:w="851"/>
        <w:gridCol w:w="1701"/>
        <w:gridCol w:w="1134"/>
        <w:gridCol w:w="992"/>
        <w:gridCol w:w="1418"/>
        <w:gridCol w:w="992"/>
        <w:gridCol w:w="1417"/>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41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ІНСУКОМБ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Metformin and sulfonylureas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метформіну гідрохлорид та глібенкламід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500 мг/5 мг; по 15 таблеток у блістері, по 2 або 4 блістери в картонній коробці; по 20 таблеток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ТОВ «УОРЛД МЕДИЦИН»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rPr>
              <w:t>УОРЛД МЕДИЦИН ІЛАЧ САН. ВЕ ТІДЖ. A.Ш.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en-US"/>
              </w:rPr>
            </w:pPr>
            <w:r>
              <w:rPr>
                <w:rFonts w:cs="Arial" w:ascii="Arial" w:hAnsi="Arial"/>
                <w:color w:val="000000"/>
                <w:sz w:val="16"/>
                <w:szCs w:val="16"/>
              </w:rPr>
              <w:t>Туреччина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необмежений</w:t>
            </w:r>
            <w:r>
              <w:rPr>
                <w:rFonts w:cs="Arial" w:ascii="Arial" w:hAnsi="Arial"/>
                <w:color w:val="000000"/>
                <w:sz w:val="16"/>
                <w:szCs w:val="16"/>
                <w:lang w:val="en-US"/>
              </w:rPr>
              <w:t xml:space="preserve"> </w:t>
            </w:r>
            <w:r>
              <w:rPr>
                <w:rFonts w:cs="Arial" w:ascii="Arial" w:hAnsi="Arial"/>
                <w:color w:val="000000"/>
                <w:sz w:val="16"/>
                <w:szCs w:val="16"/>
              </w:rPr>
              <w:t>термін</w:t>
            </w:r>
            <w:r>
              <w:rPr>
                <w:rFonts w:cs="Arial" w:ascii="Arial" w:hAnsi="Arial"/>
                <w:color w:val="000000"/>
                <w:sz w:val="16"/>
                <w:szCs w:val="16"/>
                <w:lang w:val="en-US"/>
              </w:rPr>
              <w:b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UA/19200/01/02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ІНСУКОМБ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Metformin and sulfonylureas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метформіну гідрохлорид та глібенкламід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500 мг/2,5 мг; по 15 таблеток у блістері, по 2 або 4 блістери в картонній коробці; по 20 таблеток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ТОВ «УОРЛД МЕДИЦИН»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rPr>
              <w:t>УОРЛД МЕДИЦИН ІЛАЧ САН. ВЕ ТІДЖ. A.Ш.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en-US"/>
              </w:rPr>
            </w:pPr>
            <w:r>
              <w:rPr>
                <w:rFonts w:cs="Arial" w:ascii="Arial" w:hAnsi="Arial"/>
                <w:color w:val="000000"/>
                <w:sz w:val="16"/>
                <w:szCs w:val="16"/>
              </w:rPr>
              <w:t>Туреччина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UA/19200/01/01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ХЛОРАМФЕНІКОЛ (ЛЕВОМІЦЕТИН)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chloramphenicol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хлорамфенікол (левоміцетин)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або кристали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Норзіст Фармас'ютикал Гроуп Ко., Лтд.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UA/19617/01/01</w:t>
            </w:r>
          </w:p>
        </w:tc>
      </w:tr>
    </w:tbl>
    <w:p>
      <w:pPr>
        <w:pStyle w:val="Normal"/>
        <w:rPr>
          <w:rFonts w:ascii="Arial" w:hAnsi="Arial" w:cs="Arial"/>
        </w:rPr>
      </w:pPr>
      <w:r>
        <w:rPr>
          <w:rFonts w:cs="Arial" w:ascii="Arial" w:hAnsi="Arial"/>
        </w:rPr>
      </w:r>
    </w:p>
    <w:p>
      <w:pPr>
        <w:pStyle w:val="Normal"/>
        <w:rPr>
          <w:rStyle w:val="InternetLink"/>
          <w:rFonts w:ascii="Arial" w:hAnsi="Arial" w:cs="Arial"/>
          <w:i/>
          <w:i/>
          <w:color w:val="000000"/>
          <w:szCs w:val="16"/>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3">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rFonts w:ascii="Arial" w:hAnsi="Arial" w:cs="Arial"/>
                <w:b/>
                <w:b/>
                <w:sz w:val="20"/>
                <w:szCs w:val="20"/>
              </w:rPr>
            </w:pPr>
            <w:r>
              <w:rPr>
                <w:rFonts w:cs="Arial" w:ascii="Arial" w:hAnsi="Arial"/>
                <w:b/>
                <w:sz w:val="20"/>
                <w:szCs w:val="20"/>
              </w:rPr>
              <w:t>Додаток 3</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Normal"/>
              <w:tabs>
                <w:tab w:val="left" w:pos="12600" w:leader="none"/>
              </w:tabs>
              <w:rPr>
                <w:rFonts w:ascii="Arial" w:hAnsi="Arial" w:cs="Arial"/>
                <w:b/>
                <w:b/>
                <w:sz w:val="20"/>
                <w:szCs w:val="20"/>
              </w:rPr>
            </w:pPr>
            <w:r>
              <w:rPr>
                <w:rFonts w:cs="Arial" w:ascii="Arial" w:hAnsi="Arial"/>
                <w:sz w:val="20"/>
                <w:szCs w:val="20"/>
              </w:rPr>
              <w:t>__________________ № _______</w:t>
            </w:r>
          </w:p>
        </w:tc>
      </w:tr>
    </w:tbl>
    <w:p>
      <w:pPr>
        <w:pStyle w:val="Normal"/>
        <w:keepNext w:val="true"/>
        <w:numPr>
          <w:ilvl w:val="0"/>
          <w:numId w:val="0"/>
        </w:numPr>
        <w:jc w:val="center"/>
        <w:outlineLvl w:val="1"/>
        <w:rPr>
          <w:rStyle w:val="Cs7864ebcf1"/>
          <w:rFonts w:ascii="Arial" w:hAnsi="Arial" w:cs="Arial"/>
          <w:b/>
          <w:b/>
          <w:caps/>
          <w:color w:val="000000"/>
          <w:sz w:val="16"/>
          <w:szCs w:val="16"/>
          <w:lang w:val="uk-UA"/>
        </w:rPr>
      </w:pPr>
      <w:r>
        <w:rPr/>
      </w:r>
    </w:p>
    <w:p>
      <w:pPr>
        <w:pStyle w:val="Normal"/>
        <w:keepNext w:val="true"/>
        <w:numPr>
          <w:ilvl w:val="0"/>
          <w:numId w:val="0"/>
        </w:numPr>
        <w:jc w:val="center"/>
        <w:outlineLvl w:val="1"/>
        <w:rPr>
          <w:rFonts w:ascii="Arial" w:hAnsi="Arial" w:cs="Arial"/>
          <w:b/>
          <w:b/>
          <w:lang w:val="ru-RU"/>
        </w:rPr>
      </w:pPr>
      <w:r>
        <w:rPr>
          <w:rFonts w:cs="Arial" w:ascii="Arial" w:hAnsi="Arial"/>
          <w:b/>
          <w:caps/>
        </w:rPr>
        <w:t>ПЕРЕЛІК</w:t>
      </w:r>
    </w:p>
    <w:p>
      <w:pPr>
        <w:pStyle w:val="Normal"/>
        <w:keepNext w:val="true"/>
        <w:numPr>
          <w:ilvl w:val="0"/>
          <w:numId w:val="0"/>
        </w:numPr>
        <w:jc w:val="center"/>
        <w:outlineLvl w:val="3"/>
        <w:rPr>
          <w:rFonts w:ascii="Arial" w:hAnsi="Arial" w:cs="Arial"/>
        </w:rPr>
      </w:pPr>
      <w:r>
        <w:rPr>
          <w:rFonts w:cs="Arial" w:ascii="Arial" w:hAnsi="Arial"/>
          <w:b/>
          <w:caps/>
        </w:rPr>
        <w:t>ЛІКАРСЬКИХ засобів, щодо яких пропонується внесеНня змін до реєстраційних матеріалів</w:t>
      </w:r>
    </w:p>
    <w:p>
      <w:pPr>
        <w:pStyle w:val="11"/>
        <w:jc w:val="center"/>
        <w:rPr>
          <w:rFonts w:ascii="Arial" w:hAnsi="Arial" w:cs="Arial"/>
        </w:rPr>
      </w:pPr>
      <w:r>
        <w:rPr>
          <w:rFonts w:cs="Arial" w:ascii="Arial" w:hAnsi="Arial"/>
        </w:rPr>
      </w:r>
    </w:p>
    <w:tbl>
      <w:tblPr>
        <w:tblW w:w="16312"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561"/>
        <w:gridCol w:w="992"/>
        <w:gridCol w:w="992"/>
        <w:gridCol w:w="851"/>
        <w:gridCol w:w="1701"/>
        <w:gridCol w:w="1134"/>
        <w:gridCol w:w="992"/>
        <w:gridCol w:w="1418"/>
        <w:gridCol w:w="850"/>
        <w:gridCol w:w="1985"/>
        <w:gridCol w:w="850"/>
        <w:gridCol w:w="992"/>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98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АЗИТРО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3 або 6 таблеток у блістері; по 1 блістеру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первинна та вторинна упаковка, контроль серії, дозвіл на випуск серії: </w:t>
              <w:br/>
              <w:t>Салютас Фарма ГмбХ, Німеччина;</w:t>
              <w:br/>
              <w:t>виробництво нерозфасованої продукції:</w:t>
              <w:br/>
              <w:t xml:space="preserve">Сандоз Ілак Санай ве Тікарет А.С., Туреччина; </w:t>
              <w:br/>
              <w:t>виробництво за повним циклом:</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UA/11332/01/02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АЗИТРО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250 мг по 6 таблеток у блістері; по 1 блістеру в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первинна та вторинна упаковка, контроль серії, дозвіл на випуск серії: </w:t>
              <w:br/>
              <w:t>Салютас Фарма ГмбХ, Німеччина;</w:t>
              <w:br/>
              <w:t>виробництво нерозфасованої продукції:</w:t>
              <w:br/>
              <w:t xml:space="preserve">Сандоз Ілак Санай ве Тікарет А.С., Туреччина; </w:t>
              <w:br/>
              <w:t>виробництво за повним циклом:</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2"/>
              <w:tabs>
                <w:tab w:val="left" w:pos="12600" w:leader="none"/>
              </w:tabs>
              <w:jc w:val="center"/>
              <w:rPr/>
            </w:pPr>
            <w:r>
              <w:rPr>
                <w:rFonts w:cs="Arial" w:ascii="Arial" w:hAnsi="Arial"/>
                <w:color w:val="000000"/>
                <w:sz w:val="16"/>
                <w:szCs w:val="16"/>
              </w:rPr>
              <w:t>Туреччина/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UA/11332/01/01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Гленмарк Фармасьютикалз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UA/13756/01/01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АКАПЕЛЛА®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1-(гідразинокарбоніл)-метил-7-бром-5-феніл-1,2-дигідро-3Н-1,4-бенздіазепін-2-он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N05BA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0,02 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затвердження спільної інструкції для медичного застосування лікарського засобу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 xml:space="preserve">АКАПЕЛЛА®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1-(гідразинокарбоніл)-метил-7-бром-5-феніл-1,2-дигідро-3Н-1,4-бенздіазепін-2-он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N05BA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0,02 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UA/21001/01/01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АКАПЕЛЛА®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1-(гідразинокарбоніл)-метил-7-бром-5-феніл-1,2-дигідро-3Н-1,4-бенздіазепін-2-он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N05BA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0,05 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що потребують нової реєстрації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UA/21001/01/02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АЛАКОР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етилметилгідроксипіридину сукцинат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N07XX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5 ампул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"ФАРМАХЕЛС"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та випуск серії:</w:t>
              <w:br/>
              <w:t xml:space="preserve">Приватне акціонерне товариство "Лекхім-Харків", </w:t>
              <w:br/>
              <w:t>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не включаючи контроль серії:</w:t>
              <w:br/>
              <w:t>Товариство з обмеженою відповідальністю "ФАРМАХЕЛС",</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UA/18493/01/01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АЛЗАНЦЕР ІЗІТАБ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donepezil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донепезилу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N06DA02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10 мг по 7 таблеток у блістері; по 4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UA/20093/01/02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АЛЗАНЦЕР ІЗІТАБ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donepezil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донепезилу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N06DA02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 мг по 7 таблеток у блістері; по 4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UA/20093/01/01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АМБРОКСОЛ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ambroxol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амброксолу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R05CB06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30 мг, по 10 таблеток у блістері;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UA/1587/02/01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АМЛОДИПІН/ВАЛСАРТАН АУРОБІНДО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valsartan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мг/160 мг по 10 таблеток у блістері; по 3 блістери в картонній пачці</w:t>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Лімітед- Юніт VII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UA/16657/01/01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АМЛОДИПІН/ВАЛСАРТАН АУРОБІНДО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valsartan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мг/160 мг по 10 таблеток у блістері; по 3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Лімітед- Юніт VII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UA/16657/01/02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АНТАРЕС®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tiazotic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морфолінієвої солі тіазотна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C01EB23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10 ампул у контурній чарунковій упаковці, по 1 контурній чарунковій упаковці в пачці; по 4 мл в ампулі, по 5 ампул у контурній чарунковій упаковці покритій плівкою, по 2 контурних чарункових упаковки, покритих плівкою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UA/16819/01/01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АСАКОЛ®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Mesalazine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месалазин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A07EC02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800 мг по 10 таблеток у  блістері; по 5 або по 6 блістерів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Тілотс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первинна та вторинна упаковка: Хаупт Фарма Вюльфінг ГмбХ, Німеччина; Виробник, відповідальний за випуск серій: Тілотс Фарма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UA/4770/01/02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АТОНЗИЛ®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бензилдиметил[3-(мірістоіламіно)пропіл]амонію 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D08AJ</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розчин оромукозний, 0,1 мг/мл по 20 мл або 50 мл у флаконі полімерному з розпилювачем, по 100 мл у флаконі полімерному; </w:t>
              <w:br/>
              <w:t xml:space="preserve">по 1 флакону в картонній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"Славія 2000"</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 xml:space="preserve">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UA/18639/01/01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 xml:space="preserve">БАРАТОН®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14 таблеток у блістері, по 2 або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Україна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або</w:t>
              <w:br/>
              <w:t xml:space="preserve">ТОВ «КУСУМ»,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UA/18781/01/01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 xml:space="preserve">БАРАТОН®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 мг, по 14 таблеток у блістері, по 2 або 6 блістерів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Україна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або</w:t>
              <w:br/>
              <w:t xml:space="preserve">ТОВ «КУСУМ»,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UA/18781/01/02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БАРВІТОН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N06BX18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0,005 г по 10 таблеток у блістері; по 3 або 5 блістерів в пачці; по 10 таблеток у блістері; по 50 або 100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UA/3218/01/01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БІОВЕН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Immunoglobulins, normal human, for intravascular adm.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імуноглобулін людини нормальний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J06BA02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10 %; по 50 мл або 100 мл у флаконі;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Україна (виробництво, первинне та вторинне пакування, контроль якості, випуск серій)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UA/14526/01/02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БІОВЕН МОНО®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Immunoglobulins, normal human, for intravascular adm.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імуноглобулін людини нормальний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J06BA02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5 %; по 50 мл або по 100 мл у флаконі;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Україна (виробництво, первинне та вторинне пакування, контроль якості, випуск серій)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UA/14526/01/01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БЛОКМАКС РАПІД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ібупрофену лізин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684 мг; по 10 таблеток у блістері, по 1 або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UA/17954/01/01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ВЕКТИБІКС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panitumumab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панітумумаб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L01FE02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5 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Амджен Європа Б.В.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Маркування, вторинне пакування та випуск серії: Амджен Європа Б.В., Нідерланди; Виробництво, первинне пакування:</w:t>
              <w:br/>
              <w:t>Амджен Мануфактурінг Лімітед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UA/10806/01/01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ВЕРОНА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екстракт якірців сланких плодів сухого (Tribulus terrestris); екстракт вітанії снодійної коріння сухого (Withania Somnifera); екстракт мукуни пекучої насіння сухого (Mukuna Pruriens); екстракт аргіреї красивої насіння сухого (Argyreia speciosa)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A16AX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по 20 або 60 капсул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Хербіон Пакистан Прайвет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Пакистан</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Хербіон Пакистан Прайвет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Пакистан</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UA/9023/01/01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ВІАГРА®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або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UA/0313/01/02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ВІАГРА®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або по 2 таблетки у блістері; по 1 блістеру в картонній коробці; по 4 таблетки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UA/0313/01/03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ВІАГРА®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UA/18004/01/01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ВІАГРА® ODT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50 мг; по 2 або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UA/0313/02/01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ВІКС АКТИВ МЕДЕКСПЕКТО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guaifenesin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гвайфенезину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R05CA03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сироп; 200 мг/15 мл по 120 мл або 180 мл у флаконі; по 1 флакону з мірним ковпачком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Проктер енд Гембл Інтернешнл Оперейшнз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Проктер енд Гембл Мануфекчурінг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UA/13741/01/01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ВІКС АКТИВ МЕДІНАЙТ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парацетамол, декстрометорфану гідробромід, доксиламіну сукцинат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сироп по 30 мл або по 90 мл, або по 100 мл, або по 120 мл, або по 180 мл, або по 240 мл у пляшці; по 1 пляшці разом з мірним стаканчиком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Проктер енд Гембл Інтернешнл Оперейшенз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Проктер енд Гембл Мануфекчурінг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UA/13502/01/01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ВІКС АНТИГРИП КОМПЛЕКС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парацетамол, гвайфенезин, фенілефрину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5 або 10 саше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Проктер енд Гембл Інтернешнл Оперейшнз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Рафтон Лабораторіз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UA/11414/01/01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дифтерійний</w:t>
            </w:r>
            <w:r>
              <w:rPr>
                <w:rFonts w:cs="Arial" w:ascii="Arial" w:hAnsi="Arial"/>
                <w:sz w:val="16"/>
                <w:szCs w:val="16"/>
                <w:lang w:val="en-US"/>
              </w:rPr>
              <w:t xml:space="preserve"> </w:t>
            </w:r>
            <w:r>
              <w:rPr>
                <w:rFonts w:cs="Arial" w:ascii="Arial" w:hAnsi="Arial"/>
                <w:sz w:val="16"/>
                <w:szCs w:val="16"/>
              </w:rPr>
              <w:t>анатоксин</w:t>
            </w:r>
            <w:r>
              <w:rPr>
                <w:rFonts w:cs="Arial" w:ascii="Arial" w:hAnsi="Arial"/>
                <w:sz w:val="16"/>
                <w:szCs w:val="16"/>
                <w:lang w:val="en-US"/>
              </w:rPr>
              <w:t>;</w:t>
            </w:r>
          </w:p>
          <w:p>
            <w:pPr>
              <w:pStyle w:val="Normal"/>
              <w:rPr/>
            </w:pPr>
            <w:r>
              <w:rPr>
                <w:rFonts w:cs="Arial" w:ascii="Arial" w:hAnsi="Arial"/>
                <w:sz w:val="16"/>
                <w:szCs w:val="16"/>
              </w:rPr>
              <w:t>правцевий</w:t>
            </w:r>
            <w:r>
              <w:rPr>
                <w:rFonts w:cs="Arial" w:ascii="Arial" w:hAnsi="Arial"/>
                <w:sz w:val="16"/>
                <w:szCs w:val="16"/>
                <w:lang w:val="en-US"/>
              </w:rPr>
              <w:t xml:space="preserve"> </w:t>
            </w:r>
            <w:r>
              <w:rPr>
                <w:rFonts w:cs="Arial" w:ascii="Arial" w:hAnsi="Arial"/>
                <w:sz w:val="16"/>
                <w:szCs w:val="16"/>
              </w:rPr>
              <w:t>анатоксин</w:t>
            </w:r>
            <w:r>
              <w:rPr>
                <w:rFonts w:cs="Arial" w:ascii="Arial" w:hAnsi="Arial"/>
                <w:sz w:val="16"/>
                <w:szCs w:val="16"/>
                <w:lang w:val="en-US"/>
              </w:rPr>
              <w:t>;</w:t>
            </w:r>
          </w:p>
          <w:p>
            <w:pPr>
              <w:pStyle w:val="Normal"/>
              <w:rPr/>
            </w:pPr>
            <w:r>
              <w:rPr>
                <w:rFonts w:cs="Arial" w:ascii="Arial" w:hAnsi="Arial"/>
                <w:sz w:val="16"/>
                <w:szCs w:val="16"/>
              </w:rPr>
              <w:t>антигени</w:t>
            </w:r>
            <w:r>
              <w:rPr>
                <w:rFonts w:cs="Arial" w:ascii="Arial" w:hAnsi="Arial"/>
                <w:sz w:val="16"/>
                <w:szCs w:val="16"/>
                <w:lang w:val="en-US"/>
              </w:rPr>
              <w:t xml:space="preserve"> </w:t>
            </w:r>
            <w:r>
              <w:rPr>
                <w:rFonts w:cs="Arial" w:ascii="Arial" w:hAnsi="Arial"/>
                <w:i/>
                <w:iCs/>
                <w:sz w:val="16"/>
                <w:szCs w:val="16"/>
                <w:lang w:val="en-US"/>
              </w:rPr>
              <w:t>Bordetella pertussis</w:t>
            </w:r>
            <w:r>
              <w:rPr>
                <w:rFonts w:cs="Arial" w:ascii="Arial" w:hAnsi="Arial"/>
                <w:sz w:val="16"/>
                <w:szCs w:val="16"/>
                <w:lang w:val="en-US"/>
              </w:rPr>
              <w:t>:</w:t>
            </w:r>
          </w:p>
          <w:p>
            <w:pPr>
              <w:pStyle w:val="Normal"/>
              <w:rPr>
                <w:rFonts w:ascii="Arial" w:hAnsi="Arial" w:cs="Arial"/>
                <w:sz w:val="16"/>
                <w:szCs w:val="16"/>
              </w:rPr>
            </w:pPr>
            <w:r>
              <w:rPr>
                <w:rFonts w:cs="Arial" w:ascii="Arial" w:hAnsi="Arial"/>
                <w:sz w:val="16"/>
                <w:szCs w:val="16"/>
              </w:rPr>
              <w:t>кашлюковий анатоксин;</w:t>
            </w:r>
          </w:p>
          <w:p>
            <w:pPr>
              <w:pStyle w:val="Normal"/>
              <w:rPr>
                <w:rFonts w:ascii="Arial" w:hAnsi="Arial" w:cs="Arial"/>
                <w:sz w:val="16"/>
                <w:szCs w:val="16"/>
              </w:rPr>
            </w:pPr>
            <w:r>
              <w:rPr>
                <w:rFonts w:cs="Arial" w:ascii="Arial" w:hAnsi="Arial"/>
                <w:sz w:val="16"/>
                <w:szCs w:val="16"/>
              </w:rPr>
              <w:t>філаментний гемаглютинін;</w:t>
            </w:r>
          </w:p>
          <w:p>
            <w:pPr>
              <w:pStyle w:val="Normal"/>
              <w:rPr/>
            </w:pPr>
            <w:r>
              <w:rPr>
                <w:rFonts w:cs="Arial" w:ascii="Arial" w:hAnsi="Arial"/>
                <w:sz w:val="16"/>
                <w:szCs w:val="16"/>
              </w:rPr>
              <w:t>інактивований поліовірус</w:t>
            </w:r>
            <w:r>
              <w:rPr>
                <w:rFonts w:cs="Arial" w:ascii="Arial" w:hAnsi="Arial"/>
                <w:sz w:val="16"/>
                <w:szCs w:val="16"/>
                <w:vertAlign w:val="superscript"/>
              </w:rPr>
              <w:t>5</w:t>
            </w:r>
            <w:r>
              <w:rPr>
                <w:rFonts w:cs="Arial" w:ascii="Arial" w:hAnsi="Arial"/>
                <w:sz w:val="16"/>
                <w:szCs w:val="16"/>
              </w:rPr>
              <w:t>:</w:t>
            </w:r>
          </w:p>
          <w:p>
            <w:pPr>
              <w:pStyle w:val="Normal"/>
              <w:rPr>
                <w:rFonts w:ascii="Arial" w:hAnsi="Arial" w:cs="Arial"/>
                <w:sz w:val="16"/>
                <w:szCs w:val="16"/>
              </w:rPr>
            </w:pPr>
            <w:r>
              <w:rPr>
                <w:rFonts w:cs="Arial" w:ascii="Arial" w:hAnsi="Arial"/>
                <w:sz w:val="16"/>
                <w:szCs w:val="16"/>
              </w:rPr>
              <w:t>типу 1 (штам Mahoney);</w:t>
            </w:r>
          </w:p>
          <w:p>
            <w:pPr>
              <w:pStyle w:val="Normal"/>
              <w:rPr>
                <w:rFonts w:ascii="Arial" w:hAnsi="Arial" w:cs="Arial"/>
                <w:sz w:val="16"/>
                <w:szCs w:val="16"/>
              </w:rPr>
            </w:pPr>
            <w:r>
              <w:rPr>
                <w:rFonts w:cs="Arial" w:ascii="Arial" w:hAnsi="Arial"/>
                <w:sz w:val="16"/>
                <w:szCs w:val="16"/>
              </w:rPr>
              <w:t>типу 2 (штам MEF-1);</w:t>
            </w:r>
          </w:p>
          <w:p>
            <w:pPr>
              <w:pStyle w:val="Normal"/>
              <w:rPr>
                <w:rFonts w:ascii="Arial" w:hAnsi="Arial" w:cs="Arial"/>
                <w:sz w:val="16"/>
                <w:szCs w:val="16"/>
              </w:rPr>
            </w:pPr>
            <w:r>
              <w:rPr>
                <w:rFonts w:cs="Arial" w:ascii="Arial" w:hAnsi="Arial"/>
                <w:sz w:val="16"/>
                <w:szCs w:val="16"/>
              </w:rPr>
              <w:t>типу 3 (штам Saukett);</w:t>
            </w:r>
          </w:p>
          <w:p>
            <w:pPr>
              <w:pStyle w:val="Normal"/>
              <w:rPr/>
            </w:pPr>
            <w:r>
              <w:rPr>
                <w:rFonts w:cs="Arial" w:ascii="Arial" w:hAnsi="Arial"/>
                <w:sz w:val="16"/>
                <w:szCs w:val="16"/>
              </w:rPr>
              <w:t>поверхневий антиген вірусу гепатиту В</w:t>
            </w:r>
            <w:r>
              <w:rPr>
                <w:rFonts w:cs="Arial" w:ascii="Arial" w:hAnsi="Arial"/>
                <w:sz w:val="16"/>
                <w:szCs w:val="16"/>
                <w:vertAlign w:val="superscript"/>
              </w:rPr>
              <w:t>7</w:t>
            </w:r>
            <w:r>
              <w:rPr>
                <w:rFonts w:cs="Arial" w:ascii="Arial" w:hAnsi="Arial"/>
                <w:sz w:val="16"/>
                <w:szCs w:val="16"/>
              </w:rPr>
              <w:t>;</w:t>
            </w:r>
          </w:p>
          <w:p>
            <w:pPr>
              <w:pStyle w:val="Normal"/>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w:t>
            </w:r>
            <w:r>
              <w:rPr>
                <w:rFonts w:cs="Arial" w:ascii="Arial" w:hAnsi="Arial"/>
                <w:i/>
                <w:iCs/>
                <w:sz w:val="16"/>
                <w:szCs w:val="16"/>
              </w:rPr>
              <w:t xml:space="preserve"> b </w:t>
            </w:r>
            <w:r>
              <w:rPr>
                <w:rFonts w:cs="Arial" w:ascii="Arial" w:hAnsi="Arial"/>
                <w:sz w:val="16"/>
                <w:szCs w:val="16"/>
              </w:rPr>
              <w:t>(полірибозилрибітол фосфат), кон’югований з правцевим протеїном</w:t>
            </w:r>
          </w:p>
          <w:p>
            <w:pPr>
              <w:pStyle w:val="Normal"/>
              <w:rPr/>
            </w:pPr>
            <w:r>
              <w:rPr>
                <w:rFonts w:cs="Arial" w:ascii="Arial" w:hAnsi="Arial"/>
                <w:sz w:val="16"/>
                <w:szCs w:val="16"/>
                <w:vertAlign w:val="superscript"/>
              </w:rPr>
              <w:t>5</w:t>
            </w:r>
            <w:r>
              <w:rPr>
                <w:rFonts w:cs="Arial" w:ascii="Arial" w:hAnsi="Arial"/>
                <w:sz w:val="16"/>
                <w:szCs w:val="16"/>
              </w:rPr>
              <w:t> Культивовані на клітинах </w:t>
            </w:r>
            <w:r>
              <w:rPr>
                <w:rFonts w:cs="Arial" w:ascii="Arial" w:hAnsi="Arial"/>
                <w:i/>
                <w:iCs/>
                <w:sz w:val="16"/>
                <w:szCs w:val="16"/>
              </w:rPr>
              <w:t>Vero</w:t>
            </w:r>
            <w:r>
              <w:rPr>
                <w:rFonts w:cs="Arial" w:ascii="Arial" w:hAnsi="Arial"/>
                <w:sz w:val="16"/>
                <w:szCs w:val="16"/>
              </w:rPr>
              <w:t>.</w:t>
            </w:r>
          </w:p>
          <w:p>
            <w:pPr>
              <w:pStyle w:val="Normal"/>
              <w:rPr/>
            </w:pPr>
            <w:r>
              <w:rPr>
                <w:rFonts w:cs="Arial" w:ascii="Arial" w:hAnsi="Arial"/>
                <w:sz w:val="16"/>
                <w:szCs w:val="16"/>
                <w:vertAlign w:val="superscript"/>
              </w:rPr>
              <w:t>7</w:t>
            </w:r>
            <w:r>
              <w:rPr>
                <w:rFonts w:cs="Arial" w:ascii="Arial" w:hAnsi="Arial"/>
                <w:sz w:val="16"/>
                <w:szCs w:val="16"/>
              </w:rPr>
              <w:t xml:space="preserve"> Отриманий на клітинах дріжджів </w:t>
            </w:r>
            <w:r>
              <w:rPr>
                <w:rFonts w:cs="Arial" w:ascii="Arial" w:hAnsi="Arial"/>
                <w:i/>
                <w:iCs/>
                <w:sz w:val="16"/>
                <w:szCs w:val="16"/>
              </w:rPr>
              <w:t>Hansenula polymorpha</w:t>
            </w:r>
            <w:r>
              <w:rPr>
                <w:rFonts w:cs="Arial" w:ascii="Arial" w:hAnsi="Arial"/>
                <w:sz w:val="16"/>
                <w:szCs w:val="16"/>
              </w:rPr>
              <w:t xml:space="preserve"> за допомогою рекомбінантної ДНК-технології</w:t>
            </w:r>
          </w:p>
          <w:p>
            <w:pPr>
              <w:pStyle w:val="Normal"/>
              <w:tabs>
                <w:tab w:val="left" w:pos="12600" w:leader="none"/>
              </w:tabs>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 Маркування українською та англійською, або іншими іноземними мовами.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вторинне пакування (шприци), контроль якості, випуск серій:</w:t>
              <w:br/>
              <w:t xml:space="preserve">Санофі Вінтроп Індастрі, Франція; виробництво готового нерозфасованого продукту, заповнення, вторинне пакування, контроль якості, випуск серій: Санофі Вінтроп Індастрі, Франція; випуск серій: Санофі-Авентіс Зрт., Угорщина; </w:t>
              <w:br/>
              <w:t xml:space="preserve">контроль якості (шприци): Інтернешнл Драг Девелопмент-Експерт, Франція; вторинне пакування: Кюне + Нагель Кфт., Угорщина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UA/13080/01/01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ГЕМЛІБРА®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emicizumab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еміцизумаб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B02BX06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30 мг/1 мл; по 1 мл (30 мг) у флаконі; по 1 флакону в картонній коробці; по 0,4 мл (12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Чугай Фарма Мануфектуринг Ко, Лтд, Японія; Самсунг БіоЛоджикс Ко, Лтд, Республіка Корея; випробування контролю якості: Чугай Фарма Мануфектуринг Ко, Лтд, Японiя; випробування контролю якості, вторинне пакування, випуск серії: 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Японія/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Корея/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міни II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UA/16914/01/01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ГЕМЛІБРА®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emicizumab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еміцизумаб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B02BX06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150 мг/1 мл; по 0,4 мл (60 мг); по 0,7 мл (105 мг); по 1 мл (150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Чугай Фарма Мануфектуринг Ко, Лтд, Японія; Самсунг БіоЛоджикс Ко, Лтд, Республіка Корея; випробування контролю якості: Чугай Фарма Мануфектуринг Ко, Лтд, Японiя; випробування контролю якості, вторинне пакування, випуск серії: 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Японія/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Корея/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UA/16914/01/02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ГЛІЦЕРОЛ ЄВРО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glycerol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гліцерин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A06AX01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супозиторії ректальні по по 2000 мг; по 6 супозиторіїв у блістері; по 1 або по 2 блістери в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контроль/випробування; випуск серії: Лабораторіус Басі - Індустріа Фармасьютіка, С.А., Португалія;</w:t>
              <w:br/>
              <w:t>відповідальний за: виробництво нерозфасованого продукту; первинне пакування; вторинне пакування; контроль/випробування серії:</w:t>
              <w:br/>
              <w:t>Ламп Сан Просперо СПА, Італія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UA/12050/01/02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ГЛІЦЕРОЛ ЄВРО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glycerol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гліцерин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A06AX01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супозиторії ректальні по 1000 мг; по 6 супозиторіїв у блістері; по 1 або по 2 блістери в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контроль/випробування; випуск серії: Лабораторіус Басі - Індустріа Фармасьютіка, С.А., Португалія;</w:t>
              <w:br/>
              <w:t>відповідальний за: виробництво нерозфасованого продукту; первинне пакування; вторинне пакування; контроль/випробування серії:</w:t>
              <w:br/>
              <w:t>Ламп Сан Просперо СПА, Італія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UA/12050/01/01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ГЛІЦИН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glycine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гліцин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в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"ТК "АВРОРА"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упаковка, первинний контроль серії:</w:t>
              <w:br/>
              <w:t>Юкі Госей Когіо Ко., Лтд., виробничий майданчик Джобан, Японiя;</w:t>
              <w:br/>
              <w:t>виробник, що відповідає за контроль, випуск та переконтроль серії:</w:t>
              <w:br/>
              <w:t>Аджіномото Ко., Інк., Японiя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Японія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pPr>
            <w:r>
              <w:rPr>
                <w:rFonts w:cs="Arial" w:ascii="Arial" w:hAnsi="Arial"/>
                <w:sz w:val="16"/>
                <w:szCs w:val="16"/>
              </w:rPr>
              <w:t>UA/20766/01/01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ГЛЮКОЗА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glucose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глюкози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V06DC01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100 мг/мл; по 200 мл у пляшках скляних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UA/6411/01/02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ДАРФЕН® ЕКСПРЕС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мг/10 мл по 10 мл у саше; по 10 саше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контроль/тестування, випуск серії готового продукту:</w:t>
              <w:br/>
              <w:t>ЕДЕФАРМ, С.Л., Іспанiя;</w:t>
              <w:br/>
              <w:t>контроль/тестування та випуск серії готового продукту:</w:t>
              <w:br/>
              <w:t xml:space="preserve">Фармалідер, С.А., Іспанія; </w:t>
              <w:br/>
              <w:t>мікробіологічний контроль:</w:t>
              <w:br/>
              <w:t>Біолаб,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UA/18783/01/01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ДАРФЕН® КІДС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ібупрофен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оральна, 100 мг/5 мл по 100 мл у флаконі або по 200 мл у флаконі; по 1 флакону у комплекті зі шприцом-дозатором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w:t>
              <w:br/>
              <w:t>Делфарм Бладел Б.В., Нідерланди;</w:t>
              <w:br/>
              <w:t>виробництво, первинне та вторинне пакування, випуск серії готового продукту:</w:t>
              <w:br/>
              <w:t>Едефарм, С.Л., Іспанiя;</w:t>
              <w:br/>
              <w:t>контроль якості (за винятком мікробіологічного контролю), випуск серії готового продукту:</w:t>
              <w:br/>
              <w:t xml:space="preserve">Фармалідер, С.А., Іспанія; </w:t>
              <w:br/>
              <w:t xml:space="preserve">мікробіологічний контроль (субпідрядник компанії Farmalider, S.A.): </w:t>
              <w:br/>
              <w:t>Біолаб,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UA/18549/01/01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ДАРФЕН® КІДС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мг/5 мл по 100 мл у флаконі, по 1 флакону у комплекті зі шприцом-дозатором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w:t>
              <w:br/>
              <w:t>Делфарм Бладел Б.В., Нідерланди;</w:t>
              <w:br/>
              <w:t>виробництво, первинне та вторинне пакування, випуск серії готового продукту:</w:t>
              <w:br/>
              <w:t>Едефарм, С.Л., Іспанiя;</w:t>
              <w:br/>
              <w:t>контроль якості (за винятком мікробіологічного контролю), випуск серії готового продукту:</w:t>
              <w:br/>
              <w:t xml:space="preserve">Фармалідер С.А., Іспанія; </w:t>
              <w:br/>
              <w:t xml:space="preserve">мікробіологічний контроль (субпідрядник компанії Farmalider, S.A.): </w:t>
              <w:br/>
              <w:t>Біолаб,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UA/18550/01/01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ДЖАЗ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Drospirenone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1 таблетка рожевого кольору містить: етинілестрадіол (у вигляді клатрату з бетадексом) та дроспіренон, левомефолат кальцію;</w:t>
            </w:r>
          </w:p>
          <w:p>
            <w:pPr>
              <w:pStyle w:val="112"/>
              <w:tabs>
                <w:tab w:val="left" w:pos="12600" w:leader="none"/>
              </w:tabs>
              <w:rPr>
                <w:rFonts w:ascii="Arial" w:hAnsi="Arial" w:cs="Arial"/>
                <w:color w:val="000000"/>
                <w:sz w:val="16"/>
                <w:szCs w:val="16"/>
              </w:rPr>
            </w:pPr>
            <w:r>
              <w:rPr>
                <w:rFonts w:cs="Arial" w:ascii="Arial" w:hAnsi="Arial"/>
                <w:sz w:val="16"/>
                <w:szCs w:val="16"/>
              </w:rPr>
              <w:t>1 таблетка світло-оранжевого кольору містить левомефолат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 28: по 24 таблетки рожевого кольору і по 4 таблетки світло-оранжевого кольору в блістері; по 1 блістеру в картонній пачці; по 1 картонній пачці в упаковці з поліетилену; № 84: по 24 таблетки оранжевого кольору і по 4 таблетки світло-оранжевого кольору в блістері; по 1 блістеру в картонній пачці; по 3 картонних пачки в упаковці з поліетилену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 Байєр АГ, Німеччина; Виробництво за повним циклом: Байєр Ваймар ГмбХ і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UA/12143/01/01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ДІАПІРИД®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glimepiride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глімепірид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A10BB12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3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UA/16360/01/02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ДІАПІРИД®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glimepiride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глімепірид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A10BB12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4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UA/16360/01/03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ДІАПІРИД®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glimepiride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глімепірид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A10BB12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UA/16360/01/01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ДОБУТАМІН АДМЕДА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dobutamine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добутаміну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C01CA07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250 мг/50 мл по 50 мл (250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Адмеда Арцнайміттель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Солюфарм Фармацойтіше Ерцойгніссе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UA/5714/01/01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ДОМРИД® SR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domperidone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домперидону малеат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A03FA03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30 мг, по 10 таблеток у блістері; по 1 або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UA/8976/03/01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ДУОСТАД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tamsulosin and dutasteride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дутастерид, тамсулозину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G04CA52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тверді 0,5 мг/0,4 мг; по 30 або по 90 капсул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СТАДА Арцнайміттель АГ, Німеччина;</w:t>
              <w:br/>
              <w:t>виробництво проміжного продукту (м'які желатинові капсули дутастериду), виробництво готового продукту, первинне та вторинне пакування, хіміко-фізичний контроль, випуск серії:</w:t>
              <w:br/>
              <w:t>ЛАБОРАТОРІОС ЛЕОН ФАРМА, С.А., Іспанія;</w:t>
              <w:br/>
              <w:t>виробництво проміжного продукту (пелети тамсулозину гідрохлориду з модифікованим вивільненням):</w:t>
              <w:br/>
              <w:t>С.С. Зентіва С.А., Румунія;</w:t>
              <w:br/>
              <w:t>мікробіологічний котроль:</w:t>
              <w:br/>
              <w:t>ЛАБОРАТОРІО ЕЧЕВАРНЕ, С.А., Іспанiя;</w:t>
              <w:br/>
              <w:t>хіміко-фізичний контроль:</w:t>
              <w:br/>
              <w:t>ФУНДАСІОН ТЕКНАЛІЯ РЕСЕРЧ ЕНД ІННОВЕЙШН, Іспанія</w:t>
              <w:br/>
              <w:t>хіміко-фізичний та мікробіологічний контроль:</w:t>
              <w:br/>
              <w:t>НЕТФАРМАЛАБ КОНСАЛТИНГ СЕРВІСЕС, Іспанiя;</w:t>
              <w:br/>
              <w:t>первинне та вторинне пакування:</w:t>
              <w:br/>
              <w:t xml:space="preserve">ЛАБОРАТОРІОС ЛІКОНCА, С.А., Іспанiя; </w:t>
              <w:br/>
              <w:t>вторинне пакування:</w:t>
              <w:br/>
              <w:t>АТДІС ФАРМА, С.Л., Іспанiя;</w:t>
              <w:br/>
              <w:t>вторинне пакування:</w:t>
              <w:br/>
              <w:t>МАНАНТІАЛ ІНТЕГРА, С.Л.Ю.,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UA/20596/01/01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ЕМАПЛАГ®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Other systemic hemostatics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рекомбінантного тромбопоетину людини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B02BX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t>розчин для ін'єкцій, по 15 000 ОД/мл, по 1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Шеньян Саншайн Фармасьютікал Ко.,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Китайська Народна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color w:val="000000"/>
                <w:sz w:val="16"/>
                <w:szCs w:val="16"/>
                <w:lang w:val="ru-RU"/>
              </w:rPr>
              <w:t xml:space="preserve">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UA/15181/01/01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ru-RU"/>
              </w:rPr>
            </w:pPr>
            <w:r>
              <w:rPr>
                <w:rFonts w:cs="Arial" w:ascii="Arial" w:hAnsi="Arial"/>
                <w:b/>
                <w:sz w:val="16"/>
                <w:szCs w:val="16"/>
                <w:lang w:val="ru-RU"/>
              </w:rPr>
              <w:t>ЕНДЖЕРИКС-В ВАКЦИНА ДЛЯ ПРОФІЛАКТИКИ ВІРУСНОГО ГЕПАТИТУ В, РЕКОМБІНАНТНА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hepatitis B, purified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HBsAg</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J07B 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20 мкг/1 мл; по 1 мл (20 мкг) (1 доза) та по 0,5 мл (10 мкг) (1 доза) у флаконі; по 1, або 10 або 25 скляних монодозних флаконів у картонній коробці з маркуванням українською мовою; по 1 мл (20 мкг) (1 доза) та по 0,5 мл (10 мкг) (1 доза) у попередньо наповненому шприці; по 1 попередньо наповненому шприцу в картонній коробці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pPr>
            <w:r>
              <w:rPr>
                <w:rFonts w:cs="Arial" w:ascii="Arial" w:hAnsi="Arial"/>
                <w:color w:val="000000"/>
                <w:sz w:val="16"/>
                <w:szCs w:val="16"/>
                <w:lang w:val="ru-RU"/>
              </w:rPr>
              <w:t>Велика Британ</w:t>
            </w:r>
            <w:r>
              <w:rPr>
                <w:rFonts w:cs="Arial" w:ascii="Arial" w:hAnsi="Arial"/>
                <w:color w:val="000000"/>
                <w:sz w:val="16"/>
                <w:szCs w:val="16"/>
              </w:rPr>
              <w:t>i</w:t>
            </w:r>
            <w:r>
              <w:rPr>
                <w:rFonts w:cs="Arial" w:ascii="Arial" w:hAnsi="Arial"/>
                <w:color w:val="000000"/>
                <w:sz w:val="16"/>
                <w:szCs w:val="16"/>
                <w:lang w:val="ru-RU"/>
              </w:rPr>
              <w:t>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ГлаксоСмітКляйн Біолоджікалз, Франція </w:t>
              <w:br/>
              <w:t>(Маркування та пакування готового продукту);</w:t>
              <w:br/>
              <w:t>ГлаксоСмітКляйн Біолоджікалз С.А., Бельгія</w:t>
              <w:br/>
              <w:t>(Формування вакцини, наповнення в флакони та шприці, проведення контролю якості вакцини, маркування і пакування готового продукту);</w:t>
              <w:br/>
              <w:t xml:space="preserve">СмітКляйн Бічем Фарма ГмбХ унд Ко. КГ, Німеччина </w:t>
              <w:br/>
              <w:t>(Формування вакцини, наповнення в шприці, проведення контролю якості вакцини);</w:t>
              <w:br/>
              <w:t>ГлаксоСмітКляйн Біолоджікалз С.А., Бельгія</w:t>
              <w:br/>
              <w:t>(Випуск серії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Франція/</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Бельгія/</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Зміни </w:t>
            </w:r>
            <w:r>
              <w:rPr>
                <w:rFonts w:cs="Arial" w:ascii="Arial" w:hAnsi="Arial"/>
                <w:color w:val="000000"/>
                <w:sz w:val="16"/>
                <w:szCs w:val="16"/>
              </w:rPr>
              <w:t>II</w:t>
            </w:r>
            <w:r>
              <w:rPr>
                <w:rFonts w:cs="Arial" w:ascii="Arial" w:hAnsi="Arial"/>
                <w:color w:val="000000"/>
                <w:sz w:val="16"/>
                <w:szCs w:val="16"/>
                <w:lang w:val="ru-RU"/>
              </w:rPr>
              <w:t xml:space="preserve"> типу</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112"/>
              <w:tabs>
                <w:tab w:val="left" w:pos="12600" w:leader="none"/>
              </w:tabs>
              <w:jc w:val="center"/>
              <w:rPr>
                <w:rFonts w:ascii="Arial" w:hAnsi="Arial" w:cs="Arial"/>
                <w:color w:val="000000"/>
                <w:sz w:val="16"/>
                <w:szCs w:val="16"/>
              </w:rPr>
            </w:pPr>
            <w:r>
              <w:rPr>
                <w:rFonts w:eastAsia="Arial" w:cs="Arial" w:ascii="Arial" w:hAnsi="Arial"/>
                <w:color w:val="000000"/>
                <w:sz w:val="16"/>
                <w:szCs w:val="16"/>
                <w:lang w:val="ru-RU"/>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UA/15740/01/01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ЕСКАПЕЛ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levonorgestrel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левоноргестрел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G03AD01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 таблетці у блістері; по 1 блістеру разом з картонним футляром для зберігання блістера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UA/4789/01/01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ЕСПА-ПРАЗОЛ®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пантопразолу натрію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20 мг; по 14 таблеток в блістері (алюмінієва фольга з обох боків, або алюмінієва фольга з одного боку та плівка PVC/PE/PVdC з іншого), по 1 або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Адванс Фарма ГмбХ, Німеччина;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еспарма Фарма Сервісез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UA/17588/01/01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ЕСПА-ПРАЗОЛ®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пантопразолу натрію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40 мг; по 14 таблеток в блістері (алюмінієва фольга з обох боків, або алюмінієва фольга з одного боку та плівка PVC/PE/PVdC з іншого), по 1 або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Адванс Фарма ГмбХ, Німеччина;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еспарма Фарма Сервісез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UA/17588/01/02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ЄВРОФАСТ СОФТКАПС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10 капсул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Олів Фармасайєнс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UA/19861/01/01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ЄВРОФАСТ СОФТКАПС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Олів Фармасайєнс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UA/19861/01/02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ЖАСТІНДА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dienogest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етинілестрадіол та дієногест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G03AA16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 мг/0,03 мг; по 21 таблетці у блістері, по 1 або 3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виробник, який відповідає за мікробіологічне тестування:</w:t>
              <w:br/>
              <w:t>Лабораторіо Ечеварне, С.А.,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ЗОНІК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1 або по 2, або по 4,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pPr>
            <w:r>
              <w:rPr>
                <w:rFonts w:cs="Arial" w:ascii="Arial" w:hAnsi="Arial"/>
                <w:sz w:val="16"/>
                <w:szCs w:val="16"/>
              </w:rPr>
              <w:t>UA/16350/01/01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ЗОНІК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in bulk: № 5292 (14х378): по 14 капсул у блістері; по 378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UA/21141/01/01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ІМОВАКС ПОЛІО® ВАКЦИНА ДЛЯ ПРОФІЛАКТИКИ ПОЛІОМІЄЛІТУ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Poliomyelitis, trivalent,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sz w:val="16"/>
                <w:szCs w:val="16"/>
              </w:rPr>
              <w:t>Інактивований поліовірус типу 1 (Mahoney)</w:t>
            </w:r>
            <w:r>
              <w:rPr>
                <w:rFonts w:cs="Arial" w:ascii="Arial" w:hAnsi="Arial"/>
                <w:sz w:val="16"/>
                <w:szCs w:val="16"/>
                <w:vertAlign w:val="superscript"/>
              </w:rPr>
              <w:t>#</w:t>
            </w:r>
            <w:r>
              <w:rPr>
                <w:rFonts w:cs="Arial" w:ascii="Arial" w:hAnsi="Arial"/>
                <w:sz w:val="16"/>
                <w:szCs w:val="16"/>
              </w:rPr>
              <w:t>;</w:t>
            </w:r>
          </w:p>
          <w:p>
            <w:pPr>
              <w:pStyle w:val="Normal"/>
              <w:jc w:val="both"/>
              <w:rPr/>
            </w:pPr>
            <w:r>
              <w:rPr>
                <w:rFonts w:cs="Arial" w:ascii="Arial" w:hAnsi="Arial"/>
                <w:sz w:val="16"/>
                <w:szCs w:val="16"/>
              </w:rPr>
              <w:t>Інактивований поліовірус типу 2 (MEF-1)</w:t>
            </w:r>
            <w:r>
              <w:rPr>
                <w:rFonts w:cs="Arial" w:ascii="Arial" w:hAnsi="Arial"/>
                <w:sz w:val="16"/>
                <w:szCs w:val="16"/>
                <w:vertAlign w:val="superscript"/>
              </w:rPr>
              <w:t>#</w:t>
            </w:r>
            <w:r>
              <w:rPr>
                <w:rFonts w:cs="Arial" w:ascii="Arial" w:hAnsi="Arial"/>
                <w:sz w:val="16"/>
                <w:szCs w:val="16"/>
              </w:rPr>
              <w:t xml:space="preserve"> ;</w:t>
            </w:r>
          </w:p>
          <w:p>
            <w:pPr>
              <w:pStyle w:val="Normal"/>
              <w:jc w:val="both"/>
              <w:rPr>
                <w:rFonts w:ascii="Arial" w:hAnsi="Arial" w:cs="Arial"/>
                <w:sz w:val="16"/>
                <w:szCs w:val="16"/>
                <w:lang w:val="ru-RU"/>
              </w:rPr>
            </w:pPr>
            <w:r>
              <w:rPr>
                <w:rFonts w:cs="Arial" w:ascii="Arial" w:hAnsi="Arial"/>
                <w:sz w:val="16"/>
                <w:szCs w:val="16"/>
                <w:lang w:val="ru-RU"/>
              </w:rPr>
              <w:t>Інактивований</w:t>
            </w:r>
            <w:r>
              <w:rPr>
                <w:rFonts w:cs="Arial" w:ascii="Arial" w:hAnsi="Arial"/>
                <w:sz w:val="16"/>
                <w:szCs w:val="16"/>
              </w:rPr>
              <w:t> </w:t>
            </w:r>
            <w:r>
              <w:rPr>
                <w:rFonts w:cs="Arial" w:ascii="Arial" w:hAnsi="Arial"/>
                <w:sz w:val="16"/>
                <w:szCs w:val="16"/>
                <w:lang w:val="ru-RU"/>
              </w:rPr>
              <w:t>поліовірус</w:t>
            </w:r>
            <w:r>
              <w:rPr>
                <w:rFonts w:cs="Arial" w:ascii="Arial" w:hAnsi="Arial"/>
                <w:sz w:val="16"/>
                <w:szCs w:val="16"/>
              </w:rPr>
              <w:t> </w:t>
            </w:r>
            <w:r>
              <w:rPr>
                <w:rFonts w:cs="Arial" w:ascii="Arial" w:hAnsi="Arial"/>
                <w:sz w:val="16"/>
                <w:szCs w:val="16"/>
                <w:lang w:val="ru-RU"/>
              </w:rPr>
              <w:t>типу 3 (</w:t>
            </w:r>
            <w:r>
              <w:rPr>
                <w:rFonts w:cs="Arial" w:ascii="Arial" w:hAnsi="Arial"/>
                <w:sz w:val="16"/>
                <w:szCs w:val="16"/>
              </w:rPr>
              <w:t>Saukett</w:t>
            </w:r>
            <w:r>
              <w:rPr>
                <w:rFonts w:cs="Arial" w:ascii="Arial" w:hAnsi="Arial"/>
                <w:sz w:val="16"/>
                <w:szCs w:val="16"/>
                <w:lang w:val="ru-RU"/>
              </w:rPr>
              <w:t>)</w:t>
            </w:r>
            <w:r>
              <w:rPr>
                <w:rFonts w:cs="Arial" w:ascii="Arial" w:hAnsi="Arial"/>
                <w:sz w:val="16"/>
                <w:szCs w:val="16"/>
                <w:vertAlign w:val="superscript"/>
                <w:lang w:val="ru-RU"/>
              </w:rPr>
              <w:t>#</w:t>
            </w:r>
          </w:p>
          <w:p>
            <w:pPr>
              <w:pStyle w:val="Normal"/>
              <w:jc w:val="both"/>
              <w:rPr>
                <w:rFonts w:ascii="Arial" w:hAnsi="Arial" w:cs="Arial"/>
                <w:sz w:val="16"/>
                <w:szCs w:val="16"/>
                <w:lang w:val="ru-RU"/>
              </w:rPr>
            </w:pPr>
            <w:r>
              <w:rPr>
                <w:rFonts w:cs="Arial" w:ascii="Arial" w:hAnsi="Arial"/>
                <w:sz w:val="16"/>
                <w:szCs w:val="16"/>
                <w:vertAlign w:val="superscript"/>
                <w:lang w:val="ru-RU"/>
              </w:rPr>
              <w:t>#</w:t>
            </w:r>
            <w:r>
              <w:rPr>
                <w:rFonts w:cs="Arial" w:ascii="Arial" w:hAnsi="Arial"/>
                <w:sz w:val="16"/>
                <w:szCs w:val="16"/>
                <w:vertAlign w:val="superscript"/>
              </w:rPr>
              <w:t> </w:t>
            </w:r>
            <w:r>
              <w:rPr>
                <w:rFonts w:cs="Arial" w:ascii="Arial" w:hAnsi="Arial"/>
                <w:sz w:val="16"/>
                <w:szCs w:val="16"/>
                <w:lang w:val="ru-RU"/>
              </w:rPr>
              <w:t>Культивовані на клітинах</w:t>
            </w:r>
            <w:r>
              <w:rPr>
                <w:rFonts w:cs="Arial" w:ascii="Arial" w:hAnsi="Arial"/>
                <w:sz w:val="16"/>
                <w:szCs w:val="16"/>
              </w:rPr>
              <w:t> </w:t>
            </w:r>
            <w:r>
              <w:rPr>
                <w:rFonts w:cs="Arial" w:ascii="Arial" w:hAnsi="Arial"/>
                <w:i/>
                <w:iCs/>
                <w:sz w:val="16"/>
                <w:szCs w:val="16"/>
              </w:rPr>
              <w:t>Vero</w:t>
            </w:r>
          </w:p>
          <w:p>
            <w:pPr>
              <w:pStyle w:val="112"/>
              <w:tabs>
                <w:tab w:val="left" w:pos="12600" w:leader="none"/>
              </w:tabs>
              <w:rPr>
                <w:rFonts w:ascii="Arial" w:hAnsi="Arial" w:cs="Arial"/>
                <w:sz w:val="16"/>
                <w:szCs w:val="16"/>
                <w:lang w:val="ru-RU"/>
              </w:rPr>
            </w:pPr>
            <w:r>
              <w:rPr>
                <w:rFonts w:cs="Arial" w:ascii="Arial" w:hAnsi="Arial"/>
                <w:sz w:val="16"/>
                <w:szCs w:val="16"/>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J07BF03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Маркування українською, англійською та іншими іноземними мовами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заповнення та інспектування шприців, контроль якості (стерильність) (для попередньо заповнених шприців): САНОФІ ВІНТРОП ІНДАСТРІА, Францiя; випуск серії (для попередньо заповнених шприців та флаконів): Санофі-Авентіс Зрт., Угорщина; вторинне пакування (для попередньо заповнених шприців та флаконів): Кюне + Нагель Кфт.,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UA/14266/01/01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ІМОВАКС ПОЛІО® ВАКЦИНА ДЛЯ ПРОФІЛАКТИКИ ПОЛІОМІЄЛІТУ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Poliomyelitis, trivalent,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sz w:val="16"/>
                <w:szCs w:val="16"/>
              </w:rPr>
              <w:t>Інактивований поліовірус типу 1 (Mahoney)</w:t>
            </w:r>
            <w:r>
              <w:rPr>
                <w:rFonts w:cs="Arial" w:ascii="Arial" w:hAnsi="Arial"/>
                <w:sz w:val="16"/>
                <w:szCs w:val="16"/>
                <w:vertAlign w:val="superscript"/>
              </w:rPr>
              <w:t>#</w:t>
            </w:r>
            <w:r>
              <w:rPr>
                <w:rFonts w:cs="Arial" w:ascii="Arial" w:hAnsi="Arial"/>
                <w:sz w:val="16"/>
                <w:szCs w:val="16"/>
              </w:rPr>
              <w:t>;</w:t>
            </w:r>
          </w:p>
          <w:p>
            <w:pPr>
              <w:pStyle w:val="Normal"/>
              <w:jc w:val="both"/>
              <w:rPr/>
            </w:pPr>
            <w:r>
              <w:rPr>
                <w:rFonts w:cs="Arial" w:ascii="Arial" w:hAnsi="Arial"/>
                <w:sz w:val="16"/>
                <w:szCs w:val="16"/>
              </w:rPr>
              <w:t>Інактивований поліовірус типу 2 (MEF-1)</w:t>
            </w:r>
            <w:r>
              <w:rPr>
                <w:rFonts w:cs="Arial" w:ascii="Arial" w:hAnsi="Arial"/>
                <w:sz w:val="16"/>
                <w:szCs w:val="16"/>
                <w:vertAlign w:val="superscript"/>
              </w:rPr>
              <w:t>#</w:t>
            </w:r>
            <w:r>
              <w:rPr>
                <w:rFonts w:cs="Arial" w:ascii="Arial" w:hAnsi="Arial"/>
                <w:sz w:val="16"/>
                <w:szCs w:val="16"/>
              </w:rPr>
              <w:t xml:space="preserve"> ;</w:t>
            </w:r>
          </w:p>
          <w:p>
            <w:pPr>
              <w:pStyle w:val="Normal"/>
              <w:jc w:val="both"/>
              <w:rPr>
                <w:rFonts w:ascii="Arial" w:hAnsi="Arial" w:cs="Arial"/>
                <w:sz w:val="16"/>
                <w:szCs w:val="16"/>
                <w:lang w:val="ru-RU"/>
              </w:rPr>
            </w:pPr>
            <w:r>
              <w:rPr>
                <w:rFonts w:cs="Arial" w:ascii="Arial" w:hAnsi="Arial"/>
                <w:sz w:val="16"/>
                <w:szCs w:val="16"/>
                <w:lang w:val="ru-RU"/>
              </w:rPr>
              <w:t>Інактивований</w:t>
            </w:r>
            <w:r>
              <w:rPr>
                <w:rFonts w:cs="Arial" w:ascii="Arial" w:hAnsi="Arial"/>
                <w:sz w:val="16"/>
                <w:szCs w:val="16"/>
              </w:rPr>
              <w:t> </w:t>
            </w:r>
            <w:r>
              <w:rPr>
                <w:rFonts w:cs="Arial" w:ascii="Arial" w:hAnsi="Arial"/>
                <w:sz w:val="16"/>
                <w:szCs w:val="16"/>
                <w:lang w:val="ru-RU"/>
              </w:rPr>
              <w:t>поліовірус</w:t>
            </w:r>
            <w:r>
              <w:rPr>
                <w:rFonts w:cs="Arial" w:ascii="Arial" w:hAnsi="Arial"/>
                <w:sz w:val="16"/>
                <w:szCs w:val="16"/>
              </w:rPr>
              <w:t> </w:t>
            </w:r>
            <w:r>
              <w:rPr>
                <w:rFonts w:cs="Arial" w:ascii="Arial" w:hAnsi="Arial"/>
                <w:sz w:val="16"/>
                <w:szCs w:val="16"/>
                <w:lang w:val="ru-RU"/>
              </w:rPr>
              <w:t>типу 3 (</w:t>
            </w:r>
            <w:r>
              <w:rPr>
                <w:rFonts w:cs="Arial" w:ascii="Arial" w:hAnsi="Arial"/>
                <w:sz w:val="16"/>
                <w:szCs w:val="16"/>
              </w:rPr>
              <w:t>Saukett</w:t>
            </w:r>
            <w:r>
              <w:rPr>
                <w:rFonts w:cs="Arial" w:ascii="Arial" w:hAnsi="Arial"/>
                <w:sz w:val="16"/>
                <w:szCs w:val="16"/>
                <w:lang w:val="ru-RU"/>
              </w:rPr>
              <w:t>)</w:t>
            </w:r>
            <w:r>
              <w:rPr>
                <w:rFonts w:cs="Arial" w:ascii="Arial" w:hAnsi="Arial"/>
                <w:sz w:val="16"/>
                <w:szCs w:val="16"/>
                <w:vertAlign w:val="superscript"/>
                <w:lang w:val="ru-RU"/>
              </w:rPr>
              <w:t>#</w:t>
            </w:r>
          </w:p>
          <w:p>
            <w:pPr>
              <w:pStyle w:val="Normal"/>
              <w:jc w:val="both"/>
              <w:rPr>
                <w:rFonts w:ascii="Arial" w:hAnsi="Arial" w:cs="Arial"/>
                <w:sz w:val="16"/>
                <w:szCs w:val="16"/>
                <w:lang w:val="ru-RU"/>
              </w:rPr>
            </w:pPr>
            <w:r>
              <w:rPr>
                <w:rFonts w:cs="Arial" w:ascii="Arial" w:hAnsi="Arial"/>
                <w:sz w:val="16"/>
                <w:szCs w:val="16"/>
                <w:vertAlign w:val="superscript"/>
                <w:lang w:val="ru-RU"/>
              </w:rPr>
              <w:t>#</w:t>
            </w:r>
            <w:r>
              <w:rPr>
                <w:rFonts w:cs="Arial" w:ascii="Arial" w:hAnsi="Arial"/>
                <w:sz w:val="16"/>
                <w:szCs w:val="16"/>
                <w:vertAlign w:val="superscript"/>
              </w:rPr>
              <w:t> </w:t>
            </w:r>
            <w:r>
              <w:rPr>
                <w:rFonts w:cs="Arial" w:ascii="Arial" w:hAnsi="Arial"/>
                <w:sz w:val="16"/>
                <w:szCs w:val="16"/>
                <w:lang w:val="ru-RU"/>
              </w:rPr>
              <w:t>Культивовані на клітинах</w:t>
            </w:r>
            <w:r>
              <w:rPr>
                <w:rFonts w:cs="Arial" w:ascii="Arial" w:hAnsi="Arial"/>
                <w:sz w:val="16"/>
                <w:szCs w:val="16"/>
              </w:rPr>
              <w:t> </w:t>
            </w:r>
            <w:r>
              <w:rPr>
                <w:rFonts w:cs="Arial" w:ascii="Arial" w:hAnsi="Arial"/>
                <w:i/>
                <w:iCs/>
                <w:sz w:val="16"/>
                <w:szCs w:val="16"/>
              </w:rPr>
              <w:t>Vero</w:t>
            </w:r>
          </w:p>
          <w:p>
            <w:pPr>
              <w:pStyle w:val="112"/>
              <w:tabs>
                <w:tab w:val="left" w:pos="12600" w:leader="none"/>
              </w:tabs>
              <w:rPr>
                <w:rFonts w:ascii="Arial" w:hAnsi="Arial" w:cs="Arial"/>
                <w:sz w:val="16"/>
                <w:szCs w:val="16"/>
                <w:lang w:val="ru-RU"/>
              </w:rPr>
            </w:pPr>
            <w:r>
              <w:rPr>
                <w:rFonts w:cs="Arial" w:ascii="Arial" w:hAnsi="Arial"/>
                <w:sz w:val="16"/>
                <w:szCs w:val="16"/>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J07BF03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Маркування українською, англійською та іншими іноземними мовами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заповнення та інспектування шприців, контроль якості (стерильність) (для попередньо заповнених шприців): САНОФІ ВІНТРОП ІНДАСТРІА, Францiя; випуск серії (для попередньо заповнених шприців та флаконів): Санофі-Авентіс Зрт., Угорщина; вторинне пакування (для попередньо заповнених шприців та флаконів): Кюне + Нагель Кфт.,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UA/14266/01/01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ІНСІМ - 400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цефіксим (у вигляді цефіксиму тригідрату)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Сенс Лабораторіс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Сенс Лабораторіс Пвт.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 xml:space="preserve">UA/20180/01/01 </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КАБАЗИТАКСЕЛ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cabazitaxel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кабазитаксел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L01CD04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3 мл (60 мг/3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випуск серії: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 о.о. Склад Імпортера, Польща; виробництво лікарського засобу, первинне та вторинне пакування: Інтас Фармасьютікалc Лімітед, Індія; фізико-хімічний контроль якості: Фармадокс Хелскеа Лімітед, Мальта; мікробіологічний контроль якості: Фармавалід Кфт.,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UA/20864/01/01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КАДСІЛА®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Trastuzumab emtansine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трастузумабу емтансин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L01FD03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концентрату для розчину для інфузій по 100 мг; 1 флакон з порошком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випуск серії:</w:t>
              <w:br/>
              <w:t>Ф.Хоффманн-Ля Рош Лтд, Швейцарія; Випробування контролю якості: Рош Діагностикс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UA/13770/01/01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КАДСІЛА®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Trastuzumab emtansine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трастузумабу емтансин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L01FD03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160 мг; 1 флакон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випуск серії:</w:t>
              <w:br/>
              <w:t>Ф.Хоффманн-Ля Рош Лтд, Швейцарія; Випробування контролю якості: Рош Діагностикс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UA/13770/01/02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КЕТОЛОНГ-ДАРНИЦЯ®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в ампулі; по 5 ампул у контурній чарунковій упаковці; по 2 контурні чарункові упаковки в пачці; по 1 мл в ампулі; по 10 ампул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КЕТОПРОФЕН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кетопрофен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подвійних поліетиленових для фармацевтичного застосування</w:t>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"ТК "Аврора"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Чжецзян Рейбов Фармасьютікал Ко.,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UA/16413/01/01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КЛОТРИМАЗОЛ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clotrimazole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клотримазол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мазь 1 %, по 15 г або по 25 г у тубі, по 1 тубі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br/>
              <w:t>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UA/3967/01/01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КО-ДИРОТОН®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Lisinopril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лізиноприл (у формі лізиноприлу дигідрату) і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10 мг/12,5 мг, по 10 таблеток у блістері; по 1 або по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pPr>
            <w:r>
              <w:rPr>
                <w:rFonts w:cs="Arial" w:ascii="Arial" w:hAnsi="Arial"/>
                <w:color w:val="000000"/>
                <w:sz w:val="16"/>
                <w:szCs w:val="16"/>
              </w:rPr>
              <w:t xml:space="preserve">ВАТ "Гедеон Ріхтер"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"Гедеон Ріхтер Польща", Польща (контроль якості та випуск серії; виробництво нерозфасованої продукції, первинна упаковка, вторинна упаковка); ВАТ "Гедеон Ріхтер", Угорщина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UA/8634/01/01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КО-ДИРОТОН®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Lisinopril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лізиноприл (у формі лізиноприлу дигідрату) і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20 мг/12,5 мг, по 10 таблеток у блістері; по 1 або по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"Гедеон Ріхтер Польща", Польща (контроль якості та випуск серіі; виробництво нерозфасованої продукції, первинна упаковка, вторинна упаковка); випуск серії: ВАТ "Гедеон Ріхтер", Угорщина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UA/8634/01/02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КОРВАЛДИН®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b/>
                <w:b/>
                <w:sz w:val="16"/>
                <w:szCs w:val="16"/>
                <w:lang w:val="en-US" w:eastAsia="en-US"/>
              </w:rPr>
            </w:pPr>
            <w:r>
              <w:rPr>
                <w:rFonts w:cs="Arial" w:ascii="Arial" w:hAnsi="Arial"/>
                <w:b/>
                <w:sz w:val="16"/>
                <w:szCs w:val="16"/>
              </w:rPr>
              <w:t>Barbiturates in combination with other drugs</w:t>
            </w:r>
          </w:p>
          <w:p>
            <w:pPr>
              <w:pStyle w:val="Normal"/>
              <w:tabs>
                <w:tab w:val="left" w:pos="12600" w:leader="none"/>
              </w:tabs>
              <w:rPr>
                <w:rFonts w:ascii="Arial" w:hAnsi="Arial" w:cs="Arial"/>
                <w:b/>
                <w:b/>
                <w:color w:val="000000"/>
                <w:sz w:val="16"/>
                <w:szCs w:val="16"/>
                <w:lang w:val="en-US" w:eastAsia="en-US"/>
              </w:rPr>
            </w:pPr>
            <w:r>
              <w:rPr>
                <w:rFonts w:cs="Arial" w:ascii="Arial" w:hAnsi="Arial"/>
                <w:b/>
                <w:color w:val="000000"/>
                <w:sz w:val="16"/>
                <w:szCs w:val="16"/>
                <w:lang w:val="en-US" w:eastAsia="en-US"/>
              </w:rP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етиловий ефір a-</w:t>
            </w:r>
            <w:r>
              <w:rPr>
                <w:rStyle w:val="Spelle"/>
                <w:rFonts w:cs="Arial" w:ascii="Arial" w:hAnsi="Arial"/>
                <w:sz w:val="16"/>
                <w:szCs w:val="16"/>
              </w:rPr>
              <w:t>бромізовалеріанової</w:t>
            </w:r>
            <w:r>
              <w:rPr>
                <w:rFonts w:cs="Arial" w:ascii="Arial" w:hAnsi="Arial"/>
                <w:color w:val="000000"/>
                <w:sz w:val="16"/>
                <w:szCs w:val="16"/>
              </w:rPr>
              <w:t xml:space="preserve"> кислоти, фенобарбітал, м’яти олія, олія хмелю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 по 50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ення змін до реєстраційних матеріалів: </w:t>
            </w:r>
            <w:r>
              <w:rPr>
                <w:rFonts w:cs="Arial" w:ascii="Arial" w:hAnsi="Arial"/>
                <w:b/>
                <w:color w:val="000000"/>
                <w:sz w:val="16"/>
                <w:szCs w:val="16"/>
              </w:rPr>
              <w:t>уточнення написання "мнн" в наказі МОЗ України</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по 25 мл - без рецепта; по 50 мл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КОРДІПРАЗ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prasugrel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прасугрель у вигляді прасугрелю гідроброміду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B01AC22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ПЛІВА Хрватска д.о.о., Хорватія; контроль серії (метод Рентгенівської дифракції): ПЛІВА Хрватска д.о.о., Хорватія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UA/19992/01/01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КОРДІПРАЗ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prasugrel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прасугрель у вигляді прасугрелю гідроброміду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B01AC22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ПЛІВА Хрватска д.о.о., Хорватія; контроль серії (метод Рентгенівської дифракції): ПЛІВА Хрватска д.о.о., Хорватія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UA/19992/01/02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КСАЛАТАН®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латанопрост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0,005 %; по 2,5 мл у поліетиленовому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Бельгія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UA/11617/01/01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ЛАНІСТОР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25 мг in bulk: по 10 таблеток у блістері по 240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ЛАНІСТОР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50 мг in bulk: по 10 таблеток у блістері по 240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UA/17443/01/02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ЛАНІСТОР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100 мг іn bulk: по 10 таблеток у блістері по 200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UA/17443/01/03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ЛАНІСТОР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25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виробництво продукції in bulk: </w:t>
              <w:br/>
              <w:t>КУСУМ ХЕЛТХКЕР ПВТ ЛТД, Індія;</w:t>
              <w:br/>
              <w:t xml:space="preserve">вторинне пакування, випуск серії з продукції in bulk: </w:t>
              <w:br/>
              <w:t xml:space="preserve">ТОВ «КУСУМ», Україна; контроль якості: </w:t>
              <w:br/>
              <w:t xml:space="preserve">ТОВ «КУСУМ»,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ЛАНІСТОР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виробництво продукції in bulk: </w:t>
              <w:br/>
              <w:t>КУСУМ ХЕЛТХКЕР ПВТ ЛТД, Індія;</w:t>
              <w:br/>
              <w:t xml:space="preserve">вторинне пакування, випуск серії з продукції in bulk: </w:t>
              <w:br/>
              <w:t>ТОВ «КУСУМ»,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контроль якості: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UA/17444/01/03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ЛАНІСТОР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виробництво продукції in bulk: </w:t>
              <w:br/>
              <w:t>КУСУМ ХЕЛТХКЕР ПВТ ЛТД, Індія;</w:t>
              <w:br/>
              <w:t xml:space="preserve">вторинне пакування, випуск серії з продукції in bulk: </w:t>
              <w:br/>
              <w:t>ТОВ «КУСУМ»,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контроль якості: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ЛАЦЕРАН НСТ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ramipril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раміприл і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2,5 мг/12,5 мг; по 7 таблеток у блістері, по 1 або по 3 блістери у картонній коробці,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UA/17578/01/01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ЛАЦЕРАН НСТ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ramipril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раміприл і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5 мг/25 мг; по 7 таблеток у блістері, по 1 або по 3 блістери у картонній коробці,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UA/17578/01/02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ЛЕВАКСЕЛА®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левофлоксацин у вигляді левофлоксацину гемігідрату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J01MA12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 таблетці у блістері; по 1 блістеру в картонній коробці; по 5 таблеток у блістері; по 1 або по 2 блістери в картонній коробці; по 7 таблеток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КРКА, д.д., Ново место, Словенія; первинне та вторинне пакування, контроль серії та випуск серії: КРКА, д.д., Ново место, Словенія; контроль серії: КРКА, д.д., Ново место,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UA/15596/02/02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ЛЕГКОЛАКС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macrogol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поліетиленгліколь (макрогол) 4000</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A06AD15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Виробник ПАТ "Київмедпрепарат": по 10 г в пакеті-саше; по 4 або 10 або 20 пакетів-саше у пачці; по 300 г у банці; по 1 банці з мірною ложкою в пачці; Виробник ТОВ "МАРІФАРМ": по 10 г в пакеті-саше; по 4 або 10 або 20 пакетів-саше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виправлено технічну помилку в тексті маркування вторинної упаковки лікарського засобу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UA/15646/01/02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 xml:space="preserve">ЛЕТРОВІСТА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letrozole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летрозол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L02BG04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2,5 мг, по 10 таблеток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Сінтон Хіспанія, С.Л.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UA/16706/01/01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ЛІНЕКОК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linezolid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лінезолід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J01XX08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серії, випуск серії: ФАРМАТЕН СА, Греція;</w:t>
              <w:br/>
              <w:t>виробництво готової лікарської форми, первинна та вторинна упаковка, контроль серії, випуск серії: ФАРМАТЕН ІНТЕРНЕШНЛ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UA/20216/01/01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ЛОГУФЕН®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або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UA/17411/01/02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ЛОГУФЕН®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in bulk: по 10 таблеток у блістері, по 240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ЛОГУФЕН®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in bulk: по 10 таблеток у блістері; по 180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UA/17412/01/02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ЛОГУФЕН®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10 таблеток у блістері, по 3 або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UA/17411/01/01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ЛОГУФЕН®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оральний, 100 мг/мл по 200 мл у скляному флаконі з кришкою з контролем першого відкриття; по 200 мл у скляному флаконі з кришкою, недоступною для відкриття дітьми; по 1 флакону у картонній упаковці разом зі шприцом-дозатором об’ємом 5 мл та адаптером для шприца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UA/18814/01/01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ЛОПРІДАМ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периндоприлу ербумін, індапамід та амлодипін у формі амлодипіну бесилату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мг/5 мг;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UA/19970/01/01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ЛОПРІДАМ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периндоприлу ербумін, індапамід та амлодипін у формі амлодипіну бесилату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мг/5 мг;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UA/19970/01/02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ЛОПРІДАМ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периндоприлу ербумін, індапамід та амлодипін у формі амлодипіну бесилату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мг/10 мг;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UA/19970/01/03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ЛОРАНО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loratadine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лоратадин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R06AX13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7 таблеток у блістері; по 1 блістеру в картонній коробці; по 10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випуск серії: Салютас Фарма ГмбХ, Німеччина;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випуск серії: Лек С. 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UA/6985/02/01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МЕДОПЕНЕМ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meropenem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меропенему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1 г 1 флакон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UA/11738/01/02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МЕРАЛІС® ІНТЕНСИВ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іпратропію бромід і 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R01AB06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по 10 мл у флаконі з дозуючим пристроєм;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UA/17378/01/01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МОВІКСИКАМ®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мг/1,5 мл; по 1,5 мл в ампулі; по 5 ампул у пластиковому контейнері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Хелп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UA/14916/01/01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МОНОСОПТ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dorzolamide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дорзоламіду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S01EC03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2 %; по 5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Мікро Лабс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UA/20324/01/01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МУКАЛТИН®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althea root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алтеї кореня екстракту сухого (Althaeae radix)</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R05CA05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сироп по 100 мл у банці скляній або у флаконі скляному; по 1 банці або флакону з ложкою мірною в пачці; по 100 мл у флаконі полімерному; по 1 флакону з ложкою мірною в пачці; по 200 мл у флаконі скляному або полімерному; по 1 флакону з ложкою мірною в пачці; по 15 мл в саше; по 20 саше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усі стадії виробництва, за винятком первинного пакування в саше:</w:t>
            </w:r>
          </w:p>
          <w:p>
            <w:pPr>
              <w:pStyle w:val="Normal"/>
              <w:autoSpaceDE w:val="false"/>
              <w:jc w:val="center"/>
              <w:rPr>
                <w:rFonts w:ascii="Arial" w:hAnsi="Arial" w:cs="Arial"/>
                <w:bCs/>
                <w:sz w:val="16"/>
                <w:szCs w:val="16"/>
              </w:rPr>
            </w:pPr>
            <w:r>
              <w:rPr>
                <w:rFonts w:cs="Arial" w:ascii="Arial" w:hAnsi="Arial"/>
                <w:bCs/>
                <w:color w:val="000000"/>
                <w:sz w:val="16"/>
                <w:szCs w:val="16"/>
              </w:rPr>
              <w:t>ПАТ «Галичфарм»,</w:t>
            </w:r>
          </w:p>
          <w:p>
            <w:pPr>
              <w:pStyle w:val="Normal"/>
              <w:autoSpaceDE w:val="false"/>
              <w:jc w:val="center"/>
              <w:rPr>
                <w:rFonts w:ascii="Arial" w:hAnsi="Arial" w:cs="Arial"/>
                <w:bCs/>
                <w:sz w:val="16"/>
                <w:szCs w:val="16"/>
              </w:rPr>
            </w:pPr>
            <w:r>
              <w:rPr>
                <w:rFonts w:cs="Arial" w:ascii="Arial" w:hAnsi="Arial"/>
                <w:bCs/>
                <w:color w:val="000000"/>
                <w:sz w:val="16"/>
                <w:szCs w:val="16"/>
              </w:rPr>
              <w:t>Україна;</w:t>
            </w:r>
          </w:p>
          <w:p>
            <w:pPr>
              <w:pStyle w:val="Normal"/>
              <w:autoSpaceDE w:val="false"/>
              <w:jc w:val="center"/>
              <w:rPr>
                <w:rFonts w:ascii="Arial" w:hAnsi="Arial" w:cs="Arial"/>
                <w:bCs/>
                <w:sz w:val="16"/>
                <w:szCs w:val="16"/>
              </w:rPr>
            </w:pPr>
            <w:r>
              <w:rPr>
                <w:rFonts w:cs="Arial" w:ascii="Arial" w:hAnsi="Arial"/>
                <w:bCs/>
                <w:color w:val="000000"/>
                <w:sz w:val="16"/>
                <w:szCs w:val="16"/>
              </w:rPr>
              <w:t>первинне пакування в саше:</w:t>
            </w:r>
          </w:p>
          <w:p>
            <w:pPr>
              <w:pStyle w:val="Normal"/>
              <w:autoSpaceDE w:val="false"/>
              <w:jc w:val="center"/>
              <w:rPr>
                <w:rFonts w:ascii="Arial" w:hAnsi="Arial" w:cs="Arial"/>
                <w:bCs/>
                <w:sz w:val="16"/>
                <w:szCs w:val="16"/>
              </w:rPr>
            </w:pPr>
            <w:r>
              <w:rPr>
                <w:rFonts w:cs="Arial" w:ascii="Arial" w:hAnsi="Arial"/>
                <w:bCs/>
                <w:color w:val="000000"/>
                <w:sz w:val="16"/>
                <w:szCs w:val="16"/>
              </w:rPr>
              <w:t>ТОВ «КОРПОРАЦІЯ «ЗДОРОВ’Я»,</w:t>
            </w:r>
          </w:p>
          <w:p>
            <w:pPr>
              <w:pStyle w:val="Normal"/>
              <w:autoSpaceDE w:val="false"/>
              <w:jc w:val="center"/>
              <w:rPr>
                <w:rFonts w:ascii="Arial" w:hAnsi="Arial" w:cs="Arial"/>
                <w:color w:val="000000"/>
                <w:sz w:val="16"/>
                <w:szCs w:val="16"/>
              </w:rPr>
            </w:pPr>
            <w:r>
              <w:rPr>
                <w:rFonts w:cs="Arial" w:ascii="Arial" w:hAnsi="Arial"/>
                <w:bCs/>
                <w:color w:val="000000"/>
                <w:sz w:val="16"/>
                <w:szCs w:val="16"/>
              </w:rP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UA/8800/01/01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МУКАЛТИН®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althea root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алтеї кореня екстракту сухого (Althaeae radix)</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сироп in bulk: по 100 мл у банці скляній, або у флаконі скляному, або флаконі полімерному; по 48 банок скляних, або флаконів скляних, або флаконів полімерних у коробі картонному; in bulk: по 200 мл у флаконі скляному або флаконі полімерному; по 30 флаконів скляних або флаконів полімерних у коробі картонному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UA/9508/01/01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МУЛЬТИГРИП БРОНХО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600 мг; по 3 г у саше; по 2, 10, 20 або 30 саше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Білім Ілач Сан. ве Тід.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UA/18122/01/01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НІСТАТИНОВА МАЗЬ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nystatin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ністатин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D01AA01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мазь, 100000 ОД/г; по 15 г у тубі; по 1 тубі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UA/8829/01/01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НУМЕТА G13Е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FFFFF" w:val="clear"/>
              </w:rPr>
              <w:t>L-аланін; L-аргінін; L-аспарагінова кислота; L-цистеїн; L-глутамінова кислота; гліцин; L-гістидин; L-ізолейцин; L-лейцин; L-лізину моногідрат (що еквівалентно лізину); L-метіонін; L-орнітину гідрохлорид (що еквівалентно орнітину); L-фенілаланін;       L-пролін; L-серин; таурин; L-треонін; L-триптофан; L-тирозин; L-валін; калію ацетат; кальцію хлорид, дигідрат; магнію ацетат, тетрагідрат; натрію гліцерофосфат, гідрат; глюкоза, моногідрат (що еквівалентно глюкозі безводній); олія оливкова рафінована та олія соєва рафінована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B05BA10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емульсія для інфузій; по 300 мл (50 % розчин глюкози – 80 мл; 5,9 % розчин амінокислот з електролітами – 160 мл; 12,5 % ліпідна емульсія – 60 мл) у трикамерному пластиковому пакеті. Трикамерний пластиковий пакет упакований у захисну плівкову оболонку, що містить поглинач кисню та індикатор кисню; по 10 пакетів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Бакстер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випробування компонентів складу; випробування проміжного продукту (суміш амінокислот); виробництво системи контейнер/закупорювальний засіб; виробництво лікарського засобу, наповнення, покриття захисною оболонкою (overpouching); стерилізація та упаковка; випробування лікарського засобу; випуск серії: Бакстер С.А., Бельгiя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UA/17633/01/01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НУМЕТА G16Е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FFFFF" w:val="clear"/>
              </w:rPr>
              <w:t>L-аланін; L-аргінін; L-аспарагінова кислота; L-цистеїн; L-глутамінова кислота; гліцин; L-гістидин; L-ізолейцин; L-лейцин; L-лізину моногідрат (що еквівалентно лізину); L-метіонін; L-орнітину гідрохлорид (що еквівалентно орнітину); L-фенілаланін; L-пролін; L-серин; таурин; L-треонін; L-триптофан; L-тирозин; L-валін; натрію хлорид; калію ацетат; кальцію хлорид, дигідрат; магнію ацетат, тетрагідрат; натрію гліцерофосфат, гідрат; глюкоза, моногідрат (що еквівалентно глюкозі безводній); олія оливкова рафінована та олія соєва рафінована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B05BA10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емульсія для інфузій; по 500 мл (50 % розчин глюкози – 155 мл; 5,9 % розчин амінокислот з електролітами – 221 мл; 12,5 % ліпідна емульсія – 124 мл) у трикамерному пластиковому пакеті. Трикамерний пластиковий пакет упакований у захисну плівкову оболонку, що містить поглинач кисню та індикатор кисню; по 6 пакетів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Бакстер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випробування компонентів складу; випробування проміжного продукту (суміш амінокислот); виробництво системи контейнер/закупорювальний засіб; виробництво лікарського засобу, наповнення, покриття захисною оболонкою (overpouching); стерилізація та упаковка; випробування лікарського засобу; випуск серії: Бакстер С.А., Бельгiя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UA/17605/01/01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 xml:space="preserve">ОЛОПАТАДИН УНІМЕД ФАРМА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olopatadine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олопатадину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S01GX09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краплі очні, розчин, 1 мг/мл; по 5 мл або по 10 мл у флаконі-крапельниці; по 1 флакону-крапельниці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«УНІМЕД ФАРМА»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UA/20019/01/01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ОМНІТРОП®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10 мг/1,5 мл, </w:t>
            </w:r>
            <w:r>
              <w:rPr>
                <w:rFonts w:cs="Arial" w:ascii="Arial" w:hAnsi="Arial"/>
                <w:b/>
                <w:color w:val="000000"/>
                <w:sz w:val="16"/>
                <w:szCs w:val="16"/>
              </w:rPr>
              <w:t>по 1,5 мл у картриджі;</w:t>
            </w:r>
            <w:r>
              <w:rPr>
                <w:rFonts w:cs="Arial" w:ascii="Arial" w:hAnsi="Arial"/>
                <w:color w:val="000000"/>
                <w:sz w:val="16"/>
                <w:szCs w:val="16"/>
              </w:rPr>
              <w:t xml:space="preserve"> по 1, 5 або 10 картриджів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упаковки в наказі МОЗ України</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ОМНІТРОП®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5 мг/1,5 мл; </w:t>
            </w:r>
            <w:r>
              <w:rPr>
                <w:rFonts w:cs="Arial" w:ascii="Arial" w:hAnsi="Arial"/>
                <w:b/>
                <w:color w:val="000000"/>
                <w:sz w:val="16"/>
                <w:szCs w:val="16"/>
              </w:rPr>
              <w:t>по 1,5 мл у картриджі;</w:t>
            </w:r>
            <w:r>
              <w:rPr>
                <w:rFonts w:cs="Arial" w:ascii="Arial" w:hAnsi="Arial"/>
                <w:color w:val="000000"/>
                <w:sz w:val="16"/>
                <w:szCs w:val="16"/>
              </w:rPr>
              <w:t xml:space="preserve"> по 1, 5 або 10 картриджів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упаковки в наказі МОЗ України</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ОТРИВІН З МЕНТОЛОМ ТА ЕВКАЛІПТОМ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0,1 %; по 10 мл у полімерному флаконі з розпилювачем;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Халеон КХ САРЛ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Халеон КХ С.а.р.л.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UA/5416/01/01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ОФТИМОЛ®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timolol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тимололу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S01ED01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краплі очні, 5 мг/мл; по 5 мл або по 10 мл у флаконі; по 1 флакону у пачці із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UA/4314/01/02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ПАНКРЕАТИН 10 000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Multienzymes (lipase, protease etc.)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панкреатину порошок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пелети (субстанція) у щільно закритих світлостійких контейнерах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«БЕРКАНА+»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Мурлі Крішна Фарма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UA/21375/01/01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ПІРАЦЕТАМ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200 мг; по 15 таблеток у блістері; по 4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UA/5788/01/01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ПІРАЦЕТАМ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400 мг; по 10 таблеток у блістері; по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UA/5788/01/02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ПІРАЦЕТАМ-ДАРНИЦЯ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piracetam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пірацетам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200 мг/мл, по 5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фірма "Дарниця"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UA/3225/02/01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ПРЕВЕНАР 20 ВАКЦИНА ПНЕВМОКОКОВА ПОЛІСАХАРИДНА КОН'ЮГОВАНА (20-ВАЛЕНТНА,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Pneumococcus, purified polysaccharides antigen conjugated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пневмококові полісахариди серотипів 1, 3, 4, 5, 6A, 6B, 7F, 8, 9V, 10А, 11А, 12F, 14, 15B, 18C, 19A, 19F, 22F, 23F, 33F кон’югованих з білком носієм CRM</w:t>
            </w:r>
            <w:r>
              <w:rPr>
                <w:rFonts w:cs="Arial" w:ascii="Arial" w:hAnsi="Arial"/>
                <w:color w:val="000000"/>
                <w:sz w:val="16"/>
                <w:szCs w:val="16"/>
                <w:vertAlign w:val="subscript"/>
              </w:rPr>
              <w:t>197</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J07AL02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1 доза (0,5 мл); по 1 дозі у попередньо наповненому шприці. По 1 попередньо наповненому шприцу з відокремленою голкою в герметичному термоформованому лотку в картонній коробці. По 5 попередньо наповнених шприців в герметичному термоформованому лотку; по 2 лотки разом з відокремленими голками або без них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тестування суспензії алюмінію фосфата (AlPO4), формуляція та наповнення шприців (первинне пакування), тестування:</w:t>
              <w:br/>
              <w:t>Пфайзер Ірландія Фармасьютікалз, Ірландiя; тестування стерильності суспензії алюмінію фосфата (AlPO4), вторинне пакування, випуск серії: Пфайзер Менюфекчуринг Бельгія НВ, Бельгія; тестування стерильності суспензії алюмінію фосфата (AlPO4): Чарльз Рівер Лабораторіз Айленд Лімітед,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Ірландiя/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UA/21377/01/01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ПРЕВЕНАР® 13 / PREVENAR® 13 ВАКЦИНА ПНЕВМОКОКОВА ПОЛІСАХАРИДНА КОН’ЮГОВАНА (ТРИНАДЦЯТИВАЛЕНТНА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Pneumococcus, purified polysaccharides antigen conjugated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пневмококові полісахариди серотипів 1, 3, 4, 5, 6A, 6B, 7F, 9V, 14, 19A, 19F і 23F, олігосахарид серотипу 18C, білок-носій CRM</w:t>
            </w:r>
            <w:r>
              <w:rPr>
                <w:rFonts w:cs="Arial" w:ascii="Arial" w:hAnsi="Arial"/>
                <w:color w:val="000000"/>
                <w:sz w:val="16"/>
                <w:szCs w:val="16"/>
                <w:vertAlign w:val="subscript"/>
              </w:rPr>
              <w:t>197</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J07AL02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дозі (0,5 мл) у попередньо наповненому шприці; по 1 попередньо наповненому шприцу та одній відокремленій голці в індивідуальному чохлі у закритому пластиковому контейнері; по 1 пластиковому контейнері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Пфайзер Менюфекчуринг Бельгія НВ, Бельгія; Пфайзер Ірленд Фармасеутикалс Анлімітед Компані,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Бельгія/ 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UA/15864/01/01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ПРІОРИКС™ / PRIORIX™ КОМБІНОВАНА ВАКЦИНА ДЛЯ ПРОФІЛАКТИКИ КОРУ, ЕПІДЕМІЧНОГО ПАРОТИТУ ТА КРАСНУХИ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measles, combinations with mumps and rubella,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живий атенуйований вірусу кору (штам Schwarz);</w:t>
              <w:br/>
              <w:t xml:space="preserve">живий атенуйований вірус епідемічного паротиту (штам RIT 4385); </w:t>
              <w:br/>
              <w:t>живий атенуйований вірус краснухи (штам Wistar RA 27/3)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J07BD52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1 монодозовий флакон (1 доза) з ліофілізатом у комплекті з розчинником (вода для ін'єкцій) у попередньо наповненому шприці та двома голками в картонній коробці; 100 монодозових (1 доза) флаконів з ліофілізатом у комплекті з розчинником (вода для ін'єкцій) в ампулах № 100 в окремій упаковці; 1 мультидозовий флакон (2 дози) з ліофілізатом у комплекті з розчинником (вода для ін'єкцій) в ампулі; по 100 штук флаконів та ампул в окремих коробках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(Контроль якості розчинника в ампулах 2-х доз, випуск серій розчинника в ампулах для 1-ї та 2-х доз та шприцах. Випуск серії готового продукту); ГлаксоСмітКляйн Біолоджікалз, Франція (Маркування та пакування готового продукту, маркування та пакування розчинника в шприцах); ГлаксоСмітКляйн Біолоджікалз С.А., Бельгія (Маркування та пакування готового продукту, контроль якості готового продукту. Контроль якості розчинника для 1-ї та 2-х доз та шприцах. Маркування та пакування розчинника для 1-ї та 2-х доз та шприцах); Корікса Корпорейшн дба ГлаксоСмітКляйн Вакцинз, Сполучені Штати Америки (Формування, наповнення та ліофілізація вакцини); 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Делфарм Тур, Франція (Виробництво розчинника в ампулах для 1-ї та 2-х доз, маркування та пакування розчинника в ампулах для 1-ї та 2-х доз, контроль якості розчинника в ампулах для 1-ї та 2-х доз);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rPr>
              <w:t>Бельгія/ Франція</w:t>
            </w:r>
            <w:r>
              <w:rPr>
                <w:rFonts w:cs="Arial" w:ascii="Arial" w:hAnsi="Arial"/>
                <w:color w:val="000000"/>
                <w:sz w:val="16"/>
                <w:szCs w:val="16"/>
                <w:lang w:val="ru-RU"/>
              </w:rPr>
              <w:t>/</w:t>
            </w:r>
            <w:r>
              <w:rPr>
                <w:rFonts w:cs="Arial" w:ascii="Arial" w:hAnsi="Arial"/>
                <w:color w:val="000000"/>
                <w:sz w:val="16"/>
                <w:szCs w:val="16"/>
              </w:rPr>
              <w:t xml:space="preserve"> Сполучені Штати Америки</w:t>
            </w:r>
            <w:r>
              <w:rPr>
                <w:rFonts w:cs="Arial" w:ascii="Arial" w:hAnsi="Arial"/>
                <w:color w:val="000000"/>
                <w:sz w:val="16"/>
                <w:szCs w:val="16"/>
                <w:lang w:val="ru-RU"/>
              </w:rPr>
              <w:t>/</w:t>
            </w:r>
            <w:r>
              <w:rPr>
                <w:rFonts w:cs="Arial" w:ascii="Arial" w:hAnsi="Arial"/>
                <w:color w:val="000000"/>
                <w:sz w:val="16"/>
                <w:szCs w:val="16"/>
              </w:rPr>
              <w:t xml:space="preserve"> 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ПРІОРИКС-ТЕТРА КОМБІНОВАНА ВАКЦИНА ДЛЯ ПРОФІЛАКТИКИ КОРУ, ЕПІДЕМІЧНОГО ПАРОТИТУ, КРАСНУХИ ТА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Measles, combinations with mumps, rubella and 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живий атенуйований вірус кору</w:t>
            </w:r>
            <w:r>
              <w:rPr>
                <w:rFonts w:cs="Arial" w:ascii="Arial" w:hAnsi="Arial"/>
                <w:sz w:val="16"/>
                <w:szCs w:val="16"/>
                <w:vertAlign w:val="superscript"/>
              </w:rPr>
              <w:t>1</w:t>
            </w:r>
            <w:r>
              <w:rPr>
                <w:rFonts w:cs="Arial" w:ascii="Arial" w:hAnsi="Arial"/>
                <w:sz w:val="16"/>
                <w:szCs w:val="16"/>
              </w:rPr>
              <w:t xml:space="preserve"> (штам Schwarz); живий атенуйований вірус епідемічного паротиту</w:t>
            </w:r>
            <w:r>
              <w:rPr>
                <w:rFonts w:cs="Arial" w:ascii="Arial" w:hAnsi="Arial"/>
                <w:sz w:val="16"/>
                <w:szCs w:val="16"/>
                <w:vertAlign w:val="superscript"/>
              </w:rPr>
              <w:t>1</w:t>
            </w:r>
            <w:r>
              <w:rPr>
                <w:rFonts w:cs="Arial" w:ascii="Arial" w:hAnsi="Arial"/>
                <w:sz w:val="16"/>
                <w:szCs w:val="16"/>
              </w:rPr>
              <w:t xml:space="preserve"> (штам RIT 4385, що походить від штаму Jeryl Lynn); живий атенуйований вірус краснухи</w:t>
            </w:r>
            <w:r>
              <w:rPr>
                <w:rFonts w:cs="Arial" w:ascii="Arial" w:hAnsi="Arial"/>
                <w:sz w:val="16"/>
                <w:szCs w:val="16"/>
                <w:vertAlign w:val="superscript"/>
              </w:rPr>
              <w:t>2</w:t>
            </w:r>
            <w:r>
              <w:rPr>
                <w:rFonts w:cs="Arial" w:ascii="Arial" w:hAnsi="Arial"/>
                <w:sz w:val="16"/>
                <w:szCs w:val="16"/>
              </w:rPr>
              <w:t xml:space="preserve"> (штам Wistar RA 27/3); живий атенуйований вірус вітряної віспи</w:t>
            </w:r>
            <w:r>
              <w:rPr>
                <w:rFonts w:cs="Arial" w:ascii="Arial" w:hAnsi="Arial"/>
                <w:sz w:val="16"/>
                <w:szCs w:val="16"/>
                <w:vertAlign w:val="superscript"/>
              </w:rPr>
              <w:t>2</w:t>
            </w:r>
            <w:r>
              <w:rPr>
                <w:rFonts w:cs="Arial" w:ascii="Arial" w:hAnsi="Arial"/>
                <w:sz w:val="16"/>
                <w:szCs w:val="16"/>
              </w:rPr>
              <w:t xml:space="preserve"> (штам ОКА) </w:t>
              <w:br/>
            </w:r>
            <w:r>
              <w:rPr>
                <w:rFonts w:cs="Arial" w:ascii="Arial" w:hAnsi="Arial"/>
                <w:i/>
                <w:sz w:val="16"/>
                <w:szCs w:val="16"/>
                <w:vertAlign w:val="superscript"/>
              </w:rPr>
              <w:t xml:space="preserve">1 </w:t>
            </w:r>
            <w:r>
              <w:rPr>
                <w:rFonts w:cs="Arial" w:ascii="Arial" w:hAnsi="Arial"/>
                <w:i/>
                <w:sz w:val="16"/>
                <w:szCs w:val="16"/>
              </w:rPr>
              <w:t xml:space="preserve">отриманий шляхом розмноження в культурі клітин курячих ембріонів; </w:t>
              <w:br/>
            </w:r>
            <w:r>
              <w:rPr>
                <w:rFonts w:cs="Arial" w:ascii="Arial" w:hAnsi="Arial"/>
                <w:i/>
                <w:sz w:val="16"/>
                <w:szCs w:val="16"/>
                <w:vertAlign w:val="superscript"/>
              </w:rPr>
              <w:t xml:space="preserve">2 </w:t>
            </w:r>
            <w:r>
              <w:rPr>
                <w:rFonts w:cs="Arial" w:ascii="Arial" w:hAnsi="Arial"/>
                <w:i/>
                <w:sz w:val="16"/>
                <w:szCs w:val="16"/>
              </w:rPr>
              <w:t>отриманий шляхом розмноження в диплоїдних клітинах людини (MRC-5)</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J07BD54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w:t>
              <w:br/>
              <w:t>ГлаксоСмітКляйн Біолоджікалз С.А., Бельгія (Формування, наповнення та ліофілізація вакцини. Маркування та пакування готового продукту. Контроль якості готового продукту. Маркування та пакування розчинника в шприцах та ампулах. Контроль якості розчинника в шприцах та ампулах);</w:t>
              <w:br/>
              <w:t>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тестів Розчинність та Ідентифікація натрію))</w:t>
              <w:br/>
              <w:t>Делфарм Тур, Франція (Виробництво розчинника в ампулах, маркування та пакування розчинника в ампулах, контроль якості розчинника в ампулах);</w:t>
              <w:br/>
              <w:t>Каталент Белджіум, Бельгія (Виробництво розчинника в шприцах, контроль якості розчинника в шприцах)</w:t>
              <w:br/>
              <w:t>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rPr>
              <w:t>Бельгія/ Франція</w:t>
            </w:r>
            <w:r>
              <w:rPr>
                <w:rFonts w:cs="Arial" w:ascii="Arial" w:hAnsi="Arial"/>
                <w:color w:val="000000"/>
                <w:sz w:val="16"/>
                <w:szCs w:val="16"/>
                <w:lang w:val="ru-RU"/>
              </w:rPr>
              <w:t>/</w:t>
            </w:r>
            <w:r>
              <w:rPr>
                <w:rFonts w:cs="Arial" w:ascii="Arial" w:hAnsi="Arial"/>
                <w:color w:val="000000"/>
                <w:sz w:val="16"/>
                <w:szCs w:val="16"/>
              </w:rPr>
              <w:t xml:space="preserve">  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UA/16549/01/01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ПРОПОФОЛ КАБІ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propofol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N01AX10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10 мг/мл, по 20 мл в ампулі, по 5 ампул у пачці з картону;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ПРОПОФОЛ КАБІ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propofol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N01AX10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20 мг/мл,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ПРОПОФОЛ КАБІ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propofol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N01AX10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20 мг/мл;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ПРОПОФОЛ КАБІ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propofol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N01AX10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10 мг/мл; по 20 мл в ампулі; по 5 ампул у пачці з картону;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ПРОСТАН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finasteride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фінастерид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G04CB01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по 10 таблеток у блістері, по 1 або 3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UA/8262/01/01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ПРОСТАН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finasteride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фінастерид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in bulk № 8000 у пакетах із плівки поліетиленової; по 1 пакету у контейнері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UA/15473/01/01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ПРОТАМІНУ СУЛЬФАТ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protamine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протаміну сульфат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V03AB14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1000 MО/мл; по 5 мл у флаконі; по 5 флаконів в пачці з картону; по 10 мл у флаконі;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"По виробництву інсулінів "ІНДАР"</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"По виробництву інсулінів "ІНДАР"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UA/9616/01/01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РАНІТИДИНУ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ranitidine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ранітидину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Галеос Лабс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UA/5483/01/01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РОАККУТАН®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м'які по 10 мг; по 10 капсул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ЧЕПЛАФАРМ Швейц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випробування контролю якості, випуск серії:</w:t>
              <w:br/>
              <w:t>Кетелент Джермані Ебербах ГмбХ, Німеччина; випробування контролю якості: Геліта АГ,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UA/2865/01/02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РОАККУТАН®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м'які по 20 мг; по 10 капсул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ЧЕПЛАФАРМ Швейц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випробування контролю якості, випуск серії:</w:t>
              <w:br/>
              <w:t>Кетелент Джермані Ебербах ГмбХ, Німеччина; випробування контролю якості: Геліта АГ,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UA/2865/01/01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РОЗІСТЕР® ДУО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UA/20719/01/04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РОЗІСТЕР® ДУО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UA/20719/01/02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РОЗІСТЕР® ДУО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UA/20719/01/03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РОЗІСТЕР® ДУО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UA/20719/01/01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СЕДАВІТ®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 xml:space="preserve">Седавіт® екстракт густий*, вітамін В6 (піридоксину гідрохлорид), вітамін РР (нікотинамід); </w:t>
              <w:br/>
              <w:t xml:space="preserve">*Седавіт® екстракт густий містить: флавоноїди, екстраговані етанолом 35 % із суміші: кореневищ з коренями валеріани (2 частини), плодів глоду (2 частини), трави звіробою </w:t>
            </w:r>
            <w:r>
              <w:rPr>
                <w:rFonts w:cs="Arial" w:ascii="Arial" w:hAnsi="Arial"/>
                <w:sz w:val="16"/>
                <w:szCs w:val="16"/>
                <w:lang w:val="ru-RU"/>
              </w:rPr>
              <w:t>(1 частина), листя м’яти перцевої (2 частини), шишок хмелю (2 частини)</w:t>
            </w:r>
          </w:p>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N05CM</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UA/7821/01/01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СИМВАСТАТИН 20 АНАНТА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simvastatin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симвастатин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C10AA01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Марксанс Фарма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UA/14019/01/02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СИМВАСТАТИН 40 АНАНТА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simvastatin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симвастатин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C10AA01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Марксанс Фарма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UA/14019/01/03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СИНУПРЕТ®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висушені лікарські рослини у вигляді порошку: кореня горечавки (Rаdіх Gеntіаnае), квіток первоцвіту з чашечкою (Flоrеs Рrіmulае сum Саlyсіbus), трави щавлю (Неrba Rumісіs), квіток бузини (Flоrеs Sаmbuсі), трави вербени (Неrbа Vеrbеnае)</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R05X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Біонорика СЕ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color w:val="000000"/>
                <w:sz w:val="16"/>
                <w:szCs w:val="16"/>
              </w:rPr>
            </w:pPr>
            <w:r>
              <w:rPr>
                <w:rFonts w:cs="Arial" w:ascii="Arial" w:hAnsi="Arial"/>
                <w:color w:val="000000"/>
                <w:sz w:val="16"/>
                <w:szCs w:val="16"/>
              </w:rPr>
              <w:t>первинне та вторинне пакування, контроль та випуск серії:</w:t>
            </w:r>
          </w:p>
          <w:p>
            <w:pPr>
              <w:pStyle w:val="Normal"/>
              <w:jc w:val="center"/>
              <w:rPr>
                <w:rFonts w:ascii="Arial" w:hAnsi="Arial" w:cs="Arial"/>
                <w:color w:val="000000"/>
                <w:sz w:val="16"/>
                <w:szCs w:val="16"/>
              </w:rPr>
            </w:pPr>
            <w:r>
              <w:rPr>
                <w:rFonts w:cs="Arial" w:ascii="Arial" w:hAnsi="Arial"/>
                <w:color w:val="000000"/>
                <w:sz w:val="16"/>
                <w:szCs w:val="16"/>
              </w:rPr>
              <w:t>Біонорика СЕ, Німеччина;</w:t>
            </w:r>
          </w:p>
          <w:p>
            <w:pPr>
              <w:pStyle w:val="Normal"/>
              <w:jc w:val="center"/>
              <w:rPr>
                <w:rFonts w:ascii="Arial" w:hAnsi="Arial" w:cs="Arial"/>
                <w:color w:val="000000"/>
                <w:sz w:val="16"/>
                <w:szCs w:val="16"/>
              </w:rPr>
            </w:pPr>
            <w:r>
              <w:rPr>
                <w:rFonts w:cs="Arial" w:ascii="Arial" w:hAnsi="Arial"/>
                <w:color w:val="000000"/>
                <w:sz w:val="16"/>
                <w:szCs w:val="16"/>
              </w:rPr>
              <w:t>Виробництво in-bulk:</w:t>
            </w:r>
          </w:p>
          <w:p>
            <w:pPr>
              <w:pStyle w:val="Normal"/>
              <w:jc w:val="center"/>
              <w:rPr>
                <w:rFonts w:ascii="Arial" w:hAnsi="Arial" w:cs="Arial"/>
                <w:color w:val="000000"/>
                <w:sz w:val="16"/>
                <w:szCs w:val="16"/>
              </w:rPr>
            </w:pPr>
            <w:r>
              <w:rPr>
                <w:rFonts w:cs="Arial" w:ascii="Arial" w:hAnsi="Arial"/>
                <w:color w:val="000000"/>
                <w:sz w:val="16"/>
                <w:szCs w:val="16"/>
              </w:rPr>
              <w:t>Роттендорф Фарма ГмбХ, Німеччина;</w:t>
            </w:r>
          </w:p>
          <w:p>
            <w:pPr>
              <w:pStyle w:val="Normal"/>
              <w:jc w:val="center"/>
              <w:rPr>
                <w:rFonts w:ascii="Arial" w:hAnsi="Arial" w:cs="Arial"/>
                <w:color w:val="000000"/>
                <w:sz w:val="16"/>
                <w:szCs w:val="16"/>
              </w:rPr>
            </w:pPr>
            <w:r>
              <w:rPr>
                <w:rFonts w:cs="Arial" w:ascii="Arial" w:hAnsi="Arial"/>
                <w:color w:val="000000"/>
                <w:sz w:val="16"/>
                <w:szCs w:val="16"/>
              </w:rPr>
              <w:t>Вівельхове ГмбХ, Німеччина;</w:t>
            </w:r>
          </w:p>
          <w:p>
            <w:pPr>
              <w:pStyle w:val="Normal"/>
              <w:jc w:val="center"/>
              <w:rPr>
                <w:rFonts w:ascii="Arial" w:hAnsi="Arial" w:cs="Arial"/>
                <w:color w:val="000000"/>
                <w:sz w:val="16"/>
                <w:szCs w:val="16"/>
              </w:rPr>
            </w:pPr>
            <w:r>
              <w:rPr>
                <w:rFonts w:cs="Arial" w:ascii="Arial" w:hAnsi="Arial"/>
                <w:color w:val="000000"/>
                <w:sz w:val="16"/>
                <w:szCs w:val="16"/>
              </w:rPr>
              <w:t>Ломафарм ГмбХ, Німеччина;</w:t>
            </w:r>
          </w:p>
          <w:p>
            <w:pPr>
              <w:pStyle w:val="Normal"/>
              <w:jc w:val="center"/>
              <w:rPr>
                <w:rFonts w:ascii="Arial" w:hAnsi="Arial" w:cs="Arial"/>
                <w:color w:val="000000"/>
                <w:sz w:val="16"/>
                <w:szCs w:val="16"/>
              </w:rPr>
            </w:pPr>
            <w:r>
              <w:rPr>
                <w:rFonts w:cs="Arial" w:ascii="Arial" w:hAnsi="Arial"/>
                <w:color w:val="000000"/>
                <w:sz w:val="16"/>
                <w:szCs w:val="16"/>
              </w:rPr>
              <w:t>первинне та вторинне пакування:</w:t>
            </w:r>
          </w:p>
          <w:p>
            <w:pPr>
              <w:pStyle w:val="Normal"/>
              <w:jc w:val="center"/>
              <w:rPr>
                <w:rFonts w:ascii="Arial" w:hAnsi="Arial" w:cs="Arial"/>
                <w:color w:val="000000"/>
                <w:sz w:val="16"/>
                <w:szCs w:val="16"/>
              </w:rPr>
            </w:pPr>
            <w:r>
              <w:rPr>
                <w:rFonts w:cs="Arial" w:ascii="Arial" w:hAnsi="Arial"/>
                <w:color w:val="000000"/>
                <w:sz w:val="16"/>
                <w:szCs w:val="16"/>
              </w:rPr>
              <w:t>Роттендорф Фарма ГмбХ, Німеччина;</w:t>
            </w:r>
          </w:p>
          <w:p>
            <w:pPr>
              <w:pStyle w:val="Normal"/>
              <w:jc w:val="center"/>
              <w:rPr>
                <w:rFonts w:ascii="Arial" w:hAnsi="Arial" w:cs="Arial"/>
                <w:color w:val="000000"/>
                <w:sz w:val="16"/>
                <w:szCs w:val="16"/>
              </w:rPr>
            </w:pPr>
            <w:r>
              <w:rPr>
                <w:rFonts w:cs="Arial" w:ascii="Arial" w:hAnsi="Arial"/>
                <w:color w:val="000000"/>
                <w:sz w:val="16"/>
                <w:szCs w:val="16"/>
              </w:rPr>
              <w:t>Вівельхове ГмбХ, Німеччина;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UA/4373/01/01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СОЛПАДЕЇН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парацетамол, кофеїн, кодеїну фосфату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розчинні; по 2 таблетки у стрипі; по 6 стрипів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Халеон ЮК Трейдінг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Халеон Айрленд Дангарван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588"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UA/4740/01/01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СОЛПАЛГІН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парацетамол, кофеїн, кодеїну фосфату хемігідрат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по 10 капсул у блістері; по 1 блістеру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"Харківське фармацевтичне підприємство "Здоров'я народу"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UA/12311/01/01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СПАЗМОВАКС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Phloroglucinol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флороглюцинолу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A03AX12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40 мг/ 4 мл по 4 мл в ампулі; по 10 ампул у контурній чарунковій упаковці; по 1 контурній чарунковій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ШАРПЕР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ДОППЕЛЬ ФАРМАЦЕУТІЦІ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UA/20005/01/01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СПАЗМОВАКС ОРО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флороглюцинолу дигідрат, 1,3,5-триметокcибензол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A03AX12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ШАРПЕР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ДОППЕЛЬ ФАРМАЦЕУТІЦІ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UA/20406/01/01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СУМЕТРОЛІМ®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sulfamethoxazole and trimethoprim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сульфаметоксазол та триметоприм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400 мг/80 мг;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UA/3194/02/01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ТАНТОРИС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бензидаміну гідрохлорид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1,5 мг/мл, по 30 мл у флаконі зі спрей-насосом та насадкою поворотною,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«Конарк Інтелмед»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UA/20815/01/01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ТЕБАНТИН®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5 або 10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UA/3421/01/02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ТЕЛМІСТА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40 мг; по 7 таблеток у блістері; по 2, 4 або 8 блістерів у картонній коробці; по 10 таблеток у блістері; по 3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та випуск серії:</w:t>
              <w:br/>
              <w:t>КРКА, д.д., Ново место, Словенія;</w:t>
              <w:br/>
              <w:t>виробництво "in bulk", первинне та вторинне пакування, контроль та випуск серії:</w:t>
              <w:br/>
              <w:t>КРКА Польща Сп.з о.о., Польща;</w:t>
              <w:br/>
              <w:t>контроль серії:</w:t>
              <w:br/>
              <w:t xml:space="preserve">Лабена д.о.о., Словенія; </w:t>
              <w:br/>
              <w:t>контроль серії:</w:t>
              <w:br/>
              <w:t>Нешнел Лебораторі ов Хелс Енвайронмент Енд Фуд (НЛЗОХ), Словенія</w:t>
              <w:br/>
              <w:t xml:space="preserve">контроль серії: </w:t>
              <w:br/>
              <w:t>Кемілаб д.о.о., Словенія;</w:t>
              <w:br/>
              <w:t>виробництво «in bulk», первинне та вторинне пакування:</w:t>
              <w:br/>
              <w:t>Лаурус Лабс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 Польща/ 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UA/13210/01/02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ТЕЛМІСТА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80 мг; по 7 таблеток у блістері; по 2, 4 або 8 блістерів у картонній коробці; по 10 таблеток у блістері; по 3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та випуск серії:</w:t>
              <w:br/>
              <w:t>КРКА, д.д., Ново место, Словенія;</w:t>
              <w:br/>
              <w:t>виробництво "in bulk", первинне та вторинне пакування, контроль та випуск серії:</w:t>
              <w:br/>
              <w:t>КРКА Польща Сп.з о.о., Польща;</w:t>
              <w:br/>
              <w:t>контроль серії:</w:t>
              <w:br/>
              <w:t xml:space="preserve">Лабена д.о.о., Словенія; </w:t>
              <w:br/>
              <w:t>контроль серії:</w:t>
              <w:br/>
              <w:t>Нешнел Лебораторі ов Хелс Енвайронмент Енд Фуд (НЛЗОХ), Словенія</w:t>
              <w:br/>
              <w:t xml:space="preserve">контроль серії: </w:t>
              <w:br/>
              <w:t>Кемілаб д.о.о., Словенія;</w:t>
              <w:br/>
              <w:t>виробництво «in bulk», первинне та вторинне пакування:</w:t>
              <w:br/>
              <w:t>Лаурус Лабс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 Польща/ 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UA/13210/01/03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ТЕЛПРЕС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40 мг, по 14 таблеток у блістері; по 2 або по 7 блістерів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випуск серії: ЛАБОРАТОРІОС ЛІКОНСА, С.А., Іспанія; Контроль якості: ЛАБОРАТОРІО ЕЧЕВАРНЕ, C.А.,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UA/15893/01/02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ТЕЛПРЕС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80 мг, по 14 таблеток у блістері; по 2 або по 7 блістерів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випуск серії: ЛАБОРАТОРІОС ЛІКОНСА, С.А., Іспанія; Контроль якості: ЛАБОРАТОРІО ЕЧЕВАРНЕ, C.А.,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UA/15893/01/03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ТЕЛПРЕС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14 таблеток у блістері; по 2 або по 7 блістерів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випуск серії: ЛАБОРАТОРІОС ЛІКОНСА, С.А., Іспанія; Контроль якості: ЛАБОРАТОРІО ЕЧЕВАРНЕ, C.А.,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UA/15893/01/01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ТЕРМІДОЛ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М01АЕ01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10 капсул у блістері; по 1 або по 3 блістери у пачці; по 12 капсул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UA/18326/01/01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ТЕРМІДОЛ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М01АЕ01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1 або по 3 блістери у пачці; по 12 капсул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UA/18326/01/02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ТИМАЛІН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сухий очищений екстракт тимусу (вилочкової залози) великої рогатої худоби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не менше 1,5 мг; 5 флаконів з ліофілізатом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реєстраційної процедури в наказі МОЗ України </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УБІХІНОН КОМПОЗИТУМ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Acidum acetylsalicylicum D10, Acidum alpha-liponicum D8, Acidum ascorbicum D6, Acidum sarcolacticum D6, Adenosinum triphosphoricum D10, Anthrachinonum D10, Coenzym A D10, Colchicum аutumnale D4, Conium maculatum D4, Galium aparine D6, Histaminum D10, Hydrastis canadensis D4, Hydrochinonum D8, Magnesium gluconicum D10, Manganum phosphoricum D8, Nadidum D10, Naphthochinonum D10, Natrium diethyloxalaceticum D8, Natrium riboflavinum phosphoricum D6, Nicotinamidum D6, p-Benzochinonum D10, Podophyllum peltatum D4, Pyridoxinum hydrochloricum D6, Sulfur D8, Thiaminum hydrochloricum D6, Trichinoylum D10, Ubidecarenonum D10, Vaccinium myrtillus D4</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2,2 мл в ампулі; по 5 ампул у контурній чарунковій упаковці; по 1 контурній чарунковій упаковці в коробці з картону; по 2,2 мл в ампулі; по 5 ампул у контурній чарунковій упаковці; по 2 контурні чарункові упаковки в коробці з картону; по 2,2 мл в ампулі; по 5 ампул у контурній чарунковій упаковці; по 20 контурних чарункових упаковок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UA/0018/01/01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УРСОВАЛ®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урсодеоксихолієва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A05AA02, A05B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по 250 мг, по 10 капсул у блістері, по 5 або 10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UA/20824/01/01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УРСОСАН®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урсодеоксихолева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A05AA02, A05B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капсули по 250 мг; по 10 капсул у блістері; по 1 або 5, або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ПРО.МЕД.ЦС Прага а.с.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та випуск серії:</w:t>
              <w:br/>
              <w:t>ПРО.МЕД.ЦС Прага а.с., Чеська Республіка;</w:t>
              <w:br/>
              <w:br/>
              <w:t>первинне і вторинне пакування:</w:t>
              <w:br/>
              <w:t xml:space="preserve">КООФАРМА с.р.о., Чеська Республіка; </w:t>
              <w:br/>
              <w:br/>
              <w:t>контроль якості:</w:t>
              <w:br/>
              <w:t>АЛС Чеська Республіка, с.р.о., Чеська Республiка;</w:t>
              <w:br/>
              <w:br/>
              <w:t>первинне та вторинне пакування, виробництво "in bulk", контроль серії:</w:t>
              <w:br/>
              <w:t>Санека Фармасьютикалз а.с., Словацька Республіка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 Словацька Республіка</w:t>
              <w:br/>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UA/3636/01/01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ФАМЦИКЛОВІР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famciclovir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фамцикловір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Шанхай Фарма Груп Чангжоу Коні Фармасьютікал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UA/18275/01/01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ФЛАВОВІР®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pacing w:before="0" w:after="240"/>
              <w:rPr>
                <w:rFonts w:ascii="Arial" w:hAnsi="Arial" w:cs="Arial"/>
                <w:color w:val="000000"/>
                <w:sz w:val="16"/>
                <w:szCs w:val="16"/>
              </w:rPr>
            </w:pPr>
            <w:r>
              <w:rPr>
                <w:rFonts w:cs="Arial" w:ascii="Arial" w:hAnsi="Arial"/>
                <w:sz w:val="16"/>
                <w:szCs w:val="16"/>
              </w:rPr>
              <w:t>екстракт Протефлазід із трави Щучки дернистої (Herba Deschampsia caespitosa L.) та трави Війника наземного (Herba Calamagrostis epigeios 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L03AX, J05AX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краплі; по 10 мл або по 30 мл, або по 50 мл у скляному світлозахисному флаконі, закупореному кришкою для флаконів з пробкою-крапельницею з контролем першого відкриття або кришкою для флаконів з пробкою-крапельницею з контролем першого відкриття та захистом від дітей; по 1 флакону в картонній пачці</w:t>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UA/5510/02/01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ФЛЕКСБУМІН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альбумін людини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200 г/л; по 50 мл у поліетиленовому пакеті; по 1 або по 24 пакети в картонній коробці; по 100 мл у поліетиленовому пакеті; по 1 або по 12 пакетів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Такеда Мануфекчурінг Австрія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Такеда Мануфекчурінг Австрія АГ, Австрія; контроль якості серії (крім випробувань на стерильність та бактеріальні ендотоксини): Такеда Мануфекчурінг Австрія АГ, Австрія; контроль якості серії: "Стерильність" та "Бактеріальні ендотоксини":</w:t>
              <w:br/>
              <w:t>Такеда Мануфекчурінг Австрія АГ, Австрія; виробництво лікарського засобу: стерильне наповнення, остаточна пастеризація, первинне та вторинне пакування, контроль якості, проміжний випуск: Баксалта ЮС Інк., США; виробництво лікарського засобу: виробництво нерозфасованої продукції, термообробка (включаючи відновлення Фракції V, ультра/діафільтрацію, приготування нерозфасованої продукції, термічну обробку, остаточну фільтрацію): Баксалта ЮС Інк.,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en-US"/>
              </w:rPr>
            </w:pPr>
            <w:r>
              <w:rPr>
                <w:rFonts w:cs="Arial" w:ascii="Arial" w:hAnsi="Arial"/>
                <w:color w:val="000000"/>
                <w:sz w:val="16"/>
                <w:szCs w:val="16"/>
              </w:rPr>
              <w:t>Австрія/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UA/18128/01/01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ФЛЮТ АСТЕЗИН®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benzocaine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бензокаїн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C05AD03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супозиторії по 206 мг, по 6 супозиторіїв у стрипі; по 2 стрипи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UA/20871/01/01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ФЛЮТ АСТЕЗИН®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benzocaine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бензокаїн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супозиторії по 206 мг, in bulk: № 3600 (6х600): по 6 супозиторіїв у стрипі, по 600 стрипів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UA/21211/01/01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ФОРКАЛ®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calcitriol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кальцитріол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D05AX03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мазь, 3 мкг/г, по 30 г або по 100 г у тубах, по 1 тубі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 xml:space="preserve">КУСУМ ХЕЛТХКЕР ПВТ ЛТД, Індія; </w:t>
              <w:br/>
              <w:t>вторинне пакування, випуск серії з продукції in bulk:</w:t>
              <w:br/>
              <w:t>ТОВ «КУСУМ», Україна;</w:t>
              <w:br/>
              <w:t>контроль якості:</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UA/0081/02/01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ФОРКАЛ®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calcitriol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кальцитріол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мазь, 3 мкг/г, in bulk: по 30 г у тубі, по 320 туб у картонній коробці, або по 30 г у тубі, по 144 туби у картонній коробці; або по 100 г у тубі, по 64 туби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UA/0082/02/01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ХЕЛПЕКС® 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бензидаміну гідрохлорид, хлоргексидину диглюконат (у вигляді хлоргексидину диглюконату розчину 20%)</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обполіскувач для горла, розчин; по 200 мл розчину у пляшці; по 1 пляшці з мірним стаканчиком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UA/18887/02/01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ХОЛІСАЛ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холіну саліцилат та цеталконію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A01AD</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гель для ротової порожнини; по 10 г гелю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Фармзавод Єльфа 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UA/7298/01/01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ЦЕДОКСИМ®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 Юніт VI, Блок D</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UA/14455/01/02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ЦЕДОКСИМ®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 Юніт VI, Блок D</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UA/14455/01/01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ЦЕФИНАК®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цефіксиму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100 мг/5 мл 1 флакон з порошком для приготування 50 мл суспензії або 1 флакон з порошком для приготування 100 мл суспензії; по 1 флакону з мірним стаканчиком та мірною ложкою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Нектар Лайфсайнсіз Лімітед-Юніт VI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UA/16758/02/01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ЦИСПЛАТИНА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cisplatin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цисплатин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L01XA01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 мг/мл, по 10 мл, по 25 мл, по 50 мл, по 100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та вторинне пакування, контроль якості серії: Інтас Фармасьютікалз Лімітед, Індія; (альтернативний виробник): Інтас Фармасьютікалз Лімітед, Індія; Виробництво готового лікарського засобу, вторинне пакування: Інтас Фармасьютікалс Лімітед (Блок Н), Індія; Вторинне пакування: Аккорд Хелскеа Лімітед, Велика Британія; контроль якості серій: Фармадокс Хелскеа Лтд., Мальта; контроль якості серій: Фармавалід Лтд. Мікробіологічна лабораторія, Угорщина; відповідальний за випуск серії:</w:t>
              <w:br/>
              <w:t>Аккорд Хелскеа Полска Сп. з о.о. Склад Імпортера, Польща; вторинне пакування, контроль якості серій: 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 Мальта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UA/15240/01/01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ЦИТРАФЛІТ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Sodium picosulfate,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натрію пікосульфат, магнію оксид легкий, кислота лимонна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A06AB58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15,08 г порошку в пакеті-саше; по 2 пакети або 50 пакетів (упаковка для лікувальних закладів)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Касен Рекордаті, С.Л.</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Виробник нерозфасованої продукції, первинна та вторинна упаковка, дозвіл на випуск серії:</w:t>
              <w:br/>
              <w:t xml:space="preserve">Касен Рекордаті, С.Л., Іспанія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UA/13820/01/01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4">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ind w:right="20" w:hanging="0"/>
        <w:rPr/>
      </w:pPr>
      <w:r>
        <w:rPr>
          <w:rFonts w:cs="Arial" w:ascii="Arial" w:hAnsi="Arial"/>
          <w:i/>
          <w:sz w:val="16"/>
          <w:szCs w:val="16"/>
        </w:rPr>
        <w:t>**</w:t>
      </w:r>
      <w:r>
        <w:rPr/>
        <w:t>у разі внесення змін до інструкції про медичне застосування</w:t>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eastAsia="Arial" w:cs="Arial" w:ascii="Arial" w:hAnsi="Arial"/>
                <w:color w:val="000000"/>
                <w:sz w:val="24"/>
                <w:szCs w:val="24"/>
              </w:rPr>
              <w:t xml:space="preserve"> </w:t>
            </w: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11"/>
        <w:rPr>
          <w:rStyle w:val="Cs7864ebcf1"/>
          <w:rFonts w:ascii="Arial" w:hAnsi="Arial" w:cs="Arial"/>
          <w:color w:val="000000"/>
          <w:sz w:val="16"/>
          <w:szCs w:val="16"/>
          <w:lang w:val="uk-UA"/>
        </w:rPr>
      </w:pPr>
      <w:r>
        <w:rPr/>
      </w:r>
    </w:p>
    <w:sectPr>
      <w:headerReference w:type="default" r:id="rId5"/>
      <w:headerReference w:type="first" r:id="rId6"/>
      <w:type w:val="nextPage"/>
      <w:pgSz w:orient="landscape" w:w="16838" w:h="11906"/>
      <w:pgMar w:left="1077" w:right="1134" w:header="709" w:top="907" w:footer="0"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cc"/>
    <w:family w:val="swiss"/>
    <w:pitch w:val="variable"/>
  </w:font>
  <w:font w:name="Cambria">
    <w:charset w:val="cc"/>
    <w:family w:val="roman"/>
    <w:pitch w:val="variable"/>
  </w:font>
  <w:font w:name="Tahoma">
    <w:charset w:val="cc"/>
    <w:family w:val="swiss"/>
    <w:pitch w:val="variable"/>
  </w:font>
  <w:font w:name="Segoe UI">
    <w:charset w:val="cc"/>
    <w:family w:val="swiss"/>
    <w:pitch w:val="variable"/>
  </w:font>
  <w:font w:name="Microsoft YaHei">
    <w:charset w:val="86"/>
    <w:family w:val="swiss"/>
    <w:pitch w:val="variable"/>
  </w:font>
  <w:font w:name="Calibri">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6</w:t>
    </w:r>
    <w: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right"/>
      <w:pPr>
        <w:ind w:left="720" w:hanging="360"/>
      </w:pPr>
      <w:rPr/>
    </w:lvl>
  </w:abstractNum>
  <w:abstractNum w:abstractNumId="4">
    <w:lvl w:ilvl="0">
      <w:start w:val="1"/>
      <w:numFmt w:val="decimal"/>
      <w:lvlText w:val="%1."/>
      <w:lvlJc w:val="right"/>
      <w:pPr>
        <w:ind w:left="72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8"/>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Cs w:val="24"/>
        <w:lang w:val="ru-RU"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uk-UA" w:bidi="ar-SA" w:eastAsia="zh-CN"/>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sz w:val="32"/>
      <w:szCs w:val="32"/>
    </w:rPr>
  </w:style>
  <w:style w:type="paragraph" w:styleId="Heading2">
    <w:name w:val="Heading 2"/>
    <w:basedOn w:val="Normal"/>
    <w:next w:val="11"/>
    <w:qFormat/>
    <w:pPr>
      <w:keepNext w:val="true"/>
      <w:numPr>
        <w:ilvl w:val="1"/>
        <w:numId w:val="1"/>
      </w:numPr>
      <w:outlineLvl w:val="1"/>
    </w:pPr>
    <w:rPr>
      <w:rFonts w:ascii="Arial" w:hAnsi="Arial" w:cs="Arial"/>
      <w:b/>
      <w:caps/>
      <w:sz w:val="16"/>
      <w:szCs w:val="20"/>
    </w:rPr>
  </w:style>
  <w:style w:type="paragraph" w:styleId="Heading3">
    <w:name w:val="Heading 3"/>
    <w:basedOn w:val="Normal"/>
    <w:next w:val="TextBody"/>
    <w:qFormat/>
    <w:pPr>
      <w:keepNext w:val="true"/>
      <w:numPr>
        <w:ilvl w:val="2"/>
        <w:numId w:val="1"/>
      </w:numPr>
      <w:outlineLvl w:val="2"/>
    </w:pPr>
    <w:rPr>
      <w:rFonts w:ascii="Arial" w:hAnsi="Arial" w:eastAsia="Calibri" w:cs="Arial"/>
      <w:b/>
      <w:bCs/>
      <w:lang w:val="en-US"/>
    </w:rPr>
  </w:style>
  <w:style w:type="paragraph" w:styleId="Heading4">
    <w:name w:val="Heading 4"/>
    <w:basedOn w:val="Normal"/>
    <w:next w:val="11"/>
    <w:qFormat/>
    <w:pPr>
      <w:keepNext w:val="true"/>
      <w:numPr>
        <w:ilvl w:val="3"/>
        <w:numId w:val="1"/>
      </w:numPr>
      <w:jc w:val="center"/>
      <w:outlineLvl w:val="3"/>
    </w:pPr>
    <w:rPr>
      <w:rFonts w:ascii="Arial" w:hAnsi="Arial" w:cs="Arial"/>
      <w:b/>
      <w:sz w:val="20"/>
      <w:szCs w:val="20"/>
    </w:rPr>
  </w:style>
  <w:style w:type="paragraph" w:styleId="Heading6">
    <w:name w:val="Heading 6"/>
    <w:basedOn w:val="Normal"/>
    <w:next w:val="TextBody"/>
    <w:qFormat/>
    <w:pPr>
      <w:numPr>
        <w:ilvl w:val="5"/>
        <w:numId w:val="1"/>
      </w:numPr>
      <w:spacing w:before="240" w:after="60"/>
      <w:outlineLvl w:val="5"/>
    </w:pPr>
    <w:rPr>
      <w:rFonts w:eastAsia="Calibri"/>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Style9">
    <w:name w:val="Основной шрифт абзаца"/>
    <w:qFormat/>
    <w:rPr/>
  </w:style>
  <w:style w:type="character" w:styleId="2">
    <w:name w:val="Заголовок 2 Знак"/>
    <w:qFormat/>
    <w:rPr>
      <w:rFonts w:ascii="Cambria" w:hAnsi="Cambria" w:eastAsia="Times New Roman" w:cs="Times New Roman"/>
      <w:b/>
      <w:bCs/>
      <w:color w:val="4F81BD"/>
      <w:sz w:val="26"/>
      <w:szCs w:val="26"/>
    </w:rPr>
  </w:style>
  <w:style w:type="character" w:styleId="4">
    <w:name w:val="Заголовок 4 Знак"/>
    <w:qFormat/>
    <w:rPr>
      <w:rFonts w:ascii="Cambria" w:hAnsi="Cambria" w:eastAsia="Times New Roman" w:cs="Times New Roman"/>
      <w:b/>
      <w:bCs/>
      <w:i/>
      <w:iCs/>
      <w:color w:val="4F81BD"/>
      <w:sz w:val="24"/>
      <w:szCs w:val="24"/>
    </w:rPr>
  </w:style>
  <w:style w:type="character" w:styleId="Heading2Char">
    <w:name w:val="Heading 2 Char"/>
    <w:qFormat/>
    <w:rPr>
      <w:rFonts w:ascii="Arial" w:hAnsi="Arial" w:eastAsia="Times New Roman" w:cs="Times New Roman"/>
      <w:b/>
      <w:bCs w:val="false"/>
      <w:caps/>
      <w:sz w:val="16"/>
      <w:lang w:val="ru-RU"/>
    </w:rPr>
  </w:style>
  <w:style w:type="character" w:styleId="Heading4Char">
    <w:name w:val="Heading 4 Char"/>
    <w:qFormat/>
    <w:rPr>
      <w:rFonts w:ascii="Arial" w:hAnsi="Arial" w:eastAsia="Times New Roman" w:cs="Times New Roman"/>
      <w:b/>
      <w:bCs w:val="false"/>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1">
    <w:name w:val="Заголовок 1 Знак"/>
    <w:qFormat/>
    <w:rPr>
      <w:rFonts w:ascii="Calibri Light" w:hAnsi="Calibri Light" w:eastAsia="Times New Roman" w:cs="Times New Roman"/>
      <w:b/>
      <w:bCs/>
      <w:sz w:val="32"/>
      <w:szCs w:val="32"/>
    </w:rPr>
  </w:style>
  <w:style w:type="character" w:styleId="Style10">
    <w:name w:val="Верхний колонтитул Знак"/>
    <w:qFormat/>
    <w:rPr>
      <w:rFonts w:ascii="Times New Roman" w:hAnsi="Times New Roman" w:eastAsia="Times New Roman" w:cs="Times New Roman"/>
      <w:sz w:val="24"/>
      <w:szCs w:val="24"/>
    </w:rPr>
  </w:style>
  <w:style w:type="character" w:styleId="Style11">
    <w:name w:val="Нижний колонтитул Знак"/>
    <w:qFormat/>
    <w:rPr>
      <w:rFonts w:ascii="Times New Roman" w:hAnsi="Times New Roman" w:eastAsia="Times New Roman" w:cs="Times New Roman"/>
      <w:sz w:val="24"/>
      <w:szCs w:val="24"/>
    </w:rPr>
  </w:style>
  <w:style w:type="character" w:styleId="PageNumber">
    <w:name w:val="Page Numbe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InternetLink">
    <w:name w:val="Internet Link"/>
    <w:rPr>
      <w:rFonts w:ascii="Segoe UI" w:hAnsi="Segoe UI" w:cs="Segoe UI"/>
      <w:color w:val="0000FF"/>
      <w:sz w:val="18"/>
      <w:szCs w:val="18"/>
      <w:u w:val="single"/>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32">
    <w:name w:val="Заголовок 3 Знак"/>
    <w:qFormat/>
    <w:rPr>
      <w:rFonts w:ascii="Arial" w:hAnsi="Arial" w:cs="Arial"/>
      <w:b/>
      <w:bCs/>
      <w:sz w:val="24"/>
      <w:szCs w:val="24"/>
    </w:rPr>
  </w:style>
  <w:style w:type="character" w:styleId="6">
    <w:name w:val="Заголовок 6 Знак"/>
    <w:qFormat/>
    <w:rPr>
      <w:rFonts w:ascii="Times New Roman" w:hAnsi="Times New Roman" w:cs="Times New Roman"/>
      <w:b/>
      <w:bCs/>
      <w:sz w:val="22"/>
      <w:szCs w:val="22"/>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rFonts w:eastAsia="Calibri"/>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1">
    <w:name w:val="Обычный1"/>
    <w:basedOn w:val="Normal"/>
    <w:qFormat/>
    <w:pPr/>
    <w:rPr/>
  </w:style>
  <w:style w:type="paragraph" w:styleId="Msolistparagraph">
    <w:name w:val="msolistparagraph"/>
    <w:basedOn w:val="Normal"/>
    <w:qFormat/>
    <w:pPr>
      <w:spacing w:before="0" w:after="0"/>
      <w:ind w:left="720" w:hanging="0"/>
      <w:contextualSpacing/>
    </w:pPr>
    <w:rPr/>
  </w:style>
  <w:style w:type="paragraph" w:styleId="Encryption">
    <w:name w:val="Encryption"/>
    <w:basedOn w:val="Normal"/>
    <w:qFormat/>
    <w:pPr>
      <w:jc w:val="both"/>
    </w:pPr>
    <w:rPr>
      <w:b/>
      <w:bCs/>
      <w:i/>
      <w:iCs/>
    </w:rPr>
  </w:style>
  <w:style w:type="paragraph" w:styleId="211">
    <w:name w:val="Заголовок 21"/>
    <w:basedOn w:val="Normal"/>
    <w:qFormat/>
    <w:pPr/>
    <w:rPr/>
  </w:style>
  <w:style w:type="paragraph" w:styleId="411">
    <w:name w:val="Заголовок 41"/>
    <w:basedOn w:val="Normal"/>
    <w:qFormat/>
    <w:pPr/>
    <w:rPr/>
  </w:style>
  <w:style w:type="paragraph" w:styleId="Header">
    <w:name w:val="Header"/>
    <w:basedOn w:val="Normal"/>
    <w:pPr/>
    <w:rPr/>
  </w:style>
  <w:style w:type="paragraph" w:styleId="Footer">
    <w:name w:val="Footer"/>
    <w:basedOn w:val="Normal"/>
    <w:pPr/>
    <w:rPr/>
  </w:style>
  <w:style w:type="paragraph" w:styleId="Style23">
    <w:name w:val="Текст выноски"/>
    <w:basedOn w:val="Normal"/>
    <w:qFormat/>
    <w:pPr/>
    <w:rPr>
      <w:rFonts w:ascii="Tahoma" w:hAnsi="Tahoma" w:cs="Tahoma"/>
      <w:sz w:val="16"/>
      <w:szCs w:val="16"/>
      <w:lang w:val="ru-RU"/>
    </w:rPr>
  </w:style>
  <w:style w:type="paragraph" w:styleId="BodyTextIndent2">
    <w:name w:val="Body Text Indent2"/>
    <w:basedOn w:val="Normal"/>
    <w:qFormat/>
    <w:pPr>
      <w:jc w:val="center"/>
    </w:pPr>
    <w:rPr>
      <w:rFonts w:ascii="Arial" w:hAnsi="Arial" w:cs="Arial"/>
      <w:b/>
      <w:i/>
      <w:sz w:val="18"/>
      <w:szCs w:val="20"/>
    </w:rPr>
  </w:style>
  <w:style w:type="paragraph" w:styleId="12">
    <w:name w:val="Основной текст с отступом1"/>
    <w:basedOn w:val="Normal"/>
    <w:qFormat/>
    <w:pPr>
      <w:spacing w:before="120" w:after="120"/>
    </w:pPr>
    <w:rPr>
      <w:rFonts w:ascii="Arial" w:hAnsi="Arial" w:cs="Arial"/>
      <w:sz w:val="18"/>
      <w:szCs w:val="20"/>
      <w:lang w:val="ru-RU"/>
    </w:rPr>
  </w:style>
  <w:style w:type="paragraph" w:styleId="Cs95e872d0">
    <w:name w:val="cs95e872d0"/>
    <w:basedOn w:val="Normal"/>
    <w:qFormat/>
    <w:pPr/>
    <w:rPr>
      <w:lang w:val="ru-RU"/>
    </w:rPr>
  </w:style>
  <w:style w:type="paragraph" w:styleId="TextBodyIndent">
    <w:name w:val="Body Text Indent"/>
    <w:basedOn w:val="Normal"/>
    <w:pPr>
      <w:spacing w:before="0" w:after="120"/>
      <w:ind w:left="283" w:hanging="0"/>
    </w:pPr>
    <w:rPr>
      <w:lang w:val="ru-RU"/>
    </w:rPr>
  </w:style>
  <w:style w:type="paragraph" w:styleId="33">
    <w:name w:val="Основной текст 3"/>
    <w:basedOn w:val="Normal"/>
    <w:qFormat/>
    <w:pPr>
      <w:spacing w:before="0" w:after="120"/>
    </w:pPr>
    <w:rPr>
      <w:sz w:val="16"/>
      <w:szCs w:val="16"/>
    </w:rPr>
  </w:style>
  <w:style w:type="paragraph" w:styleId="24">
    <w:name w:val="Основной текст с отступом2"/>
    <w:basedOn w:val="Normal"/>
    <w:qFormat/>
    <w:pPr>
      <w:ind w:firstLine="708"/>
      <w:jc w:val="both"/>
    </w:pPr>
    <w:rPr>
      <w:rFonts w:ascii="Arial" w:hAnsi="Arial" w:cs="Arial"/>
      <w:b/>
      <w:sz w:val="18"/>
      <w:szCs w:val="20"/>
    </w:rPr>
  </w:style>
  <w:style w:type="paragraph" w:styleId="34">
    <w:name w:val="Основной текст с отступом3"/>
    <w:basedOn w:val="Normal"/>
    <w:qFormat/>
    <w:pPr>
      <w:ind w:firstLine="708"/>
      <w:jc w:val="both"/>
    </w:pPr>
    <w:rPr>
      <w:rFonts w:ascii="Arial" w:hAnsi="Arial" w:cs="Arial"/>
      <w:b/>
      <w:sz w:val="18"/>
      <w:szCs w:val="20"/>
    </w:rPr>
  </w:style>
  <w:style w:type="paragraph" w:styleId="42">
    <w:name w:val="Основной текст с отступом4"/>
    <w:basedOn w:val="Normal"/>
    <w:qFormat/>
    <w:pPr>
      <w:ind w:firstLine="708"/>
      <w:jc w:val="both"/>
    </w:pPr>
    <w:rPr>
      <w:rFonts w:ascii="Arial" w:hAnsi="Arial" w:cs="Arial"/>
      <w:b/>
      <w:sz w:val="18"/>
      <w:szCs w:val="20"/>
    </w:rPr>
  </w:style>
  <w:style w:type="paragraph" w:styleId="5">
    <w:name w:val="Основной текст с отступом5"/>
    <w:basedOn w:val="Normal"/>
    <w:qFormat/>
    <w:pPr>
      <w:ind w:firstLine="708"/>
      <w:jc w:val="both"/>
    </w:pPr>
    <w:rPr>
      <w:rFonts w:ascii="Arial" w:hAnsi="Arial" w:cs="Arial"/>
      <w:b/>
      <w:sz w:val="18"/>
      <w:szCs w:val="20"/>
    </w:rPr>
  </w:style>
  <w:style w:type="paragraph" w:styleId="Cse71256d6">
    <w:name w:val="cse71256d6"/>
    <w:basedOn w:val="Normal"/>
    <w:qFormat/>
    <w:pPr>
      <w:ind w:left="1440" w:hanging="0"/>
    </w:pPr>
    <w:rPr/>
  </w:style>
  <w:style w:type="paragraph" w:styleId="61">
    <w:name w:val="Основной текст с отступом6"/>
    <w:basedOn w:val="Normal"/>
    <w:qFormat/>
    <w:pPr>
      <w:ind w:firstLine="708"/>
      <w:jc w:val="both"/>
    </w:pPr>
    <w:rPr>
      <w:rFonts w:ascii="Arial" w:hAnsi="Arial" w:cs="Arial"/>
      <w:b/>
      <w:sz w:val="18"/>
      <w:szCs w:val="20"/>
    </w:rPr>
  </w:style>
  <w:style w:type="paragraph" w:styleId="7">
    <w:name w:val="Основной текст с отступом7"/>
    <w:basedOn w:val="Normal"/>
    <w:qFormat/>
    <w:pPr>
      <w:ind w:firstLine="708"/>
      <w:jc w:val="both"/>
    </w:pPr>
    <w:rPr>
      <w:rFonts w:ascii="Arial" w:hAnsi="Arial" w:cs="Arial"/>
      <w:b/>
      <w:sz w:val="18"/>
      <w:szCs w:val="20"/>
    </w:rPr>
  </w:style>
  <w:style w:type="paragraph" w:styleId="8">
    <w:name w:val="Основной текст с отступом8"/>
    <w:basedOn w:val="Normal"/>
    <w:qFormat/>
    <w:pPr>
      <w:ind w:firstLine="708"/>
      <w:jc w:val="both"/>
    </w:pPr>
    <w:rPr>
      <w:rFonts w:ascii="Arial" w:hAnsi="Arial" w:cs="Arial"/>
      <w:b/>
      <w:sz w:val="18"/>
      <w:szCs w:val="20"/>
    </w:rPr>
  </w:style>
  <w:style w:type="paragraph" w:styleId="9">
    <w:name w:val="Основной текст с отступом9"/>
    <w:basedOn w:val="Normal"/>
    <w:qFormat/>
    <w:pPr>
      <w:ind w:firstLine="708"/>
      <w:jc w:val="both"/>
    </w:pPr>
    <w:rPr>
      <w:rFonts w:ascii="Arial" w:hAnsi="Arial" w:cs="Arial"/>
      <w:b/>
      <w:sz w:val="18"/>
      <w:szCs w:val="20"/>
    </w:rPr>
  </w:style>
  <w:style w:type="paragraph" w:styleId="111">
    <w:name w:val="Основной текст с отступом11"/>
    <w:basedOn w:val="Normal"/>
    <w:qFormat/>
    <w:pPr>
      <w:ind w:firstLine="708"/>
      <w:jc w:val="both"/>
    </w:pPr>
    <w:rPr>
      <w:rFonts w:ascii="Arial" w:hAnsi="Arial" w:cs="Arial"/>
      <w:b/>
      <w:sz w:val="18"/>
      <w:szCs w:val="20"/>
    </w:rPr>
  </w:style>
  <w:style w:type="paragraph" w:styleId="10">
    <w:name w:val="Основной текст с отступом10"/>
    <w:basedOn w:val="Normal"/>
    <w:qFormat/>
    <w:pPr>
      <w:ind w:firstLine="708"/>
      <w:jc w:val="both"/>
    </w:pPr>
    <w:rPr>
      <w:rFonts w:ascii="Arial" w:hAnsi="Arial" w:cs="Arial"/>
      <w:b/>
      <w:sz w:val="18"/>
      <w:szCs w:val="20"/>
    </w:rPr>
  </w:style>
  <w:style w:type="paragraph" w:styleId="112">
    <w:name w:val="Обычный11"/>
    <w:basedOn w:val="Normal"/>
    <w:qFormat/>
    <w:pPr/>
    <w:rPr/>
  </w:style>
  <w:style w:type="paragraph" w:styleId="110">
    <w:name w:val="Основной текст с отступом110"/>
    <w:basedOn w:val="Normal"/>
    <w:qFormat/>
    <w:pPr>
      <w:ind w:firstLine="708"/>
      <w:jc w:val="both"/>
    </w:pPr>
    <w:rPr>
      <w:rFonts w:ascii="Arial" w:hAnsi="Arial" w:cs="Arial"/>
      <w:b/>
      <w:sz w:val="18"/>
      <w:szCs w:val="22"/>
    </w:rPr>
  </w:style>
  <w:style w:type="paragraph" w:styleId="35">
    <w:name w:val="Основной текст с отступом 3"/>
    <w:basedOn w:val="Normal"/>
    <w:qFormat/>
    <w:pPr>
      <w:spacing w:before="0" w:after="120"/>
      <w:ind w:left="283" w:hanging="0"/>
    </w:pPr>
    <w:rPr>
      <w:rFonts w:eastAsia="Calibri"/>
      <w:sz w:val="16"/>
      <w:szCs w:val="16"/>
      <w:lang w:val="ru-RU"/>
    </w:rPr>
  </w:style>
  <w:style w:type="paragraph" w:styleId="121">
    <w:name w:val="Основной текст с отступом12"/>
    <w:basedOn w:val="Normal"/>
    <w:qFormat/>
    <w:pPr>
      <w:ind w:firstLine="708"/>
      <w:jc w:val="both"/>
    </w:pPr>
    <w:rPr>
      <w:rFonts w:ascii="Arial" w:hAnsi="Arial" w:cs="Arial"/>
      <w:b/>
      <w:sz w:val="18"/>
      <w:szCs w:val="20"/>
    </w:rPr>
  </w:style>
  <w:style w:type="paragraph" w:styleId="13">
    <w:name w:val="Основной текст с отступом13"/>
    <w:basedOn w:val="Normal"/>
    <w:qFormat/>
    <w:pPr>
      <w:ind w:firstLine="708"/>
      <w:jc w:val="both"/>
    </w:pPr>
    <w:rPr>
      <w:rFonts w:ascii="Arial" w:hAnsi="Arial" w:cs="Arial"/>
      <w:b/>
      <w:sz w:val="18"/>
      <w:szCs w:val="20"/>
    </w:rPr>
  </w:style>
  <w:style w:type="paragraph" w:styleId="141">
    <w:name w:val="Основной текст с отступом14"/>
    <w:basedOn w:val="Normal"/>
    <w:qFormat/>
    <w:pPr>
      <w:ind w:firstLine="708"/>
      <w:jc w:val="both"/>
    </w:pPr>
    <w:rPr>
      <w:rFonts w:ascii="Arial" w:hAnsi="Arial" w:cs="Arial"/>
      <w:b/>
      <w:sz w:val="18"/>
      <w:szCs w:val="20"/>
    </w:rPr>
  </w:style>
  <w:style w:type="paragraph" w:styleId="15">
    <w:name w:val="Основной текст с отступом15"/>
    <w:basedOn w:val="Normal"/>
    <w:qFormat/>
    <w:pPr>
      <w:ind w:firstLine="708"/>
      <w:jc w:val="both"/>
    </w:pPr>
    <w:rPr>
      <w:rFonts w:ascii="Arial" w:hAnsi="Arial" w:cs="Arial"/>
      <w:b/>
      <w:sz w:val="18"/>
      <w:szCs w:val="20"/>
    </w:rPr>
  </w:style>
  <w:style w:type="paragraph" w:styleId="16">
    <w:name w:val="Основной текст с отступом16"/>
    <w:basedOn w:val="Normal"/>
    <w:qFormat/>
    <w:pPr>
      <w:ind w:firstLine="708"/>
      <w:jc w:val="both"/>
    </w:pPr>
    <w:rPr>
      <w:rFonts w:ascii="Arial" w:hAnsi="Arial" w:cs="Arial"/>
      <w:b/>
      <w:sz w:val="18"/>
      <w:szCs w:val="20"/>
    </w:rPr>
  </w:style>
  <w:style w:type="paragraph" w:styleId="17">
    <w:name w:val="Основной текст с отступом17"/>
    <w:basedOn w:val="Normal"/>
    <w:qFormat/>
    <w:pPr>
      <w:ind w:firstLine="708"/>
      <w:jc w:val="both"/>
    </w:pPr>
    <w:rPr>
      <w:rFonts w:ascii="Arial" w:hAnsi="Arial" w:cs="Arial"/>
      <w:b/>
      <w:sz w:val="18"/>
      <w:szCs w:val="20"/>
    </w:rPr>
  </w:style>
  <w:style w:type="paragraph" w:styleId="18">
    <w:name w:val="Основной текст с отступом18"/>
    <w:basedOn w:val="Normal"/>
    <w:qFormat/>
    <w:pPr>
      <w:ind w:firstLine="708"/>
      <w:jc w:val="both"/>
    </w:pPr>
    <w:rPr>
      <w:rFonts w:ascii="Arial" w:hAnsi="Arial" w:cs="Arial"/>
      <w:b/>
      <w:sz w:val="18"/>
      <w:szCs w:val="20"/>
    </w:rPr>
  </w:style>
  <w:style w:type="paragraph" w:styleId="19">
    <w:name w:val="Основной текст с отступом19"/>
    <w:basedOn w:val="Normal"/>
    <w:qFormat/>
    <w:pPr>
      <w:ind w:firstLine="708"/>
      <w:jc w:val="both"/>
    </w:pPr>
    <w:rPr>
      <w:rFonts w:ascii="Arial" w:hAnsi="Arial" w:cs="Arial"/>
      <w:b/>
      <w:sz w:val="18"/>
      <w:szCs w:val="20"/>
    </w:rPr>
  </w:style>
  <w:style w:type="paragraph" w:styleId="20">
    <w:name w:val="Основной текст с отступом20"/>
    <w:basedOn w:val="Normal"/>
    <w:qFormat/>
    <w:pPr>
      <w:ind w:firstLine="708"/>
      <w:jc w:val="both"/>
    </w:pPr>
    <w:rPr>
      <w:rFonts w:ascii="Arial" w:hAnsi="Arial" w:cs="Arial"/>
      <w:b/>
      <w:sz w:val="18"/>
      <w:szCs w:val="20"/>
    </w:rPr>
  </w:style>
  <w:style w:type="paragraph" w:styleId="Cs80d9435b">
    <w:name w:val="cs80d9435b"/>
    <w:basedOn w:val="Normal"/>
    <w:qFormat/>
    <w:pPr>
      <w:jc w:val="both"/>
    </w:pPr>
    <w:rPr>
      <w:rFonts w:ascii="Arial" w:hAnsi="Arial" w:cs="Arial"/>
    </w:rPr>
  </w:style>
  <w:style w:type="paragraph" w:styleId="212">
    <w:name w:val="Основной текст с отступом21"/>
    <w:basedOn w:val="Normal"/>
    <w:qFormat/>
    <w:pPr>
      <w:ind w:firstLine="708"/>
      <w:jc w:val="both"/>
    </w:pPr>
    <w:rPr>
      <w:rFonts w:ascii="Arial" w:hAnsi="Arial" w:cs="Arial"/>
      <w:b/>
      <w:sz w:val="18"/>
      <w:szCs w:val="20"/>
    </w:rPr>
  </w:style>
  <w:style w:type="paragraph" w:styleId="231">
    <w:name w:val="Основной текст с отступом23"/>
    <w:basedOn w:val="Normal"/>
    <w:qFormat/>
    <w:pPr>
      <w:ind w:firstLine="708"/>
      <w:jc w:val="both"/>
    </w:pPr>
    <w:rPr>
      <w:rFonts w:ascii="Arial" w:hAnsi="Arial" w:cs="Arial"/>
      <w:b/>
      <w:sz w:val="18"/>
      <w:szCs w:val="20"/>
    </w:rPr>
  </w:style>
  <w:style w:type="paragraph" w:styleId="26">
    <w:name w:val="Основной текст с отступом26"/>
    <w:basedOn w:val="Normal"/>
    <w:qFormat/>
    <w:pPr>
      <w:ind w:firstLine="708"/>
      <w:jc w:val="both"/>
    </w:pPr>
    <w:rPr>
      <w:rFonts w:ascii="Arial" w:hAnsi="Arial" w:cs="Arial"/>
      <w:b/>
      <w:sz w:val="18"/>
      <w:szCs w:val="20"/>
    </w:rPr>
  </w:style>
  <w:style w:type="paragraph" w:styleId="28">
    <w:name w:val="Основной текст с отступом28"/>
    <w:basedOn w:val="Normal"/>
    <w:qFormat/>
    <w:pPr>
      <w:ind w:firstLine="708"/>
      <w:jc w:val="both"/>
    </w:pPr>
    <w:rPr>
      <w:rFonts w:ascii="Arial" w:hAnsi="Arial" w:cs="Arial"/>
      <w:b/>
      <w:sz w:val="18"/>
      <w:szCs w:val="20"/>
    </w:rPr>
  </w:style>
  <w:style w:type="paragraph" w:styleId="29">
    <w:name w:val="Основной текст с отступом29"/>
    <w:basedOn w:val="Normal"/>
    <w:qFormat/>
    <w:pPr>
      <w:ind w:firstLine="708"/>
      <w:jc w:val="both"/>
    </w:pPr>
    <w:rPr>
      <w:rFonts w:ascii="Arial" w:hAnsi="Arial" w:cs="Arial"/>
      <w:b/>
      <w:sz w:val="18"/>
      <w:szCs w:val="20"/>
    </w:rPr>
  </w:style>
  <w:style w:type="paragraph" w:styleId="311">
    <w:name w:val="Основной текст с отступом31"/>
    <w:basedOn w:val="Normal"/>
    <w:qFormat/>
    <w:pPr>
      <w:ind w:firstLine="708"/>
      <w:jc w:val="both"/>
    </w:pPr>
    <w:rPr>
      <w:rFonts w:ascii="Arial" w:hAnsi="Arial" w:cs="Arial"/>
      <w:b/>
      <w:sz w:val="18"/>
      <w:szCs w:val="20"/>
    </w:rPr>
  </w:style>
  <w:style w:type="paragraph" w:styleId="321">
    <w:name w:val="Основной текст с отступом32"/>
    <w:basedOn w:val="Normal"/>
    <w:qFormat/>
    <w:pPr>
      <w:ind w:firstLine="708"/>
      <w:jc w:val="both"/>
    </w:pPr>
    <w:rPr>
      <w:rFonts w:ascii="Arial" w:hAnsi="Arial" w:cs="Arial"/>
      <w:b/>
      <w:sz w:val="18"/>
      <w:szCs w:val="20"/>
    </w:rPr>
  </w:style>
  <w:style w:type="paragraph" w:styleId="331">
    <w:name w:val="Основной текст с отступом33"/>
    <w:basedOn w:val="Normal"/>
    <w:qFormat/>
    <w:pPr>
      <w:ind w:firstLine="708"/>
      <w:jc w:val="both"/>
    </w:pPr>
    <w:rPr>
      <w:rFonts w:ascii="Arial" w:hAnsi="Arial" w:cs="Arial"/>
      <w:b/>
      <w:sz w:val="18"/>
      <w:szCs w:val="20"/>
    </w:rPr>
  </w:style>
  <w:style w:type="paragraph" w:styleId="351">
    <w:name w:val="Основной текст с отступом35"/>
    <w:basedOn w:val="Normal"/>
    <w:qFormat/>
    <w:pPr>
      <w:ind w:firstLine="708"/>
      <w:jc w:val="both"/>
    </w:pPr>
    <w:rPr>
      <w:rFonts w:ascii="Arial" w:hAnsi="Arial" w:cs="Arial"/>
      <w:b/>
      <w:sz w:val="18"/>
      <w:szCs w:val="20"/>
    </w:rPr>
  </w:style>
  <w:style w:type="paragraph" w:styleId="341">
    <w:name w:val="Основной текст с отступом34"/>
    <w:basedOn w:val="Normal"/>
    <w:qFormat/>
    <w:pPr>
      <w:ind w:firstLine="708"/>
      <w:jc w:val="both"/>
    </w:pPr>
    <w:rPr>
      <w:rFonts w:ascii="Arial" w:hAnsi="Arial" w:cs="Arial"/>
      <w:b/>
      <w:sz w:val="18"/>
      <w:szCs w:val="20"/>
    </w:rPr>
  </w:style>
  <w:style w:type="paragraph" w:styleId="36">
    <w:name w:val="Основной текст с отступом36"/>
    <w:basedOn w:val="Normal"/>
    <w:qFormat/>
    <w:pPr>
      <w:ind w:firstLine="708"/>
      <w:jc w:val="both"/>
    </w:pPr>
    <w:rPr>
      <w:rFonts w:ascii="Arial" w:hAnsi="Arial" w:cs="Arial"/>
      <w:b/>
      <w:sz w:val="18"/>
      <w:szCs w:val="20"/>
    </w:rPr>
  </w:style>
  <w:style w:type="paragraph" w:styleId="37">
    <w:name w:val="Основной текст с отступом37"/>
    <w:basedOn w:val="Normal"/>
    <w:qFormat/>
    <w:pPr>
      <w:ind w:firstLine="708"/>
      <w:jc w:val="both"/>
    </w:pPr>
    <w:rPr>
      <w:rFonts w:ascii="Arial" w:hAnsi="Arial" w:cs="Arial"/>
      <w:b/>
      <w:sz w:val="18"/>
      <w:szCs w:val="20"/>
    </w:rPr>
  </w:style>
  <w:style w:type="paragraph" w:styleId="Style24">
    <w:name w:val="Текст примечания"/>
    <w:basedOn w:val="Normal"/>
    <w:qFormat/>
    <w:pPr/>
    <w:rPr>
      <w:sz w:val="20"/>
      <w:szCs w:val="20"/>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cs="Arial"/>
    </w:rPr>
  </w:style>
  <w:style w:type="paragraph" w:styleId="38">
    <w:name w:val="Основной текст с отступом38"/>
    <w:basedOn w:val="Normal"/>
    <w:qFormat/>
    <w:pPr>
      <w:ind w:firstLine="708"/>
      <w:jc w:val="both"/>
    </w:pPr>
    <w:rPr>
      <w:rFonts w:ascii="Arial" w:hAnsi="Arial" w:cs="Arial"/>
      <w:b/>
      <w:sz w:val="18"/>
      <w:szCs w:val="20"/>
    </w:rPr>
  </w:style>
  <w:style w:type="paragraph" w:styleId="39">
    <w:name w:val="Основной текст с отступом39"/>
    <w:basedOn w:val="Normal"/>
    <w:qFormat/>
    <w:pPr>
      <w:ind w:firstLine="708"/>
      <w:jc w:val="both"/>
    </w:pPr>
    <w:rPr>
      <w:rFonts w:ascii="Arial" w:hAnsi="Arial" w:cs="Arial"/>
      <w:b/>
      <w:sz w:val="18"/>
      <w:szCs w:val="20"/>
    </w:rPr>
  </w:style>
  <w:style w:type="paragraph" w:styleId="40">
    <w:name w:val="Основной текст с отступом40"/>
    <w:basedOn w:val="Normal"/>
    <w:qFormat/>
    <w:pPr>
      <w:ind w:firstLine="708"/>
      <w:jc w:val="both"/>
    </w:pPr>
    <w:rPr>
      <w:rFonts w:ascii="Arial" w:hAnsi="Arial" w:cs="Arial"/>
      <w:b/>
      <w:sz w:val="18"/>
      <w:szCs w:val="20"/>
    </w:rPr>
  </w:style>
  <w:style w:type="paragraph" w:styleId="412">
    <w:name w:val="Основной текст с отступом41"/>
    <w:basedOn w:val="Normal"/>
    <w:qFormat/>
    <w:pPr>
      <w:ind w:firstLine="708"/>
      <w:jc w:val="both"/>
    </w:pPr>
    <w:rPr>
      <w:rFonts w:ascii="Arial" w:hAnsi="Arial" w:cs="Arial"/>
      <w:b/>
      <w:sz w:val="18"/>
      <w:szCs w:val="20"/>
    </w:rPr>
  </w:style>
  <w:style w:type="paragraph" w:styleId="421">
    <w:name w:val="Основной текст с отступом42"/>
    <w:basedOn w:val="Normal"/>
    <w:qFormat/>
    <w:pPr>
      <w:ind w:firstLine="708"/>
      <w:jc w:val="both"/>
    </w:pPr>
    <w:rPr>
      <w:rFonts w:ascii="Arial" w:hAnsi="Arial" w:cs="Arial"/>
      <w:b/>
      <w:sz w:val="18"/>
      <w:szCs w:val="20"/>
    </w:rPr>
  </w:style>
  <w:style w:type="paragraph" w:styleId="43">
    <w:name w:val="Основной текст с отступом43"/>
    <w:basedOn w:val="Normal"/>
    <w:qFormat/>
    <w:pPr>
      <w:ind w:firstLine="708"/>
      <w:jc w:val="both"/>
    </w:pPr>
    <w:rPr>
      <w:rFonts w:ascii="Arial" w:hAnsi="Arial" w:cs="Arial"/>
      <w:b/>
      <w:sz w:val="18"/>
      <w:szCs w:val="20"/>
    </w:rPr>
  </w:style>
  <w:style w:type="paragraph" w:styleId="44">
    <w:name w:val="Основной текст с отступом44"/>
    <w:basedOn w:val="Normal"/>
    <w:qFormat/>
    <w:pPr>
      <w:ind w:firstLine="708"/>
      <w:jc w:val="both"/>
    </w:pPr>
    <w:rPr>
      <w:rFonts w:ascii="Arial" w:hAnsi="Arial" w:cs="Arial"/>
      <w:b/>
      <w:sz w:val="18"/>
      <w:szCs w:val="20"/>
    </w:rPr>
  </w:style>
  <w:style w:type="paragraph" w:styleId="45">
    <w:name w:val="Основной текст с отступом45"/>
    <w:basedOn w:val="Normal"/>
    <w:qFormat/>
    <w:pPr>
      <w:ind w:firstLine="708"/>
      <w:jc w:val="both"/>
    </w:pPr>
    <w:rPr>
      <w:rFonts w:ascii="Arial" w:hAnsi="Arial" w:cs="Arial"/>
      <w:b/>
      <w:sz w:val="18"/>
      <w:szCs w:val="20"/>
    </w:rPr>
  </w:style>
  <w:style w:type="paragraph" w:styleId="46">
    <w:name w:val="Основной текст с отступом46"/>
    <w:basedOn w:val="Normal"/>
    <w:qFormat/>
    <w:pPr>
      <w:ind w:firstLine="708"/>
      <w:jc w:val="both"/>
    </w:pPr>
    <w:rPr>
      <w:rFonts w:ascii="Arial" w:hAnsi="Arial" w:cs="Arial"/>
      <w:b/>
      <w:sz w:val="18"/>
      <w:szCs w:val="20"/>
    </w:rPr>
  </w:style>
  <w:style w:type="paragraph" w:styleId="47">
    <w:name w:val="Основной текст с отступом47"/>
    <w:basedOn w:val="Normal"/>
    <w:qFormat/>
    <w:pPr>
      <w:ind w:firstLine="708"/>
      <w:jc w:val="both"/>
    </w:pPr>
    <w:rPr>
      <w:rFonts w:ascii="Arial" w:hAnsi="Arial" w:cs="Arial"/>
      <w:b/>
      <w:sz w:val="18"/>
      <w:szCs w:val="20"/>
    </w:rPr>
  </w:style>
  <w:style w:type="paragraph" w:styleId="48">
    <w:name w:val="Основной текст с отступом48"/>
    <w:basedOn w:val="Normal"/>
    <w:qFormat/>
    <w:pPr>
      <w:ind w:firstLine="708"/>
      <w:jc w:val="both"/>
    </w:pPr>
    <w:rPr>
      <w:rFonts w:ascii="Arial" w:hAnsi="Arial" w:cs="Arial"/>
      <w:b/>
      <w:sz w:val="18"/>
      <w:szCs w:val="20"/>
    </w:rPr>
  </w:style>
  <w:style w:type="paragraph" w:styleId="49">
    <w:name w:val="Основной текст с отступом49"/>
    <w:basedOn w:val="Normal"/>
    <w:qFormat/>
    <w:pPr>
      <w:ind w:firstLine="708"/>
      <w:jc w:val="both"/>
    </w:pPr>
    <w:rPr>
      <w:rFonts w:ascii="Arial" w:hAnsi="Arial" w:cs="Arial"/>
      <w:b/>
      <w:sz w:val="18"/>
      <w:szCs w:val="20"/>
    </w:rPr>
  </w:style>
  <w:style w:type="paragraph" w:styleId="50">
    <w:name w:val="Основной текст с отступом50"/>
    <w:basedOn w:val="Normal"/>
    <w:qFormat/>
    <w:pPr>
      <w:ind w:firstLine="708"/>
      <w:jc w:val="both"/>
    </w:pPr>
    <w:rPr>
      <w:rFonts w:ascii="Arial" w:hAnsi="Arial" w:cs="Arial"/>
      <w:b/>
      <w:sz w:val="18"/>
      <w:szCs w:val="20"/>
    </w:rPr>
  </w:style>
  <w:style w:type="paragraph" w:styleId="52">
    <w:name w:val="Основной текст с отступом52"/>
    <w:basedOn w:val="Normal"/>
    <w:qFormat/>
    <w:pPr>
      <w:ind w:firstLine="708"/>
      <w:jc w:val="both"/>
    </w:pPr>
    <w:rPr>
      <w:rFonts w:ascii="Arial" w:hAnsi="Arial" w:cs="Arial"/>
      <w:b/>
      <w:sz w:val="18"/>
      <w:szCs w:val="20"/>
    </w:rPr>
  </w:style>
  <w:style w:type="paragraph" w:styleId="53">
    <w:name w:val="Основной текст с отступом53"/>
    <w:basedOn w:val="Normal"/>
    <w:qFormat/>
    <w:pPr>
      <w:ind w:firstLine="708"/>
      <w:jc w:val="both"/>
    </w:pPr>
    <w:rPr>
      <w:rFonts w:ascii="Arial" w:hAnsi="Arial" w:cs="Arial"/>
      <w:b/>
      <w:sz w:val="18"/>
      <w:szCs w:val="20"/>
    </w:rPr>
  </w:style>
  <w:style w:type="paragraph" w:styleId="54">
    <w:name w:val="Основной текст с отступом54"/>
    <w:basedOn w:val="Normal"/>
    <w:qFormat/>
    <w:pPr>
      <w:ind w:firstLine="708"/>
      <w:jc w:val="both"/>
    </w:pPr>
    <w:rPr>
      <w:rFonts w:ascii="Arial" w:hAnsi="Arial" w:cs="Arial"/>
      <w:b/>
      <w:sz w:val="18"/>
      <w:szCs w:val="20"/>
    </w:rPr>
  </w:style>
  <w:style w:type="paragraph" w:styleId="57">
    <w:name w:val="Основной текст с отступом57"/>
    <w:basedOn w:val="Normal"/>
    <w:qFormat/>
    <w:pPr>
      <w:ind w:firstLine="708"/>
      <w:jc w:val="both"/>
    </w:pPr>
    <w:rPr>
      <w:rFonts w:ascii="Arial" w:hAnsi="Arial" w:cs="Arial"/>
      <w:b/>
      <w:sz w:val="18"/>
      <w:szCs w:val="20"/>
    </w:rPr>
  </w:style>
  <w:style w:type="paragraph" w:styleId="59">
    <w:name w:val="Основной текст с отступом59"/>
    <w:basedOn w:val="Normal"/>
    <w:qFormat/>
    <w:pPr>
      <w:ind w:firstLine="708"/>
      <w:jc w:val="both"/>
    </w:pPr>
    <w:rPr>
      <w:rFonts w:ascii="Arial" w:hAnsi="Arial" w:cs="Arial"/>
      <w:b/>
      <w:sz w:val="18"/>
      <w:szCs w:val="20"/>
    </w:rPr>
  </w:style>
  <w:style w:type="paragraph" w:styleId="60">
    <w:name w:val="Основной текст с отступом60"/>
    <w:basedOn w:val="Normal"/>
    <w:qFormat/>
    <w:pPr>
      <w:ind w:firstLine="708"/>
      <w:jc w:val="both"/>
    </w:pPr>
    <w:rPr>
      <w:rFonts w:ascii="Arial" w:hAnsi="Arial" w:cs="Arial"/>
      <w:b/>
      <w:sz w:val="18"/>
      <w:szCs w:val="20"/>
    </w:rPr>
  </w:style>
  <w:style w:type="paragraph" w:styleId="611">
    <w:name w:val="Основной текст с отступом61"/>
    <w:basedOn w:val="Normal"/>
    <w:qFormat/>
    <w:pPr>
      <w:ind w:firstLine="708"/>
      <w:jc w:val="both"/>
    </w:pPr>
    <w:rPr>
      <w:rFonts w:ascii="Arial" w:hAnsi="Arial" w:cs="Arial"/>
      <w:b/>
      <w:sz w:val="18"/>
      <w:szCs w:val="20"/>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cs="Arial"/>
      <w:sz w:val="18"/>
      <w:szCs w:val="20"/>
      <w:lang w:val="ru-RU"/>
    </w:rPr>
  </w:style>
  <w:style w:type="paragraph" w:styleId="222">
    <w:name w:val="Заголовок 22"/>
    <w:basedOn w:val="Normal"/>
    <w:qFormat/>
    <w:pPr/>
    <w:rPr>
      <w:rFonts w:ascii="Arial" w:hAnsi="Arial" w:cs="Arial"/>
      <w:b/>
      <w:caps/>
      <w:sz w:val="16"/>
      <w:szCs w:val="20"/>
      <w:lang w:val="ru-RU"/>
    </w:rPr>
  </w:style>
  <w:style w:type="paragraph" w:styleId="422">
    <w:name w:val="Заголовок 42"/>
    <w:basedOn w:val="Normal"/>
    <w:qFormat/>
    <w:pPr/>
    <w:rPr>
      <w:rFonts w:ascii="Arial" w:hAnsi="Arial" w:cs="Arial"/>
      <w:b/>
      <w:sz w:val="20"/>
      <w:szCs w:val="20"/>
      <w:lang w:val="ru-RU"/>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cs="Arial"/>
      <w:sz w:val="18"/>
      <w:szCs w:val="20"/>
      <w:lang w:val="ru-RU"/>
    </w:rPr>
  </w:style>
  <w:style w:type="paragraph" w:styleId="232">
    <w:name w:val="Заголовок 23"/>
    <w:basedOn w:val="Normal"/>
    <w:qFormat/>
    <w:pPr/>
    <w:rPr>
      <w:rFonts w:ascii="Arial" w:hAnsi="Arial" w:cs="Arial"/>
      <w:b/>
      <w:caps/>
      <w:sz w:val="16"/>
      <w:szCs w:val="20"/>
      <w:lang w:val="ru-RU"/>
    </w:rPr>
  </w:style>
  <w:style w:type="paragraph" w:styleId="431">
    <w:name w:val="Заголовок 43"/>
    <w:basedOn w:val="Normal"/>
    <w:qFormat/>
    <w:pPr/>
    <w:rPr>
      <w:rFonts w:ascii="Arial" w:hAnsi="Arial" w:cs="Arial"/>
      <w:b/>
      <w:sz w:val="20"/>
      <w:szCs w:val="20"/>
      <w:lang w:val="ru-RU"/>
    </w:rPr>
  </w:style>
  <w:style w:type="paragraph" w:styleId="BodyTextIndent">
    <w:name w:val="Body Text Indent"/>
    <w:basedOn w:val="Normal"/>
    <w:qFormat/>
    <w:pPr>
      <w:spacing w:before="120" w:after="120"/>
    </w:pPr>
    <w:rPr>
      <w:rFonts w:ascii="Arial" w:hAnsi="Arial" w:cs="Arial"/>
      <w:sz w:val="18"/>
      <w:szCs w:val="20"/>
      <w:lang w:val="ru-RU"/>
    </w:rPr>
  </w:style>
  <w:style w:type="paragraph" w:styleId="WWHeading2">
    <w:name w:val="WW-Heading 2"/>
    <w:basedOn w:val="Normal"/>
    <w:qFormat/>
    <w:pPr/>
    <w:rPr>
      <w:rFonts w:ascii="Arial" w:hAnsi="Arial" w:cs="Arial"/>
      <w:b/>
      <w:caps/>
      <w:sz w:val="16"/>
      <w:szCs w:val="20"/>
      <w:lang w:val="ru-RU"/>
    </w:rPr>
  </w:style>
  <w:style w:type="paragraph" w:styleId="WWHeading4">
    <w:name w:val="WW-Heading 4"/>
    <w:basedOn w:val="Normal"/>
    <w:qFormat/>
    <w:pPr/>
    <w:rPr>
      <w:rFonts w:ascii="Arial" w:hAnsi="Arial" w:cs="Arial"/>
      <w:b/>
      <w:sz w:val="20"/>
      <w:szCs w:val="20"/>
      <w:lang w:val="ru-RU"/>
    </w:rPr>
  </w:style>
  <w:style w:type="paragraph" w:styleId="62">
    <w:name w:val="Основной текст с отступом62"/>
    <w:basedOn w:val="Normal"/>
    <w:qFormat/>
    <w:pPr>
      <w:ind w:firstLine="708"/>
      <w:jc w:val="both"/>
    </w:pPr>
    <w:rPr>
      <w:rFonts w:ascii="Arial" w:hAnsi="Arial" w:cs="Arial"/>
      <w:b/>
      <w:sz w:val="18"/>
      <w:szCs w:val="20"/>
    </w:rPr>
  </w:style>
  <w:style w:type="paragraph" w:styleId="64">
    <w:name w:val="Основной текст с отступом64"/>
    <w:basedOn w:val="Normal"/>
    <w:qFormat/>
    <w:pPr>
      <w:ind w:firstLine="708"/>
      <w:jc w:val="both"/>
    </w:pPr>
    <w:rPr>
      <w:rFonts w:ascii="Arial" w:hAnsi="Arial" w:cs="Arial"/>
      <w:b/>
      <w:sz w:val="18"/>
      <w:szCs w:val="20"/>
    </w:rPr>
  </w:style>
  <w:style w:type="paragraph" w:styleId="63">
    <w:name w:val="Основной текст с отступом63"/>
    <w:basedOn w:val="Normal"/>
    <w:qFormat/>
    <w:pPr>
      <w:ind w:firstLine="708"/>
      <w:jc w:val="both"/>
    </w:pPr>
    <w:rPr>
      <w:rFonts w:ascii="Arial" w:hAnsi="Arial" w:cs="Arial"/>
      <w:b/>
      <w:sz w:val="18"/>
      <w:szCs w:val="20"/>
    </w:rPr>
  </w:style>
  <w:style w:type="paragraph" w:styleId="65">
    <w:name w:val="Основной текст с отступом65"/>
    <w:basedOn w:val="Normal"/>
    <w:qFormat/>
    <w:pPr>
      <w:ind w:firstLine="708"/>
      <w:jc w:val="both"/>
    </w:pPr>
    <w:rPr>
      <w:rFonts w:ascii="Arial" w:hAnsi="Arial" w:cs="Arial"/>
      <w:b/>
      <w:sz w:val="18"/>
      <w:szCs w:val="20"/>
    </w:rPr>
  </w:style>
  <w:style w:type="paragraph" w:styleId="66">
    <w:name w:val="Основной текст с отступом66"/>
    <w:basedOn w:val="Normal"/>
    <w:qFormat/>
    <w:pPr>
      <w:ind w:firstLine="708"/>
      <w:jc w:val="both"/>
    </w:pPr>
    <w:rPr>
      <w:rFonts w:ascii="Arial" w:hAnsi="Arial" w:cs="Arial"/>
      <w:b/>
      <w:sz w:val="18"/>
      <w:szCs w:val="20"/>
    </w:rPr>
  </w:style>
  <w:style w:type="paragraph" w:styleId="67">
    <w:name w:val="Основной текст с отступом67"/>
    <w:basedOn w:val="Normal"/>
    <w:qFormat/>
    <w:pPr>
      <w:ind w:firstLine="708"/>
      <w:jc w:val="both"/>
    </w:pPr>
    <w:rPr>
      <w:rFonts w:ascii="Arial" w:hAnsi="Arial" w:cs="Arial"/>
      <w:b/>
      <w:sz w:val="18"/>
      <w:szCs w:val="20"/>
    </w:rPr>
  </w:style>
  <w:style w:type="paragraph" w:styleId="68">
    <w:name w:val="Основной текст с отступом68"/>
    <w:basedOn w:val="Normal"/>
    <w:qFormat/>
    <w:pPr>
      <w:ind w:firstLine="708"/>
      <w:jc w:val="both"/>
    </w:pPr>
    <w:rPr>
      <w:rFonts w:ascii="Arial" w:hAnsi="Arial" w:cs="Arial"/>
      <w:b/>
      <w:sz w:val="18"/>
      <w:szCs w:val="20"/>
    </w:rPr>
  </w:style>
  <w:style w:type="paragraph" w:styleId="69">
    <w:name w:val="Основной текст с отступом69"/>
    <w:basedOn w:val="Normal"/>
    <w:qFormat/>
    <w:pPr>
      <w:ind w:firstLine="708"/>
      <w:jc w:val="both"/>
    </w:pPr>
    <w:rPr>
      <w:rFonts w:ascii="Arial" w:hAnsi="Arial" w:cs="Arial"/>
      <w:b/>
      <w:sz w:val="18"/>
      <w:szCs w:val="20"/>
    </w:rPr>
  </w:style>
  <w:style w:type="paragraph" w:styleId="70">
    <w:name w:val="Основной текст с отступом70"/>
    <w:basedOn w:val="Normal"/>
    <w:qFormat/>
    <w:pPr>
      <w:ind w:firstLine="708"/>
      <w:jc w:val="both"/>
    </w:pPr>
    <w:rPr>
      <w:rFonts w:ascii="Arial" w:hAnsi="Arial" w:cs="Arial"/>
      <w:b/>
      <w:sz w:val="18"/>
      <w:szCs w:val="20"/>
    </w:rPr>
  </w:style>
  <w:style w:type="paragraph" w:styleId="71">
    <w:name w:val="Основной текст с отступом71"/>
    <w:basedOn w:val="Normal"/>
    <w:qFormat/>
    <w:pPr>
      <w:ind w:firstLine="708"/>
      <w:jc w:val="both"/>
    </w:pPr>
    <w:rPr>
      <w:rFonts w:ascii="Arial" w:hAnsi="Arial" w:cs="Arial"/>
      <w:b/>
      <w:sz w:val="18"/>
      <w:szCs w:val="20"/>
    </w:rPr>
  </w:style>
  <w:style w:type="paragraph" w:styleId="72">
    <w:name w:val="Основной текст с отступом72"/>
    <w:basedOn w:val="Normal"/>
    <w:qFormat/>
    <w:pPr>
      <w:ind w:firstLine="708"/>
      <w:jc w:val="both"/>
    </w:pPr>
    <w:rPr>
      <w:rFonts w:ascii="Arial" w:hAnsi="Arial" w:cs="Arial"/>
      <w:b/>
      <w:sz w:val="18"/>
      <w:szCs w:val="20"/>
    </w:rPr>
  </w:style>
  <w:style w:type="paragraph" w:styleId="142">
    <w:name w:val="Основной текст (14)"/>
    <w:basedOn w:val="Normal"/>
    <w:qFormat/>
    <w:pPr>
      <w:widowControl w:val="false"/>
      <w:shd w:fill="FFFFFF" w:val="clear"/>
      <w:spacing w:lineRule="exact" w:line="278"/>
      <w:jc w:val="center"/>
    </w:pPr>
    <w:rPr>
      <w:rFonts w:eastAsia="Calibri"/>
      <w:sz w:val="21"/>
      <w:szCs w:val="21"/>
    </w:rPr>
  </w:style>
  <w:style w:type="paragraph" w:styleId="73">
    <w:name w:val="Основной текст с отступом73"/>
    <w:basedOn w:val="Normal"/>
    <w:qFormat/>
    <w:pPr>
      <w:ind w:firstLine="708"/>
      <w:jc w:val="both"/>
    </w:pPr>
    <w:rPr>
      <w:rFonts w:ascii="Arial" w:hAnsi="Arial" w:cs="Arial"/>
      <w:b/>
      <w:sz w:val="18"/>
      <w:szCs w:val="20"/>
    </w:rPr>
  </w:style>
  <w:style w:type="paragraph" w:styleId="74">
    <w:name w:val="Основной текст с отступом74"/>
    <w:basedOn w:val="Normal"/>
    <w:qFormat/>
    <w:pPr>
      <w:ind w:firstLine="708"/>
      <w:jc w:val="both"/>
    </w:pPr>
    <w:rPr>
      <w:rFonts w:ascii="Arial" w:hAnsi="Arial" w:cs="Arial"/>
      <w:b/>
      <w:sz w:val="18"/>
      <w:szCs w:val="20"/>
    </w:rPr>
  </w:style>
  <w:style w:type="paragraph" w:styleId="75">
    <w:name w:val="Основной текст с отступом75"/>
    <w:basedOn w:val="Normal"/>
    <w:qFormat/>
    <w:pPr>
      <w:ind w:firstLine="708"/>
      <w:jc w:val="both"/>
    </w:pPr>
    <w:rPr>
      <w:rFonts w:ascii="Arial" w:hAnsi="Arial" w:cs="Arial"/>
      <w:b/>
      <w:sz w:val="18"/>
      <w:szCs w:val="20"/>
    </w:rPr>
  </w:style>
  <w:style w:type="paragraph" w:styleId="76">
    <w:name w:val="Основной текст с отступом76"/>
    <w:basedOn w:val="Normal"/>
    <w:qFormat/>
    <w:pPr>
      <w:ind w:firstLine="708"/>
      <w:jc w:val="both"/>
    </w:pPr>
    <w:rPr>
      <w:rFonts w:ascii="Arial" w:hAnsi="Arial" w:cs="Arial"/>
      <w:b/>
      <w:sz w:val="18"/>
      <w:szCs w:val="20"/>
    </w:rPr>
  </w:style>
  <w:style w:type="paragraph" w:styleId="77">
    <w:name w:val="Основной текст с отступом77"/>
    <w:basedOn w:val="Normal"/>
    <w:qFormat/>
    <w:pPr>
      <w:ind w:firstLine="708"/>
      <w:jc w:val="both"/>
    </w:pPr>
    <w:rPr>
      <w:rFonts w:ascii="Arial" w:hAnsi="Arial" w:cs="Arial"/>
      <w:b/>
      <w:sz w:val="18"/>
      <w:szCs w:val="20"/>
    </w:rPr>
  </w:style>
  <w:style w:type="paragraph" w:styleId="78">
    <w:name w:val="Основной текст с отступом78"/>
    <w:basedOn w:val="Normal"/>
    <w:qFormat/>
    <w:pPr>
      <w:ind w:firstLine="708"/>
      <w:jc w:val="both"/>
    </w:pPr>
    <w:rPr>
      <w:rFonts w:ascii="Arial" w:hAnsi="Arial" w:cs="Arial"/>
      <w:b/>
      <w:sz w:val="18"/>
      <w:szCs w:val="20"/>
    </w:rPr>
  </w:style>
  <w:style w:type="paragraph" w:styleId="79">
    <w:name w:val="Основной текст с отступом79"/>
    <w:basedOn w:val="Normal"/>
    <w:qFormat/>
    <w:pPr>
      <w:ind w:firstLine="708"/>
      <w:jc w:val="both"/>
    </w:pPr>
    <w:rPr>
      <w:rFonts w:ascii="Arial" w:hAnsi="Arial" w:cs="Arial"/>
      <w:b/>
      <w:sz w:val="18"/>
      <w:szCs w:val="20"/>
    </w:rPr>
  </w:style>
  <w:style w:type="paragraph" w:styleId="81">
    <w:name w:val="Основной текст с отступом81"/>
    <w:basedOn w:val="Normal"/>
    <w:qFormat/>
    <w:pPr>
      <w:ind w:firstLine="708"/>
      <w:jc w:val="both"/>
    </w:pPr>
    <w:rPr>
      <w:rFonts w:ascii="Arial" w:hAnsi="Arial" w:cs="Arial"/>
      <w:b/>
      <w:sz w:val="18"/>
      <w:szCs w:val="20"/>
    </w:rPr>
  </w:style>
  <w:style w:type="paragraph" w:styleId="82">
    <w:name w:val="Основной текст с отступом82"/>
    <w:basedOn w:val="Normal"/>
    <w:qFormat/>
    <w:pPr>
      <w:ind w:firstLine="708"/>
      <w:jc w:val="both"/>
    </w:pPr>
    <w:rPr>
      <w:rFonts w:ascii="Arial" w:hAnsi="Arial" w:cs="Arial"/>
      <w:b/>
      <w:sz w:val="18"/>
      <w:szCs w:val="20"/>
    </w:rPr>
  </w:style>
  <w:style w:type="paragraph" w:styleId="84">
    <w:name w:val="Основной текст с отступом84"/>
    <w:basedOn w:val="Normal"/>
    <w:qFormat/>
    <w:pPr>
      <w:ind w:firstLine="708"/>
      <w:jc w:val="both"/>
    </w:pPr>
    <w:rPr>
      <w:rFonts w:ascii="Arial" w:hAnsi="Arial" w:cs="Arial"/>
      <w:b/>
      <w:sz w:val="18"/>
      <w:szCs w:val="20"/>
    </w:rPr>
  </w:style>
  <w:style w:type="paragraph" w:styleId="85">
    <w:name w:val="Основной текст с отступом85"/>
    <w:basedOn w:val="Normal"/>
    <w:qFormat/>
    <w:pPr>
      <w:ind w:firstLine="708"/>
      <w:jc w:val="both"/>
    </w:pPr>
    <w:rPr>
      <w:rFonts w:ascii="Arial" w:hAnsi="Arial" w:cs="Arial"/>
      <w:b/>
      <w:sz w:val="18"/>
      <w:szCs w:val="20"/>
    </w:rPr>
  </w:style>
  <w:style w:type="paragraph" w:styleId="86">
    <w:name w:val="Основной текст с отступом86"/>
    <w:basedOn w:val="Normal"/>
    <w:qFormat/>
    <w:pPr>
      <w:ind w:firstLine="708"/>
      <w:jc w:val="both"/>
    </w:pPr>
    <w:rPr>
      <w:rFonts w:ascii="Arial" w:hAnsi="Arial" w:cs="Arial"/>
      <w:b/>
      <w:sz w:val="18"/>
      <w:szCs w:val="20"/>
    </w:rPr>
  </w:style>
  <w:style w:type="paragraph" w:styleId="87">
    <w:name w:val="Основной текст с отступом87"/>
    <w:basedOn w:val="Normal"/>
    <w:qFormat/>
    <w:pPr>
      <w:ind w:firstLine="708"/>
      <w:jc w:val="both"/>
    </w:pPr>
    <w:rPr>
      <w:rFonts w:ascii="Arial" w:hAnsi="Arial" w:cs="Arial"/>
      <w:b/>
      <w:sz w:val="18"/>
      <w:szCs w:val="20"/>
    </w:rPr>
  </w:style>
  <w:style w:type="paragraph" w:styleId="88">
    <w:name w:val="Основной текст с отступом88"/>
    <w:basedOn w:val="Normal"/>
    <w:qFormat/>
    <w:pPr>
      <w:ind w:firstLine="708"/>
      <w:jc w:val="both"/>
    </w:pPr>
    <w:rPr>
      <w:rFonts w:ascii="Arial" w:hAnsi="Arial" w:cs="Arial"/>
      <w:b/>
      <w:sz w:val="18"/>
      <w:szCs w:val="20"/>
    </w:rPr>
  </w:style>
  <w:style w:type="paragraph" w:styleId="89">
    <w:name w:val="Основной текст с отступом89"/>
    <w:basedOn w:val="Normal"/>
    <w:qFormat/>
    <w:pPr>
      <w:ind w:firstLine="708"/>
      <w:jc w:val="both"/>
    </w:pPr>
    <w:rPr>
      <w:rFonts w:ascii="Arial" w:hAnsi="Arial" w:cs="Arial"/>
      <w:b/>
      <w:sz w:val="18"/>
      <w:szCs w:val="20"/>
    </w:rPr>
  </w:style>
  <w:style w:type="paragraph" w:styleId="91">
    <w:name w:val="Основной текст с отступом91"/>
    <w:basedOn w:val="Normal"/>
    <w:qFormat/>
    <w:pPr>
      <w:ind w:firstLine="708"/>
      <w:jc w:val="both"/>
    </w:pPr>
    <w:rPr>
      <w:rFonts w:ascii="Arial" w:hAnsi="Arial" w:cs="Arial"/>
      <w:b/>
      <w:sz w:val="18"/>
      <w:szCs w:val="20"/>
    </w:rPr>
  </w:style>
  <w:style w:type="paragraph" w:styleId="92">
    <w:name w:val="Основной текст с отступом92"/>
    <w:basedOn w:val="Normal"/>
    <w:qFormat/>
    <w:pPr>
      <w:ind w:firstLine="708"/>
      <w:jc w:val="both"/>
    </w:pPr>
    <w:rPr>
      <w:rFonts w:ascii="Arial" w:hAnsi="Arial" w:cs="Arial"/>
      <w:b/>
      <w:sz w:val="18"/>
      <w:szCs w:val="20"/>
    </w:rPr>
  </w:style>
  <w:style w:type="paragraph" w:styleId="93">
    <w:name w:val="Основной текст с отступом93"/>
    <w:basedOn w:val="Normal"/>
    <w:qFormat/>
    <w:pPr>
      <w:ind w:firstLine="708"/>
      <w:jc w:val="both"/>
    </w:pPr>
    <w:rPr>
      <w:rFonts w:ascii="Arial" w:hAnsi="Arial" w:cs="Arial"/>
      <w:b/>
      <w:sz w:val="18"/>
      <w:szCs w:val="20"/>
    </w:rPr>
  </w:style>
  <w:style w:type="paragraph" w:styleId="94">
    <w:name w:val="Основной текст с отступом94"/>
    <w:basedOn w:val="Normal"/>
    <w:qFormat/>
    <w:pPr>
      <w:ind w:firstLine="708"/>
      <w:jc w:val="both"/>
    </w:pPr>
    <w:rPr>
      <w:rFonts w:ascii="Arial" w:hAnsi="Arial" w:cs="Arial"/>
      <w:b/>
      <w:sz w:val="18"/>
      <w:szCs w:val="20"/>
    </w:rPr>
  </w:style>
  <w:style w:type="paragraph" w:styleId="95">
    <w:name w:val="Основной текст с отступом95"/>
    <w:basedOn w:val="Normal"/>
    <w:qFormat/>
    <w:pPr>
      <w:ind w:firstLine="708"/>
      <w:jc w:val="both"/>
    </w:pPr>
    <w:rPr>
      <w:rFonts w:ascii="Arial" w:hAnsi="Arial" w:cs="Arial"/>
      <w:b/>
      <w:sz w:val="18"/>
      <w:szCs w:val="20"/>
    </w:rPr>
  </w:style>
  <w:style w:type="paragraph" w:styleId="97">
    <w:name w:val="Основной текст с отступом97"/>
    <w:basedOn w:val="Normal"/>
    <w:qFormat/>
    <w:pPr>
      <w:ind w:firstLine="708"/>
      <w:jc w:val="both"/>
    </w:pPr>
    <w:rPr>
      <w:rFonts w:ascii="Arial" w:hAnsi="Arial" w:cs="Arial"/>
      <w:b/>
      <w:sz w:val="18"/>
      <w:szCs w:val="20"/>
    </w:rPr>
  </w:style>
  <w:style w:type="paragraph" w:styleId="99">
    <w:name w:val="Основной текст с отступом99"/>
    <w:basedOn w:val="Normal"/>
    <w:qFormat/>
    <w:pPr>
      <w:ind w:firstLine="708"/>
      <w:jc w:val="both"/>
    </w:pPr>
    <w:rPr>
      <w:rFonts w:ascii="Arial" w:hAnsi="Arial" w:cs="Arial"/>
      <w:b/>
      <w:sz w:val="18"/>
      <w:szCs w:val="20"/>
    </w:rPr>
  </w:style>
  <w:style w:type="paragraph" w:styleId="100">
    <w:name w:val="Основной текст с отступом100"/>
    <w:basedOn w:val="Normal"/>
    <w:qFormat/>
    <w:pPr>
      <w:ind w:firstLine="708"/>
      <w:jc w:val="both"/>
    </w:pPr>
    <w:rPr>
      <w:rFonts w:ascii="Arial" w:hAnsi="Arial" w:cs="Arial"/>
      <w:b/>
      <w:sz w:val="18"/>
      <w:szCs w:val="20"/>
    </w:rPr>
  </w:style>
  <w:style w:type="paragraph" w:styleId="101">
    <w:name w:val="Основной текст с отступом101"/>
    <w:basedOn w:val="Normal"/>
    <w:qFormat/>
    <w:pPr>
      <w:ind w:firstLine="708"/>
      <w:jc w:val="both"/>
    </w:pPr>
    <w:rPr>
      <w:rFonts w:ascii="Arial" w:hAnsi="Arial" w:cs="Arial"/>
      <w:b/>
      <w:sz w:val="18"/>
      <w:szCs w:val="20"/>
    </w:rPr>
  </w:style>
  <w:style w:type="paragraph" w:styleId="102">
    <w:name w:val="Основной текст с отступом102"/>
    <w:basedOn w:val="Normal"/>
    <w:qFormat/>
    <w:pPr>
      <w:ind w:firstLine="708"/>
      <w:jc w:val="both"/>
    </w:pPr>
    <w:rPr>
      <w:rFonts w:ascii="Arial" w:hAnsi="Arial" w:cs="Arial"/>
      <w:b/>
      <w:sz w:val="18"/>
      <w:szCs w:val="20"/>
    </w:rPr>
  </w:style>
  <w:style w:type="paragraph" w:styleId="103">
    <w:name w:val="Основной текст с отступом103"/>
    <w:basedOn w:val="Normal"/>
    <w:qFormat/>
    <w:pPr>
      <w:ind w:firstLine="708"/>
      <w:jc w:val="both"/>
    </w:pPr>
    <w:rPr>
      <w:rFonts w:ascii="Arial" w:hAnsi="Arial" w:cs="Arial"/>
      <w:b/>
      <w:sz w:val="18"/>
      <w:szCs w:val="20"/>
    </w:rPr>
  </w:style>
  <w:style w:type="paragraph" w:styleId="104">
    <w:name w:val="Основной текст с отступом104"/>
    <w:basedOn w:val="Normal"/>
    <w:qFormat/>
    <w:pPr>
      <w:ind w:firstLine="708"/>
      <w:jc w:val="both"/>
    </w:pPr>
    <w:rPr>
      <w:rFonts w:ascii="Arial" w:hAnsi="Arial" w:cs="Arial"/>
      <w:b/>
      <w:sz w:val="18"/>
      <w:szCs w:val="20"/>
    </w:rPr>
  </w:style>
  <w:style w:type="paragraph" w:styleId="105">
    <w:name w:val="Основной текст с отступом105"/>
    <w:basedOn w:val="Normal"/>
    <w:qFormat/>
    <w:pPr>
      <w:ind w:firstLine="708"/>
      <w:jc w:val="both"/>
    </w:pPr>
    <w:rPr>
      <w:rFonts w:ascii="Arial" w:hAnsi="Arial" w:cs="Arial"/>
      <w:b/>
      <w:sz w:val="18"/>
      <w:szCs w:val="20"/>
    </w:rPr>
  </w:style>
  <w:style w:type="paragraph" w:styleId="107">
    <w:name w:val="Основной текст с отступом107"/>
    <w:basedOn w:val="Normal"/>
    <w:qFormat/>
    <w:pPr>
      <w:ind w:firstLine="708"/>
      <w:jc w:val="both"/>
    </w:pPr>
    <w:rPr>
      <w:rFonts w:ascii="Arial" w:hAnsi="Arial" w:cs="Arial"/>
      <w:b/>
      <w:sz w:val="18"/>
      <w:szCs w:val="20"/>
    </w:rPr>
  </w:style>
  <w:style w:type="paragraph" w:styleId="109">
    <w:name w:val="Основной текст с отступом109"/>
    <w:basedOn w:val="Normal"/>
    <w:qFormat/>
    <w:pPr>
      <w:ind w:firstLine="708"/>
      <w:jc w:val="both"/>
    </w:pPr>
    <w:rPr>
      <w:rFonts w:ascii="Arial" w:hAnsi="Arial" w:cs="Arial"/>
      <w:b/>
      <w:sz w:val="18"/>
      <w:szCs w:val="20"/>
    </w:rPr>
  </w:style>
  <w:style w:type="paragraph" w:styleId="1111">
    <w:name w:val="Основной текст с отступом111"/>
    <w:basedOn w:val="Normal"/>
    <w:qFormat/>
    <w:pPr>
      <w:ind w:firstLine="708"/>
      <w:jc w:val="both"/>
    </w:pPr>
    <w:rPr>
      <w:rFonts w:ascii="Arial" w:hAnsi="Arial" w:cs="Arial"/>
      <w:b/>
      <w:sz w:val="18"/>
      <w:szCs w:val="20"/>
    </w:rPr>
  </w:style>
  <w:style w:type="paragraph" w:styleId="1121">
    <w:name w:val="Основной текст с отступом112"/>
    <w:basedOn w:val="Normal"/>
    <w:qFormat/>
    <w:pPr>
      <w:ind w:firstLine="708"/>
      <w:jc w:val="both"/>
    </w:pPr>
    <w:rPr>
      <w:rFonts w:ascii="Arial" w:hAnsi="Arial" w:cs="Arial"/>
      <w:b/>
      <w:sz w:val="18"/>
      <w:szCs w:val="20"/>
    </w:rPr>
  </w:style>
  <w:style w:type="paragraph" w:styleId="113">
    <w:name w:val="Основной текст с отступом113"/>
    <w:basedOn w:val="Normal"/>
    <w:qFormat/>
    <w:pPr>
      <w:ind w:firstLine="708"/>
      <w:jc w:val="both"/>
    </w:pPr>
    <w:rPr>
      <w:rFonts w:ascii="Arial" w:hAnsi="Arial" w:cs="Arial"/>
      <w:b/>
      <w:sz w:val="18"/>
      <w:szCs w:val="20"/>
    </w:rPr>
  </w:style>
  <w:style w:type="paragraph" w:styleId="114">
    <w:name w:val="Основной текст с отступом114"/>
    <w:basedOn w:val="Normal"/>
    <w:qFormat/>
    <w:pPr>
      <w:ind w:firstLine="708"/>
      <w:jc w:val="both"/>
    </w:pPr>
    <w:rPr>
      <w:rFonts w:ascii="Arial" w:hAnsi="Arial" w:cs="Arial"/>
      <w:b/>
      <w:sz w:val="18"/>
      <w:szCs w:val="20"/>
    </w:rPr>
  </w:style>
  <w:style w:type="paragraph" w:styleId="115">
    <w:name w:val="Основной текст с отступом115"/>
    <w:basedOn w:val="Normal"/>
    <w:qFormat/>
    <w:pPr>
      <w:ind w:firstLine="708"/>
      <w:jc w:val="both"/>
    </w:pPr>
    <w:rPr>
      <w:rFonts w:ascii="Arial" w:hAnsi="Arial" w:cs="Arial"/>
      <w:b/>
      <w:sz w:val="18"/>
      <w:szCs w:val="20"/>
    </w:rPr>
  </w:style>
  <w:style w:type="paragraph" w:styleId="116">
    <w:name w:val="Основной текст с отступом116"/>
    <w:basedOn w:val="Normal"/>
    <w:qFormat/>
    <w:pPr>
      <w:ind w:firstLine="708"/>
      <w:jc w:val="both"/>
    </w:pPr>
    <w:rPr>
      <w:rFonts w:ascii="Arial" w:hAnsi="Arial" w:cs="Arial"/>
      <w:b/>
      <w:sz w:val="18"/>
      <w:szCs w:val="20"/>
    </w:rPr>
  </w:style>
  <w:style w:type="paragraph" w:styleId="117">
    <w:name w:val="Основной текст с отступом117"/>
    <w:basedOn w:val="Normal"/>
    <w:qFormat/>
    <w:pPr>
      <w:ind w:firstLine="708"/>
      <w:jc w:val="both"/>
    </w:pPr>
    <w:rPr>
      <w:rFonts w:ascii="Arial" w:hAnsi="Arial" w:cs="Arial"/>
      <w:b/>
      <w:sz w:val="18"/>
      <w:szCs w:val="20"/>
    </w:rPr>
  </w:style>
  <w:style w:type="paragraph" w:styleId="118">
    <w:name w:val="Основной текст с отступом118"/>
    <w:basedOn w:val="Normal"/>
    <w:qFormat/>
    <w:pPr>
      <w:ind w:firstLine="708"/>
      <w:jc w:val="both"/>
    </w:pPr>
    <w:rPr>
      <w:rFonts w:ascii="Arial" w:hAnsi="Arial" w:cs="Arial"/>
      <w:b/>
      <w:sz w:val="18"/>
      <w:szCs w:val="20"/>
    </w:rPr>
  </w:style>
  <w:style w:type="paragraph" w:styleId="119">
    <w:name w:val="Основной текст с отступом119"/>
    <w:basedOn w:val="Normal"/>
    <w:qFormat/>
    <w:pPr>
      <w:ind w:firstLine="708"/>
      <w:jc w:val="both"/>
    </w:pPr>
    <w:rPr>
      <w:rFonts w:ascii="Arial" w:hAnsi="Arial" w:cs="Arial"/>
      <w:b/>
      <w:sz w:val="18"/>
      <w:szCs w:val="20"/>
    </w:rPr>
  </w:style>
  <w:style w:type="paragraph" w:styleId="120">
    <w:name w:val="Основной текст с отступом120"/>
    <w:basedOn w:val="Normal"/>
    <w:qFormat/>
    <w:pPr>
      <w:ind w:firstLine="708"/>
      <w:jc w:val="both"/>
    </w:pPr>
    <w:rPr>
      <w:rFonts w:ascii="Arial" w:hAnsi="Arial" w:cs="Arial"/>
      <w:b/>
      <w:sz w:val="18"/>
      <w:szCs w:val="20"/>
    </w:rPr>
  </w:style>
  <w:style w:type="paragraph" w:styleId="1211">
    <w:name w:val="Основной текст с отступом121"/>
    <w:basedOn w:val="Normal"/>
    <w:qFormat/>
    <w:pPr>
      <w:ind w:firstLine="708"/>
      <w:jc w:val="both"/>
    </w:pPr>
    <w:rPr>
      <w:rFonts w:ascii="Arial" w:hAnsi="Arial" w:cs="Arial"/>
      <w:b/>
      <w:sz w:val="18"/>
      <w:szCs w:val="20"/>
    </w:rPr>
  </w:style>
  <w:style w:type="paragraph" w:styleId="122">
    <w:name w:val="Основной текст с отступом122"/>
    <w:basedOn w:val="Normal"/>
    <w:qFormat/>
    <w:pPr>
      <w:ind w:firstLine="708"/>
      <w:jc w:val="both"/>
    </w:pPr>
    <w:rPr>
      <w:rFonts w:ascii="Arial" w:hAnsi="Arial" w:cs="Arial"/>
      <w:b/>
      <w:sz w:val="18"/>
      <w:szCs w:val="20"/>
    </w:rPr>
  </w:style>
  <w:style w:type="paragraph" w:styleId="125">
    <w:name w:val="Основной текст с отступом125"/>
    <w:basedOn w:val="Normal"/>
    <w:qFormat/>
    <w:pPr>
      <w:ind w:firstLine="708"/>
      <w:jc w:val="both"/>
    </w:pPr>
    <w:rPr>
      <w:rFonts w:ascii="Arial" w:hAnsi="Arial" w:cs="Arial"/>
      <w:b/>
      <w:sz w:val="18"/>
      <w:szCs w:val="20"/>
    </w:rPr>
  </w:style>
  <w:style w:type="paragraph" w:styleId="124">
    <w:name w:val="Основной текст с отступом124"/>
    <w:basedOn w:val="Normal"/>
    <w:qFormat/>
    <w:pPr>
      <w:ind w:firstLine="708"/>
      <w:jc w:val="both"/>
    </w:pPr>
    <w:rPr>
      <w:rFonts w:ascii="Arial" w:hAnsi="Arial" w:cs="Arial"/>
      <w:b/>
      <w:sz w:val="18"/>
      <w:szCs w:val="20"/>
    </w:rPr>
  </w:style>
  <w:style w:type="paragraph" w:styleId="126">
    <w:name w:val="Основной текст с отступом126"/>
    <w:basedOn w:val="Normal"/>
    <w:qFormat/>
    <w:pPr>
      <w:ind w:firstLine="708"/>
      <w:jc w:val="both"/>
    </w:pPr>
    <w:rPr>
      <w:rFonts w:ascii="Arial" w:hAnsi="Arial" w:cs="Arial"/>
      <w:b/>
      <w:sz w:val="18"/>
      <w:szCs w:val="20"/>
    </w:rPr>
  </w:style>
  <w:style w:type="paragraph" w:styleId="127">
    <w:name w:val="Основной текст с отступом127"/>
    <w:basedOn w:val="Normal"/>
    <w:qFormat/>
    <w:pPr>
      <w:ind w:firstLine="708"/>
      <w:jc w:val="both"/>
    </w:pPr>
    <w:rPr>
      <w:rFonts w:ascii="Arial" w:hAnsi="Arial" w:cs="Arial"/>
      <w:b/>
      <w:sz w:val="18"/>
      <w:szCs w:val="20"/>
    </w:rPr>
  </w:style>
  <w:style w:type="paragraph" w:styleId="128">
    <w:name w:val="Основной текст с отступом128"/>
    <w:basedOn w:val="Normal"/>
    <w:qFormat/>
    <w:pPr>
      <w:ind w:firstLine="708"/>
      <w:jc w:val="both"/>
    </w:pPr>
    <w:rPr>
      <w:rFonts w:ascii="Arial" w:hAnsi="Arial" w:cs="Arial"/>
      <w:b/>
      <w:sz w:val="18"/>
      <w:szCs w:val="20"/>
    </w:rPr>
  </w:style>
  <w:style w:type="paragraph" w:styleId="129">
    <w:name w:val="Основной текст с отступом129"/>
    <w:basedOn w:val="Normal"/>
    <w:qFormat/>
    <w:pPr>
      <w:ind w:firstLine="708"/>
      <w:jc w:val="both"/>
    </w:pPr>
    <w:rPr>
      <w:rFonts w:ascii="Arial" w:hAnsi="Arial" w:cs="Arial"/>
      <w:b/>
      <w:sz w:val="18"/>
      <w:szCs w:val="20"/>
    </w:rPr>
  </w:style>
  <w:style w:type="paragraph" w:styleId="130">
    <w:name w:val="Основной текст с отступом130"/>
    <w:basedOn w:val="Normal"/>
    <w:qFormat/>
    <w:pPr>
      <w:ind w:firstLine="708"/>
      <w:jc w:val="both"/>
    </w:pPr>
    <w:rPr>
      <w:rFonts w:ascii="Arial" w:hAnsi="Arial" w:cs="Arial"/>
      <w:b/>
      <w:sz w:val="18"/>
      <w:szCs w:val="20"/>
    </w:rPr>
  </w:style>
  <w:style w:type="paragraph" w:styleId="131">
    <w:name w:val="Основной текст с отступом131"/>
    <w:basedOn w:val="Normal"/>
    <w:qFormat/>
    <w:pPr>
      <w:ind w:firstLine="708"/>
      <w:jc w:val="both"/>
    </w:pPr>
    <w:rPr>
      <w:rFonts w:ascii="Arial" w:hAnsi="Arial" w:cs="Arial"/>
      <w:b/>
      <w:sz w:val="18"/>
      <w:szCs w:val="20"/>
    </w:rPr>
  </w:style>
  <w:style w:type="paragraph" w:styleId="133">
    <w:name w:val="Основной текст с отступом133"/>
    <w:basedOn w:val="Normal"/>
    <w:qFormat/>
    <w:pPr>
      <w:ind w:firstLine="708"/>
      <w:jc w:val="both"/>
    </w:pPr>
    <w:rPr>
      <w:rFonts w:ascii="Arial" w:hAnsi="Arial" w:cs="Arial"/>
      <w:b/>
      <w:sz w:val="18"/>
      <w:szCs w:val="20"/>
    </w:rPr>
  </w:style>
  <w:style w:type="paragraph" w:styleId="132">
    <w:name w:val="Основной текст с отступом132"/>
    <w:basedOn w:val="Normal"/>
    <w:qFormat/>
    <w:pPr>
      <w:ind w:firstLine="708"/>
      <w:jc w:val="both"/>
    </w:pPr>
    <w:rPr>
      <w:rFonts w:ascii="Arial" w:hAnsi="Arial" w:cs="Arial"/>
      <w:b/>
      <w:sz w:val="18"/>
      <w:szCs w:val="20"/>
    </w:rPr>
  </w:style>
  <w:style w:type="paragraph" w:styleId="135">
    <w:name w:val="Основной текст с отступом135"/>
    <w:basedOn w:val="Normal"/>
    <w:qFormat/>
    <w:pPr>
      <w:ind w:firstLine="708"/>
      <w:jc w:val="both"/>
    </w:pPr>
    <w:rPr>
      <w:rFonts w:ascii="Arial" w:hAnsi="Arial" w:cs="Arial"/>
      <w:b/>
      <w:sz w:val="18"/>
      <w:szCs w:val="20"/>
    </w:rPr>
  </w:style>
  <w:style w:type="paragraph" w:styleId="136">
    <w:name w:val="Основной текст с отступом136"/>
    <w:basedOn w:val="Normal"/>
    <w:qFormat/>
    <w:pPr>
      <w:ind w:firstLine="708"/>
      <w:jc w:val="both"/>
    </w:pPr>
    <w:rPr>
      <w:rFonts w:ascii="Arial" w:hAnsi="Arial" w:cs="Arial"/>
      <w:b/>
      <w:sz w:val="18"/>
      <w:szCs w:val="20"/>
    </w:rPr>
  </w:style>
  <w:style w:type="paragraph" w:styleId="137">
    <w:name w:val="Основной текст с отступом137"/>
    <w:basedOn w:val="Normal"/>
    <w:qFormat/>
    <w:pPr>
      <w:ind w:firstLine="708"/>
      <w:jc w:val="both"/>
    </w:pPr>
    <w:rPr>
      <w:rFonts w:ascii="Arial" w:hAnsi="Arial" w:cs="Arial"/>
      <w:b/>
      <w:sz w:val="18"/>
      <w:szCs w:val="20"/>
    </w:rPr>
  </w:style>
  <w:style w:type="paragraph" w:styleId="138">
    <w:name w:val="Основной текст с отступом138"/>
    <w:basedOn w:val="Normal"/>
    <w:qFormat/>
    <w:pPr>
      <w:ind w:firstLine="708"/>
      <w:jc w:val="both"/>
    </w:pPr>
    <w:rPr>
      <w:rFonts w:ascii="Arial" w:hAnsi="Arial" w:cs="Arial"/>
      <w:b/>
      <w:sz w:val="18"/>
      <w:szCs w:val="20"/>
    </w:rPr>
  </w:style>
  <w:style w:type="paragraph" w:styleId="139">
    <w:name w:val="Основной текст с отступом139"/>
    <w:basedOn w:val="Normal"/>
    <w:qFormat/>
    <w:pPr>
      <w:ind w:firstLine="708"/>
      <w:jc w:val="both"/>
    </w:pPr>
    <w:rPr>
      <w:rFonts w:ascii="Arial" w:hAnsi="Arial" w:cs="Arial"/>
      <w:b/>
      <w:sz w:val="18"/>
      <w:szCs w:val="20"/>
    </w:rPr>
  </w:style>
  <w:style w:type="paragraph" w:styleId="140">
    <w:name w:val="Основной текст с отступом140"/>
    <w:basedOn w:val="Normal"/>
    <w:qFormat/>
    <w:pPr>
      <w:ind w:firstLine="708"/>
      <w:jc w:val="both"/>
    </w:pPr>
    <w:rPr>
      <w:rFonts w:ascii="Arial" w:hAnsi="Arial" w:cs="Arial"/>
      <w:b/>
      <w:sz w:val="18"/>
      <w:szCs w:val="20"/>
    </w:rPr>
  </w:style>
  <w:style w:type="paragraph" w:styleId="1411">
    <w:name w:val="Основной текст с отступом141"/>
    <w:basedOn w:val="Normal"/>
    <w:qFormat/>
    <w:pPr>
      <w:ind w:firstLine="708"/>
      <w:jc w:val="both"/>
    </w:pPr>
    <w:rPr>
      <w:rFonts w:ascii="Arial" w:hAnsi="Arial" w:cs="Arial"/>
      <w:b/>
      <w:sz w:val="18"/>
      <w:szCs w:val="20"/>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cs="Arial"/>
      <w:sz w:val="28"/>
      <w:szCs w:val="20"/>
      <w:lang w:val="ru-RU"/>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eastAsia="Calibri" w:cs="Arial"/>
      <w:sz w:val="18"/>
      <w:szCs w:val="20"/>
      <w:lang w:val="ru-RU"/>
    </w:rPr>
  </w:style>
  <w:style w:type="paragraph" w:styleId="Msonormal">
    <w:name w:val="msonormal"/>
    <w:basedOn w:val="Normal"/>
    <w:qFormat/>
    <w:pPr>
      <w:spacing w:before="280" w:after="280"/>
    </w:pPr>
    <w:rPr>
      <w:rFonts w:eastAsia="Calibri"/>
      <w:lang w:val="en-US"/>
    </w:rPr>
  </w:style>
  <w:style w:type="paragraph" w:styleId="27">
    <w:name w:val="Основной текст 2"/>
    <w:basedOn w:val="Normal"/>
    <w:qFormat/>
    <w:pPr/>
    <w:rPr>
      <w:rFonts w:eastAsia="Calibri"/>
      <w:lang w:val="en-US"/>
    </w:rPr>
  </w:style>
  <w:style w:type="paragraph" w:styleId="Style28">
    <w:name w:val="Название"/>
    <w:basedOn w:val="Normal"/>
    <w:qFormat/>
    <w:pPr/>
    <w:rPr>
      <w:rFonts w:ascii="Cambria" w:hAnsi="Cambria" w:eastAsia="Calibri" w:cs="Cambria"/>
      <w:color w:val="17365D"/>
      <w:spacing w:val="5"/>
      <w:sz w:val="20"/>
      <w:szCs w:val="20"/>
      <w:lang w:val="en-US"/>
    </w:rPr>
  </w:style>
  <w:style w:type="paragraph" w:styleId="210">
    <w:name w:val="Верхній колонтитул2"/>
    <w:basedOn w:val="Normal"/>
    <w:qFormat/>
    <w:pPr/>
    <w:rPr>
      <w:rFonts w:ascii="Calibri" w:hAnsi="Calibri" w:eastAsia="Calibri" w:cs="Calibri"/>
      <w:sz w:val="20"/>
      <w:szCs w:val="20"/>
      <w:lang w:val="en-US"/>
    </w:rPr>
  </w:style>
  <w:style w:type="paragraph" w:styleId="213">
    <w:name w:val="Нижній колонтитул2"/>
    <w:basedOn w:val="Normal"/>
    <w:qFormat/>
    <w:pPr/>
    <w:rPr>
      <w:rFonts w:ascii="Calibri" w:hAnsi="Calibri" w:eastAsia="Calibri" w:cs="Calibri"/>
      <w:sz w:val="20"/>
      <w:szCs w:val="20"/>
      <w:lang w:val="en-US"/>
    </w:rPr>
  </w:style>
  <w:style w:type="paragraph" w:styleId="214">
    <w:name w:val="Назва2"/>
    <w:basedOn w:val="Normal"/>
    <w:qFormat/>
    <w:pPr/>
    <w:rPr>
      <w:rFonts w:ascii="Calibri Light" w:hAnsi="Calibri Light" w:eastAsia="Calibri" w:cs="Calibri Light"/>
      <w:spacing w:val="-10"/>
      <w:sz w:val="20"/>
      <w:szCs w:val="20"/>
      <w:lang w:val="en-US"/>
    </w:rPr>
  </w:style>
  <w:style w:type="paragraph" w:styleId="223">
    <w:name w:val="Основний текст 22"/>
    <w:basedOn w:val="Normal"/>
    <w:qFormat/>
    <w:pPr/>
    <w:rPr>
      <w:rFonts w:ascii="Calibri" w:hAnsi="Calibri" w:eastAsia="Calibri" w:cs="Calibri"/>
      <w:sz w:val="20"/>
      <w:szCs w:val="20"/>
      <w:lang w:val="en-US"/>
    </w:rPr>
  </w:style>
  <w:style w:type="paragraph" w:styleId="215">
    <w:name w:val="Текст у виносці2"/>
    <w:basedOn w:val="Normal"/>
    <w:qFormat/>
    <w:pPr/>
    <w:rPr>
      <w:rFonts w:ascii="Segoe UI" w:hAnsi="Segoe UI" w:eastAsia="Calibri" w:cs="Segoe UI"/>
      <w:sz w:val="20"/>
      <w:szCs w:val="20"/>
      <w:lang w:val="en-US"/>
    </w:rPr>
  </w:style>
  <w:style w:type="paragraph" w:styleId="143">
    <w:name w:val="Основной текст с отступом143"/>
    <w:basedOn w:val="Normal"/>
    <w:qFormat/>
    <w:pPr>
      <w:ind w:firstLine="708"/>
      <w:jc w:val="both"/>
    </w:pPr>
    <w:rPr>
      <w:rFonts w:ascii="Arial" w:hAnsi="Arial" w:cs="Arial"/>
      <w:b/>
      <w:sz w:val="18"/>
      <w:szCs w:val="20"/>
      <w:lang w:val="en-US"/>
    </w:rPr>
  </w:style>
  <w:style w:type="paragraph" w:styleId="144">
    <w:name w:val="Основной текст с отступом144"/>
    <w:basedOn w:val="Normal"/>
    <w:qFormat/>
    <w:pPr>
      <w:ind w:firstLine="708"/>
      <w:jc w:val="both"/>
    </w:pPr>
    <w:rPr>
      <w:rFonts w:ascii="Arial" w:hAnsi="Arial" w:cs="Arial"/>
      <w:b/>
      <w:sz w:val="18"/>
      <w:szCs w:val="20"/>
      <w:lang w:val="en-US"/>
    </w:rPr>
  </w:style>
  <w:style w:type="paragraph" w:styleId="145">
    <w:name w:val="Основной текст с отступом145"/>
    <w:basedOn w:val="Normal"/>
    <w:qFormat/>
    <w:pPr>
      <w:ind w:firstLine="708"/>
      <w:jc w:val="both"/>
    </w:pPr>
    <w:rPr>
      <w:rFonts w:ascii="Arial" w:hAnsi="Arial" w:cs="Arial"/>
      <w:b/>
      <w:sz w:val="18"/>
      <w:szCs w:val="20"/>
      <w:lang w:val="en-US"/>
    </w:rPr>
  </w:style>
  <w:style w:type="paragraph" w:styleId="147">
    <w:name w:val="Основной текст с отступом147"/>
    <w:basedOn w:val="Normal"/>
    <w:qFormat/>
    <w:pPr>
      <w:ind w:firstLine="708"/>
      <w:jc w:val="both"/>
    </w:pPr>
    <w:rPr>
      <w:rFonts w:ascii="Arial" w:hAnsi="Arial" w:cs="Arial"/>
      <w:b/>
      <w:sz w:val="18"/>
      <w:szCs w:val="20"/>
      <w:lang w:val="en-US"/>
    </w:rPr>
  </w:style>
  <w:style w:type="paragraph" w:styleId="148">
    <w:name w:val="Основной текст с отступом148"/>
    <w:basedOn w:val="Normal"/>
    <w:qFormat/>
    <w:pPr>
      <w:ind w:firstLine="708"/>
      <w:jc w:val="both"/>
    </w:pPr>
    <w:rPr>
      <w:rFonts w:ascii="Arial" w:hAnsi="Arial" w:cs="Arial"/>
      <w:b/>
      <w:sz w:val="18"/>
      <w:szCs w:val="20"/>
      <w:lang w:val="en-US"/>
    </w:rPr>
  </w:style>
  <w:style w:type="paragraph" w:styleId="149">
    <w:name w:val="Основной текст с отступом149"/>
    <w:basedOn w:val="Normal"/>
    <w:qFormat/>
    <w:pPr>
      <w:ind w:firstLine="708"/>
      <w:jc w:val="both"/>
    </w:pPr>
    <w:rPr>
      <w:rFonts w:ascii="Arial" w:hAnsi="Arial" w:cs="Arial"/>
      <w:b/>
      <w:sz w:val="18"/>
      <w:szCs w:val="20"/>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eastAsia="Calibri" w:cs="Arial"/>
      <w:b/>
      <w:sz w:val="18"/>
      <w:szCs w:val="20"/>
      <w:lang w:val="en-US"/>
    </w:rPr>
  </w:style>
  <w:style w:type="paragraph" w:styleId="150">
    <w:name w:val="Основной текст с отступом150"/>
    <w:basedOn w:val="Normal"/>
    <w:qFormat/>
    <w:pPr>
      <w:ind w:firstLine="708"/>
      <w:jc w:val="both"/>
    </w:pPr>
    <w:rPr>
      <w:rFonts w:ascii="Arial" w:hAnsi="Arial" w:cs="Arial"/>
      <w:b/>
      <w:sz w:val="18"/>
      <w:szCs w:val="20"/>
      <w:lang w:val="en-US"/>
    </w:rPr>
  </w:style>
  <w:style w:type="paragraph" w:styleId="156">
    <w:name w:val="Основной текст с отступом156"/>
    <w:basedOn w:val="Normal"/>
    <w:qFormat/>
    <w:pPr>
      <w:ind w:firstLine="708"/>
      <w:jc w:val="both"/>
    </w:pPr>
    <w:rPr>
      <w:rFonts w:ascii="Arial" w:hAnsi="Arial" w:cs="Arial"/>
      <w:b/>
      <w:sz w:val="18"/>
      <w:szCs w:val="20"/>
      <w:lang w:val="en-US"/>
    </w:rPr>
  </w:style>
  <w:style w:type="paragraph" w:styleId="157">
    <w:name w:val="Основной текст с отступом157"/>
    <w:basedOn w:val="Normal"/>
    <w:qFormat/>
    <w:pPr>
      <w:ind w:firstLine="708"/>
      <w:jc w:val="both"/>
    </w:pPr>
    <w:rPr>
      <w:rFonts w:ascii="Arial" w:hAnsi="Arial" w:cs="Arial"/>
      <w:b/>
      <w:sz w:val="18"/>
      <w:szCs w:val="20"/>
      <w:lang w:val="en-US"/>
    </w:rPr>
  </w:style>
  <w:style w:type="paragraph" w:styleId="162">
    <w:name w:val="Основной текст с отступом162"/>
    <w:basedOn w:val="Normal"/>
    <w:qFormat/>
    <w:pPr>
      <w:ind w:firstLine="708"/>
      <w:jc w:val="both"/>
    </w:pPr>
    <w:rPr>
      <w:rFonts w:ascii="Arial" w:hAnsi="Arial" w:cs="Arial"/>
      <w:b/>
      <w:sz w:val="18"/>
      <w:szCs w:val="20"/>
      <w:lang w:val="en-US"/>
    </w:rPr>
  </w:style>
  <w:style w:type="paragraph" w:styleId="163">
    <w:name w:val="Основной текст с отступом163"/>
    <w:basedOn w:val="Normal"/>
    <w:qFormat/>
    <w:pPr>
      <w:ind w:firstLine="708"/>
      <w:jc w:val="both"/>
    </w:pPr>
    <w:rPr>
      <w:rFonts w:ascii="Arial" w:hAnsi="Arial" w:cs="Arial"/>
      <w:b/>
      <w:sz w:val="18"/>
      <w:szCs w:val="20"/>
      <w:lang w:val="en-US"/>
    </w:rPr>
  </w:style>
  <w:style w:type="paragraph" w:styleId="165">
    <w:name w:val="Основной текст с отступом165"/>
    <w:basedOn w:val="Normal"/>
    <w:qFormat/>
    <w:pPr>
      <w:ind w:firstLine="708"/>
      <w:jc w:val="both"/>
    </w:pPr>
    <w:rPr>
      <w:rFonts w:ascii="Arial" w:hAnsi="Arial" w:cs="Arial"/>
      <w:b/>
      <w:sz w:val="18"/>
      <w:szCs w:val="20"/>
      <w:lang w:val="en-US"/>
    </w:rPr>
  </w:style>
  <w:style w:type="paragraph" w:styleId="168">
    <w:name w:val="Основной текст с отступом168"/>
    <w:basedOn w:val="Normal"/>
    <w:qFormat/>
    <w:pPr>
      <w:ind w:firstLine="708"/>
      <w:jc w:val="both"/>
    </w:pPr>
    <w:rPr>
      <w:rFonts w:ascii="Arial" w:hAnsi="Arial" w:cs="Arial"/>
      <w:b/>
      <w:sz w:val="18"/>
      <w:szCs w:val="20"/>
      <w:lang w:val="en-US"/>
    </w:rPr>
  </w:style>
  <w:style w:type="paragraph" w:styleId="169">
    <w:name w:val="Основной текст с отступом169"/>
    <w:basedOn w:val="Normal"/>
    <w:qFormat/>
    <w:pPr>
      <w:ind w:firstLine="708"/>
      <w:jc w:val="both"/>
    </w:pPr>
    <w:rPr>
      <w:rFonts w:ascii="Arial" w:hAnsi="Arial" w:cs="Arial"/>
      <w:b/>
      <w:sz w:val="18"/>
      <w:szCs w:val="20"/>
      <w:lang w:val="en-US"/>
    </w:rPr>
  </w:style>
  <w:style w:type="paragraph" w:styleId="170">
    <w:name w:val="Основной текст с отступом170"/>
    <w:basedOn w:val="Normal"/>
    <w:qFormat/>
    <w:pPr>
      <w:ind w:firstLine="708"/>
      <w:jc w:val="both"/>
    </w:pPr>
    <w:rPr>
      <w:rFonts w:ascii="Arial" w:hAnsi="Arial" w:cs="Arial"/>
      <w:b/>
      <w:sz w:val="18"/>
      <w:szCs w:val="20"/>
      <w:lang w:val="en-US"/>
    </w:rPr>
  </w:style>
  <w:style w:type="paragraph" w:styleId="171">
    <w:name w:val="Основной текст с отступом171"/>
    <w:basedOn w:val="Normal"/>
    <w:qFormat/>
    <w:pPr>
      <w:ind w:firstLine="708"/>
      <w:jc w:val="both"/>
    </w:pPr>
    <w:rPr>
      <w:rFonts w:ascii="Arial" w:hAnsi="Arial" w:cs="Arial"/>
      <w:b/>
      <w:sz w:val="18"/>
      <w:szCs w:val="20"/>
      <w:lang w:val="en-US"/>
    </w:rPr>
  </w:style>
  <w:style w:type="paragraph" w:styleId="172">
    <w:name w:val="Основной текст с отступом172"/>
    <w:basedOn w:val="Normal"/>
    <w:qFormat/>
    <w:pPr>
      <w:ind w:firstLine="708"/>
      <w:jc w:val="both"/>
    </w:pPr>
    <w:rPr>
      <w:rFonts w:ascii="Arial" w:hAnsi="Arial" w:cs="Arial"/>
      <w:b/>
      <w:sz w:val="18"/>
      <w:szCs w:val="20"/>
      <w:lang w:val="en-US"/>
    </w:rPr>
  </w:style>
  <w:style w:type="paragraph" w:styleId="173">
    <w:name w:val="Основной текст с отступом173"/>
    <w:basedOn w:val="Normal"/>
    <w:qFormat/>
    <w:pPr>
      <w:ind w:firstLine="708"/>
      <w:jc w:val="both"/>
    </w:pPr>
    <w:rPr>
      <w:rFonts w:ascii="Arial" w:hAnsi="Arial" w:cs="Arial"/>
      <w:b/>
      <w:sz w:val="18"/>
      <w:szCs w:val="20"/>
      <w:lang w:val="en-US"/>
    </w:rPr>
  </w:style>
  <w:style w:type="paragraph" w:styleId="174">
    <w:name w:val="Основной текст с отступом174"/>
    <w:basedOn w:val="Normal"/>
    <w:qFormat/>
    <w:pPr>
      <w:ind w:firstLine="708"/>
      <w:jc w:val="both"/>
    </w:pPr>
    <w:rPr>
      <w:rFonts w:ascii="Arial" w:hAnsi="Arial" w:cs="Arial"/>
      <w:b/>
      <w:sz w:val="18"/>
      <w:szCs w:val="20"/>
      <w:lang w:val="en-US"/>
    </w:rPr>
  </w:style>
  <w:style w:type="paragraph" w:styleId="175">
    <w:name w:val="Основной текст с отступом175"/>
    <w:basedOn w:val="Normal"/>
    <w:qFormat/>
    <w:pPr>
      <w:ind w:firstLine="708"/>
      <w:jc w:val="both"/>
    </w:pPr>
    <w:rPr>
      <w:rFonts w:ascii="Arial" w:hAnsi="Arial" w:cs="Arial"/>
      <w:b/>
      <w:sz w:val="18"/>
      <w:szCs w:val="20"/>
      <w:lang w:val="en-US"/>
    </w:rPr>
  </w:style>
  <w:style w:type="paragraph" w:styleId="176">
    <w:name w:val="Основной текст с отступом176"/>
    <w:basedOn w:val="Normal"/>
    <w:qFormat/>
    <w:pPr>
      <w:ind w:firstLine="708"/>
      <w:jc w:val="both"/>
    </w:pPr>
    <w:rPr>
      <w:rFonts w:ascii="Arial" w:hAnsi="Arial" w:cs="Arial"/>
      <w:b/>
      <w:sz w:val="18"/>
      <w:szCs w:val="20"/>
      <w:lang w:val="en-US"/>
    </w:rPr>
  </w:style>
  <w:style w:type="paragraph" w:styleId="177">
    <w:name w:val="Основной текст с отступом177"/>
    <w:basedOn w:val="Normal"/>
    <w:qFormat/>
    <w:pPr>
      <w:ind w:firstLine="708"/>
      <w:jc w:val="both"/>
    </w:pPr>
    <w:rPr>
      <w:rFonts w:ascii="Arial" w:hAnsi="Arial" w:cs="Arial"/>
      <w:b/>
      <w:sz w:val="18"/>
      <w:szCs w:val="20"/>
      <w:lang w:val="en-US"/>
    </w:rPr>
  </w:style>
  <w:style w:type="paragraph" w:styleId="178">
    <w:name w:val="Основной текст с отступом178"/>
    <w:basedOn w:val="Normal"/>
    <w:qFormat/>
    <w:pPr>
      <w:ind w:firstLine="708"/>
      <w:jc w:val="both"/>
    </w:pPr>
    <w:rPr>
      <w:rFonts w:ascii="Arial" w:hAnsi="Arial" w:cs="Arial"/>
      <w:b/>
      <w:sz w:val="18"/>
      <w:szCs w:val="20"/>
      <w:lang w:val="en-US"/>
    </w:rPr>
  </w:style>
  <w:style w:type="paragraph" w:styleId="179">
    <w:name w:val="Основной текст с отступом179"/>
    <w:basedOn w:val="Normal"/>
    <w:qFormat/>
    <w:pPr>
      <w:ind w:firstLine="708"/>
      <w:jc w:val="both"/>
    </w:pPr>
    <w:rPr>
      <w:rFonts w:ascii="Arial" w:hAnsi="Arial" w:cs="Arial"/>
      <w:b/>
      <w:sz w:val="18"/>
      <w:szCs w:val="20"/>
      <w:lang w:val="en-US"/>
    </w:rPr>
  </w:style>
  <w:style w:type="paragraph" w:styleId="180">
    <w:name w:val="Основной текст с отступом180"/>
    <w:basedOn w:val="Normal"/>
    <w:qFormat/>
    <w:pPr>
      <w:ind w:firstLine="708"/>
      <w:jc w:val="both"/>
    </w:pPr>
    <w:rPr>
      <w:rFonts w:ascii="Arial" w:hAnsi="Arial" w:cs="Arial"/>
      <w:b/>
      <w:sz w:val="18"/>
      <w:szCs w:val="20"/>
      <w:lang w:val="en-US"/>
    </w:rPr>
  </w:style>
  <w:style w:type="paragraph" w:styleId="181">
    <w:name w:val="Основной текст с отступом181"/>
    <w:basedOn w:val="Normal"/>
    <w:qFormat/>
    <w:pPr>
      <w:ind w:firstLine="708"/>
      <w:jc w:val="both"/>
    </w:pPr>
    <w:rPr>
      <w:rFonts w:ascii="Arial" w:hAnsi="Arial" w:cs="Arial"/>
      <w:b/>
      <w:sz w:val="18"/>
      <w:szCs w:val="20"/>
      <w:lang w:val="en-US"/>
    </w:rPr>
  </w:style>
  <w:style w:type="paragraph" w:styleId="182">
    <w:name w:val="Основной текст с отступом182"/>
    <w:basedOn w:val="Normal"/>
    <w:qFormat/>
    <w:pPr>
      <w:ind w:firstLine="708"/>
      <w:jc w:val="both"/>
    </w:pPr>
    <w:rPr>
      <w:rFonts w:ascii="Arial" w:hAnsi="Arial" w:cs="Arial"/>
      <w:b/>
      <w:sz w:val="18"/>
      <w:szCs w:val="20"/>
      <w:lang w:val="en-US"/>
    </w:rPr>
  </w:style>
  <w:style w:type="paragraph" w:styleId="123">
    <w:name w:val="Верхній колонтитул1"/>
    <w:basedOn w:val="Normal"/>
    <w:qFormat/>
    <w:pPr/>
    <w:rPr>
      <w:rFonts w:ascii="Calibri" w:hAnsi="Calibri" w:eastAsia="Calibri" w:cs="Calibri"/>
      <w:sz w:val="20"/>
      <w:szCs w:val="20"/>
      <w:lang w:val="en-US"/>
    </w:rPr>
  </w:style>
  <w:style w:type="paragraph" w:styleId="134">
    <w:name w:val="Нижній колонтитул1"/>
    <w:basedOn w:val="Normal"/>
    <w:qFormat/>
    <w:pPr/>
    <w:rPr>
      <w:rFonts w:ascii="Calibri" w:hAnsi="Calibri" w:eastAsia="Calibri" w:cs="Calibri"/>
      <w:sz w:val="20"/>
      <w:szCs w:val="20"/>
      <w:lang w:val="en-US"/>
    </w:rPr>
  </w:style>
  <w:style w:type="paragraph" w:styleId="146">
    <w:name w:val="Назва1"/>
    <w:basedOn w:val="Normal"/>
    <w:qFormat/>
    <w:pPr/>
    <w:rPr>
      <w:rFonts w:ascii="Calibri Light" w:hAnsi="Calibri Light" w:eastAsia="Calibri" w:cs="Calibri Light"/>
      <w:spacing w:val="-10"/>
      <w:sz w:val="20"/>
      <w:szCs w:val="20"/>
      <w:lang w:val="en-US"/>
    </w:rPr>
  </w:style>
  <w:style w:type="paragraph" w:styleId="216">
    <w:name w:val="Основний текст 21"/>
    <w:basedOn w:val="Normal"/>
    <w:qFormat/>
    <w:pPr/>
    <w:rPr>
      <w:rFonts w:ascii="Calibri" w:hAnsi="Calibri" w:eastAsia="Calibri" w:cs="Calibri"/>
      <w:sz w:val="20"/>
      <w:szCs w:val="20"/>
      <w:lang w:val="en-US"/>
    </w:rPr>
  </w:style>
  <w:style w:type="paragraph" w:styleId="151">
    <w:name w:val="Текст у виносці1"/>
    <w:basedOn w:val="Normal"/>
    <w:qFormat/>
    <w:pPr/>
    <w:rPr>
      <w:rFonts w:ascii="Segoe UI" w:hAnsi="Segoe UI" w:eastAsia="Calibri" w:cs="Segoe UI"/>
      <w:sz w:val="20"/>
      <w:szCs w:val="20"/>
      <w:lang w:val="en-US"/>
    </w:rPr>
  </w:style>
  <w:style w:type="paragraph" w:styleId="164">
    <w:name w:val="Основной текст с отступом164"/>
    <w:basedOn w:val="Normal"/>
    <w:qFormat/>
    <w:pPr>
      <w:ind w:firstLine="708"/>
      <w:jc w:val="both"/>
    </w:pPr>
    <w:rPr>
      <w:rFonts w:ascii="Arial" w:hAnsi="Arial" w:cs="Arial"/>
      <w:b/>
      <w:sz w:val="18"/>
      <w:szCs w:val="20"/>
      <w:lang w:val="en-US"/>
    </w:rPr>
  </w:style>
  <w:style w:type="paragraph" w:styleId="Arial95">
    <w:name w:val="arial9(жирнбез интерв)"/>
    <w:basedOn w:val="Normal"/>
    <w:qFormat/>
    <w:pPr/>
    <w:rPr>
      <w:rFonts w:ascii="Arial" w:hAnsi="Arial" w:eastAsia="Calibri" w:cs="Arial"/>
      <w:b/>
      <w:sz w:val="18"/>
      <w:szCs w:val="20"/>
      <w:lang w:val="ru-RU"/>
    </w:rPr>
  </w:style>
  <w:style w:type="paragraph" w:styleId="203">
    <w:name w:val="Основной текст с отступом203"/>
    <w:basedOn w:val="Normal"/>
    <w:qFormat/>
    <w:pPr>
      <w:ind w:firstLine="708"/>
      <w:jc w:val="both"/>
    </w:pPr>
    <w:rPr>
      <w:rFonts w:ascii="Arial" w:hAnsi="Arial" w:cs="Arial"/>
      <w:b/>
      <w:sz w:val="18"/>
      <w:szCs w:val="20"/>
      <w:lang w:val="en-US"/>
    </w:rPr>
  </w:style>
  <w:style w:type="paragraph" w:styleId="204">
    <w:name w:val="Основной текст с отступом204"/>
    <w:basedOn w:val="Normal"/>
    <w:qFormat/>
    <w:pPr>
      <w:ind w:firstLine="708"/>
      <w:jc w:val="both"/>
    </w:pPr>
    <w:rPr>
      <w:rFonts w:ascii="Arial" w:hAnsi="Arial" w:cs="Arial"/>
      <w:b/>
      <w:sz w:val="18"/>
      <w:szCs w:val="20"/>
      <w:lang w:val="en-US"/>
    </w:rPr>
  </w:style>
  <w:style w:type="paragraph" w:styleId="217">
    <w:name w:val="Основний текст з відступом2"/>
    <w:basedOn w:val="Normal"/>
    <w:qFormat/>
    <w:pPr>
      <w:ind w:firstLine="708"/>
      <w:jc w:val="both"/>
    </w:pPr>
    <w:rPr>
      <w:rFonts w:ascii="Arial" w:hAnsi="Arial" w:cs="Arial"/>
      <w:b/>
      <w:sz w:val="18"/>
      <w:szCs w:val="20"/>
      <w:lang w:val="en-US"/>
    </w:rPr>
  </w:style>
  <w:style w:type="paragraph" w:styleId="152">
    <w:name w:val="Основний текст з відступом1"/>
    <w:basedOn w:val="Normal"/>
    <w:qFormat/>
    <w:pPr>
      <w:ind w:firstLine="708"/>
      <w:jc w:val="both"/>
    </w:pPr>
    <w:rPr>
      <w:rFonts w:ascii="Arial" w:hAnsi="Arial" w:cs="Arial"/>
      <w:b/>
      <w:sz w:val="18"/>
      <w:szCs w:val="20"/>
      <w:lang w:val="en-US"/>
    </w:rPr>
  </w:style>
  <w:style w:type="paragraph" w:styleId="207">
    <w:name w:val="Основной текст с отступом207"/>
    <w:basedOn w:val="Normal"/>
    <w:qFormat/>
    <w:pPr>
      <w:ind w:firstLine="708"/>
      <w:jc w:val="both"/>
    </w:pPr>
    <w:rPr>
      <w:rFonts w:ascii="Arial" w:hAnsi="Arial" w:cs="Arial"/>
      <w:b/>
      <w:sz w:val="18"/>
      <w:szCs w:val="20"/>
      <w:lang w:val="en-US"/>
    </w:rPr>
  </w:style>
  <w:style w:type="paragraph" w:styleId="2101">
    <w:name w:val="Основной текст с отступом210"/>
    <w:basedOn w:val="Normal"/>
    <w:qFormat/>
    <w:pPr>
      <w:ind w:firstLine="708"/>
      <w:jc w:val="both"/>
    </w:pPr>
    <w:rPr>
      <w:rFonts w:ascii="Arial" w:hAnsi="Arial" w:cs="Arial"/>
      <w:b/>
      <w:sz w:val="18"/>
      <w:szCs w:val="20"/>
      <w:lang w:val="en-US"/>
    </w:rPr>
  </w:style>
  <w:style w:type="paragraph" w:styleId="312">
    <w:name w:val="Основний текст з відступом3"/>
    <w:basedOn w:val="Normal"/>
    <w:qFormat/>
    <w:pPr>
      <w:ind w:firstLine="708"/>
      <w:jc w:val="both"/>
    </w:pPr>
    <w:rPr>
      <w:rFonts w:ascii="Arial" w:hAnsi="Arial" w:cs="Arial"/>
      <w:b/>
      <w:sz w:val="18"/>
      <w:szCs w:val="20"/>
      <w:lang w:val="en-US"/>
    </w:rPr>
  </w:style>
  <w:style w:type="paragraph" w:styleId="2171">
    <w:name w:val="Основной текст с отступом217"/>
    <w:basedOn w:val="Normal"/>
    <w:qFormat/>
    <w:pPr>
      <w:ind w:firstLine="708"/>
      <w:jc w:val="both"/>
    </w:pPr>
    <w:rPr>
      <w:rFonts w:ascii="Arial" w:hAnsi="Arial" w:cs="Arial"/>
      <w:b/>
      <w:sz w:val="18"/>
      <w:szCs w:val="20"/>
      <w:lang w:val="en-US"/>
    </w:rPr>
  </w:style>
  <w:style w:type="paragraph" w:styleId="218">
    <w:name w:val="Основной текст с отступом218"/>
    <w:basedOn w:val="Normal"/>
    <w:qFormat/>
    <w:pPr>
      <w:ind w:firstLine="708"/>
      <w:jc w:val="both"/>
    </w:pPr>
    <w:rPr>
      <w:rFonts w:ascii="Arial" w:hAnsi="Arial" w:cs="Arial"/>
      <w:b/>
      <w:sz w:val="18"/>
      <w:szCs w:val="20"/>
      <w:lang w:val="en-US"/>
    </w:rPr>
  </w:style>
  <w:style w:type="paragraph" w:styleId="219">
    <w:name w:val="Основной текст с отступом219"/>
    <w:basedOn w:val="Normal"/>
    <w:qFormat/>
    <w:pPr>
      <w:ind w:firstLine="708"/>
      <w:jc w:val="both"/>
    </w:pPr>
    <w:rPr>
      <w:rFonts w:ascii="Arial" w:hAnsi="Arial" w:cs="Arial"/>
      <w:b/>
      <w:sz w:val="18"/>
      <w:szCs w:val="20"/>
      <w:lang w:val="en-US"/>
    </w:rPr>
  </w:style>
  <w:style w:type="paragraph" w:styleId="220">
    <w:name w:val="Основной текст с отступом220"/>
    <w:basedOn w:val="Normal"/>
    <w:qFormat/>
    <w:pPr>
      <w:ind w:firstLine="708"/>
      <w:jc w:val="both"/>
    </w:pPr>
    <w:rPr>
      <w:rFonts w:ascii="Arial" w:hAnsi="Arial" w:cs="Arial"/>
      <w:b/>
      <w:sz w:val="18"/>
      <w:szCs w:val="20"/>
      <w:lang w:val="en-US"/>
    </w:rPr>
  </w:style>
  <w:style w:type="paragraph" w:styleId="Style29">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cs="Arial"/>
      <w:b/>
      <w:sz w:val="18"/>
      <w:szCs w:val="20"/>
      <w:lang w:val="en-US"/>
    </w:rPr>
  </w:style>
  <w:style w:type="paragraph" w:styleId="2231">
    <w:name w:val="Основной текст с отступом223"/>
    <w:basedOn w:val="Normal"/>
    <w:qFormat/>
    <w:pPr>
      <w:ind w:firstLine="708"/>
      <w:jc w:val="both"/>
    </w:pPr>
    <w:rPr>
      <w:rFonts w:ascii="Arial" w:hAnsi="Arial" w:cs="Arial"/>
      <w:b/>
      <w:sz w:val="18"/>
      <w:szCs w:val="20"/>
      <w:lang w:val="en-US"/>
    </w:rPr>
  </w:style>
  <w:style w:type="paragraph" w:styleId="410">
    <w:name w:val="Основний текст з відступом4"/>
    <w:basedOn w:val="Normal"/>
    <w:qFormat/>
    <w:pPr>
      <w:ind w:firstLine="708"/>
      <w:jc w:val="both"/>
    </w:pPr>
    <w:rPr>
      <w:rFonts w:ascii="Arial" w:hAnsi="Arial" w:cs="Arial"/>
      <w:b/>
      <w:sz w:val="18"/>
      <w:szCs w:val="20"/>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hocc.no/atc_ddd_index/" TargetMode="External"/><Relationship Id="rId3" Type="http://schemas.openxmlformats.org/officeDocument/2006/relationships/hyperlink" Target="https://www.whocc.no/atc_ddd_index/" TargetMode="External"/><Relationship Id="rId4" Type="http://schemas.openxmlformats.org/officeDocument/2006/relationships/hyperlink" Target="https://www.whocc.no/atc_ddd_index/"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59</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2026-10-16T15:31:00Z</dcterms:created>
  <dc:creator>Vitaliya</dc:creator>
  <dc:description/>
  <dc:language>ru-RU</dc:language>
  <cp:lastModifiedBy>Пермінова Тетяна Миколаївна</cp:lastModifiedBy>
  <cp:lastPrinted>2021-12-06T14:34:00Z</cp:lastPrinted>
  <dcterms:modified xsi:type="dcterms:W3CDTF">2026-10-16T16:14:00Z</dcterms:modified>
  <cp:revision>4</cp:revision>
  <dc:subject/>
  <dc:title/>
</cp:coreProperties>
</file>