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sz w:val="24"/>
          <w:szCs w:val="24"/>
          <w:lang w:val="uk-UA" w:eastAsia="uk-UA"/>
        </w:rPr>
      </w:pP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>ПЕРЕЛІК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 xml:space="preserve">ЛІКАРСЬКИХ ЗАСОБІВ ЩОДО ЯКИХ ЗАВЕРШЕНО РОЗГЛЯД РЕЄСТРАЦІЙНИХ МАТЕРІАЛІВ ПРО ВНЕСЕННЯ ЗМІН ДО РЕЄСТРАЦІЙНИХ МАТЕРІАЛІВ ПРОТЯГОМ ДІЇ РЕЄСТРАЦІЙНОГО ПОСВІДЧЕННЯ НА ЛІКАРСЬКІ ЗАСОБИ, </w:t>
      </w:r>
      <w:r>
        <w:rPr>
          <w:rFonts w:eastAsia="Times New Roman" w:cs="Arial" w:ascii="Arial" w:hAnsi="Arial"/>
          <w:b/>
          <w:sz w:val="24"/>
          <w:szCs w:val="24"/>
          <w:u w:val="single"/>
          <w:lang w:val="uk-UA" w:eastAsia="uk-UA"/>
        </w:rPr>
        <w:t>ЯКІ ЗАРЕЄСТРОВАНІ</w:t>
      </w: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 xml:space="preserve"> </w:t>
      </w:r>
      <w:r>
        <w:rPr>
          <w:rFonts w:eastAsia="Times New Roman" w:cs="Arial" w:ascii="Arial" w:hAnsi="Arial"/>
          <w:b/>
          <w:sz w:val="24"/>
          <w:szCs w:val="24"/>
          <w:u w:val="single"/>
          <w:lang w:val="uk-UA" w:eastAsia="uk-UA"/>
        </w:rPr>
        <w:t xml:space="preserve">КОМПЕТЕНТНИМИ ОРГАНАМИ </w:t>
      </w: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 xml:space="preserve">СПОЛУЧЕНИХ ШТАТІВ АМЕРИКИ, </w:t>
      </w:r>
      <w:r>
        <w:rPr>
          <w:rFonts w:cs="Arial" w:ascii="Arial" w:hAnsi="Arial"/>
          <w:b/>
          <w:sz w:val="24"/>
          <w:szCs w:val="24"/>
          <w:lang w:val="uk-UA" w:eastAsia="ru-RU"/>
        </w:rPr>
        <w:t>ВЕЛИКОЇ БРИТАНІЇ</w:t>
      </w:r>
      <w:r>
        <w:rPr>
          <w:rFonts w:cs="Arial" w:ascii="Arial" w:hAnsi="Arial"/>
          <w:sz w:val="24"/>
          <w:szCs w:val="24"/>
          <w:lang w:val="uk-UA" w:eastAsia="ru-RU"/>
        </w:rPr>
        <w:t xml:space="preserve">, </w:t>
      </w:r>
      <w:r>
        <w:rPr>
          <w:rFonts w:eastAsia="Times New Roman" w:cs="Arial" w:ascii="Arial" w:hAnsi="Arial"/>
          <w:b/>
          <w:sz w:val="24"/>
          <w:szCs w:val="24"/>
          <w:lang w:val="uk-UA"/>
        </w:rPr>
        <w:t>ШВЕЙЦАРСЬКОЇ КОНФЕДЕРАЦІЇ</w:t>
      </w: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 xml:space="preserve">, ЯПОНІЇ, АВСТРАЛІЇ, КАНАДИ, ЛІКАРСЬКИХ ЗАСОБІВ, ЩО ЗА ЦЕНТРАЛІЗОВАНОЮ ПРОЦЕДУРОЮ ЗАРЕЄСТРОВАНІ КОМПЕТЕНТНИМ ОРГАНОМ </w:t>
      </w:r>
      <w:r>
        <w:rPr>
          <w:rFonts w:eastAsia="Times New Roman" w:cs="Arial" w:ascii="Arial" w:hAnsi="Arial"/>
          <w:b/>
          <w:sz w:val="24"/>
          <w:szCs w:val="24"/>
          <w:u w:val="single"/>
          <w:lang w:val="uk-UA" w:eastAsia="uk-UA"/>
        </w:rPr>
        <w:t>ЄВРОПЕЙСЬКОГО СОЮЗУ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sz w:val="24"/>
          <w:szCs w:val="24"/>
          <w:u w:val="single"/>
          <w:lang w:val="uk-UA" w:eastAsia="uk-UA"/>
        </w:rPr>
      </w:pPr>
      <w:r>
        <w:rPr>
          <w:rFonts w:eastAsia="Times New Roman" w:cs="Arial" w:ascii="Arial" w:hAnsi="Arial"/>
          <w:b/>
          <w:sz w:val="24"/>
          <w:szCs w:val="24"/>
          <w:u w:val="single"/>
          <w:lang w:val="uk-UA" w:eastAsia="uk-UA"/>
        </w:rPr>
      </w:r>
    </w:p>
    <w:tbl>
      <w:tblPr>
        <w:tblW w:w="15745" w:type="dxa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561"/>
        <w:gridCol w:w="1282"/>
        <w:gridCol w:w="992"/>
        <w:gridCol w:w="993"/>
        <w:gridCol w:w="708"/>
        <w:gridCol w:w="1843"/>
        <w:gridCol w:w="1276"/>
        <w:gridCol w:w="1134"/>
        <w:gridCol w:w="1417"/>
        <w:gridCol w:w="1134"/>
        <w:gridCol w:w="1701"/>
        <w:gridCol w:w="1134"/>
        <w:gridCol w:w="1570"/>
      </w:tblGrid>
      <w:tr>
        <w:trPr>
          <w:tblHeader w:val="true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  <w:lang w:val="uk-UA" w:eastAsia="uk-UA"/>
              </w:rPr>
              <w:t xml:space="preserve"> </w:t>
            </w: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п/п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>
        <w:trPr>
          <w:trHeight w:val="433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numPr>
                <w:ilvl w:val="0"/>
                <w:numId w:val="1"/>
              </w:numPr>
              <w:tabs>
                <w:tab w:val="left" w:pos="12600" w:leader="none"/>
              </w:tabs>
              <w:snapToGrid w:val="false"/>
              <w:spacing w:lineRule="auto" w:line="240" w:before="0" w:after="0"/>
              <w:contextualSpacing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ru-RU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ru-RU"/>
              </w:rPr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cs="Arial" w:ascii="Arial" w:hAnsi="Arial"/>
                <w:b/>
                <w:sz w:val="16"/>
                <w:szCs w:val="16"/>
                <w:lang w:val="ru-RU"/>
              </w:rPr>
              <w:t>ВАКСНЬЮВАНС ВАКЦИНА ПНЕВМОКОКОВА ПОЛІСАХАРИДНА КОН'ЮГОВАНА (15-ВАЛЕНТНА, АДСОРБОВАНА)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highlight w:val="white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Pneumococcus, purified polysaccharides antigen conjugated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Пневмококовий полісахарид серотипу 1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>1,2;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br/>
              <w:t>Пневмококовий полісахарид серотипу 3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>1,2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;</w:t>
              <w:br/>
              <w:t>Пневмококовий полісахарид серотипу 4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>1,2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;</w:t>
              <w:br/>
              <w:t>Пневмококовий полісахарид серотипу 5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>1,2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;</w:t>
              <w:br/>
              <w:t>Пневмококовий полісахарид серотипу 6А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>1,2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;</w:t>
              <w:br/>
              <w:t>Пневмококовий полісахарид серотипу 6В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>1,2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;</w:t>
              <w:br/>
              <w:t>Пневмококовий полісахарид серотипу 7F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>1,2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;</w:t>
              <w:br/>
              <w:t>Пневмококовий полісахарид серотипу 9V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>1,2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;</w:t>
              <w:br/>
              <w:t>Пневмококовий полісахарид серотипу 14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>1,2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;</w:t>
              <w:br/>
              <w:t>Пневмококовий полісахарид серотипу 18C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>1,2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;</w:t>
              <w:br/>
              <w:t>Пневмококовий полісахарид серотипу 19А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>1,2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; </w:t>
              <w:br/>
              <w:t>Пневмококовий полісахарид серотипу 19F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>1,2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;</w:t>
              <w:br/>
              <w:t>Пневмококовий полісахарид серотипу 22F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>1,2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;</w:t>
              <w:br/>
              <w:t>Пневмококовий полісахарид серотипу 23F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>1,2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;</w:t>
              <w:br/>
              <w:t>Пневмококовий полісахарид серотипу 33F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>1,2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.</w:t>
              <w:br/>
              <w:br/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Кон'югований з білком-носієм CRM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bscript"/>
              </w:rPr>
              <w:t>197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. CRM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bscript"/>
              </w:rPr>
              <w:t>197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- нетоксичний мутант дифтерійного токсину (що походить від Corynebacterium diphtheriae C7), що рекомбінантно експресується в Pseudomonas fluorescens.</w:t>
              <w:br/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Адсорбований на ад'юванті алюмінію фосфату.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shd w:fill="F8F8F8" w:val="clear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J07AL02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суспензія для ін'єкцій, по 0,5 мл (1 доза); по 0,5 мл суспензії у попередньо наповненому шприці (скло Типу I) з обмежувачем ходу поршня (безлатексний бромбутиловий каучук) та ковпачком (безлатексний стирол-бутадієновий або безлатексний ізопрен-бромбутиловий каучук).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По 1 попередньо наповненому шприцу з 1 окремою голкою або по 1 попередньо наповненому шприцу з 2 окремими голками, або по 10 попередньо наповнених шприців з 20 окремими голками в картонній коробці разом з інструкцією для медичного застосування.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Шприц з голкою(ами) запаковано у лоток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Мерк Шарп і Доум ІДЕА ГмбХ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Тестування стабільності лікарського засобу (цілісність закриття контейнеру): Еурофінс Ланкастер Лабораторіз Інк., США; Випуск лікарського засобу та тестування стабільності (відсоток адсорбції): Еурофінс ПРОКСІ Лабораторіз Б.В., Нiдерланди; Вторинне пакування та маркування шприців; випуск готового лікарського засобу: Мерк Шарп і Доум Б.В., Нідерланди; Tестування та випуск ад’юванту алюмінію фосфату (хімічне); випуск лікарського засобу та тестування стабільності (хімічне та біологічне): МСД Інтернешнл ГмбХ/МСД Ірландія (Брінні), Ірландiя; Наповнення лікарського засобу та інспектування; виробництво, тестування та випуск ад’юванту алюмінію фосфату (мікробіологічне); випуск лікарського засобу та тестування стабільності (мікробіологічне); випуск лікарського засобу: МСД Інтернешнл ГмбХ/МСД Ірландія (Карлоу), Ірландiя; Тестування стабільності лікарського засобу (ініціююча та підтримуюча сила): Нувісан ГмбХ, Німеччина; Наповнення лікарського засобу та інспектування; випуск лікарського засобу та тестування стабільності (хімічне, мікробіологічне та цілісність закриття контейнеру): Патеон Італія С.п.А., Італiя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США/ Нiдерланди/ Ірландiя/ Німеччина/ Італiя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Q.I.a1.k, (Type IA) </w:t>
              <w:br/>
              <w:t>To replace BioReliance Corporation (located at 9610 Medical Center Drive, Rockville, Maryland, United States 20850) with BioReliance Corporation (located at 9820 Darnestown Road, Rockville, Maryland, United States 20850) as a site responsible for storage of CRM197 master and working cell banks.</w:t>
              <w:br/>
              <w:t xml:space="preserve">Q.I.a1.i, (Type IB) </w:t>
              <w:br/>
              <w:t>To replace BioReliance Corporation (located at 14920 Broschart Road, Rockville, Maryland, United States 20850) with BioReliance Corporation (located at 9820 Darnestown Road, Rockville, Maryland, United States 20850) as a site responsible for testing CRM197 working cell banks.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UA/20539/01/01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sectPr>
      <w:footerReference w:type="default" r:id="rId2"/>
      <w:footerReference w:type="first" r:id="rId3"/>
      <w:type w:val="nextPage"/>
      <w:pgSz w:orient="landscape" w:w="16838" w:h="11906"/>
      <w:pgMar w:left="851" w:right="851" w:header="0" w:top="1134" w:footer="709" w:bottom="851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3</w:t>
    </w:r>
    <w:r>
      <w:fldChar w:fldCharType="end"/>
    </w:r>
  </w:p>
  <w:p>
    <w:pPr>
      <w:pStyle w:val="Footer"/>
      <w:tabs>
        <w:tab w:val="center" w:pos="4844" w:leader="none"/>
        <w:tab w:val="right" w:pos="9689" w:leader="none"/>
      </w:tabs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tabs>
        <w:tab w:val="center" w:pos="4844" w:leader="none"/>
        <w:tab w:val="right" w:pos="9689" w:leader="none"/>
      </w:tabs>
      <w:spacing w:before="0" w:after="16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6"/>
  <w:defaultTabStop w:val="72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lineRule="auto" w:line="256" w:before="0" w:after="160"/>
    </w:pPr>
    <w:rPr>
      <w:rFonts w:ascii="Calibri" w:hAnsi="Calibri" w:eastAsia="Calibri" w:cs="Times New Roman"/>
      <w:color w:val="auto"/>
      <w:sz w:val="22"/>
      <w:szCs w:val="22"/>
      <w:lang w:val="en-US" w:bidi="ar-SA" w:eastAsia="zh-CN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cs="Times New Roman"/>
    </w:rPr>
  </w:style>
  <w:style w:type="character" w:styleId="Style14">
    <w:name w:val="Основной шрифт абзаца"/>
    <w:qFormat/>
    <w:rPr/>
  </w:style>
  <w:style w:type="character" w:styleId="Style15">
    <w:name w:val="Текст выноски Знак"/>
    <w:qFormat/>
    <w:rPr>
      <w:rFonts w:ascii="Segoe UI" w:hAnsi="Segoe UI" w:cs="Segoe UI"/>
      <w:sz w:val="18"/>
      <w:szCs w:val="18"/>
    </w:rPr>
  </w:style>
  <w:style w:type="character" w:styleId="InternetLink">
    <w:name w:val="Internet Link"/>
    <w:rPr>
      <w:color w:val="0000FF"/>
      <w:u w:val="single"/>
    </w:rPr>
  </w:style>
  <w:style w:type="character" w:styleId="Style16">
    <w:name w:val="Верхний колонтитул Знак"/>
    <w:qFormat/>
    <w:rPr>
      <w:sz w:val="22"/>
      <w:szCs w:val="22"/>
    </w:rPr>
  </w:style>
  <w:style w:type="character" w:styleId="Style17">
    <w:name w:val="Нижний колонтитул Знак"/>
    <w:qFormat/>
    <w:rPr>
      <w:sz w:val="22"/>
      <w:szCs w:val="22"/>
    </w:rPr>
  </w:style>
  <w:style w:type="character" w:styleId="2">
    <w:name w:val="Основной текст (2)_"/>
    <w:qFormat/>
    <w:rPr>
      <w:sz w:val="22"/>
      <w:szCs w:val="22"/>
      <w:shd w:fill="FFFFFF" w:val="clear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Style18">
    <w:name w:val="Звичайний"/>
    <w:qFormat/>
    <w:pPr>
      <w:widowControl/>
    </w:pPr>
    <w:rPr>
      <w:rFonts w:ascii="Times New Roman" w:hAnsi="Times New Roman" w:eastAsia="Times New Roman" w:cs="Times New Roman"/>
      <w:color w:val="auto"/>
      <w:sz w:val="24"/>
      <w:szCs w:val="24"/>
      <w:lang w:val="en-US" w:bidi="ar-SA" w:eastAsia="zh-CN"/>
    </w:rPr>
  </w:style>
  <w:style w:type="paragraph" w:styleId="Style19">
    <w:name w:val="Текст выноски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pPr>
      <w:tabs>
        <w:tab w:val="center" w:pos="4844" w:leader="none"/>
        <w:tab w:val="right" w:pos="9689" w:leader="none"/>
      </w:tabs>
    </w:pPr>
    <w:rPr/>
  </w:style>
  <w:style w:type="paragraph" w:styleId="Footer">
    <w:name w:val="Footer"/>
    <w:basedOn w:val="Normal"/>
    <w:pPr>
      <w:tabs>
        <w:tab w:val="center" w:pos="4844" w:leader="none"/>
        <w:tab w:val="right" w:pos="9689" w:leader="none"/>
      </w:tabs>
    </w:pPr>
    <w:rPr/>
  </w:style>
  <w:style w:type="paragraph" w:styleId="21">
    <w:name w:val="Основной текст (2)1"/>
    <w:basedOn w:val="Normal"/>
    <w:qFormat/>
    <w:pPr>
      <w:widowControl w:val="false"/>
      <w:shd w:fill="FFFFFF" w:val="clear"/>
      <w:spacing w:lineRule="exact" w:line="250" w:before="0" w:after="480"/>
      <w:ind w:hanging="600"/>
      <w:jc w:val="both"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LibreOffice/5.3.6.1$Linux_X86_64 LibreOffice_project/30$Build-1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2026-09-18T11:09:00Z</dcterms:created>
  <dc:creator>RePack by Diakov</dc:creator>
  <dc:description/>
  <dc:language>ru-RU</dc:language>
  <cp:lastModifiedBy>Кунцевич Олена Іванівна</cp:lastModifiedBy>
  <cp:lastPrinted>2022-04-14T11:34:00Z</cp:lastPrinted>
  <dcterms:modified xsi:type="dcterms:W3CDTF">2026-09-21T13:05:00Z</dcterms:modified>
  <cp:revision>5</cp:revision>
  <dc:subject/>
  <dc:title/>
</cp:coreProperties>
</file>