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4.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120"/>
        <w:jc w:val="center"/>
        <w:rPr>
          <w:rFonts w:ascii="Times New Roman CYR" w:hAnsi="Times New Roman CYR" w:cs="Times New Roman CYR"/>
          <w:lang w:val="uk-UA"/>
        </w:rPr>
      </w:pPr>
      <w:r>
        <w:rPr>
          <w:rFonts w:cs="Times New Roman CYR" w:ascii="Times New Roman CYR" w:hAnsi="Times New Roman CYR"/>
          <w:lang w:val="uk-UA" w:eastAsia="ru-RU"/>
        </w:rPr>
        <w:drawing>
          <wp:inline distT="0" distB="0" distL="0" distR="0">
            <wp:extent cx="403225" cy="56451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89" t="-64" r="-89" b="-64"/>
                    <a:stretch>
                      <a:fillRect/>
                    </a:stretch>
                  </pic:blipFill>
                  <pic:spPr bwMode="auto">
                    <a:xfrm>
                      <a:off x="0" y="0"/>
                      <a:ext cx="403225" cy="564515"/>
                    </a:xfrm>
                    <a:prstGeom prst="rect">
                      <a:avLst/>
                    </a:prstGeom>
                  </pic:spPr>
                </pic:pic>
              </a:graphicData>
            </a:graphic>
          </wp:inline>
        </w:drawing>
      </w:r>
    </w:p>
    <w:p>
      <w:pPr>
        <w:pStyle w:val="Normal"/>
        <w:numPr>
          <w:ilvl w:val="0"/>
          <w:numId w:val="0"/>
        </w:numPr>
        <w:jc w:val="center"/>
        <w:outlineLvl w:val="0"/>
        <w:rPr>
          <w:b/>
          <w:b/>
          <w:sz w:val="32"/>
          <w:szCs w:val="32"/>
          <w:lang w:val="uk-UA"/>
        </w:rPr>
      </w:pPr>
      <w:r>
        <w:rPr>
          <w:b/>
          <w:sz w:val="32"/>
          <w:szCs w:val="32"/>
          <w:lang w:val="uk-UA"/>
        </w:rPr>
        <w:t>МІНІСТЕРСТВО ОХОРОНИ ЗДОРОВ’Я УКРАЇНИ</w:t>
      </w:r>
    </w:p>
    <w:p>
      <w:pPr>
        <w:pStyle w:val="Normal"/>
        <w:rPr>
          <w:b/>
          <w:b/>
          <w:sz w:val="32"/>
          <w:szCs w:val="32"/>
          <w:lang w:val="uk-UA"/>
        </w:rPr>
      </w:pPr>
      <w:r>
        <w:rPr>
          <w:b/>
          <w:sz w:val="32"/>
          <w:szCs w:val="32"/>
          <w:lang w:val="uk-UA"/>
        </w:rPr>
      </w:r>
    </w:p>
    <w:p>
      <w:pPr>
        <w:pStyle w:val="Normal"/>
        <w:numPr>
          <w:ilvl w:val="0"/>
          <w:numId w:val="0"/>
        </w:numPr>
        <w:jc w:val="center"/>
        <w:outlineLvl w:val="0"/>
        <w:rPr>
          <w:b/>
          <w:b/>
          <w:spacing w:val="60"/>
          <w:sz w:val="30"/>
          <w:szCs w:val="30"/>
          <w:lang w:val="uk-UA"/>
        </w:rPr>
      </w:pPr>
      <w:r>
        <w:rPr>
          <w:b/>
          <w:spacing w:val="60"/>
          <w:sz w:val="30"/>
          <w:szCs w:val="30"/>
          <w:lang w:val="uk-UA"/>
        </w:rPr>
        <w:t>НАКАЗ</w:t>
      </w:r>
    </w:p>
    <w:p>
      <w:pPr>
        <w:pStyle w:val="Normal"/>
        <w:rPr>
          <w:b/>
          <w:b/>
          <w:spacing w:val="60"/>
          <w:sz w:val="30"/>
          <w:szCs w:val="30"/>
          <w:lang w:val="uk-UA"/>
        </w:rPr>
      </w:pPr>
      <w:r>
        <w:rPr>
          <w:b/>
          <w:spacing w:val="60"/>
          <w:sz w:val="30"/>
          <w:szCs w:val="30"/>
          <w:lang w:val="uk-UA"/>
        </w:rPr>
      </w:r>
    </w:p>
    <w:tbl>
      <w:tblPr>
        <w:tblW w:w="10183" w:type="dxa"/>
        <w:jc w:val="left"/>
        <w:tblInd w:w="-72" w:type="dxa"/>
        <w:tblBorders/>
        <w:tblCellMar>
          <w:top w:w="0" w:type="dxa"/>
          <w:left w:w="108" w:type="dxa"/>
          <w:bottom w:w="0" w:type="dxa"/>
          <w:right w:w="108" w:type="dxa"/>
        </w:tblCellMar>
      </w:tblPr>
      <w:tblGrid>
        <w:gridCol w:w="3271"/>
        <w:gridCol w:w="2129"/>
        <w:gridCol w:w="4783"/>
      </w:tblGrid>
      <w:tr>
        <w:trPr/>
        <w:tc>
          <w:tcPr>
            <w:tcW w:w="3271" w:type="dxa"/>
            <w:tcBorders/>
            <w:shd w:fill="auto" w:val="clear"/>
          </w:tcPr>
          <w:p>
            <w:pPr>
              <w:pStyle w:val="Normal"/>
              <w:snapToGrid w:val="false"/>
              <w:rPr>
                <w:sz w:val="28"/>
                <w:szCs w:val="28"/>
                <w:lang w:val="uk-UA"/>
              </w:rPr>
            </w:pPr>
            <w:r>
              <w:rPr>
                <w:sz w:val="28"/>
                <w:szCs w:val="28"/>
                <w:lang w:val="uk-UA"/>
              </w:rPr>
            </w:r>
          </w:p>
          <w:p>
            <w:pPr>
              <w:pStyle w:val="Normal"/>
              <w:rPr>
                <w:sz w:val="28"/>
                <w:szCs w:val="28"/>
                <w:lang w:val="uk-UA"/>
              </w:rPr>
            </w:pPr>
            <w:r>
              <w:rPr>
                <w:sz w:val="28"/>
                <w:szCs w:val="28"/>
                <w:lang w:val="uk-UA"/>
              </w:rPr>
              <w:t>14 жовтня 2026 року</w:t>
            </w:r>
          </w:p>
        </w:tc>
        <w:tc>
          <w:tcPr>
            <w:tcW w:w="2129" w:type="dxa"/>
            <w:tcBorders/>
            <w:shd w:fill="auto" w:val="clear"/>
          </w:tcPr>
          <w:p>
            <w:pPr>
              <w:pStyle w:val="Normal"/>
              <w:jc w:val="center"/>
              <w:rPr/>
            </w:pPr>
            <w:r>
              <w:rPr>
                <w:rFonts w:eastAsia="Times New Roman"/>
                <w:sz w:val="24"/>
                <w:szCs w:val="24"/>
                <w:lang w:val="uk-UA"/>
              </w:rPr>
              <w:t xml:space="preserve">                    </w:t>
            </w:r>
            <w:r>
              <w:rPr>
                <w:sz w:val="24"/>
                <w:szCs w:val="24"/>
                <w:lang w:val="uk-UA"/>
              </w:rPr>
              <w:t>Київ</w:t>
            </w:r>
          </w:p>
        </w:tc>
        <w:tc>
          <w:tcPr>
            <w:tcW w:w="4783" w:type="dxa"/>
            <w:tcBorders/>
            <w:shd w:fill="auto" w:val="clear"/>
          </w:tcPr>
          <w:p>
            <w:pPr>
              <w:pStyle w:val="Normal"/>
              <w:snapToGrid w:val="false"/>
              <w:ind w:firstLine="72"/>
              <w:jc w:val="center"/>
              <w:rPr>
                <w:sz w:val="28"/>
                <w:szCs w:val="28"/>
                <w:lang w:val="uk-UA"/>
              </w:rPr>
            </w:pPr>
            <w:r>
              <w:rPr>
                <w:sz w:val="28"/>
                <w:szCs w:val="28"/>
                <w:lang w:val="uk-UA"/>
              </w:rPr>
            </w:r>
          </w:p>
          <w:p>
            <w:pPr>
              <w:pStyle w:val="Normal"/>
              <w:ind w:firstLine="72"/>
              <w:jc w:val="center"/>
              <w:rPr>
                <w:sz w:val="28"/>
                <w:szCs w:val="28"/>
                <w:lang w:val="uk-UA"/>
              </w:rPr>
            </w:pPr>
            <w:r>
              <w:rPr>
                <w:rFonts w:eastAsia="Times New Roman"/>
                <w:sz w:val="28"/>
                <w:szCs w:val="28"/>
                <w:lang w:val="uk-UA"/>
              </w:rPr>
              <w:t xml:space="preserve">                                           </w:t>
            </w:r>
            <w:r>
              <w:rPr>
                <w:sz w:val="28"/>
                <w:szCs w:val="28"/>
                <w:lang w:val="uk-UA"/>
              </w:rPr>
              <w:t>№</w:t>
            </w:r>
            <w:r>
              <w:rPr>
                <w:rFonts w:eastAsia="Times New Roman"/>
                <w:sz w:val="28"/>
                <w:szCs w:val="28"/>
                <w:lang w:val="uk-UA"/>
              </w:rPr>
              <w:t xml:space="preserve"> </w:t>
            </w:r>
            <w:r>
              <w:rPr>
                <w:sz w:val="28"/>
                <w:szCs w:val="28"/>
                <w:lang w:val="uk-UA"/>
              </w:rPr>
              <w:t>1583</w:t>
            </w:r>
          </w:p>
          <w:p>
            <w:pPr>
              <w:pStyle w:val="Normal"/>
              <w:ind w:firstLine="72"/>
              <w:jc w:val="center"/>
              <w:rPr>
                <w:sz w:val="28"/>
                <w:szCs w:val="28"/>
                <w:lang w:val="uk-UA"/>
              </w:rPr>
            </w:pPr>
            <w:r>
              <w:rPr>
                <w:sz w:val="28"/>
                <w:szCs w:val="28"/>
                <w:lang w:val="uk-UA"/>
              </w:rPr>
            </w:r>
          </w:p>
        </w:tc>
      </w:tr>
    </w:tbl>
    <w:p>
      <w:pPr>
        <w:pStyle w:val="Normal"/>
        <w:jc w:val="both"/>
        <w:rPr>
          <w:b/>
          <w:b/>
          <w:sz w:val="28"/>
          <w:szCs w:val="28"/>
          <w:lang w:val="uk-UA"/>
        </w:rPr>
      </w:pPr>
      <w:r>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ind w:firstLine="720"/>
        <w:jc w:val="both"/>
        <w:rPr>
          <w:b/>
          <w:b/>
          <w:sz w:val="16"/>
          <w:szCs w:val="16"/>
          <w:lang w:val="uk-UA"/>
        </w:rPr>
      </w:pPr>
      <w:r>
        <w:rPr>
          <w:b/>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Normal"/>
        <w:ind w:firstLine="720"/>
        <w:jc w:val="both"/>
        <w:rPr>
          <w:sz w:val="16"/>
          <w:szCs w:val="16"/>
          <w:lang w:val="uk-UA"/>
        </w:rPr>
      </w:pPr>
      <w:r>
        <w:rPr>
          <w:sz w:val="16"/>
          <w:szCs w:val="16"/>
          <w:lang w:val="uk-UA"/>
        </w:rPr>
      </w:r>
    </w:p>
    <w:p>
      <w:pPr>
        <w:pStyle w:val="HTML1"/>
        <w:ind w:firstLine="720"/>
        <w:jc w:val="both"/>
        <w:rPr>
          <w:rFonts w:ascii="Times New Roman" w:hAnsi="Times New Roman" w:cs="Times New Roman"/>
          <w:sz w:val="28"/>
          <w:szCs w:val="28"/>
          <w:lang w:val="uk-UA"/>
        </w:rPr>
      </w:pPr>
      <w:r>
        <w:rPr>
          <w:rFonts w:cs="Times New Roman"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 абзацу двадцять п’ятого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року № 90), на підставі результатів експертиз реєстраційних матеріалів лікарських засобів (медичних імунобіологічних препаратів), що подані на державну реєстрацію (перереєстрацію) та внесення змін до реєстраційних матеріалів, проведених державним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лікарського засобу до державної реєстрації (перереєстрації) або внесення змін до реєстраційних матеріалів, що надійшли до Міністерства охорони здоров’я України листом державного підприємства «Державний експертний центр Міністерства охорони здоров’я України» від 08 жовтня 2026 року № 4318/22.2-26,</w:t>
      </w:r>
    </w:p>
    <w:p>
      <w:pPr>
        <w:pStyle w:val="HTML1"/>
        <w:ind w:firstLine="720"/>
        <w:jc w:val="both"/>
        <w:rPr>
          <w:rFonts w:ascii="Times New Roman" w:hAnsi="Times New Roman" w:cs="Times New Roman"/>
          <w:b/>
          <w:b/>
          <w:bCs/>
          <w:sz w:val="28"/>
          <w:szCs w:val="28"/>
          <w:lang w:val="uk-UA"/>
        </w:rPr>
      </w:pPr>
      <w:r>
        <w:rPr>
          <w:rFonts w:cs="Times New Roman" w:ascii="Times New Roman" w:hAnsi="Times New Roman"/>
          <w:b/>
          <w:bCs/>
          <w:sz w:val="28"/>
          <w:szCs w:val="28"/>
          <w:lang w:val="uk-UA"/>
        </w:rPr>
      </w:r>
    </w:p>
    <w:p>
      <w:pPr>
        <w:pStyle w:val="33"/>
        <w:ind w:left="0" w:hanging="0"/>
        <w:rPr>
          <w:b/>
          <w:b/>
          <w:bCs/>
          <w:sz w:val="28"/>
          <w:szCs w:val="28"/>
          <w:lang w:val="uk-UA"/>
        </w:rPr>
      </w:pPr>
      <w:r>
        <w:rPr>
          <w:b/>
          <w:bCs/>
          <w:sz w:val="28"/>
          <w:szCs w:val="28"/>
          <w:lang w:val="uk-UA"/>
        </w:rPr>
        <w:t>НАКАЗУЮ:</w:t>
      </w:r>
    </w:p>
    <w:p>
      <w:pPr>
        <w:pStyle w:val="33"/>
        <w:ind w:left="0" w:hanging="0"/>
        <w:rPr>
          <w:b/>
          <w:b/>
          <w:bCs/>
          <w:sz w:val="28"/>
          <w:szCs w:val="28"/>
          <w:lang w:val="uk-UA"/>
        </w:rPr>
      </w:pPr>
      <w:r>
        <w:rPr>
          <w:b/>
          <w:bCs/>
          <w:sz w:val="28"/>
          <w:szCs w:val="28"/>
          <w:lang w:val="uk-UA"/>
        </w:rPr>
      </w:r>
    </w:p>
    <w:p>
      <w:pPr>
        <w:pStyle w:val="Normal"/>
        <w:tabs>
          <w:tab w:val="left" w:pos="1080" w:leader="none"/>
        </w:tabs>
        <w:ind w:firstLine="720"/>
        <w:jc w:val="both"/>
        <w:rPr/>
      </w:pPr>
      <w:r>
        <w:rPr>
          <w:sz w:val="28"/>
          <w:szCs w:val="28"/>
          <w:lang w:val="uk-UA"/>
        </w:rPr>
        <w:t xml:space="preserve">1. Зареєструвати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1.</w:t>
      </w:r>
    </w:p>
    <w:p>
      <w:pPr>
        <w:pStyle w:val="Normal"/>
        <w:tabs>
          <w:tab w:val="left" w:pos="1080" w:leader="none"/>
        </w:tabs>
        <w:ind w:firstLine="720"/>
        <w:jc w:val="both"/>
        <w:rPr>
          <w:sz w:val="28"/>
          <w:szCs w:val="28"/>
          <w:lang w:val="uk-UA"/>
        </w:rPr>
      </w:pPr>
      <w:r>
        <w:rPr>
          <w:sz w:val="28"/>
          <w:szCs w:val="28"/>
          <w:lang w:val="uk-UA"/>
        </w:rPr>
      </w:r>
    </w:p>
    <w:p>
      <w:pPr>
        <w:pStyle w:val="Normal"/>
        <w:tabs>
          <w:tab w:val="left" w:pos="1080" w:leader="none"/>
        </w:tabs>
        <w:ind w:firstLine="720"/>
        <w:jc w:val="both"/>
        <w:rPr/>
      </w:pPr>
      <w:r>
        <w:rPr>
          <w:sz w:val="28"/>
          <w:szCs w:val="28"/>
          <w:lang w:val="uk-UA"/>
        </w:rPr>
        <w:t xml:space="preserve">2. Перереєструвати </w:t>
      </w:r>
      <w:r>
        <w:rPr>
          <w:sz w:val="28"/>
          <w:szCs w:val="28"/>
          <w:lang w:val="uk-UA" w:eastAsia="ru-RU"/>
        </w:rPr>
        <w:t>лікарські засоби</w:t>
      </w:r>
      <w:r>
        <w:rPr>
          <w:sz w:val="28"/>
          <w:szCs w:val="28"/>
          <w:lang w:val="uk-UA"/>
        </w:rPr>
        <w:t xml:space="preserve"> (медичні імунобіологічні препарати) та внести до Державного реєстру лікарських засобів згідно з додатком 2.</w:t>
      </w:r>
    </w:p>
    <w:p>
      <w:pPr>
        <w:pStyle w:val="Normal"/>
        <w:tabs>
          <w:tab w:val="left" w:pos="1080" w:leader="none"/>
        </w:tabs>
        <w:ind w:firstLine="720"/>
        <w:jc w:val="both"/>
        <w:rPr>
          <w:sz w:val="16"/>
          <w:szCs w:val="16"/>
          <w:lang w:val="uk-UA"/>
        </w:rPr>
      </w:pPr>
      <w:r>
        <w:rPr>
          <w:sz w:val="16"/>
          <w:szCs w:val="16"/>
          <w:lang w:val="uk-UA"/>
        </w:rPr>
      </w:r>
    </w:p>
    <w:p>
      <w:pPr>
        <w:pStyle w:val="Normal"/>
        <w:tabs>
          <w:tab w:val="left" w:pos="1080" w:leader="none"/>
        </w:tabs>
        <w:ind w:firstLine="720"/>
        <w:jc w:val="both"/>
        <w:rPr>
          <w:sz w:val="28"/>
          <w:szCs w:val="28"/>
          <w:lang w:val="uk-UA"/>
        </w:rPr>
      </w:pPr>
      <w:r>
        <w:rPr>
          <w:sz w:val="28"/>
          <w:szCs w:val="28"/>
          <w:lang w:val="uk-UA"/>
        </w:rPr>
        <w:t xml:space="preserve">3. Внести зміни до реєстраційних матеріалів на </w:t>
      </w:r>
      <w:r>
        <w:rPr>
          <w:sz w:val="28"/>
          <w:szCs w:val="28"/>
          <w:lang w:val="uk-UA" w:eastAsia="ru-RU"/>
        </w:rPr>
        <w:t>лікарські засоби</w:t>
      </w:r>
      <w:r>
        <w:rPr>
          <w:sz w:val="28"/>
          <w:szCs w:val="28"/>
          <w:lang w:val="uk-UA"/>
        </w:rPr>
        <w:t xml:space="preserve"> (медичні імунобіологічні препарати) та Державного реєстру лікарських засобів згідно з додатком 3.</w:t>
      </w:r>
    </w:p>
    <w:p>
      <w:pPr>
        <w:pStyle w:val="Normal"/>
        <w:tabs>
          <w:tab w:val="left" w:pos="1080" w:leader="none"/>
        </w:tabs>
        <w:ind w:firstLine="720"/>
        <w:jc w:val="both"/>
        <w:rPr>
          <w:sz w:val="28"/>
          <w:szCs w:val="28"/>
          <w:lang w:val="uk-UA"/>
        </w:rPr>
      </w:pPr>
      <w:r>
        <w:rPr>
          <w:rFonts w:eastAsia="Times New Roman"/>
          <w:sz w:val="28"/>
          <w:szCs w:val="28"/>
          <w:lang w:val="uk-UA"/>
        </w:rPr>
        <w:t xml:space="preserve"> </w:t>
      </w:r>
    </w:p>
    <w:p>
      <w:pPr>
        <w:pStyle w:val="Normal"/>
        <w:tabs>
          <w:tab w:val="left" w:pos="1080" w:leader="none"/>
        </w:tabs>
        <w:ind w:firstLine="720"/>
        <w:jc w:val="both"/>
        <w:rPr>
          <w:sz w:val="28"/>
          <w:szCs w:val="28"/>
          <w:lang w:val="uk-UA"/>
        </w:rPr>
      </w:pPr>
      <w:r>
        <w:rPr>
          <w:sz w:val="28"/>
          <w:szCs w:val="28"/>
          <w:lang w:val="uk-UA"/>
        </w:rPr>
        <w:t>4. Відмовити у державній реєстрації/перереєстрації лікарських засобів (медичних імунобіологічних препаратів) та внесенні змін до реєстраційних матеріалів та Державного реєстру лікарських засобів згідно з додатком 4.</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993" w:leader="none"/>
        </w:tabs>
        <w:ind w:firstLine="720"/>
        <w:jc w:val="both"/>
        <w:rPr>
          <w:sz w:val="28"/>
          <w:szCs w:val="28"/>
          <w:lang w:val="uk-UA"/>
        </w:rPr>
      </w:pPr>
      <w:r>
        <w:rPr>
          <w:sz w:val="28"/>
          <w:szCs w:val="28"/>
          <w:lang w:val="uk-UA"/>
        </w:rPr>
        <w:t>5. Фармацевтичному управлінню (Олександру Гріценку) забезпечити оприлюднення цього наказу на офіційному вебсайті Міністерства охорони здоров’я України.</w:t>
      </w:r>
    </w:p>
    <w:p>
      <w:pPr>
        <w:pStyle w:val="Normal"/>
        <w:tabs>
          <w:tab w:val="left" w:pos="1080" w:leader="none"/>
        </w:tabs>
        <w:ind w:firstLine="720"/>
        <w:jc w:val="both"/>
        <w:rPr>
          <w:sz w:val="28"/>
          <w:szCs w:val="28"/>
          <w:lang w:val="uk-UA"/>
        </w:rPr>
      </w:pPr>
      <w:r>
        <w:rPr>
          <w:sz w:val="28"/>
          <w:szCs w:val="28"/>
          <w:lang w:val="uk-UA"/>
        </w:rPr>
      </w:r>
    </w:p>
    <w:p>
      <w:pPr>
        <w:pStyle w:val="Normal"/>
        <w:tabs>
          <w:tab w:val="left" w:pos="720" w:leader="none"/>
          <w:tab w:val="left" w:pos="1080" w:leader="none"/>
        </w:tabs>
        <w:ind w:firstLine="720"/>
        <w:jc w:val="both"/>
        <w:rPr>
          <w:sz w:val="28"/>
          <w:szCs w:val="28"/>
          <w:lang w:val="uk-UA"/>
        </w:rPr>
      </w:pPr>
      <w:r>
        <w:rPr>
          <w:sz w:val="28"/>
          <w:szCs w:val="28"/>
          <w:lang w:val="uk-UA"/>
        </w:rPr>
        <w:t>6. Контроль за виконанням цього наказу покласти на заступника Міністра Євгенія Гончара.</w:t>
      </w:r>
    </w:p>
    <w:p>
      <w:pPr>
        <w:pStyle w:val="33"/>
        <w:spacing w:before="0" w:after="0"/>
        <w:rPr>
          <w:sz w:val="28"/>
          <w:szCs w:val="28"/>
          <w:lang w:val="uk-UA"/>
        </w:rPr>
      </w:pPr>
      <w:r>
        <w:rPr>
          <w:sz w:val="28"/>
          <w:szCs w:val="28"/>
          <w:lang w:val="uk-UA"/>
        </w:rPr>
      </w:r>
    </w:p>
    <w:p>
      <w:pPr>
        <w:pStyle w:val="33"/>
        <w:spacing w:before="0" w:after="0"/>
        <w:rPr>
          <w:sz w:val="28"/>
          <w:szCs w:val="28"/>
          <w:lang w:val="uk-UA"/>
        </w:rPr>
      </w:pPr>
      <w:r>
        <w:rPr>
          <w:sz w:val="28"/>
          <w:szCs w:val="28"/>
          <w:lang w:val="uk-UA"/>
        </w:rPr>
      </w:r>
    </w:p>
    <w:p>
      <w:pPr>
        <w:sectPr>
          <w:headerReference w:type="default" r:id="rId3"/>
          <w:headerReference w:type="first" r:id="rId4"/>
          <w:footerReference w:type="default" r:id="rId5"/>
          <w:footerReference w:type="first" r:id="rId6"/>
          <w:type w:val="nextPage"/>
          <w:pgSz w:w="11906" w:h="16838"/>
          <w:pgMar w:left="1701" w:right="567" w:header="709" w:top="899" w:footer="709" w:bottom="1418" w:gutter="0"/>
          <w:pgNumType w:fmt="decimal"/>
          <w:formProt w:val="false"/>
          <w:titlePg/>
          <w:textDirection w:val="lrTb"/>
          <w:docGrid w:type="default" w:linePitch="360" w:charSpace="0"/>
        </w:sectPr>
        <w:pStyle w:val="33"/>
        <w:spacing w:before="0" w:after="0"/>
        <w:ind w:left="0" w:hanging="0"/>
        <w:rPr>
          <w:b/>
          <w:b/>
          <w:sz w:val="28"/>
          <w:szCs w:val="28"/>
          <w:lang w:val="uk-UA"/>
        </w:rPr>
      </w:pPr>
      <w:r>
        <w:rPr>
          <w:b/>
          <w:sz w:val="28"/>
          <w:szCs w:val="28"/>
          <w:lang w:val="uk-UA"/>
        </w:rPr>
        <w:t>Міністр                                                                                            Віктор ЛЯШКО</w:t>
      </w:r>
    </w:p>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spacing w:before="0" w:after="0"/>
              <w:rPr>
                <w:sz w:val="18"/>
                <w:szCs w:val="18"/>
              </w:rPr>
            </w:pPr>
            <w:r>
              <w:rPr>
                <w:sz w:val="18"/>
                <w:szCs w:val="18"/>
              </w:rPr>
              <w:t>Додаток 1</w:t>
            </w:r>
          </w:p>
          <w:p>
            <w:pPr>
              <w:pStyle w:val="Heading4"/>
              <w:numPr>
                <w:ilvl w:val="3"/>
                <w:numId w:val="1"/>
              </w:numPr>
              <w:tabs>
                <w:tab w:val="left" w:pos="12600" w:leader="none"/>
              </w:tabs>
              <w:spacing w:before="0" w:after="0"/>
              <w:rPr>
                <w:sz w:val="18"/>
                <w:szCs w:val="18"/>
              </w:rPr>
            </w:pPr>
            <w:r>
              <w:rPr>
                <w:sz w:val="18"/>
                <w:szCs w:val="18"/>
              </w:rPr>
              <w:t>до наказу Міністерства охорони</w:t>
            </w:r>
          </w:p>
          <w:p>
            <w:pPr>
              <w:pStyle w:val="Heading4"/>
              <w:numPr>
                <w:ilvl w:val="3"/>
                <w:numId w:val="1"/>
              </w:numPr>
              <w:tabs>
                <w:tab w:val="left" w:pos="12600" w:leader="none"/>
              </w:tabs>
              <w:spacing w:before="0" w:after="0"/>
              <w:rPr>
                <w:sz w:val="18"/>
                <w:szCs w:val="18"/>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Heading4"/>
              <w:numPr>
                <w:ilvl w:val="3"/>
                <w:numId w:val="1"/>
              </w:numPr>
              <w:tabs>
                <w:tab w:val="left" w:pos="12600" w:leader="none"/>
              </w:tabs>
              <w:spacing w:before="0" w:after="0"/>
              <w:rPr>
                <w:rFonts w:cs="Arial"/>
              </w:rPr>
            </w:pPr>
            <w:r>
              <w:rPr>
                <w:bCs w:val="false"/>
                <w:iCs/>
                <w:sz w:val="18"/>
                <w:szCs w:val="18"/>
                <w:u w:val="single"/>
              </w:rPr>
              <w:t>від_14 жовтня 2026 року № 1583</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sz w:val="28"/>
          <w:szCs w:val="28"/>
        </w:rPr>
      </w:pPr>
      <w:r>
        <w:rPr>
          <w:b/>
          <w:caps/>
          <w:sz w:val="28"/>
          <w:szCs w:val="28"/>
        </w:rPr>
        <w:t>ПЕРЕЛІК</w:t>
      </w:r>
    </w:p>
    <w:p>
      <w:pPr>
        <w:pStyle w:val="Normal"/>
        <w:keepNext w:val="true"/>
        <w:numPr>
          <w:ilvl w:val="0"/>
          <w:numId w:val="0"/>
        </w:numPr>
        <w:jc w:val="center"/>
        <w:outlineLvl w:val="3"/>
        <w:rPr>
          <w:rFonts w:ascii="Arial" w:hAnsi="Arial" w:cs="Arial"/>
          <w:b/>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134"/>
        <w:gridCol w:w="992"/>
        <w:gridCol w:w="992"/>
        <w:gridCol w:w="710"/>
        <w:gridCol w:w="1701"/>
        <w:gridCol w:w="992"/>
        <w:gridCol w:w="1134"/>
        <w:gridCol w:w="1276"/>
        <w:gridCol w:w="1134"/>
        <w:gridCol w:w="1842"/>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1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84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sz w:val="16"/>
                <w:szCs w:val="16"/>
                <w:lang w:val="en-US"/>
              </w:rPr>
            </w:pPr>
            <w:r>
              <w:rPr>
                <w:rFonts w:cs="Arial" w:ascii="Arial" w:hAnsi="Arial"/>
                <w:b/>
                <w:sz w:val="16"/>
                <w:szCs w:val="16"/>
              </w:rPr>
              <w:t>АМБРОКСОЛУ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sz w:val="16"/>
                <w:szCs w:val="16"/>
              </w:rPr>
            </w:pPr>
            <w:r>
              <w:rPr>
                <w:rFonts w:cs="Arial" w:ascii="Arial" w:hAnsi="Arial"/>
                <w:sz w:val="16"/>
                <w:szCs w:val="16"/>
              </w:rPr>
              <w:t>ambroxol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sz w:val="16"/>
                <w:szCs w:val="16"/>
                <w:lang w:val="ru-RU"/>
              </w:rPr>
            </w:pPr>
            <w:r>
              <w:rPr>
                <w:rFonts w:cs="Arial" w:ascii="Arial" w:hAnsi="Arial"/>
                <w:sz w:val="16"/>
                <w:szCs w:val="16"/>
                <w:lang w:val="ru-RU"/>
              </w:rPr>
              <w:t>амброксолу гідрохлорид</w:t>
            </w:r>
          </w:p>
        </w:tc>
        <w:tc>
          <w:tcPr>
            <w:tcW w:w="7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sz w:val="16"/>
                <w:szCs w:val="16"/>
                <w:lang w:val="ru-RU"/>
              </w:rPr>
            </w:pPr>
            <w:r>
              <w:rPr>
                <w:rFonts w:cs="Arial" w:ascii="Arial" w:hAnsi="Arial"/>
                <w:sz w:val="16"/>
                <w:szCs w:val="16"/>
                <w:lang w:val="ru-RU"/>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sz w:val="16"/>
                <w:szCs w:val="16"/>
                <w:lang w:val="ru-RU"/>
              </w:rPr>
            </w:pPr>
            <w:r>
              <w:rPr>
                <w:rFonts w:cs="Arial" w:ascii="Arial" w:hAnsi="Arial"/>
                <w:sz w:val="16"/>
                <w:szCs w:val="16"/>
                <w:lang w:val="ru-RU"/>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lang w:val="ru-RU"/>
              </w:rPr>
              <w:t xml:space="preserve">ПрАТ "Фармацевтична фірма "Дарниця"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 xml:space="preserve">ШІЛПА ФАРМА ЛАЙФСАЙЕНСІЗ ЛІМІТЕД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Індія</w:t>
            </w:r>
          </w:p>
        </w:tc>
        <w:tc>
          <w:tcPr>
            <w:tcW w:w="184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sz w:val="16"/>
                <w:szCs w:val="16"/>
                <w:lang w:val="ru-RU"/>
              </w:rPr>
              <w:t xml:space="preserve">реєстрація на 5 років. </w:t>
              <w:br/>
            </w:r>
            <w:r>
              <w:rPr>
                <w:rFonts w:cs="Arial" w:ascii="Arial" w:hAnsi="Arial"/>
                <w:sz w:val="16"/>
                <w:szCs w:val="16"/>
              </w:rPr>
              <w:t>eCTD</w:t>
            </w:r>
            <w:r>
              <w:rPr>
                <w:rFonts w:cs="Arial" w:ascii="Arial" w:hAnsi="Arial"/>
                <w:sz w:val="16"/>
                <w:szCs w:val="16"/>
                <w:lang w:val="ru-RU"/>
              </w:rPr>
              <w:t xml:space="preserve"> версія МКЯ 0000.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UA/21481/01/0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МЕТОТРЕКСАТ ДИНАТРІЮ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methotrexate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метотрексат динатрію</w:t>
            </w:r>
          </w:p>
        </w:tc>
        <w:tc>
          <w:tcPr>
            <w:tcW w:w="7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кристалічний порошок (субстанція) у поліетиленових пакетах для фармацевтичного застосування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Ферміон Ой</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Фiнляндiя</w:t>
            </w:r>
          </w:p>
        </w:tc>
        <w:tc>
          <w:tcPr>
            <w:tcW w:w="184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Реєстрація на 5 років. </w:t>
              <w:br/>
              <w:t>eCTD версія МКЯ 0001.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ПАСКАЛЬ АМЛО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амлодипіну бесилат, олмесартану медоксоміл</w:t>
            </w:r>
          </w:p>
        </w:tc>
        <w:tc>
          <w:tcPr>
            <w:tcW w:w="7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en-US"/>
              </w:rPr>
              <w:t>C</w:t>
            </w:r>
            <w:r>
              <w:rPr>
                <w:rFonts w:cs="Arial" w:ascii="Arial" w:hAnsi="Arial"/>
                <w:sz w:val="16"/>
                <w:szCs w:val="16"/>
              </w:rPr>
              <w:t>09D</w:t>
            </w:r>
            <w:r>
              <w:rPr>
                <w:rFonts w:cs="Arial" w:ascii="Arial" w:hAnsi="Arial"/>
                <w:sz w:val="16"/>
                <w:szCs w:val="16"/>
                <w:lang w:val="en-US"/>
              </w:rPr>
              <w:t>B</w:t>
            </w:r>
            <w:r>
              <w:rPr>
                <w:rFonts w:cs="Arial" w:ascii="Arial" w:hAnsi="Arial"/>
                <w:sz w:val="16"/>
                <w:szCs w:val="16"/>
              </w:rPr>
              <w:t>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20 мг/5 мг, по 10 таблеток, вкритих плівковою оболонкою у блістері; по 9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Б.В.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w:t>
              <w:br/>
              <w:t>Аккорд Хелскеа Полска Сп. з o.o. Склад Імпортера, Польща;</w:t>
              <w:br/>
              <w:t>виробництво лікарського засобу, первинне та вторинне пакування:</w:t>
              <w:br/>
              <w:t>Інтас Фармасьютікалс Лімітед, Індія;</w:t>
              <w:br/>
              <w:t>контроль якості:</w:t>
              <w:br/>
              <w:t>Фармадокс Хелскеа Лімітед, Мальта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 Індія/ Мальта</w:t>
            </w:r>
          </w:p>
        </w:tc>
        <w:tc>
          <w:tcPr>
            <w:tcW w:w="184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ПУР версія 4.0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UA/21479/01/0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ПАСКАЛЬ АМЛО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Olmesartan medoxomil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амлодипіну бесилат, олмесартану медоксоміл</w:t>
            </w:r>
          </w:p>
        </w:tc>
        <w:tc>
          <w:tcPr>
            <w:tcW w:w="7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en-US"/>
              </w:rPr>
              <w:t>C</w:t>
            </w:r>
            <w:r>
              <w:rPr>
                <w:rFonts w:cs="Arial" w:ascii="Arial" w:hAnsi="Arial"/>
                <w:sz w:val="16"/>
                <w:szCs w:val="16"/>
              </w:rPr>
              <w:t>09D</w:t>
            </w:r>
            <w:r>
              <w:rPr>
                <w:rFonts w:cs="Arial" w:ascii="Arial" w:hAnsi="Arial"/>
                <w:sz w:val="16"/>
                <w:szCs w:val="16"/>
                <w:lang w:val="en-US"/>
              </w:rPr>
              <w:t>B</w:t>
            </w:r>
            <w:r>
              <w:rPr>
                <w:rFonts w:cs="Arial" w:ascii="Arial" w:hAnsi="Arial"/>
                <w:sz w:val="16"/>
                <w:szCs w:val="16"/>
              </w:rPr>
              <w:t>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 мг/10 мг по 10 таблеток, вкритих плівковою оболонкою у блістері; по 9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Б.В.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w:t>
              <w:br/>
              <w:t>Аккорд Хелскеа Полска Сп. з o.o. Склад Імпортера, Польща;</w:t>
              <w:br/>
              <w:br/>
              <w:t>виробництво лікарського засобу, первинне та вторинне пакування:</w:t>
              <w:br/>
              <w:t>Інтас Фармасьютікалс Лімітед, Індія;</w:t>
              <w:br/>
              <w:t>контроль якості:</w:t>
              <w:br/>
              <w:t>Фармадокс Хелскеа Лімітед, Мальта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 Індія/ Мальта</w:t>
            </w:r>
          </w:p>
        </w:tc>
        <w:tc>
          <w:tcPr>
            <w:tcW w:w="184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t>Резюме ПУР версія 4.0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UA/21479/01/02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СИТАГЛІПТИНУ ФОСФАТУ МОНОГІДРАТ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Sitagliptin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ситагліптину фосфат</w:t>
            </w:r>
          </w:p>
        </w:tc>
        <w:tc>
          <w:tcPr>
            <w:tcW w:w="71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"КИЇВСЬКИЙ ВІТАМІННИЙ ЗАВОД"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Руайєн Хек Фарм Ко., Лтд.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Китай</w:t>
            </w:r>
          </w:p>
        </w:tc>
        <w:tc>
          <w:tcPr>
            <w:tcW w:w="184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t>Проект МКЯ, версія документу 0001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UA/21480/01/0</w:t>
            </w:r>
            <w:r>
              <w:rPr>
                <w:rFonts w:cs="Arial" w:ascii="Arial" w:hAnsi="Arial"/>
                <w:sz w:val="16"/>
                <w:szCs w:val="16"/>
                <w:lang w:val="en-US"/>
              </w:rPr>
              <w:t>1</w:t>
            </w:r>
          </w:p>
        </w:tc>
      </w:tr>
    </w:tbl>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7">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i/>
          <w:i/>
          <w:color w:val="000000"/>
          <w:szCs w:val="16"/>
        </w:rPr>
      </w:pPr>
      <w:r>
        <w:rPr/>
      </w:r>
    </w:p>
    <w:p>
      <w:pPr>
        <w:pStyle w:val="Normal"/>
        <w:rPr/>
      </w:pPr>
      <w:r>
        <w:rPr>
          <w:b/>
          <w:bCs/>
          <w:sz w:val="28"/>
          <w:szCs w:val="28"/>
        </w:rPr>
        <w:t>Начальник</w:t>
      </w:r>
    </w:p>
    <w:p>
      <w:pPr>
        <w:pStyle w:val="Normal"/>
        <w:rPr>
          <w:b/>
          <w:b/>
          <w:bCs/>
          <w:sz w:val="28"/>
          <w:szCs w:val="28"/>
        </w:rPr>
      </w:pPr>
      <w:r>
        <w:rPr>
          <w:b/>
          <w:bCs/>
          <w:sz w:val="28"/>
          <w:szCs w:val="28"/>
        </w:rPr>
        <w:t>Фармацевтичного управління                                                                                                            Олександр ГРІЦЕНКО</w:t>
      </w:r>
    </w:p>
    <w:p>
      <w:pPr>
        <w:pStyle w:val="Normal"/>
        <w:tabs>
          <w:tab w:val="left" w:pos="1985" w:leader="none"/>
        </w:tabs>
        <w:rPr>
          <w:rFonts w:ascii="Arial" w:hAnsi="Arial" w:cs="Arial"/>
          <w:b/>
          <w:b/>
          <w:bCs/>
          <w:sz w:val="28"/>
          <w:szCs w:val="28"/>
        </w:rPr>
      </w:pPr>
      <w:r>
        <w:rPr>
          <w:rFonts w:cs="Arial" w:ascii="Arial" w:hAnsi="Arial"/>
          <w:b/>
          <w:bCs/>
          <w:sz w:val="28"/>
          <w:szCs w:val="28"/>
        </w:rPr>
      </w:r>
    </w:p>
    <w:p>
      <w:pPr>
        <w:pStyle w:val="11"/>
        <w:rPr>
          <w:rStyle w:val="Cs7864ebcf1"/>
          <w:color w:val="000000"/>
          <w:sz w:val="16"/>
          <w:szCs w:val="16"/>
        </w:rPr>
      </w:pPr>
      <w:r>
        <w:rPr>
          <w:rFonts w:cs="Arial" w:ascii="Arial" w:hAnsi="Arial"/>
        </w:rPr>
      </w:r>
      <w:r>
        <w:br w:type="page"/>
      </w:r>
    </w:p>
    <w:p>
      <w:pPr>
        <w:pStyle w:val="Normal"/>
        <w:rPr>
          <w:rStyle w:val="Cs7864ebcf1"/>
          <w:rFonts w:ascii="Arial" w:hAnsi="Arial" w:cs="Arial"/>
          <w:b/>
          <w:b/>
          <w:color w:val="000000"/>
          <w:sz w:val="16"/>
          <w:szCs w:val="16"/>
          <w:lang w:val="uk-UA"/>
        </w:rPr>
      </w:pPr>
      <w:r>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before="0" w:after="0"/>
              <w:rPr>
                <w:bCs w:val="false"/>
                <w:iCs/>
                <w:sz w:val="18"/>
                <w:szCs w:val="18"/>
              </w:rPr>
            </w:pPr>
            <w:r>
              <w:rPr>
                <w:bCs w:val="false"/>
                <w:iCs/>
                <w:sz w:val="18"/>
                <w:szCs w:val="18"/>
              </w:rPr>
              <w:t>Додаток 2</w:t>
            </w:r>
          </w:p>
          <w:p>
            <w:pPr>
              <w:pStyle w:val="Heading4"/>
              <w:numPr>
                <w:ilvl w:val="3"/>
                <w:numId w:val="1"/>
              </w:numPr>
              <w:tabs>
                <w:tab w:val="left" w:pos="12600" w:leader="none"/>
              </w:tabs>
              <w:spacing w:before="0" w:after="0"/>
              <w:rPr>
                <w:bCs w:val="false"/>
                <w:iCs/>
                <w:sz w:val="18"/>
                <w:szCs w:val="18"/>
              </w:rPr>
            </w:pPr>
            <w:r>
              <w:rPr>
                <w:bCs w:val="false"/>
                <w:iCs/>
                <w:sz w:val="18"/>
                <w:szCs w:val="18"/>
              </w:rPr>
              <w:t>до наказу Міністерства охорони</w:t>
            </w:r>
          </w:p>
          <w:p>
            <w:pPr>
              <w:pStyle w:val="Heading4"/>
              <w:numPr>
                <w:ilvl w:val="3"/>
                <w:numId w:val="1"/>
              </w:numPr>
              <w:tabs>
                <w:tab w:val="left" w:pos="12600" w:leader="none"/>
              </w:tabs>
              <w:spacing w:before="0" w:after="0"/>
              <w:rPr/>
            </w:pPr>
            <w:r>
              <w:rPr>
                <w:bCs w:val="false"/>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11"/>
              <w:rPr>
                <w:rFonts w:ascii="Arial" w:hAnsi="Arial" w:cs="Arial"/>
                <w:sz w:val="20"/>
                <w:szCs w:val="20"/>
              </w:rPr>
            </w:pPr>
            <w:r>
              <w:rPr>
                <w:b/>
                <w:bCs/>
                <w:iCs/>
                <w:sz w:val="18"/>
                <w:szCs w:val="18"/>
                <w:u w:val="single"/>
              </w:rPr>
              <w:t>від_14 жовтня 2026 року № 1583</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b/>
          <w:b/>
          <w:caps/>
          <w:sz w:val="28"/>
          <w:szCs w:val="28"/>
        </w:rPr>
      </w:pPr>
      <w:r>
        <w:rPr>
          <w:b/>
          <w:caps/>
          <w:sz w:val="28"/>
          <w:szCs w:val="28"/>
        </w:rPr>
        <w:t>ПЕРЕЛІК</w:t>
      </w:r>
    </w:p>
    <w:p>
      <w:pPr>
        <w:pStyle w:val="Normal"/>
        <w:keepNext w:val="true"/>
        <w:numPr>
          <w:ilvl w:val="0"/>
          <w:numId w:val="0"/>
        </w:numPr>
        <w:tabs>
          <w:tab w:val="left" w:pos="12600" w:leader="none"/>
        </w:tabs>
        <w:jc w:val="center"/>
        <w:outlineLvl w:val="3"/>
        <w:rPr>
          <w:b/>
          <w:b/>
          <w:caps/>
          <w:sz w:val="28"/>
          <w:szCs w:val="28"/>
        </w:rPr>
      </w:pPr>
      <w:r>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pPr>
        <w:pStyle w:val="Normal"/>
        <w:keepNext w:val="true"/>
        <w:numPr>
          <w:ilvl w:val="0"/>
          <w:numId w:val="0"/>
        </w:numPr>
        <w:tabs>
          <w:tab w:val="left" w:pos="12600" w:leader="none"/>
        </w:tabs>
        <w:jc w:val="center"/>
        <w:outlineLvl w:val="3"/>
        <w:rPr>
          <w:rFonts w:ascii="Arial" w:hAnsi="Arial" w:cs="Arial"/>
          <w:b/>
          <w:b/>
          <w:caps/>
          <w:sz w:val="28"/>
          <w:szCs w:val="28"/>
        </w:rPr>
      </w:pPr>
      <w:r>
        <w:rPr>
          <w:rFonts w:cs="Arial" w:ascii="Arial" w:hAnsi="Arial"/>
          <w:b/>
          <w:caps/>
          <w:sz w:val="28"/>
          <w:szCs w:val="28"/>
        </w:rPr>
      </w:r>
    </w:p>
    <w:tbl>
      <w:tblPr>
        <w:tblW w:w="16171"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992"/>
        <w:gridCol w:w="851"/>
        <w:gridCol w:w="709"/>
        <w:gridCol w:w="1701"/>
        <w:gridCol w:w="1134"/>
        <w:gridCol w:w="850"/>
        <w:gridCol w:w="1559"/>
        <w:gridCol w:w="851"/>
        <w:gridCol w:w="2268"/>
        <w:gridCol w:w="993"/>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26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БЕНЗАЛКОНІЮ 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benzalkonium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алкілбензилдиметиламонію хлориди (безводна речовина)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або желеподібні фрагменти (субстанція) в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ЮНІЛАБ КЕМІКАЛЗ ЕНД ФАРМАСЬЮТІКАЛЗ ПВТ.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UA/19186/01/01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ВІГЕСТ-КВ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dienogest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дієногест мікронізований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G03DB08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 мг, по 28 таблеток у блістері; по 1 блістеру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серії та випуск серії:</w:t>
              <w:br/>
              <w:t xml:space="preserve">АТ "КИЇВСЬКИЙ ВІТАМІННИЙ ЗАВОД", </w:t>
              <w:br/>
              <w:t>Україна; виробництво нерозфасованої продукції, первинна та вторинна упаковка, контроль серії та випуск серії:</w:t>
              <w:br/>
              <w:t>Сіндеа Фарма, С.Л., Іспанiя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 Іспанiя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у наступних розділах інструкції для медичного застосування лікарського засобу "Склад"(уточнення інформації), "Фармакотерапевтична група"(уточнення інформації), "Фармакологічні властивості", "Особливості застосування", "Діти", "Побічні реакції" відповідно до референтного лікарського засобу Візан, таблетки, а також у розділі "Побічні реакції" щодо звітування про побічні реакції.</w:t>
              <w:br/>
              <w:t>Резюме плану управління ризиками версія 1.3 додається.</w:t>
              <w:br/>
              <w:t>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ЕЗОПРОТЕКТ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esomeprazole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езомепразол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та інфузій по 40 мг,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ВЕМ Ілач Сан. ве Тік. А.С.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у розділах "Склад" (редакційні правки), "Особливості застосування" відповідно до інформації референтного лікарського засобу (NEXIUM IV 40 mg powder for solution for infusion/injection AstraZeneca UK Limited, Німеччина), а також у розділі "Побічні реакції" додано інформацію щодо звітування про побічні реакції лікарського засобу.</w:t>
              <w:br/>
              <w:br/>
              <w:t>Резюме плану управління ризиками версія 1.1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(зі змінами),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UA/19210/01/01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ІБУПРОФЕН-ЗДОРОВ'Я УЛЬТРАКАП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400 мг, по 10 капсул у блістері; по 2 блістери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випуск серії:</w:t>
              <w:br/>
              <w:t>ТОВАРИСТВО З ОБМЕЖЕНОЮ ВІДПОВІДАЛЬНІСТЮ «КОРПОРАЦІЯ «ЗДОРОВ’Я»,</w:t>
              <w:br/>
              <w:t>Україна;</w:t>
              <w:br/>
              <w:t>контроль якості:</w:t>
              <w:br/>
              <w:t>Товариство з обмеженою відповідальністю "ФАРМЕКС ГРУП",</w:t>
              <w:br/>
              <w:t>Україна;</w:t>
              <w:br/>
              <w:t>контроль якості, випуск серії:</w:t>
              <w:br/>
              <w:t>ТОВАРИСТВО З ОБМЕЖЕНОЮ ВІДПОВІДАЛЬНІСТЮ «КОРПОРАЦІЯ «ЗДОРОВ’Я»,</w:t>
              <w:br/>
              <w:t>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"Побічні реакції" відповідно до інформації референтного лікарського засобу (Advil®Ultra, капсули м'які по 200 мг, Advil®Ultra Forte, капсули м'які по 400 мг, GlaxoSmithKline-Consumer Kft., Угорщина (раніше - Pfizer Corporation Austria GmbH, Австрія)), а також додано інформацію до розділу "Побічні реакції" щодо важливості звітування про побічні реакції.</w:t>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UA/19233/01/02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ІБУПРОФЕН-ЗДОРОВ'Я УЛЬТРАКАП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10 капсул у блістері; по 2 блістери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випуск серії:</w:t>
              <w:br/>
              <w:t>ТОВАРИСТВО З ОБМЕЖЕНОЮ ВІДПОВІДАЛЬНІСТЮ «КОРПОРАЦІЯ «ЗДОРОВ’Я»,</w:t>
              <w:br/>
              <w:t>Україна;</w:t>
              <w:br/>
              <w:t>контроль якості:</w:t>
              <w:br/>
              <w:t>Товариство з обмеженою відповідальністю "ФАРМЕКС ГРУП",</w:t>
              <w:br/>
              <w:t>Україна;</w:t>
              <w:br/>
              <w:t>контроль якості, випуск серії:</w:t>
              <w:br/>
              <w:t>ТОВАРИСТВО З ОБМЕЖЕНОЮ ВІДПОВІДАЛЬНІСТЮ «КОРПОРАЦІЯ «ЗДОРОВ’Я»,</w:t>
              <w:br/>
              <w:t>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"Побічні реакції" відповідно до інформації референтного лікарського засобу (Advil®Ultra, капсули м'які по 200 мг, Advil®Ultra Forte, капсули м'які по 400 мг, GlaxoSmithKline-Consumer Kft., Угорщина (раніше - Pfizer Corporation Austria GmbH, Австрія)), а також додано інформацію до розділу "Побічні реакції" щодо важливості звітування про побічні реакції.</w:t>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затверджений наказом МОЗ України від 27.12.2006 № 898 (зі змінами),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КСИЛОМЕТАЗОЛІНУ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xylometazoline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ксилометазоліну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мішках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АТ</w:t>
              <w:br/>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UA/19115/01/01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РОЗЗОР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ацетилсаліцилова кислота, 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мг/5 мг, по 7 капсул у блістері; по 4 блістери у пачці з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t>відповідальний за виробництво та контроль/випробування серії, не включаючи випуск серії;</w:t>
              <w:br/>
              <w:t>відповідальний за випуск серії, не включаючи контроль/випробування серії</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5 років.</w:t>
              <w:br/>
              <w:t>Оновлено інформацію у розділах "Склад" (редакційні правки), "Фармакологічні властивості", "Взаємодія з іншими лікарськими засобами та інші види взаємодій", "Особливості застосування", "Спосіб застосування та дози", "Передозування" інструкції для медичного застосування щодо безпеки застосування лікарського засобу.</w:t>
              <w:br/>
              <w:br/>
              <w:t>Резюме плану управління ризиками версія SCRos-c-2.0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UA/19281/01/01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РОЗЗОР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ацетилсаліцилова кислота, 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мг/10 мг, по 7 капсул у блістері; по 4 блістери у пачці з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t xml:space="preserve">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5 років.</w:t>
              <w:br/>
              <w:t>Оновлено інформацію у розділах "Склад" (редакційні правки), "Фармакологічні властивості", "Взаємодія з іншими лікарськими засобами та інші види взаємодій", "Особливості застосування", "Спосіб застосування та дози", "Передозування" інструкції для медичного застосування щодо безпеки застосування лікарського засобу.</w:t>
              <w:br/>
              <w:br/>
              <w:t>Резюме плану управління ризиками версія SCRos-c-2.0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UA/19281/01/02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РОЗЗОР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ацетилсаліцилова кислота, розувастатин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мг/20 мг; по 7 капсул у блістері; по 4 блістери у пачці з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t xml:space="preserve">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5 років.</w:t>
              <w:br/>
              <w:t>Оновлено інформацію у розділах "Склад" (редакційні правки), "Фармакологічні властивості", "Взаємодія з іншими лікарськими засобами та інші види взаємодій", "Особливості застосування", "Спосіб застосування та дози", "Передозування" інструкції для медичного застосування щодо безпеки застосування лікарського засобу.</w:t>
              <w:br/>
              <w:br/>
              <w:t>Резюме плану управління ризиками версія SCRos-c-2.0 додається.</w:t>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UA/19281/01/03</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ТІОНЕКС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thiocolchicoside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тіоколхікозид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 по 14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Біофарм Лтд , Польща;</w:t>
              <w:br/>
              <w:br/>
              <w:t>мікробіологічний контроль:</w:t>
              <w:br/>
              <w:t>Фітофарм Кленка С.А., Польща;</w:t>
              <w:br/>
              <w:t xml:space="preserve">ПозЛаб Сп. з о.о., Польща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t>Оновлено інформацію в Інструкції для медичного застосування лікарського засобу в розділах «Показання» та «Діти» (уточнення інформації) відповідно до референтного лікарського засобу Мускорил, таблетки. Внесено уточнення до розділу «Фармакотерапевтична група. Код АТХ» без зміни коду АТХ. Інструкцію також доповнено розділами «Заявник» та «Місцезнаходження заявника».</w:t>
              <w:br/>
              <w:t>Резюме плану управління ризиками версія 1.1 додається.</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UA/19133/01/01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ФЕБУМАКС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febuxostat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фебуксостат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14 таблеток у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 xml:space="preserve">Оновлено інформацію в інструкції для медичного застосування лікарського засобу у розділах "Особливості застосування", "Спосіб застосування та дози", "Побічні реакції" відповідно до інформації референтного лікарського засобу (АДЕНУРІК® 80 мг, 120 мг, таблетки, вкриті плівковою оболонкою), а також уточнено умови зберігання лікарського засобу в розділі "Умови зберігання". </w:t>
              <w:br/>
              <w:t>Інструкція для медичного застосування лікарського засобу (eCTD верія 0009)</w:t>
              <w:br/>
              <w:t>Текст маркування упаковки лікарського засобу (eCTD верія 0008)</w:t>
              <w:br/>
              <w:br/>
              <w:t>План управління ризиками версія 2.2 погоджена (eCTD послідовність № 0009).</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UA/19034/01/01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ФЕБУМАКС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febuxostat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фебуксостат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M04AA03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120 мг, по 14 таблеток у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26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t xml:space="preserve">Оновлено інформацію в інструкції для медичного застосування лікарського засобу у розділах "Особливості застосування", "Спосіб застосування та дози", "Побічні реакції" відповідно до інформації референтного лікарського засобу (АДЕНУРІК® 80 мг, 120 мг, таблетки, вкриті плівковою оболонкою), а також уточнено умови зберігання лікарського засобу в розділі "Умови зберігання". </w:t>
              <w:br/>
              <w:t>Інструкція для медичного застосування лікарського засобу (eCTD верія 0009)</w:t>
              <w:br/>
              <w:t>Текст маркування упаковки лікарського засобу (eCTD верія 0008)</w:t>
              <w:br/>
              <w:br/>
              <w:t>План управління ризиками версія 2.2 погоджена (eCTD послідовність № 0009).</w:t>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UA/19034/01/02</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8">
        <w:r>
          <w:rPr>
            <w:rStyle w:val="InternetLink"/>
            <w:i/>
            <w:color w:val="000000"/>
            <w:szCs w:val="16"/>
          </w:rPr>
          <w:t>https://www.whocc.no/atc_ddd_index/</w:t>
        </w:r>
      </w:hyperlink>
      <w:r>
        <w:rPr>
          <w:rStyle w:val="InternetLink"/>
          <w:i/>
          <w:color w:val="000000"/>
          <w:szCs w:val="16"/>
        </w:rPr>
        <w:t>)</w:t>
      </w:r>
    </w:p>
    <w:p>
      <w:pPr>
        <w:pStyle w:val="Normal"/>
        <w:rPr>
          <w:rStyle w:val="InternetLink"/>
          <w:i/>
          <w:i/>
          <w:color w:val="000000"/>
          <w:szCs w:val="16"/>
        </w:rPr>
      </w:pPr>
      <w:r>
        <w:rPr/>
      </w:r>
    </w:p>
    <w:p>
      <w:pPr>
        <w:pStyle w:val="Normal"/>
        <w:rPr>
          <w:rStyle w:val="InternetLink"/>
          <w:rFonts w:ascii="Arial" w:hAnsi="Arial" w:cs="Arial"/>
          <w:i/>
          <w:i/>
          <w:color w:val="000000"/>
          <w:szCs w:val="16"/>
        </w:rPr>
      </w:pPr>
      <w:r>
        <w:rPr/>
      </w:r>
    </w:p>
    <w:p>
      <w:pPr>
        <w:pStyle w:val="Normal"/>
        <w:tabs>
          <w:tab w:val="left" w:pos="1985" w:leader="none"/>
        </w:tabs>
        <w:rPr>
          <w:b/>
          <w:b/>
          <w:bCs/>
          <w:sz w:val="28"/>
          <w:szCs w:val="28"/>
        </w:rPr>
      </w:pPr>
      <w:r>
        <w:rPr>
          <w:b/>
          <w:bCs/>
          <w:sz w:val="28"/>
          <w:szCs w:val="28"/>
        </w:rPr>
        <w:t>Начальник</w:t>
      </w:r>
    </w:p>
    <w:p>
      <w:pPr>
        <w:pStyle w:val="Normal"/>
        <w:tabs>
          <w:tab w:val="left" w:pos="1985" w:leader="none"/>
        </w:tabs>
        <w:rPr>
          <w:b/>
          <w:b/>
          <w:bCs/>
          <w:sz w:val="28"/>
          <w:szCs w:val="28"/>
        </w:rPr>
      </w:pPr>
      <w:r>
        <w:rPr>
          <w:b/>
          <w:bCs/>
          <w:sz w:val="28"/>
          <w:szCs w:val="28"/>
        </w:rPr>
        <w:t>Фармацевтичного управління                                                                                                              Олександр ГРІЦЕНКО</w:t>
      </w:r>
      <w:r>
        <w:br w:type="page"/>
      </w:r>
    </w:p>
    <w:p>
      <w:pPr>
        <w:pStyle w:val="33"/>
        <w:spacing w:before="0" w:after="0"/>
        <w:ind w:left="0" w:hanging="0"/>
        <w:rPr>
          <w:b/>
          <w:b/>
          <w:bCs/>
          <w:sz w:val="28"/>
          <w:szCs w:val="28"/>
          <w:lang w:val="uk-UA"/>
        </w:rPr>
      </w:pPr>
      <w:r>
        <w:rPr>
          <w:b/>
          <w:bCs/>
          <w:sz w:val="28"/>
          <w:szCs w:val="28"/>
          <w:lang w:val="uk-UA"/>
        </w:rPr>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b/>
                <w:b/>
                <w:iCs/>
                <w:sz w:val="18"/>
                <w:szCs w:val="18"/>
              </w:rPr>
            </w:pPr>
            <w:r>
              <w:rPr>
                <w:b/>
                <w:iCs/>
                <w:sz w:val="18"/>
                <w:szCs w:val="18"/>
              </w:rPr>
              <w:t>Додаток 3</w:t>
            </w:r>
          </w:p>
          <w:p>
            <w:pPr>
              <w:pStyle w:val="Heading4"/>
              <w:numPr>
                <w:ilvl w:val="3"/>
                <w:numId w:val="1"/>
              </w:numPr>
              <w:tabs>
                <w:tab w:val="left" w:pos="12600" w:leader="none"/>
              </w:tabs>
              <w:spacing w:before="0" w:after="0"/>
              <w:rPr>
                <w:iCs/>
                <w:sz w:val="18"/>
                <w:szCs w:val="18"/>
              </w:rPr>
            </w:pPr>
            <w:r>
              <w:rPr>
                <w:iCs/>
                <w:sz w:val="18"/>
                <w:szCs w:val="18"/>
              </w:rPr>
              <w:t>до наказу Міністерства охорони</w:t>
            </w:r>
          </w:p>
          <w:p>
            <w:pPr>
              <w:pStyle w:val="Heading4"/>
              <w:numPr>
                <w:ilvl w:val="3"/>
                <w:numId w:val="1"/>
              </w:numPr>
              <w:tabs>
                <w:tab w:val="left" w:pos="12600" w:leader="none"/>
              </w:tabs>
              <w:spacing w:before="0" w:after="0"/>
              <w:rPr/>
            </w:pPr>
            <w:r>
              <w:rPr>
                <w:iCs/>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rPr>
                <w:rFonts w:ascii="Arial" w:hAnsi="Arial" w:cs="Arial"/>
                <w:b/>
                <w:b/>
              </w:rPr>
            </w:pPr>
            <w:r>
              <w:rPr>
                <w:b/>
                <w:iCs/>
                <w:sz w:val="18"/>
                <w:szCs w:val="18"/>
                <w:u w:val="single"/>
              </w:rPr>
              <w:t>від_14 жовтня 2026 року № 1583</w:t>
            </w:r>
          </w:p>
        </w:tc>
      </w:tr>
    </w:tbl>
    <w:p>
      <w:pPr>
        <w:pStyle w:val="Normal"/>
        <w:tabs>
          <w:tab w:val="left" w:pos="12600" w:leader="none"/>
        </w:tabs>
        <w:jc w:val="center"/>
        <w:rPr>
          <w:rFonts w:ascii="Arial" w:hAnsi="Arial" w:cs="Arial"/>
          <w:sz w:val="16"/>
          <w:szCs w:val="16"/>
          <w:u w:val="single"/>
        </w:rPr>
      </w:pPr>
      <w:r>
        <w:rPr>
          <w:rFonts w:cs="Arial" w:ascii="Arial" w:hAnsi="Arial"/>
          <w:sz w:val="16"/>
          <w:szCs w:val="16"/>
          <w:u w:val="single"/>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310"/>
        <w:jc w:val="center"/>
        <w:rPr>
          <w:b/>
          <w:b/>
          <w:caps/>
          <w:sz w:val="28"/>
          <w:szCs w:val="28"/>
          <w:lang w:eastAsia="uk-UA"/>
        </w:rPr>
      </w:pPr>
      <w:r>
        <w:rPr>
          <w:b/>
          <w:caps/>
          <w:sz w:val="28"/>
          <w:szCs w:val="28"/>
          <w:lang w:eastAsia="uk-UA"/>
        </w:rPr>
        <w:t>ПЕРЕЛІК</w:t>
      </w:r>
    </w:p>
    <w:p>
      <w:pPr>
        <w:pStyle w:val="11"/>
        <w:jc w:val="center"/>
        <w:rPr>
          <w:b/>
          <w:b/>
          <w:caps/>
          <w:sz w:val="28"/>
          <w:szCs w:val="28"/>
        </w:rPr>
      </w:pPr>
      <w:r>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pPr>
        <w:pStyle w:val="11"/>
        <w:jc w:val="center"/>
        <w:rPr>
          <w:rFonts w:ascii="Arial" w:hAnsi="Arial" w:cs="Arial"/>
        </w:rPr>
      </w:pPr>
      <w:r>
        <w:rPr>
          <w:rFonts w:cs="Arial" w:ascii="Arial" w:hAnsi="Arial"/>
        </w:rPr>
      </w:r>
    </w:p>
    <w:tbl>
      <w:tblPr>
        <w:tblW w:w="16171"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277"/>
        <w:gridCol w:w="992"/>
        <w:gridCol w:w="851"/>
        <w:gridCol w:w="709"/>
        <w:gridCol w:w="1701"/>
        <w:gridCol w:w="992"/>
        <w:gridCol w:w="851"/>
        <w:gridCol w:w="1559"/>
        <w:gridCol w:w="850"/>
        <w:gridCol w:w="2552"/>
        <w:gridCol w:w="1134"/>
        <w:gridCol w:w="709"/>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55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55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709"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АЗИКЛАР 250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clarithromycin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кларитроміцин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10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Фламінго Фармасьютикалс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ЛЗ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АЗИКЛАР 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clarithromycin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кларитроміцин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Фламінго Фармасьютикалс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ЛЗ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200 мг/5 мл: по 17,1 г порошку для 20 мл оральної суспензії у флаконі; по 1 флакону у комплекті з адаптером та шприцом для дозування у картонній коробці; по 24,8 г порошку для 30 мл оральної суспензії у флаконі; по 1 флакону у комплекті з адаптером та шприцом для дозування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С. Р. 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оновленої інформації з безпеки діючої речовини.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UA/4764/02/02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АЗИТРО САНДОЗ®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азитроміцин у формі азитроміцину дигідрату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оральної суспензії, 100 мг/5 мл: по 17,1 г порошку для 20 мл оральної суспензії у флаконі; по 1 флакону у комплекті з адаптером та шприцом для дозування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С. Р. 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оновленої інформації з безпеки діючої речовини.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UA/4764/02/01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25/250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вилучення методу "Осадження розпиленої дози" із специфікації готового лікарського засобу. Залишається альтернативний метод «Доза тонкодисперсних часток».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вилучення методу "Осадження розпиленої дози" із специфікації готового лікарського засобу. Залишається альтернативний метод «Доза тонкодисперсних часток».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UA/13755/01/01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вилучення методу "Осадження розпиленої дози" із специфікації готового лікарського засобу. Залишається альтернативний метод «Доза тонкодисперсних часток».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сальметерол (у вигляді сальметеролу ксинафоату) і флутиказону пропіонат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25/50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До матеріалів реєстраційного досьє вноситься інформація про імпортера Товариство з обмеженою відповідальністю «ГЛЕНМАРК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АЙЛАР®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insulin glargine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інсулін гларгін (ДНК-рекомбінантний)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одиниць/мл; по 3 мл у картриджі; по 5 картриджів у блістері, по 1 блістеру в пачці; по 10 мл 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Вилучення із специфікації на Плунжер гумовий темно-сірого кольору для картриджів виробництва компанії "Datwyler", Бельгія показника "Важкі метали, що екстрагуються".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Оновлення специфікації на Плунжер гумовий темно-сірого кольору для картриджів, виробництва компанії "Datwyler", Бельгія. Зміни І типу - Зміни з якості. Готовий лікарський засіб. Система контейнер/закупорювальний засіб (інші зміни) - Оновлення розділу 3.2.Р.7 Система контейнер/закупорювальний засіб, а саме зазначено матеріали, з яких вироблено компоненти первинної упаковки.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Зміна в специфікації на Пробку гумову для ін'єкційних флаконів, а саме додано посилання на методи контролю у Специфікації. Показники та вимоги Специфікації залишаються без змін.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Зміна в специфікації на Комбіновану кришку/Алюмінієвий ковпачок з гумовою прокладкою для картриджів, а саме додано посилання на методи контролю у Специфікації. Показники та вимоги Специфікації залишаються без змін.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Зміна в специфікації на Картриджі з прозорого скла, а саме додано посилання на методи контролю у Специфікації. Показники та вимоги Специфікації залишаються без змін.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Зміна в специфікації на Флакон з прозорого скла для ін'єкцій, а саме додано посилання на методи контролю у Специфікації. Показники та вимоги Специфікації залишаються без змін.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Зміна в специфікації на Алюмінієву кришку комбіновану з пластиковим ковпачком, а саме додано посилання на методи контролю у Специфікації. Показники та вимоги Специфікації залишаються без змін.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АКНЕТРЕКС 10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мг; по 10 капсул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2.1 </w:t>
              <w:br/>
              <w:t xml:space="preserve">Зміни внесено до частин: </w:t>
              <w:br/>
              <w:t xml:space="preserve">І «Загальна інформація про лікарський (і) засіб (засоби)» </w:t>
              <w:br/>
              <w:t xml:space="preserve">ІІ «Специфікація з безпеки» </w:t>
              <w:br/>
              <w:t xml:space="preserve">V «Заходи з мінімізації ризиків (включаючи оцінку ефективності заходів з мінімізації ризиків)» </w:t>
              <w:br/>
              <w:t xml:space="preserve">VI «Резюме плану управління ризиками» VII «Додатки» у зв’язку з оновленням додаткових заходів з мінімізації ризиків, а саме введення навчальних матеріалів та листа-звернення до медичних та фармацевтичних працівників (DHPC). </w:t>
              <w:br/>
              <w:t xml:space="preserve">Резюме Плану управління ризиками версія 2.1 додається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АКНЕТРЕКС 20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 мг; по 10 капсул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Мега Лайфсайенсіз Паблік Компані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Таїланд</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2.1 </w:t>
              <w:br/>
              <w:t xml:space="preserve">Зміни внесено до частин: </w:t>
              <w:br/>
              <w:t xml:space="preserve">І «Загальна інформація про лікарський (і) засіб (засоби)» </w:t>
              <w:br/>
              <w:t xml:space="preserve">ІІ «Специфікація з безпеки» </w:t>
              <w:br/>
              <w:t xml:space="preserve">V «Заходи з мінімізації ризиків (включаючи оцінку ефективності заходів з мінімізації ризиків)» </w:t>
              <w:br/>
              <w:t xml:space="preserve">VI «Резюме плану управління ризиками» VII «Додатки» у зв’язку з оновленням додаткових заходів з мінімізації ризиків, а саме введення навчальних матеріалів та листа-звернення до медичних та фармацевтичних працівників (DHPC). </w:t>
              <w:br/>
              <w:t xml:space="preserve">Резюме Плану управління ризиками версія 2.1 додається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UA/16557/01/02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АЛЄНДРА®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alendronic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натрію алендронат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M05BA04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таблетки по 70 мг, по 4 таблетки у блістері; по 1 блістеру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rPr>
            </w:pPr>
            <w:r>
              <w:rPr>
                <w:rFonts w:cs="Arial" w:ascii="Arial" w:hAnsi="Arial"/>
                <w:bCs/>
                <w:color w:val="000000"/>
                <w:sz w:val="16"/>
              </w:rPr>
              <w:t>виробництво, первинне пакування, вторинне пакування, контроль якості, випуск серії</w:t>
            </w:r>
          </w:p>
          <w:p>
            <w:pPr>
              <w:pStyle w:val="Normal"/>
              <w:autoSpaceDE w:val="false"/>
              <w:jc w:val="center"/>
              <w:rPr>
                <w:rFonts w:ascii="Arial" w:hAnsi="Arial" w:cs="Arial"/>
                <w:bCs/>
              </w:rPr>
            </w:pPr>
            <w:r>
              <w:rPr>
                <w:rFonts w:cs="Arial" w:ascii="Arial" w:hAnsi="Arial"/>
                <w:bCs/>
                <w:color w:val="000000"/>
                <w:sz w:val="16"/>
              </w:rPr>
              <w:t>або</w:t>
            </w:r>
          </w:p>
          <w:p>
            <w:pPr>
              <w:pStyle w:val="Normal"/>
              <w:autoSpaceDE w:val="false"/>
              <w:jc w:val="center"/>
              <w:rPr>
                <w:rFonts w:ascii="Arial" w:hAnsi="Arial" w:cs="Arial"/>
                <w:bCs/>
              </w:rPr>
            </w:pPr>
            <w:r>
              <w:rPr>
                <w:rFonts w:cs="Arial" w:ascii="Arial" w:hAnsi="Arial"/>
                <w:bCs/>
                <w:color w:val="000000"/>
                <w:sz w:val="16"/>
              </w:rPr>
              <w:t>виробництво продукції in bulk:</w:t>
            </w:r>
          </w:p>
          <w:p>
            <w:pPr>
              <w:pStyle w:val="Normal"/>
              <w:autoSpaceDE w:val="false"/>
              <w:jc w:val="center"/>
              <w:rPr>
                <w:rFonts w:ascii="Arial" w:hAnsi="Arial" w:cs="Arial"/>
                <w:bCs/>
              </w:rPr>
            </w:pPr>
            <w:r>
              <w:rPr>
                <w:rFonts w:cs="Arial" w:ascii="Arial" w:hAnsi="Arial"/>
                <w:bCs/>
                <w:color w:val="000000"/>
                <w:sz w:val="16"/>
              </w:rPr>
              <w:t>КУСУМ ХЕЛТХКЕР ПВТ ЛТД, Індія;</w:t>
            </w:r>
          </w:p>
          <w:p>
            <w:pPr>
              <w:pStyle w:val="Normal"/>
              <w:autoSpaceDE w:val="false"/>
              <w:jc w:val="center"/>
              <w:rPr>
                <w:rFonts w:ascii="Arial" w:hAnsi="Arial" w:cs="Arial"/>
                <w:bCs/>
              </w:rPr>
            </w:pPr>
            <w:r>
              <w:rPr>
                <w:rFonts w:cs="Arial" w:ascii="Arial" w:hAnsi="Arial"/>
                <w:bCs/>
                <w:color w:val="000000"/>
                <w:sz w:val="16"/>
              </w:rPr>
              <w:t>вторинне пакування, випуск серії з продукції in bulk:</w:t>
            </w:r>
          </w:p>
          <w:p>
            <w:pPr>
              <w:pStyle w:val="Normal"/>
              <w:autoSpaceDE w:val="false"/>
              <w:jc w:val="center"/>
              <w:rPr>
                <w:rFonts w:ascii="Arial" w:hAnsi="Arial" w:cs="Arial"/>
                <w:bCs/>
              </w:rPr>
            </w:pPr>
            <w:r>
              <w:rPr>
                <w:rFonts w:cs="Arial" w:ascii="Arial" w:hAnsi="Arial"/>
                <w:bCs/>
                <w:color w:val="000000"/>
                <w:sz w:val="16"/>
              </w:rPr>
              <w:t>ТОВ «КУСУМ»</w:t>
            </w:r>
            <w:bookmarkStart w:id="0" w:name="_Hlk159426554"/>
            <w:r>
              <w:rPr>
                <w:rFonts w:cs="Arial" w:ascii="Arial" w:hAnsi="Arial"/>
                <w:bCs/>
                <w:color w:val="000000"/>
                <w:sz w:val="16"/>
              </w:rPr>
              <w:t>, Україна</w:t>
            </w:r>
            <w:bookmarkEnd w:id="0"/>
            <w:r>
              <w:rPr>
                <w:rFonts w:cs="Arial" w:ascii="Arial" w:hAnsi="Arial"/>
                <w:bCs/>
                <w:color w:val="000000"/>
                <w:sz w:val="16"/>
              </w:rPr>
              <w:t>;</w:t>
            </w:r>
          </w:p>
          <w:p>
            <w:pPr>
              <w:pStyle w:val="Normal"/>
              <w:autoSpaceDE w:val="false"/>
              <w:jc w:val="center"/>
              <w:rPr>
                <w:rFonts w:ascii="Arial" w:hAnsi="Arial" w:cs="Arial"/>
                <w:bCs/>
              </w:rPr>
            </w:pPr>
            <w:r>
              <w:rPr>
                <w:rFonts w:cs="Arial" w:ascii="Arial" w:hAnsi="Arial"/>
                <w:bCs/>
                <w:color w:val="000000"/>
                <w:sz w:val="16"/>
              </w:rPr>
              <w:t>контроль якості:</w:t>
            </w:r>
          </w:p>
          <w:p>
            <w:pPr>
              <w:pStyle w:val="Normal"/>
              <w:autoSpaceDE w:val="false"/>
              <w:jc w:val="center"/>
              <w:rPr>
                <w:rFonts w:ascii="Arial" w:hAnsi="Arial" w:cs="Arial"/>
                <w:color w:val="000000"/>
                <w:sz w:val="16"/>
                <w:szCs w:val="16"/>
              </w:rPr>
            </w:pPr>
            <w:r>
              <w:rPr>
                <w:rFonts w:cs="Arial" w:ascii="Arial" w:hAnsi="Arial"/>
                <w:bCs/>
                <w:color w:val="000000"/>
                <w:sz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в інструкцію для медичного застосування лікарського засобу у розділ "Виробник" з відповідними змінами в тексті маркування упаковок.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Введення змін протягом 12-ти місяців після затвердження.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зі зміною назви виробника та введенням додаткової виробничої дільниці, як наслідок - затвердження тексту маркування упаковок лікарського засобу.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UA/7210/01/02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АЛЄНДРА®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alendronic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натрію алендронат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таблетки по 70 мг; in bulk № 7200 (4х1800): по 4 таблетки у блістері, по 1800 блістерів у картонній коробці; in bulk № 2560 (4х640): по 4 таблетки у блістері; по 640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12-ти місяців після затвердження. Зміни І типу - Зміни з якості. Готовий лікарський засіб. Система контейнер/закупорювальний засіб. Зміна розміру упаковки готового лікарського засобу (інші зміни) - введення додаткової упаковки у формі in bulk, у зв'язку з виробничою необхідністю, а саме: № 2560 (4х640): по 4 таблетки у блістері; по 640 блістерів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UA/12663/01/01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АЛКАРНІТ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levocarnitine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левокарнітин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200 мг/мл; по 5 мл в ампулі, по 5 ампул у блістері, по 1 блістеру в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"ФАРМАХЕЛС"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Лебединець Інна Василівна. Пропонована редакція: Павлова Юлія Сергіївна.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АЛТЕМІКС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althea root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алтеї кореня екстракт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сироп, 25 мг/5 мл по 100 мл у флаконі; по 1 флакону у комплекті з мірною ложкою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w:t>
              <w:br/>
              <w:t xml:space="preserve">Україна;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w:t>
              <w:br/>
              <w:t xml:space="preserve">Товариство з обмеженою відповідальністю «Харківське фармацевтичне підприємство «Здоров’я народу», </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адреси виробника Товариство з обмеженою відповідальністю «Харківське фармацевтичне підприємство «Здоров’я народу».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введення додаткового розміру серії ГЛЗ для виробника ТОВАРИСТВО З ОБМЕЖЕНОЮ ВІДПОВІДАЛЬНІСТЮ «КОРПОРАЦІЯ «ЗДОРОВ’Я» Затверджено: ТОВ «КОРПОРАЦІЯ «ЗДОРОВ’Я», цех № 4 ФХЦ, дільниця МРЛФСтаА. Розмір серії складає: 5,000 тис. уп. по 100 мл у флаконах (500 л) ТОВ “ХФП “Здоров'я народу” </w:t>
              <w:br/>
              <w:t xml:space="preserve">Розмір серії складає: 4,557 тис. уп. по 100 мл у флаконах (500 л) Запропоновано: ТОВ «КОРПОРАЦІЯ «ЗДОРОВ’Я», цех № 4 ФХЦ, дільниця МРЛФСтаА Розмір серії складає: 5,000 тис. уп. по 100 мл у флаконах (500 л); 3,150 тис. уп. по 100 мл у флаконах (315 л) ТОВ “ХФП “Здоров'я народу”. Розмір серії складає: 4,557 тис. уп. по 100 мл у флаконах (500 л)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АМБІТ®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color w:val="000000"/>
                <w:sz w:val="16"/>
                <w:szCs w:val="16"/>
                <w:lang w:val="ru-RU"/>
              </w:rPr>
              <w:t>таблетки, вкриті плівковою оболонкою, по 10 мг по 10 таблеток у блістері; по 1 або 10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1060 від 31.07.2026</w:t>
            </w:r>
            <w:r>
              <w:rPr>
                <w:rFonts w:cs="Arial" w:ascii="Arial" w:hAnsi="Arial"/>
                <w:color w:val="000000"/>
                <w:sz w:val="16"/>
                <w:szCs w:val="16"/>
              </w:rPr>
              <w:t xml:space="preserve">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сертифіката відповідності Європейській фармакопеї </w:t>
            </w:r>
            <w:r>
              <w:rPr>
                <w:rFonts w:cs="Arial" w:ascii="Arial" w:hAnsi="Arial"/>
                <w:b/>
                <w:color w:val="000000"/>
                <w:sz w:val="16"/>
                <w:szCs w:val="16"/>
              </w:rPr>
              <w:t>№ R1-CEP 2014-369-Rev 01</w:t>
            </w:r>
            <w:r>
              <w:rPr>
                <w:rFonts w:cs="Arial" w:ascii="Arial" w:hAnsi="Arial"/>
                <w:color w:val="000000"/>
                <w:sz w:val="16"/>
                <w:szCs w:val="16"/>
              </w:rPr>
              <w:t xml:space="preserve"> для діючої речовини Ketorolac trometamol від нового виробника VASUDHA PHARMA CHEM LIMITED, Індія (доповнення).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сертифіката відповідності Європейській фармакопеї № R1-CEP 2008-069 - Rev 05 для діючої речовини Ketorolac trometamol від нового виробника DR. REDDY'S LABORATORIES LIMITED, Індія.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до специфікації вхідного контролю діючої речовини кеторолаку трометамол за показником «Ідентифікація», зокрема доповнення специфікації примітками: Для виробників VASUDHA PHARMA CHEM LIMITED, Індія та DR. REDDY'S LABORATORIES LIMITED, Індія: для методу Романівської спектрометрії (2.2.48) ДФУ*ЕР* ** «Ідентифікація проводиться для кожної тарної ємності»; для методу, що зазначений в монографії (2.2.24 ДФУ*, ЕР*)-*** «Ідентифікація проводиться на середній пробі» Для виробника Quimica Sintetica S.A., Іспанія: для методу, що зазначений в монографії (2.2.24 ДФУ*, ЕР*)-** «Визначення ідентифікації проводять на середній пробі»; для методу Романівської спектрометрії (2.2.48) ДФУ*ЕР*- *** «Допускається визначення ідентифікації кожного тарного місця».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вхідного контролю діючої речовини кеторолаку трометамол виробництва VASUDHA PHARMA CHEM LIMITED, Індія та DR. REDDY'S LABORATORIES LIMITED, Індія новим показником якості «Мікробіологічна чистота» з критеріями прийнятності: Загальне число аеробних мікроорганізмів (ТАМС)-10 3КУО/г Загальне число дріжджових і плісеневих грибів (TYMC) -10 2 КУО/г (ДФУ, ЄФ 2.6.12, 2.6.13, 5.1.4).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у методах випробування діючої речовини кеторолаку трометамол виробництва VASUDHA PHARMA CHEM LIMITED, Індія за показником домішки N-Нітрозодибутиламіну (NDBA) (метод 2.2.29 ДФУ, ЄФ)</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UA/19563/01/01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АМБІТ®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кеторолаку трометамол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в ампулі, по 10 ампул у блістері, по 1 блістеру у пачці; по 1 мл в ампулі, по 5 ампул у блістері, по 1 або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реєстраційної процедури в наказі МОЗ України № 1060 від 31.07.2026</w:t>
            </w:r>
            <w:r>
              <w:rPr>
                <w:rFonts w:cs="Arial" w:ascii="Arial" w:hAnsi="Arial"/>
                <w:color w:val="000000"/>
                <w:sz w:val="16"/>
                <w:szCs w:val="16"/>
              </w:rPr>
              <w:t xml:space="preserve"> -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сертифіката відповідності Європейській фармакопеї </w:t>
            </w:r>
            <w:r>
              <w:rPr>
                <w:rFonts w:cs="Arial" w:ascii="Arial" w:hAnsi="Arial"/>
                <w:b/>
                <w:color w:val="000000"/>
                <w:sz w:val="16"/>
                <w:szCs w:val="16"/>
              </w:rPr>
              <w:t>№ R1-CEP 2014-369-Rev 01</w:t>
            </w:r>
            <w:r>
              <w:rPr>
                <w:rFonts w:cs="Arial" w:ascii="Arial" w:hAnsi="Arial"/>
                <w:color w:val="000000"/>
                <w:sz w:val="16"/>
                <w:szCs w:val="16"/>
              </w:rPr>
              <w:t xml:space="preserve"> для діючої речовини Ketorolac trometamol від нового виробника VASUDHA PHARMA CHEM LIMITED, Індія (доповнення).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подання нового сертифіката відповідності Європейській фармакопеї № R1-CEP 2008-069 - Rev 05 для діючої речовини Ketorolac trometamol від нового виробника DR. REDDY'S LABORATORIES LIMITED, Індія (доповнення).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зміни до специфікації вхідного контролю діючої речовини кеторолаку трометамол за показником «Ідентифікація», зокрема доповнення специфікації примітками: Для виробників VASUDHA PHARMA CHEM LIMITED, Індія та DR. REDDY'S LABORATORIES LIMITED, Індія: для методу Романівської спектрометрії (2.2.48) ДФУ*ЕР* ** «Ідентифікація проводиться для кожної тарної ємності»; для методу, що зазначений в монографії (2.2.24 ДФУ*, ЕР*)-*** «Ідентифікація проводиться на середній пробі» </w:t>
              <w:br/>
              <w:t>Для виробника Quimica Sintetica S.A., Іспанія: для методу, що зазначений в монографії (2.2.24 ДФУ*, ЕР*)-** «Визначення ідентифікації проводять на середній пробі»; для методу Романівської спектрометрії (2.2.48) ДФУ*ЕР*- *** «Допускається визначення ідентифікації кожного тарного місця».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вхідного контролю діючої речовини кеторолаку трометамол виробництва VASUDHA PHARMA CHEM LIMITED, Індія та DR. REDDY'S LABORATORIES LIMITED, Індія новим показником якості «Мікробіологічна чистота» з критеріями прийнятності: Загальне число аеробних мікроорганізмів (ТАМС)-10 3КУО/г Загальне число дріжджових і плісеневих грибів (TYMC) -10 2 КУО/г (ДФУ, ЄФ 2.6.12, 2.6.13, 5.1.4).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(Б.I.б.2. (ґ) ІБ)</w:t>
              <w:br/>
              <w:t>зміна у методах випробування діючої речовини кеторолаку трометамол виробництва VASUDHA PHARMA CHEM LIMITED, Індія за показником домішки N-Нітрозодибутиламіну (NDBA) (метод 2.2.29 ДФУ, ЄФ)</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UA/18024/01/01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АМОКСИКЛАВ® 2S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Amoxicillin and beta-lactamase inhibitor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по 5,70 г (35 мл ) або по 11,0 г (70 мл) порошку у флаконі; по 1 флакону разом з мірною ложкою або мірним шприцем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Сандоз ГмбХ - Виробнича дільниця Антиінфекційні ГЛЗ та Хімічні Операції Кундль (АІХО ГЛЗ Кундль),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2023-277-Rev 01 від затвердженого виробника Sandoz GmbH, Kundl, AT діючої речовини амоксициліну тригідрату (затверджено: CEP 2023-277-Rev 00; запропоновано: CEP 2023-277-Rev 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АНАЛЬГОДЕКС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 (у формі декскетопрофену трометамолу)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5 ампул у контурній упаковці, по 1 контурній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ТОВ «ІНФАРМА Трейдінг»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Латвійська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Доктор Харікеш Дубей. Пропонована редакція: Поліна Амато. Зміна контактних даних уповноваженої особи, відповідальної за фармаконагляд. Зміна контактної особи заявника, відповідальної за фармаконагляд в Україні. Діюча редакція: Іваницький Андрій. </w:t>
              <w:br/>
              <w:t xml:space="preserve">Пропонована редакція: Мілієнко Марія Валентинівна. Зміна контактних даних контактної особи заявника, відповідальної за фармаконагляд в Україні. Зміна місця здійснення основної діяльності з фармаконагляду. Зміна місцезнаходження мастер-файла системи фармаконагляду та його номера. Зміни І типу - Зміни щодо безпеки/ефективності та фармаконагляду (інші зміни) </w:t>
              <w:br/>
              <w:t>Зміни внесені в текст маркування вторинної і первинної упаковок лікарського засобу, а саме: видалення логотипу та внесення редакційної правки щодо написання «штрихкоду».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АНТИФЛУ®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парацетамол (ацетамінофен), фенілефрину гідрохлорид, хлорфеніраміну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17 г у пакеті; по 5 пакетів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"Байєр"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 Контракт Фармакал Корпорейшн, США;</w:t>
              <w:br/>
              <w:t>Виробництво in bulk: Контракт Фармакал Корпорейшн,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rPr>
            </w:pPr>
            <w:r>
              <w:rPr>
                <w:rFonts w:cs="Arial" w:ascii="Arial" w:hAnsi="Arial"/>
                <w:color w:val="000000"/>
                <w:sz w:val="16"/>
                <w:szCs w:val="16"/>
              </w:rPr>
              <w:t>внесення змін до реєстраційних матеріалів: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внесення змін в р. 3.2.Р.7 Система контейнер/ закупорювальний засіб, а саме зміни в критеріях прийнятності специфікації пакування готового продукту (Specification of Laminate Pouch). Внесено незначні редакційні зміни, включно з видаленням кодів матеріалів конструкції, щоб дозволити використання пакувальних матеріалів з іншими кодами, якщо вони відповідають специфікації; внесено технічні редакційні зміни.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внесення змін в розділі 3.2.Р.7 Система контейнер/закупорювальний засіб, а саме зміни в критеріях прийнятності специфікації пакування готового продукту (Specification of Laminate Pouch).</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UA/4910/02/01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АНТИФЛУ® КІДС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ацетамінофен, аскорбінова кислота, хлорфеніраміну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12 г порошку у пакеті з паперу, ламінованого алюмінієвою фольгою та поліетиленом; по 5 пакетів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"Байєр"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дозвіл на випуск серії: Контракт Фармакал Корпорейшн, США; виробництво in bulk:</w:t>
              <w:br/>
              <w:t>Контракт Фармакал Корпорейшн,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Fonts w:ascii="Arial" w:hAnsi="Arial" w:cs="Arial"/>
              </w:rPr>
            </w:pPr>
            <w:r>
              <w:rPr>
                <w:rFonts w:cs="Arial" w:ascii="Arial" w:hAnsi="Arial"/>
                <w:color w:val="000000"/>
                <w:sz w:val="16"/>
                <w:szCs w:val="16"/>
              </w:rPr>
              <w:t>внесення змін до реєстраційних матеріалів:</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Зміни в критеріях прийнятності специфікації пакування готового продукту. Внесено незначні редакційні зміни, включно з видаленням кодів матеріалів конструкції, щоб дозволити використання пакувальних матеріалів з іншими кодами, якщо вони відповідають специфікації. Також включає технічні редакційні зміни.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Зміни в критеріях прийнятності специфікації пакування готового продукту. Було запроваджено діапазони, а несуттєві атрибути специфікації видалено, зокрема міцність термозварювання, яка не вимагається як реєстраційна інформація.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 xml:space="preserve">без рецепта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АПІЗАРТРОН®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Стандартизована бджолина отрута, метилсаліцилат, алілізотіоціанат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M02AX10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по 20 г або по 30 г, або по 50 г, або по 100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Пассауер Фарма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 Пассауер Фарма ГмбХ, Німеччина; Виробництво in bulk, первинне пакування, вторинне пакування, контроль якості: Ліхтенхельдт ГмбХ Фармацевтична фабрика,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М’які та нестерильні рідкі лікарські форми - Введення зміни у зв'язку з появою нового зовнішнього покриття, що підходить для алюмінієвих туб та може застосовуватись при виробництві продукту.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АРГОСУЛЬФАН®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sulfathiazole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сульфатіазол срібла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D06BA02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20 мг/г; по 15 г або 40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Фармзавод Єльфа A.Т.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АРТЕЛАК®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hypromellose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гіпромелоза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3,2 мг/мл по 10 мл у флаконі з крапельницею; по 1 флакону з крапельницею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АТЕНОЛОЛ -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atenolol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атенолол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C07AB03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2 блістери у картонній коробці; по 10 таблеток у блістері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препарату для упаковки по 10 таблеток у блістері; по 2 блістери у картонній коробці цеху ГЛЗ Діюча редакція - цех ГЛЗ Розмір серії складає: 24,825 тис. уп. № 20 (10х2) у блістерах в коробці або 49,650 тис. уп. № 10 у блістерах (89,370 кг) 40,00 тис. уп. № 20 (10х2) у блістерах в коробці або 80,00 тис. уп. № 10 у блістерах (144,000 кг) цех ГЛФ Розмір серії складає: 40,00 тис. уп. № 20 (10х2) у блістерах в коробці або 80,00 тис. уп. № 10 у блістерах (144,000 кг) - Пропонована редакція - цех ГЛЗ Розмір серії складає: 24,825 тис. уп. № 20 (10х2) у блістерах в коробці або 49,650 тис. уп. № 10 у блістерах (89,370 кг) 40,00 тис. уп. № 20 (10х2) у блістерах в коробці або 80,00 тис. уп. № 10 у блістерах (144,000 кг) 16,027 тис. уп. № 20 (10х2) у блістерах в коробці (57,700 кг) цех ГЛФ Розмір серії складає: 40,00 тис. уп. № 20 (10х2) у блістерах в коробці або 80,00 тис. уп. № 10 у блістерах (144,000 кг)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UA/6065/01/01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t>amoxicillin and beta-lactamase inhibitor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400 мг/57 мг в 5 мл; 1 флакон з порошком для приготування 70 мл суспензії у флаконах з прозорого скла з металевою кришкою, що загвинчується (з контролем першого відкриття і полімерною плівкою, що міститься всередині) разом з дозуючим шприцом або мірним ковпачком, або мірною ложкою, поміщений в картонну коробку або з кришкою із захистом від відкриття дітьми разом з дозуючим шприцом або мірною ложкою, поміщений в картонну коробку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Британiя; Глаксо Веллком Продакшн, Францiя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сертифіката відповідності Європейській фармакопеї № CEP 2019-244 - Rev 02 для АФІ Амоксициліну тригідрату від нового альтернативного виробника Sinopharm Weiqida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UA/0987/05/02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t>amoxicillin and beta-lactamase inhibitor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(200 мг/28,5 мг в 5 мл); 1 флакон з порошком для приготування 70 мл суспензії з мірним ковпачком, або дозуючим шприцем, або з мірною ложечкою, в картонній коробці або з кришкою із захистом від відкриття дітьми разом з дозуючим шприцом або мірною ложкою,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Британiя;</w:t>
              <w:br/>
              <w:t>Глаксо Веллком Продакшн, Францiя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сертифіката відповідності Європейській фармакопеї № CEP 2019-244 - Rev 02 для АФІ Амоксициліну тригідрату від нового альтернативного виробника Sinopharm Weiqida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UA/0987/05/01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АУГМЕНТИН 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t>amoxicillin and beta-lactamase inhibitor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амоксицилін (у формі амоксициліну тригідрату) і кислота клавуланова (у формі калію клавуланату)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600 мг/42,9 мг/5 мл; 1 флакон з порошком з алюмінієвою кришечкою, що накручується (містить всередині полімерну (полівінілхлоридну або поліолефінову) плівку), з контролем першого відкриття або з пластиковою кришкою із захистом від відкриття дітьми та пластиковою мірною ложкою з позначками 2,5 мл та 5 мл,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СмітКляйн Бічем Фармасьютикалс, Велика Британія; Глаксо Веллком Продакшн,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 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br/>
              <w:t>Подання нового сертифіката відповідності Європейській фармакопеї № CEP 2019-244 - Rev 02 для АФІ Амоксициліну тригідрату від нового альтернативного виробника Sinopharm Weiqida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UA/0987/04/01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АУКСИЛЕН®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декскетопрофен (у вигляді декскетопрофену трометамолу)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50 мг/2 мл, по 2 мл в ампулі; по 5 ампул в контурній чарунковій упаковці (піддоні); по 1 контурній чарунковій упаковці (піддону) в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"Калцекс"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Латвiя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виробничого процесу, крім випуску серії:</w:t>
              <w:br/>
              <w:t>ХБМ Фарма с.р.о., Словаччина;</w:t>
              <w:br/>
              <w:t>виробник, який відповідає за контроль серії/випробування:</w:t>
              <w:br/>
              <w:t>АТ "Гріндекс", Латвiя;</w:t>
              <w:br/>
              <w:t>виробник, який відповідає за випуск серії:</w:t>
              <w:br/>
              <w:t>АТ "Калцекс", Латвія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Словаччина</w:t>
            </w:r>
            <w:r>
              <w:rPr>
                <w:rFonts w:cs="Arial" w:ascii="Arial" w:hAnsi="Arial"/>
                <w:color w:val="000000"/>
                <w:sz w:val="16"/>
                <w:szCs w:val="16"/>
                <w:lang w:val="en-US"/>
              </w:rPr>
              <w:t>/</w:t>
            </w:r>
            <w:r>
              <w:rPr>
                <w:rFonts w:cs="Arial" w:ascii="Arial" w:hAnsi="Arial"/>
                <w:color w:val="000000"/>
                <w:sz w:val="16"/>
                <w:szCs w:val="16"/>
              </w:rPr>
              <w:t xml:space="preserve"> Латвiя </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вона</w:t>
            </w:r>
            <w:r>
              <w:rPr>
                <w:rFonts w:cs="Arial" w:ascii="Arial" w:hAnsi="Arial"/>
                <w:color w:val="000000"/>
                <w:sz w:val="16"/>
                <w:szCs w:val="16"/>
                <w:lang w:val="en-US"/>
              </w:rPr>
              <w:t xml:space="preserve"> </w:t>
            </w:r>
            <w:r>
              <w:rPr>
                <w:rFonts w:cs="Arial" w:ascii="Arial" w:hAnsi="Arial"/>
                <w:color w:val="000000"/>
                <w:sz w:val="16"/>
                <w:szCs w:val="16"/>
              </w:rPr>
              <w:t>відмінна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контактні</w:t>
            </w:r>
            <w:r>
              <w:rPr>
                <w:rFonts w:cs="Arial" w:ascii="Arial" w:hAnsi="Arial"/>
                <w:color w:val="000000"/>
                <w:sz w:val="16"/>
                <w:szCs w:val="16"/>
                <w:lang w:val="en-US"/>
              </w:rPr>
              <w:t xml:space="preserve"> </w:t>
            </w:r>
            <w:r>
              <w:rPr>
                <w:rFonts w:cs="Arial" w:ascii="Arial" w:hAnsi="Arial"/>
                <w:color w:val="000000"/>
                <w:sz w:val="16"/>
                <w:szCs w:val="16"/>
              </w:rPr>
              <w:t>дані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розміщенні</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 xml:space="preserve">. </w:t>
              <w:br/>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w:t>
            </w:r>
            <w:r>
              <w:rPr>
                <w:rFonts w:cs="Arial" w:ascii="Arial" w:hAnsi="Arial"/>
                <w:color w:val="000000"/>
                <w:sz w:val="16"/>
                <w:szCs w:val="16"/>
              </w:rPr>
              <w:t>Марія</w:t>
            </w:r>
            <w:r>
              <w:rPr>
                <w:rFonts w:cs="Arial" w:ascii="Arial" w:hAnsi="Arial"/>
                <w:color w:val="000000"/>
                <w:sz w:val="16"/>
                <w:szCs w:val="16"/>
                <w:lang w:val="en-US"/>
              </w:rPr>
              <w:t xml:space="preserve"> </w:t>
            </w:r>
            <w:r>
              <w:rPr>
                <w:rFonts w:cs="Arial" w:ascii="Arial" w:hAnsi="Arial"/>
                <w:color w:val="000000"/>
                <w:sz w:val="16"/>
                <w:szCs w:val="16"/>
              </w:rPr>
              <w:t>Брієде</w:t>
            </w:r>
            <w:r>
              <w:rPr>
                <w:rFonts w:cs="Arial" w:ascii="Arial" w:hAnsi="Arial"/>
                <w:color w:val="000000"/>
                <w:sz w:val="16"/>
                <w:szCs w:val="16"/>
                <w:lang w:val="en-US"/>
              </w:rPr>
              <w:t xml:space="preserve"> / Marija Briede. </w:t>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w:t>
            </w:r>
            <w:r>
              <w:rPr>
                <w:rFonts w:cs="Arial" w:ascii="Arial" w:hAnsi="Arial"/>
                <w:color w:val="000000"/>
                <w:sz w:val="16"/>
                <w:szCs w:val="16"/>
              </w:rPr>
              <w:t>Аріна</w:t>
            </w:r>
            <w:r>
              <w:rPr>
                <w:rFonts w:cs="Arial" w:ascii="Arial" w:hAnsi="Arial"/>
                <w:color w:val="000000"/>
                <w:sz w:val="16"/>
                <w:szCs w:val="16"/>
                <w:lang w:val="en-US"/>
              </w:rPr>
              <w:t xml:space="preserve"> </w:t>
            </w:r>
            <w:r>
              <w:rPr>
                <w:rFonts w:cs="Arial" w:ascii="Arial" w:hAnsi="Arial"/>
                <w:color w:val="000000"/>
                <w:sz w:val="16"/>
                <w:szCs w:val="16"/>
              </w:rPr>
              <w:t>Бобровіча</w:t>
            </w:r>
            <w:r>
              <w:rPr>
                <w:rFonts w:cs="Arial" w:ascii="Arial" w:hAnsi="Arial"/>
                <w:color w:val="000000"/>
                <w:sz w:val="16"/>
                <w:szCs w:val="16"/>
                <w:lang w:val="en-US"/>
              </w:rPr>
              <w:t xml:space="preserve"> / Arina Bobrovica. </w:t>
            </w:r>
            <w:r>
              <w:rPr>
                <w:rFonts w:cs="Arial" w:ascii="Arial" w:hAnsi="Arial"/>
                <w:color w:val="000000"/>
                <w:sz w:val="16"/>
                <w:szCs w:val="16"/>
              </w:rPr>
              <w:t>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АФЛУ ТАЙСС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Aconitum napellus D6, Baptisia tin</w:t>
            </w:r>
            <w:r>
              <w:rPr>
                <w:rFonts w:cs="Arial" w:ascii="Arial" w:hAnsi="Arial"/>
                <w:sz w:val="16"/>
                <w:szCs w:val="16"/>
              </w:rPr>
              <w:t>с</w:t>
            </w:r>
            <w:r>
              <w:rPr>
                <w:rFonts w:cs="Arial" w:ascii="Arial" w:hAnsi="Arial"/>
                <w:sz w:val="16"/>
                <w:szCs w:val="16"/>
                <w:lang w:val="en-US"/>
              </w:rPr>
              <w:t>toria D4, Eupatorium perfoliatum D4, Ferrum phosphoricum D8, Gelsemium sempervirens D6</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орального застосування по 30 мл або по 50 мл у флаконі-крапельниці; по 1 флакону-крапельниці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Тайсс Натурварен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 звуження допустимих меж за показником «Мікробіологічна чистота» для mother tincture Baptisia tinctoria відповідно до чинної монографії Євр. Фарм. 5.1.4 Мікробіологічна чистота нестерильних лікарських засобів та субстанцій для фармацевтичного застосування. Відповідно адаптовані методи контролю до Євр. Фарм. 2.6.12. Також до специфікації mother tincture додано три виноски. До модуля 3.2.S.4.1 Специфікація додана специфікація протягом терміну придатності/повторного тестування mother tincture.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starting material Baptisia tinсtoria параметром "Сторонні домішки" (Foreign matter) метод Євр. Фарм. 2.8.2 з критерієм прийнятності «максимум 5 %».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starting material Baptisia tinсtoria параметром "Свіжість" з критерієм прийнятності (усі частини рослини свіжі, без зів’ялих або мертвих частин) метод: Візуальний.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starting material Baptisia tinсtoria параметром "Втрата в масі при висушуванні" (метод Євр. Фарм. 2.2.32), критерій прийнятності: «визначається (зазвичай менше 60 % вологості) з приміткою: «якщо свіжу рослину обробляють пізніше ніж через 24 години після збору врожаю, випробування необхідно провести до подрібнення».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зміна методу для параметра «Запах» в специфікації кінцевого розведення Baptisia tinctoria із «сенсорний» на метод відповідно до чинної монографії Ph. Eur., 2.3.4 або GHP, Н 2.2.1. Затверджено: Параметр: запах Специфікація: як етанол Метод: сенсорний Запропоновано: Параметр: запах Специфікація: як етанол Метод: GHP, Н 2.2.1 або Ph. Eur., 2.3.4.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специфікації нефармакопейного АФІ для приведення у відповідність до вимог ДФУ або Європейської фармакопеї, або іншої національної фармакопеї держави ЄС) - АФІ - адаптація специфікації starting material та mother tincture відповідно до чинної монографії Baptisia tinctoria HAB 2019.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АЦИКЛОВІР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aciclovir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ацикловір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мішках для виробництва нестерильних лікарських форм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ВЕЗ Фармахем д.о.о.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Матрікс Фармакорп Пріват Лімітед</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1998-029 - Rev 11 (затверджено: CEP 1998-029 - Rev 10; запропоновано: CEP 1998-029 - Rev 11). Як наслідок зміна назви виробника; введення терміну перетестування.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АЦЦ® 100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ацетилцистеїн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100 мг, по 3 г порошку у пакетику; по 20 пакетиків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Салютас Фарма ГмбХ, Німеччина;</w:t>
              <w:br/>
              <w:br/>
              <w:t>Виробництво in bulk, тестування, пакування</w:t>
              <w:br/>
              <w:t>Ліндофарм ГмбХ, Німеччина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Замбон Світзеланд Лтд, Швейцарія відповідального за виробництво in bulk, пакування та тестування виробники, що залишаються виконують ті ж функції що і вилучений. Зміни внесено до інструкції для медичного застосування лікарського засобу в розділи "Виробник", "Місцезнаходження виробника та його адреса місця провадження діяльності", з відповідними змінами до тексту маркування вторинної упаковки лікарського засобу (пункт 11).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в розділи "Взаємодія з іншими лікарськими засобами та інші види взаємодій", "Особливості застосування", "Діти", "Передозування" відповідно до оновленої інформації з безпеки діючої речовини; також до інструкції додано інформацію про заявника (розділи "Заявник", "Місцезнаходження заявника").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Салютас Фарма ГмбХ, Німеччина відповідального за пакування, контроль серії виробники, що залишаються виконують ті ж функції що і вилучений. </w:t>
              <w:br/>
              <w:t>Зміни внесено до інструкції для медичного застосування лікарського засобу в розділи "Виробник", "Місцезнаходження виробника та його адреса місця провадження діяльності", з відповідними змінами до тексту маркування вторинної упаковки лікарського засобу (пункт 11). Введення змін протягом 6-ти місяців після затвердження. Зміни І типу - Зміни щодо безпеки/ефективності та фармаконагляду (інші зміни). Зміни внесено до тексту маркування вторинної (пункти 6, 8, 11, 14, 17) та первинної (пункт 6) упаковки лікарського засобу.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ацетилцистеїн F.I.S. Fabbrica Italiana Sintetici S.P.A., Italy виробники, що залишаються виконують ті ж функції що і вилучений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UA/2030/02/01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АЦЦ® 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ацетилцистеїн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200 мг; по 3 г порошку у пакетику, по 20 пакетиків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Салютас Фарма ГмбХ, Німеччина</w:t>
              <w:br/>
              <w:br/>
              <w:t>Виробництво in bulk, тестування, пакування</w:t>
              <w:br/>
              <w:t>Ліндофарм ГмбХ, Німеччина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Замбон Світзеланд Лтд, Швейцарія відповідального за виробництво in bulk, пакування та тестування виробники, що залишаються виконують ті ж функції що і вилучений. Зміни внесено до інструкції для медичного застосування лікарського засобу в розділи "Виробник", "Місцезнаходження виробника та його адреса місця провадження діяльності", з відповідними змінами до тексту маркування вторинної упаковки лікарського засобу (пункт 11).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в розділи "Взаємодія з іншими лікарськими засобами та інші види взаємодій", "Особливості застосування", "Діти", "Передозування" відповідно до оновленої інформації з безпеки діючої речовини; також до інструкції додано інформацію про заявника (розділи "Заявник", "Місцезнаходження заявника").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Салютас Фарма ГмбХ, Німеччина відповідального за пакування, контроль серії виробники, що залишаються виконують ті ж функції що і вилучений. </w:t>
              <w:br/>
              <w:t>Зміни внесено до інструкції для медичного застосування лікарського засобу в розділи "Виробник", "Місцезнаходження виробника та його адреса місця провадження діяльності", з відповідними змінами до тексту маркування вторинної упаковки лікарського засобу (пункт 11). Введення змін протягом 6-ти місяців після затвердження. Зміни І типу - Зміни щодо безпеки/ефективності та фармаконагляду (інші зміни). Зміни внесено до тексту маркування вторинної (пункти 6, 8, 11, 14, 17) та первинної (пункт 6) упаковки лікарського засобу.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ацетилцистеїн F.I.S. Fabbrica Italiana Sintetici S.P.A., Italy виробники, що залишаються виконують ті ж функції що і вилучений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БАКЛОФЕН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baclofen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баклофен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Рубікон Рісерч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UA/21052/01/02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БАКЛОФЕН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baclofen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баклофен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5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Рубікон Рісерч Пвт. Лтд.,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БЕЛОРЕТИН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мг по 15 капсул у блістері, по 2 або 4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Белупо, ліки та косметика,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Белупо, ліки та косметика, д.д., Хорватiя; виробництво балку, контроль якості: СВІСС КАПС АГ, Швейцарія; виробництво балку, контроль якості: ДУГЛАС МАНУФЕКТОРІНГ ЛТД, Нова Зеландія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Хорватiя</w:t>
            </w:r>
            <w:r>
              <w:rPr>
                <w:rFonts w:cs="Arial" w:ascii="Arial" w:hAnsi="Arial"/>
                <w:color w:val="000000"/>
                <w:sz w:val="16"/>
                <w:szCs w:val="16"/>
                <w:lang w:val="en-US"/>
              </w:rPr>
              <w:t>/</w:t>
            </w:r>
            <w:r>
              <w:rPr>
                <w:rFonts w:cs="Arial" w:ascii="Arial" w:hAnsi="Arial"/>
                <w:color w:val="000000"/>
                <w:sz w:val="16"/>
                <w:szCs w:val="16"/>
              </w:rPr>
              <w:t xml:space="preserve"> Швейцарія</w:t>
            </w:r>
            <w:r>
              <w:rPr>
                <w:rFonts w:cs="Arial" w:ascii="Arial" w:hAnsi="Arial"/>
                <w:color w:val="000000"/>
                <w:sz w:val="16"/>
                <w:szCs w:val="16"/>
                <w:lang w:val="en-US"/>
              </w:rPr>
              <w:t>/</w:t>
            </w:r>
            <w:r>
              <w:rPr>
                <w:rFonts w:cs="Arial" w:ascii="Arial" w:hAnsi="Arial"/>
                <w:color w:val="000000"/>
                <w:sz w:val="16"/>
                <w:szCs w:val="16"/>
              </w:rPr>
              <w:t xml:space="preserve"> Нова Зеландія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w:t>
            </w:r>
            <w:r>
              <w:rPr>
                <w:rFonts w:cs="Arial" w:ascii="Arial" w:hAnsi="Arial"/>
                <w:color w:val="000000"/>
                <w:sz w:val="16"/>
                <w:szCs w:val="16"/>
              </w:rPr>
              <w:t>ГЕ</w:t>
            </w:r>
            <w:r>
              <w:rPr>
                <w:rFonts w:cs="Arial" w:ascii="Arial" w:hAnsi="Arial"/>
                <w:color w:val="000000"/>
                <w:sz w:val="16"/>
                <w:szCs w:val="16"/>
                <w:lang w:val="en-US"/>
              </w:rPr>
              <w:t>-</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w:t>
            </w:r>
            <w:r>
              <w:rPr>
                <w:rFonts w:cs="Arial" w:ascii="Arial" w:hAnsi="Arial"/>
                <w:color w:val="000000"/>
                <w:sz w:val="16"/>
                <w:szCs w:val="16"/>
              </w:rPr>
              <w:t>монографії</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нового</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вилучення</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виробництві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 </w:t>
            </w:r>
            <w:r>
              <w:rPr>
                <w:rFonts w:cs="Arial" w:ascii="Arial" w:hAnsi="Arial"/>
                <w:color w:val="000000"/>
                <w:sz w:val="16"/>
                <w:szCs w:val="16"/>
              </w:rPr>
              <w:t>Оновлений</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 R1-CEP 1999-068-Rev 07 (</w:t>
            </w:r>
            <w:r>
              <w:rPr>
                <w:rFonts w:cs="Arial" w:ascii="Arial" w:hAnsi="Arial"/>
                <w:color w:val="000000"/>
                <w:sz w:val="16"/>
                <w:szCs w:val="16"/>
              </w:rPr>
              <w:t>затверджено</w:t>
            </w:r>
            <w:r>
              <w:rPr>
                <w:rFonts w:cs="Arial" w:ascii="Arial" w:hAnsi="Arial"/>
                <w:color w:val="000000"/>
                <w:sz w:val="16"/>
                <w:szCs w:val="16"/>
                <w:lang w:val="en-US"/>
              </w:rPr>
              <w:t xml:space="preserve">: R1-CEP 1999-068-Rev 06)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Ізотретиноїну</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вже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Зігфрид</w:t>
            </w:r>
            <w:r>
              <w:rPr>
                <w:rFonts w:cs="Arial" w:ascii="Arial" w:hAnsi="Arial"/>
                <w:color w:val="000000"/>
                <w:sz w:val="16"/>
                <w:szCs w:val="16"/>
                <w:lang w:val="en-US"/>
              </w:rPr>
              <w:t xml:space="preserve"> </w:t>
            </w:r>
            <w:r>
              <w:rPr>
                <w:rFonts w:cs="Arial" w:ascii="Arial" w:hAnsi="Arial"/>
                <w:color w:val="000000"/>
                <w:sz w:val="16"/>
                <w:szCs w:val="16"/>
              </w:rPr>
              <w:t>Фармакемікален</w:t>
            </w:r>
            <w:r>
              <w:rPr>
                <w:rFonts w:cs="Arial" w:ascii="Arial" w:hAnsi="Arial"/>
                <w:color w:val="000000"/>
                <w:sz w:val="16"/>
                <w:szCs w:val="16"/>
                <w:lang w:val="en-US"/>
              </w:rPr>
              <w:t xml:space="preserve"> </w:t>
            </w:r>
            <w:r>
              <w:rPr>
                <w:rFonts w:cs="Arial" w:ascii="Arial" w:hAnsi="Arial"/>
                <w:color w:val="000000"/>
                <w:sz w:val="16"/>
                <w:szCs w:val="16"/>
              </w:rPr>
              <w:t>Мінден</w:t>
            </w:r>
            <w:r>
              <w:rPr>
                <w:rFonts w:cs="Arial" w:ascii="Arial" w:hAnsi="Arial"/>
                <w:color w:val="000000"/>
                <w:sz w:val="16"/>
                <w:szCs w:val="16"/>
                <w:lang w:val="en-US"/>
              </w:rPr>
              <w:t xml:space="preserve"> </w:t>
            </w:r>
            <w:r>
              <w:rPr>
                <w:rFonts w:cs="Arial" w:ascii="Arial" w:hAnsi="Arial"/>
                <w:color w:val="000000"/>
                <w:sz w:val="16"/>
                <w:szCs w:val="16"/>
              </w:rPr>
              <w:t>ГмбХ</w:t>
            </w:r>
            <w:r>
              <w:rPr>
                <w:rFonts w:cs="Arial" w:ascii="Arial" w:hAnsi="Arial"/>
                <w:color w:val="000000"/>
                <w:sz w:val="16"/>
                <w:szCs w:val="16"/>
                <w:lang w:val="en-US"/>
              </w:rPr>
              <w:t xml:space="preserve">, </w:t>
            </w:r>
            <w:r>
              <w:rPr>
                <w:rFonts w:cs="Arial" w:ascii="Arial" w:hAnsi="Arial"/>
                <w:color w:val="000000"/>
                <w:sz w:val="16"/>
                <w:szCs w:val="16"/>
              </w:rPr>
              <w:t>Німеччина</w:t>
            </w:r>
            <w:r>
              <w:rPr>
                <w:rFonts w:cs="Arial" w:ascii="Arial" w:hAnsi="Arial"/>
                <w:color w:val="000000"/>
                <w:sz w:val="16"/>
                <w:szCs w:val="16"/>
                <w:lang w:val="en-US"/>
              </w:rPr>
              <w:t>/ Siegfried Pharmachemikalien Minden GmbH, Germany.</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БЕЛОРЕТИН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isotretinoin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ізотретиноїн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D10BA01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 мг по 15 капсул у блістері, по 2 або 4 блістери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Белупо, ліки та косметика, д.д.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Белупо, ліки та косметика, д.д., Хорватiя; виробництво балку, контроль якості: СВІСС КАПС АГ, Швейцарія; виробництво балку, контроль якості: ДУГЛАС МАНУФЕКТОРІНГ ЛТД, Нова Зеландія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Хорватiя</w:t>
            </w:r>
            <w:r>
              <w:rPr>
                <w:rFonts w:cs="Arial" w:ascii="Arial" w:hAnsi="Arial"/>
                <w:color w:val="000000"/>
                <w:sz w:val="16"/>
                <w:szCs w:val="16"/>
                <w:lang w:val="en-US"/>
              </w:rPr>
              <w:t>/</w:t>
            </w:r>
            <w:r>
              <w:rPr>
                <w:rFonts w:cs="Arial" w:ascii="Arial" w:hAnsi="Arial"/>
                <w:color w:val="000000"/>
                <w:sz w:val="16"/>
                <w:szCs w:val="16"/>
              </w:rPr>
              <w:t xml:space="preserve"> Нова Зеландія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w:t>
            </w:r>
            <w:r>
              <w:rPr>
                <w:rFonts w:cs="Arial" w:ascii="Arial" w:hAnsi="Arial"/>
                <w:color w:val="000000"/>
                <w:sz w:val="16"/>
                <w:szCs w:val="16"/>
              </w:rPr>
              <w:t>ГЕ</w:t>
            </w:r>
            <w:r>
              <w:rPr>
                <w:rFonts w:cs="Arial" w:ascii="Arial" w:hAnsi="Arial"/>
                <w:color w:val="000000"/>
                <w:sz w:val="16"/>
                <w:szCs w:val="16"/>
                <w:lang w:val="en-US"/>
              </w:rPr>
              <w:t>-</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w:t>
            </w:r>
            <w:r>
              <w:rPr>
                <w:rFonts w:cs="Arial" w:ascii="Arial" w:hAnsi="Arial"/>
                <w:color w:val="000000"/>
                <w:sz w:val="16"/>
                <w:szCs w:val="16"/>
              </w:rPr>
              <w:t>монографії</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нового</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вилучення</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вихідного</w:t>
            </w:r>
            <w:r>
              <w:rPr>
                <w:rFonts w:cs="Arial" w:ascii="Arial" w:hAnsi="Arial"/>
                <w:color w:val="000000"/>
                <w:sz w:val="16"/>
                <w:szCs w:val="16"/>
                <w:lang w:val="en-US"/>
              </w:rPr>
              <w:t xml:space="preserve"> </w:t>
            </w:r>
            <w:r>
              <w:rPr>
                <w:rFonts w:cs="Arial" w:ascii="Arial" w:hAnsi="Arial"/>
                <w:color w:val="000000"/>
                <w:sz w:val="16"/>
                <w:szCs w:val="16"/>
              </w:rPr>
              <w:t>матеріалу</w:t>
            </w:r>
            <w:r>
              <w:rPr>
                <w:rFonts w:cs="Arial" w:ascii="Arial" w:hAnsi="Arial"/>
                <w:color w:val="000000"/>
                <w:sz w:val="16"/>
                <w:szCs w:val="16"/>
                <w:lang w:val="en-US"/>
              </w:rPr>
              <w:t>/</w:t>
            </w:r>
            <w:r>
              <w:rPr>
                <w:rFonts w:cs="Arial" w:ascii="Arial" w:hAnsi="Arial"/>
                <w:color w:val="000000"/>
                <w:sz w:val="16"/>
                <w:szCs w:val="16"/>
              </w:rPr>
              <w:t>реагенту</w:t>
            </w:r>
            <w:r>
              <w:rPr>
                <w:rFonts w:cs="Arial" w:ascii="Arial" w:hAnsi="Arial"/>
                <w:color w:val="000000"/>
                <w:sz w:val="16"/>
                <w:szCs w:val="16"/>
                <w:lang w:val="en-US"/>
              </w:rPr>
              <w:t>/</w:t>
            </w:r>
            <w:r>
              <w:rPr>
                <w:rFonts w:cs="Arial" w:ascii="Arial" w:hAnsi="Arial"/>
                <w:color w:val="000000"/>
                <w:sz w:val="16"/>
                <w:szCs w:val="16"/>
              </w:rPr>
              <w:t>проміжного</w:t>
            </w:r>
            <w:r>
              <w:rPr>
                <w:rFonts w:cs="Arial" w:ascii="Arial" w:hAnsi="Arial"/>
                <w:color w:val="000000"/>
                <w:sz w:val="16"/>
                <w:szCs w:val="16"/>
                <w:lang w:val="en-US"/>
              </w:rPr>
              <w:t xml:space="preserve"> </w:t>
            </w:r>
            <w:r>
              <w:rPr>
                <w:rFonts w:cs="Arial" w:ascii="Arial" w:hAnsi="Arial"/>
                <w:color w:val="000000"/>
                <w:sz w:val="16"/>
                <w:szCs w:val="16"/>
              </w:rPr>
              <w:t>продукту</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виробництві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допоміжної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 </w:t>
            </w:r>
            <w:r>
              <w:rPr>
                <w:rFonts w:cs="Arial" w:ascii="Arial" w:hAnsi="Arial"/>
                <w:color w:val="000000"/>
                <w:sz w:val="16"/>
                <w:szCs w:val="16"/>
              </w:rPr>
              <w:t>Оновлений</w:t>
            </w:r>
            <w:r>
              <w:rPr>
                <w:rFonts w:cs="Arial" w:ascii="Arial" w:hAnsi="Arial"/>
                <w:color w:val="000000"/>
                <w:sz w:val="16"/>
                <w:szCs w:val="16"/>
                <w:lang w:val="en-US"/>
              </w:rPr>
              <w:t xml:space="preserve"> </w:t>
            </w:r>
            <w:r>
              <w:rPr>
                <w:rFonts w:cs="Arial" w:ascii="Arial" w:hAnsi="Arial"/>
                <w:color w:val="000000"/>
                <w:sz w:val="16"/>
                <w:szCs w:val="16"/>
              </w:rPr>
              <w:t>сертифікат</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оновленого</w:t>
            </w:r>
            <w:r>
              <w:rPr>
                <w:rFonts w:cs="Arial" w:ascii="Arial" w:hAnsi="Arial"/>
                <w:color w:val="000000"/>
                <w:sz w:val="16"/>
                <w:szCs w:val="16"/>
                <w:lang w:val="en-US"/>
              </w:rPr>
              <w:t xml:space="preserve"> </w:t>
            </w:r>
            <w:r>
              <w:rPr>
                <w:rFonts w:cs="Arial" w:ascii="Arial" w:hAnsi="Arial"/>
                <w:color w:val="000000"/>
                <w:sz w:val="16"/>
                <w:szCs w:val="16"/>
              </w:rPr>
              <w:t>сертифіката</w:t>
            </w:r>
            <w:r>
              <w:rPr>
                <w:rFonts w:cs="Arial" w:ascii="Arial" w:hAnsi="Arial"/>
                <w:color w:val="000000"/>
                <w:sz w:val="16"/>
                <w:szCs w:val="16"/>
                <w:lang w:val="en-US"/>
              </w:rPr>
              <w:t xml:space="preserve"> </w:t>
            </w:r>
            <w:r>
              <w:rPr>
                <w:rFonts w:cs="Arial" w:ascii="Arial" w:hAnsi="Arial"/>
                <w:color w:val="000000"/>
                <w:sz w:val="16"/>
                <w:szCs w:val="16"/>
              </w:rPr>
              <w:t>відповідності</w:t>
            </w:r>
            <w:r>
              <w:rPr>
                <w:rFonts w:cs="Arial" w:ascii="Arial" w:hAnsi="Arial"/>
                <w:color w:val="000000"/>
                <w:sz w:val="16"/>
                <w:szCs w:val="16"/>
                <w:lang w:val="en-US"/>
              </w:rPr>
              <w:t xml:space="preserve"> </w:t>
            </w:r>
            <w:r>
              <w:rPr>
                <w:rFonts w:cs="Arial" w:ascii="Arial" w:hAnsi="Arial"/>
                <w:color w:val="000000"/>
                <w:sz w:val="16"/>
                <w:szCs w:val="16"/>
              </w:rPr>
              <w:t>Європейській</w:t>
            </w:r>
            <w:r>
              <w:rPr>
                <w:rFonts w:cs="Arial" w:ascii="Arial" w:hAnsi="Arial"/>
                <w:color w:val="000000"/>
                <w:sz w:val="16"/>
                <w:szCs w:val="16"/>
                <w:lang w:val="en-US"/>
              </w:rPr>
              <w:t xml:space="preserve"> </w:t>
            </w:r>
            <w:r>
              <w:rPr>
                <w:rFonts w:cs="Arial" w:ascii="Arial" w:hAnsi="Arial"/>
                <w:color w:val="000000"/>
                <w:sz w:val="16"/>
                <w:szCs w:val="16"/>
              </w:rPr>
              <w:t>фармакопеї</w:t>
            </w:r>
            <w:r>
              <w:rPr>
                <w:rFonts w:cs="Arial" w:ascii="Arial" w:hAnsi="Arial"/>
                <w:color w:val="000000"/>
                <w:sz w:val="16"/>
                <w:szCs w:val="16"/>
                <w:lang w:val="en-US"/>
              </w:rPr>
              <w:t xml:space="preserve"> № R1-CEP 1999-068-Rev 07 (</w:t>
            </w:r>
            <w:r>
              <w:rPr>
                <w:rFonts w:cs="Arial" w:ascii="Arial" w:hAnsi="Arial"/>
                <w:color w:val="000000"/>
                <w:sz w:val="16"/>
                <w:szCs w:val="16"/>
              </w:rPr>
              <w:t>затверджено</w:t>
            </w:r>
            <w:r>
              <w:rPr>
                <w:rFonts w:cs="Arial" w:ascii="Arial" w:hAnsi="Arial"/>
                <w:color w:val="000000"/>
                <w:sz w:val="16"/>
                <w:szCs w:val="16"/>
                <w:lang w:val="en-US"/>
              </w:rPr>
              <w:t xml:space="preserve">: R1-CEP 1999-068-Rev 06)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Ізотретиноїну</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вже</w:t>
            </w:r>
            <w:r>
              <w:rPr>
                <w:rFonts w:cs="Arial" w:ascii="Arial" w:hAnsi="Arial"/>
                <w:color w:val="000000"/>
                <w:sz w:val="16"/>
                <w:szCs w:val="16"/>
                <w:lang w:val="en-US"/>
              </w:rPr>
              <w:t xml:space="preserve"> </w:t>
            </w:r>
            <w:r>
              <w:rPr>
                <w:rFonts w:cs="Arial" w:ascii="Arial" w:hAnsi="Arial"/>
                <w:color w:val="000000"/>
                <w:sz w:val="16"/>
                <w:szCs w:val="16"/>
              </w:rPr>
              <w:t>затвердженого</w:t>
            </w:r>
            <w:r>
              <w:rPr>
                <w:rFonts w:cs="Arial" w:ascii="Arial" w:hAnsi="Arial"/>
                <w:color w:val="000000"/>
                <w:sz w:val="16"/>
                <w:szCs w:val="16"/>
                <w:lang w:val="en-US"/>
              </w:rPr>
              <w:t xml:space="preserve"> </w:t>
            </w:r>
            <w:r>
              <w:rPr>
                <w:rFonts w:cs="Arial" w:ascii="Arial" w:hAnsi="Arial"/>
                <w:color w:val="000000"/>
                <w:sz w:val="16"/>
                <w:szCs w:val="16"/>
              </w:rPr>
              <w:t>виробника</w:t>
            </w:r>
            <w:r>
              <w:rPr>
                <w:rFonts w:cs="Arial" w:ascii="Arial" w:hAnsi="Arial"/>
                <w:color w:val="000000"/>
                <w:sz w:val="16"/>
                <w:szCs w:val="16"/>
                <w:lang w:val="en-US"/>
              </w:rPr>
              <w:t xml:space="preserve"> </w:t>
            </w:r>
            <w:r>
              <w:rPr>
                <w:rFonts w:cs="Arial" w:ascii="Arial" w:hAnsi="Arial"/>
                <w:color w:val="000000"/>
                <w:sz w:val="16"/>
                <w:szCs w:val="16"/>
              </w:rPr>
              <w:t>Зігфрид</w:t>
            </w:r>
            <w:r>
              <w:rPr>
                <w:rFonts w:cs="Arial" w:ascii="Arial" w:hAnsi="Arial"/>
                <w:color w:val="000000"/>
                <w:sz w:val="16"/>
                <w:szCs w:val="16"/>
                <w:lang w:val="en-US"/>
              </w:rPr>
              <w:t xml:space="preserve"> </w:t>
            </w:r>
            <w:r>
              <w:rPr>
                <w:rFonts w:cs="Arial" w:ascii="Arial" w:hAnsi="Arial"/>
                <w:color w:val="000000"/>
                <w:sz w:val="16"/>
                <w:szCs w:val="16"/>
              </w:rPr>
              <w:t>Фармакемікален</w:t>
            </w:r>
            <w:r>
              <w:rPr>
                <w:rFonts w:cs="Arial" w:ascii="Arial" w:hAnsi="Arial"/>
                <w:color w:val="000000"/>
                <w:sz w:val="16"/>
                <w:szCs w:val="16"/>
                <w:lang w:val="en-US"/>
              </w:rPr>
              <w:t xml:space="preserve"> </w:t>
            </w:r>
            <w:r>
              <w:rPr>
                <w:rFonts w:cs="Arial" w:ascii="Arial" w:hAnsi="Arial"/>
                <w:color w:val="000000"/>
                <w:sz w:val="16"/>
                <w:szCs w:val="16"/>
              </w:rPr>
              <w:t>Мінден</w:t>
            </w:r>
            <w:r>
              <w:rPr>
                <w:rFonts w:cs="Arial" w:ascii="Arial" w:hAnsi="Arial"/>
                <w:color w:val="000000"/>
                <w:sz w:val="16"/>
                <w:szCs w:val="16"/>
                <w:lang w:val="en-US"/>
              </w:rPr>
              <w:t xml:space="preserve"> </w:t>
            </w:r>
            <w:r>
              <w:rPr>
                <w:rFonts w:cs="Arial" w:ascii="Arial" w:hAnsi="Arial"/>
                <w:color w:val="000000"/>
                <w:sz w:val="16"/>
                <w:szCs w:val="16"/>
              </w:rPr>
              <w:t>ГмбХ</w:t>
            </w:r>
            <w:r>
              <w:rPr>
                <w:rFonts w:cs="Arial" w:ascii="Arial" w:hAnsi="Arial"/>
                <w:color w:val="000000"/>
                <w:sz w:val="16"/>
                <w:szCs w:val="16"/>
                <w:lang w:val="en-US"/>
              </w:rPr>
              <w:t xml:space="preserve">, </w:t>
            </w:r>
            <w:r>
              <w:rPr>
                <w:rFonts w:cs="Arial" w:ascii="Arial" w:hAnsi="Arial"/>
                <w:color w:val="000000"/>
                <w:sz w:val="16"/>
                <w:szCs w:val="16"/>
              </w:rPr>
              <w:t>Німеччина</w:t>
            </w:r>
            <w:r>
              <w:rPr>
                <w:rFonts w:cs="Arial" w:ascii="Arial" w:hAnsi="Arial"/>
                <w:color w:val="000000"/>
                <w:sz w:val="16"/>
                <w:szCs w:val="16"/>
                <w:lang w:val="en-US"/>
              </w:rPr>
              <w:t>/ Siegfried Pharmachemikalien Minden GmbH, Germany.</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UA/20248/01/02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БЕНОКСІ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Oxybuprocaine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оксибупрокаїну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S01HA02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0,4 %;</w:t>
              <w:br/>
              <w:t>по 10 мл у контейнері-крапельниці; по 1 контейнеру-крапельниці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 зміна стосується подання оновлених сертифікатів якості від виробника первинного пакувального матеріалу - компанії Bormioli Pharma, а також оновленої заяви виробника щодо сировини, включаючи інформацію про її регуляторний статус.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стосується оновлення специфікації на пакувальний елемент (контейнер) з метою приведення у відповідність до чинних вимог Європейської фармакопеї, а також додавання посилання на відповідний фармакопейний аналітичний метод.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зміна стосується оновлення специфікації на пакувальний елемент – закупорювальний засіб (гвинтова кришка із запобіжним кільцем) з метою приведення у відповідність до чинних вимог Європейської фармакопеї, а також додавання посилання на відповідний фармакопейний аналітичний метод.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запропонована зміна стосується оновлення специфікації на пакувальний елемент – дозуючий пристрій (крапельниця) з метою приведення у відповідність до чинних вимог Європейської фармакопеї. Оновлення включає гармонізацію вимог специфікації із відповідною монографією Європейської фармакопеї, а також додавання посилання на відповідний фармакопейний аналітичний метод.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БІТУБ®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isoniazid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ізоніазид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у флаконі; по 10 або по 30 флаконів у пачці; по 5 мл в ампулі; по 5 ампул у контурній чарунковій упаковці; по 2 контурні чарункові упаковки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зміна розміру серії, а саме вилучення розміру серії 40 л - Діюча редакція: </w:t>
              <w:br/>
              <w:t>Розміри серій 40 л, 80 л - Пропонована редакція: - Розмір серій 80 л (ампули по 5 мл 16000 шт).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БОРНОЇ КИСЛОТИ РОЗЧИН СПИРТОВИЙ 3%</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boric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борна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D08AD</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спиртовий 3 %; по 20 мл або по 25 мл у флаконі, закупореному пробкою та кришкою; по 1 флакону в картонній коробці з картонним піддоном або без нього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Черкас»</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Черкас»</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адреси заявника.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виробника ГЛЗ відповідального за повний цикл виробництва "ТОВ "Фарма Черкас".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БОРТЕКСА 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bortezomib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бортезоміб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L01XG01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3,5 мг; 1 флакон з порошком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тесту на важкі метали зі специфікації АФІ для узгодження специфікації із сучасними фармакопейними рекомендаціями.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-заміна реагенту(розчинника), що використовується в методиці випробування АФІ «Залишкові розчинники», з N,N-диметилформаміду на диметилсульфоксид (DMSO).</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БРИМОНАЛ 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brimonidine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бримонідину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0,2 % по 5 мл або 10 мл у флаконі-крапельниці; по 1 флакону-крапельниці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2014-331-Rev 04 для АФІ бримонідину тартрату від вже затвердженого виробника FARMAK, a.s., Czech Republic (затверджено: CEP 2014-331-Rev 03; запропоновано: CEP 2014-331-Rev 04). </w:t>
              <w:b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БРИМОНАЛ 0,2%</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brimonidine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бримонідину тартрат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0,2 %; по 5 мл або 10 мл у флаконі-крапельниці; по 1 флакону-крапельниці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на пакувальний елемент (кришка) з метою приведення у відповідність до чинних вимог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на пакувальний елемент (крапельниця) з метою приведення у відповідність до чинних вимог Європейської фармакопеї. Зміни І типу - Зміни з якості. Готовий лікарський засіб. Система контейнер/закупорювальний засіб (інші зміни) Подання оновлених сертифікатів якості від виробника первинного пакувального матеріалу - компанії Bormioli Pharma, а також оновленої заяви виробника щодо сировини, включаючи інформацію про її регуляторний статус.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Оновлення специфікації на пакувальний елемент (флакон) з метою приведення у відповідність до чинних вимог ЄФ.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БРІНЕЙРА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cerliponase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церліпоназа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A16AB17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30 мг/мл по 5 мл розчину для інфузій у прозорому скляному флаконі (скло І типу), закупореному пробкою (бутилкаучук) з фторполімерним покриттям та обтиснутому алюмінієвою кришкою типу flip-off seal з пластиковим ковпачком зеленого кольору; по 2 флакони з розчином для інфузій у комплекті з 1 флаконом з розчином для промивання (по 5 мл розчину для промивання у прозорому скляному флаконі (скло І типу), закупореному пробкою (бутилкаучук) з фторполімерним покриттям та обтиснутому алюмінієвою кришкою типу flip-off seal з пластиковим ковпачком жовтого кольору) в картонній коробці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БіоМарин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готовий лікарський засіб: обробка лікарського засобу та первинне пакування (наповнення готовим лікарським засобом) та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розчин для промивання: обробка лікарського засобу та первинне пакування (наповнення розчином для промивання) та випробування контролю якості (контроль в процесі виробництва: ідентифікація, візуальний контроль, біонавантаження, контроль при випуску: стерильність, бактеріальні ендотоксини) Веттер Фарма-Фертігунг ГмбХ і Ко. КГ, Німеччина; готовий лікарський засіб: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розчин для промивання: випробування контролю якості (контроль в процесі виробництва: ідентифікація, біонавантаження та контроль при випуску: стерильність, бактеріальні ендотоксини) Веттер Фарма-Фертігунг ГмбХ і Ко. КГ, Німеччина; готовий лікарський засіб: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розчин для промивання: випробування контролю якості (контроль в процесі виробництва: ідентифікація, візуальний контроль, біонавантаження та контроль при випуску: стерильність, бактеріальні ендотоксини) Веттер Фарма-Фертігунг ГмбХ і Ко. КГ, Німеччина; готовий лікарський засіб: вторинне пакування (маркування та процес кінцевого пакування) розчин для промивання: вторинне пакування (маркування та процес кінцевого пакування) Алмак Фарма Сервісез (Айрленд) Лімітед, Ірландiя; готовий лікарський засіб: випробування контролю якості (контроль в процесі виробництва: ідентифікація, контроль при випуску (крім стерильності) та випробування стабільності) розчин для промивання: обробка лікарського засобу (виробництво нерозфасованого проміжного розчину для промивання) та випробування контролю якості (контроль в процесі виробництва: ідентифікація, контроль при випуску (крім стерильності) та випробування стабільності) БіоМарин Фармасьютикал Інк., Сполучені Штати Америки; готовий лікарський засіб: зберігання та випробування контролю якості (контроль в процесі виробництва: візуальний контроль) розчин для промивання: зберігання та випробування контролю якості (контроль в процесі виробництва: візуальний контроль) Веттер Фарма-Фертігунг ГмбХ і Ко. КГ, Німеччина; готовий лікарський засіб: випробування контролю якості (контроль при випуску: крім стерильності) та випробування стабільності та випуск серії розчин для промивання: обробка лікарського засобу (виробництво нерозфасованого проміжного розчину для промивання ) та випробування контролю якості (контроль в процесі виробництва: ідентифікація, контроль при випуску: крім стерильності), випробування стабільності та випуск серії БіоМарин Інтернешнл Лімітед, Ірландія; готовий лікарський засіб: вторинне пакування (маркування та процес кінцевого пакування) розчин для промивання: вторинне пакування АндерсонБрекон (ЮК) Лімітед, Великобританія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Великобританія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Інформація щодо системи управління ризиками Заявником надано оновлений План управління ризиками версія 5.1. Зміни внесено до частин: VII «Додатки» у зв'язку з оновленням адміністративної інформації у додатку 6, відповідно до рішення регуляторного органу EMEA/H/C/004065/ІB/0048. </w:t>
              <w:br/>
              <w:t>Резюме Плану управління ризиками версія 5.1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БРОНХО-ВАКСОМ ДОРОСЛІ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ліофілізат бактеріальних лізатів: Haemophilus influenzae, Streptococcus pneumoniae, Klebsiella pneumoniae ssp. pneumoniae and ozaenae, Staphylococcus aureus, Streptococcus pyogenes and sanguinis, Moraxella (Branhamella) catarrhalis</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R07AX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7 мг; по 10 капсул у блістері; по 1 або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ОМ Фарма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ОМ 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альтернативного розміру серії (тобто 350,0 кг, що відповідає 1 750 000 капсул) додатково до чинного схваленого розміру серії (тобто 183,4 кг, що приблизно відповідає 917 000 капсул).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(суттєва зміна у процесі виробництва, яка може мати істотний влив на якість, безпеку та ефективність лікарського засобу) Введення альтернативної лінії просіювання, змішування та наповнення капсул в іншій будівлі, але на тому ж виробничому майданчику, що й наразі зареєстрований (тобто будівля B2), із відповідними елементами контролю процесу та критичними параметрами процесу. У межах цієї зміни оновлені наступні розділи реєстраційного досьє: 3.2.P.2.3; 3.2.P.3.3; 3.2.P.3.4; 3.2.P.3.5; 3.2.P.5.4; 3.2.P.8.1; 3.2.P.8.2; 3.2.P.8.3; 3.2.A.1. Запропоновано додати/перегрупувати інформацію в розділах модуля 3 CTD, яка вже фактично застосовується, тому це не відповідає визначенню «зміни», а лише дозволяє узгодити досьє з актуальними стандартами ІСН і полегшити сприйняття інформації.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БУСТРИКС ПОЛІО КОМБІНОВАНА ВАКЦИНА ДЛЯ ПРОФІЛАКТИКИ ДИФТЕРІЇ, ПРАВЦЯ, КАШЛЮКУ (АЦЕЛЮЛЯРНИЙ КОМПОНЕНТ) ТА ПОЛІОМІЄЛІТУ (ІНАКТИВОВАНА) (АДСОРБОВАНА, ЗІ ЗМЕНШЕНИМ ВМІСТОМ АНТИГЕНІВ)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sz w:val="16"/>
                <w:szCs w:val="16"/>
              </w:rPr>
            </w:pPr>
            <w:r>
              <w:rPr>
                <w:rFonts w:cs="Arial" w:ascii="Arial" w:hAnsi="Arial"/>
                <w:sz w:val="16"/>
                <w:szCs w:val="16"/>
              </w:rPr>
              <w:t>Diphtheria-pertussis-poliomyelitis-tetanus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i/>
                <w:iCs/>
                <w:sz w:val="16"/>
                <w:szCs w:val="16"/>
              </w:rPr>
              <w:t>Bordetella pertussis</w:t>
            </w:r>
            <w:r>
              <w:rPr>
                <w:rFonts w:cs="Arial" w:ascii="Arial" w:hAnsi="Arial"/>
                <w:sz w:val="16"/>
                <w:szCs w:val="16"/>
              </w:rPr>
              <w:t> кашлюкові антигени:</w:t>
            </w:r>
          </w:p>
          <w:p>
            <w:pPr>
              <w:pStyle w:val="Normal"/>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rPr>
            </w:pPr>
            <w:r>
              <w:rPr>
                <w:rFonts w:cs="Arial" w:ascii="Arial" w:hAnsi="Arial"/>
                <w:sz w:val="16"/>
                <w:szCs w:val="16"/>
              </w:rPr>
              <w:t>інактивовані віруси поліомієліту:</w:t>
            </w:r>
          </w:p>
          <w:p>
            <w:pPr>
              <w:pStyle w:val="Normal"/>
              <w:rPr/>
            </w:pPr>
            <w:r>
              <w:rPr>
                <w:rFonts w:cs="Arial" w:ascii="Arial" w:hAnsi="Arial"/>
                <w:sz w:val="16"/>
                <w:szCs w:val="16"/>
              </w:rPr>
              <w:t>тип 1 (штам </w:t>
            </w:r>
            <w:r>
              <w:rPr>
                <w:rFonts w:cs="Arial" w:ascii="Arial" w:hAnsi="Arial"/>
                <w:sz w:val="16"/>
                <w:szCs w:val="16"/>
                <w:lang w:val="en-US"/>
              </w:rPr>
              <w:t>Mahoney</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pPr>
            <w:r>
              <w:rPr>
                <w:rFonts w:cs="Arial" w:ascii="Arial" w:hAnsi="Arial"/>
                <w:sz w:val="16"/>
                <w:szCs w:val="16"/>
              </w:rPr>
              <w:t>тип 2 (штам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pPr>
            <w:r>
              <w:rPr>
                <w:rFonts w:cs="Arial" w:ascii="Arial" w:hAnsi="Arial"/>
                <w:sz w:val="16"/>
                <w:szCs w:val="16"/>
              </w:rPr>
              <w:t>тип 3 (штам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spacing w:before="60" w:after="0"/>
              <w:ind w:right="-58" w:hanging="0"/>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 (Al(OH)</w:t>
            </w:r>
            <w:r>
              <w:rPr>
                <w:rFonts w:cs="Arial" w:ascii="Arial" w:hAnsi="Arial"/>
                <w:i/>
                <w:iCs/>
                <w:sz w:val="16"/>
                <w:szCs w:val="16"/>
                <w:vertAlign w:val="subscript"/>
              </w:rPr>
              <w:t>3</w:t>
            </w:r>
            <w:r>
              <w:rPr>
                <w:rFonts w:cs="Arial" w:ascii="Arial" w:hAnsi="Arial"/>
                <w:i/>
                <w:iCs/>
                <w:sz w:val="16"/>
                <w:szCs w:val="16"/>
              </w:rPr>
              <w:t>)</w:t>
            </w:r>
          </w:p>
          <w:p>
            <w:pPr>
              <w:pStyle w:val="Normal"/>
              <w:ind w:right="-58" w:hanging="0"/>
              <w:rPr>
                <w:rFonts w:ascii="Arial" w:hAnsi="Arial" w:cs="Arial"/>
                <w:sz w:val="16"/>
                <w:szCs w:val="16"/>
              </w:rPr>
            </w:pPr>
            <w:r>
              <w:rPr>
                <w:rFonts w:cs="Arial" w:ascii="Arial" w:hAnsi="Arial"/>
                <w:i/>
                <w:iCs/>
                <w:sz w:val="16"/>
                <w:szCs w:val="16"/>
              </w:rPr>
              <w:t>та алюмінію фосфаті (AlPO</w:t>
            </w:r>
            <w:r>
              <w:rPr>
                <w:rFonts w:cs="Arial" w:ascii="Arial" w:hAnsi="Arial"/>
                <w:i/>
                <w:iCs/>
                <w:sz w:val="16"/>
                <w:szCs w:val="16"/>
                <w:vertAlign w:val="subscript"/>
              </w:rPr>
              <w:t>4</w:t>
            </w:r>
            <w:r>
              <w:rPr>
                <w:rFonts w:cs="Arial" w:ascii="Arial" w:hAnsi="Arial"/>
                <w:i/>
                <w:iCs/>
                <w:sz w:val="16"/>
                <w:szCs w:val="16"/>
              </w:rPr>
              <w:t>)</w:t>
            </w:r>
          </w:p>
          <w:p>
            <w:pPr>
              <w:pStyle w:val="Normal"/>
              <w:rPr>
                <w:rFonts w:ascii="Arial" w:hAnsi="Arial" w:cs="Arial"/>
                <w:sz w:val="16"/>
                <w:szCs w:val="16"/>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sz w:val="16"/>
                <w:szCs w:val="16"/>
              </w:rPr>
            </w:pPr>
            <w:r>
              <w:rPr>
                <w:rFonts w:cs="Arial" w:ascii="Arial" w:hAnsi="Arial"/>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суспензія для ін'єкцій по 1 дозі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(проведення контролю якості вакцини, випуск серій готового продукту);</w:t>
              <w:br/>
              <w:t>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w:t>
              <w:br/>
              <w:t>ГлаксоСмітКляйн Біолоджікалз С.А., Бельгія (наповнення вакцини в шприці, маркування і пакування готового продукту, проведення контролю якості вакцини)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«GSK Vaccines GmbH», Марбург, Німеччина, для діючих речовин дифтерійний анатоксин (Diphtheria Toxoid, DT) та правцевий анатоксин (Tetanus Toxoid, TT), а також проміжного продукту адсорбований концентрат дифтерійного та правцевого анатоксинів (Diphtheria and tetanus adsorbed concentrate, DTcc).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БУСУЛЬФАН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busulfan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бусульфан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L01AB01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приготування розчину для інфузій, 6 мг/мл; по 10 мл у флаконі; по 1 флакону у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Інтас Фармасьютiкалc Лімітед, Індія;</w:t>
              <w:br/>
              <w:t>контроль якості: Єврофінс Аналітікал Сервісез Хангері Кфт., Угорщина;</w:t>
              <w:br/>
              <w:t>контроль якості: ФАРМАВАЛІД Лтд. Мікробіологічна лабораторія, Угорщина;</w:t>
              <w:br/>
              <w:t>контроль якості: Фармадокс Хелскеа Лтд., Мальта;</w:t>
              <w:br/>
              <w:t>контроль якості та вторинне пакування: ЛАБОРАТОРІ ФУНДАСІО ДАУ, Іспанiя;</w:t>
              <w:br/>
              <w:t>додаткове вторинне пакування: АККОРД ХЕЛСКЕА ЛІМІТЕД, Велика Британiя;</w:t>
              <w:br/>
              <w:t>додаткове вторинне пакування: Синоптиз Індастріал Сп. з о.о., Польща;</w:t>
              <w:br/>
              <w:t>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color w:val="000000"/>
                <w:sz w:val="16"/>
                <w:szCs w:val="16"/>
              </w:rPr>
            </w:pPr>
            <w:r>
              <w:rPr>
                <w:rFonts w:cs="Arial" w:ascii="Arial" w:hAnsi="Arial"/>
                <w:color w:val="000000"/>
                <w:sz w:val="16"/>
                <w:szCs w:val="16"/>
              </w:rPr>
              <w:t>Індія/ Угорщина/ Мальта/ Іспанiя/ Велика Британiя/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 xml:space="preserve">Діюча редакція: Арлетта Веринська / Arletta Werynska. Пропонована редакція: Агата Гейсевич / Agata Gesiewicz. </w:t>
              <w:br/>
              <w:t xml:space="preserve">Зміна контактних даних уповноваженої особи, відповідальної за фармаконагляд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ВАЄСТ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denosumab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деносумаб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M05BX04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ін’єкцій, 70 мг/мл; по 1,7 мл (120 мг) у флаконі; по 1 флакону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повний цикл виробництва: Лек Фармацевтична компанія д.д., Словенія; </w:t>
              <w:br/>
              <w:t>контроль серії: Новартіс Фармасьютікал Мануфактуринг ЛЛС, Словенія;</w:t>
              <w:br/>
              <w:t>контроль серії: Новартіс Фармасьютікал Мануфактурінг ГмбХ, Австрія;</w:t>
              <w:br/>
              <w:t>контроль серії: Солвіас АГ, Швейцарія;</w:t>
              <w:br/>
              <w:t>розморожування і зважування речовин, контроль у процесі виробництва: Новартіс Фармасьютікал Мануфактуринг ЛЛС, Словенія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Словенія/ Австрія/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Сандоз ГмбХ, Австрія оновлено до версії 2.0 план управління ризиками (далі – ПУР) лікарського засобу ВАЄСТ, розчин для ін’єкцій, 70 мг/мл; по 1,7 мл (120 мг) у флаконі; по 1 флакону в картонній коробці з маркуванням українською мовою у зв’язку з затвердженням оновленого ПУР референтного лікарського засобу (Іксджева). </w:t>
              <w:br/>
              <w:t xml:space="preserve">Зміни внесено до частин </w:t>
              <w:br/>
              <w:t xml:space="preserve">І «Загальна інформація», </w:t>
              <w:br/>
              <w:t xml:space="preserve">II «Специфікація з безпеки», </w:t>
              <w:br/>
              <w:t xml:space="preserve">V «Заходи з мінімізації ризиків», </w:t>
              <w:br/>
              <w:t xml:space="preserve">VI «Резюме плану управління ризиками» </w:t>
              <w:br/>
              <w:t xml:space="preserve">та додатків у зв’язку з переглядом проблем безпеки. </w:t>
              <w:br/>
              <w:t>Резюме ПУР версія 2.0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ВАЛЕРІАНА ЕКСТРАКТ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Valerianae radix</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валеріани коренів екстракт густий (Valerianae radix extractum spissum)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N05CM09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20 мг; по 10 таблеток у блістері; по 5 або по 10 блістерів у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в специфікацію щодо періодичності мікробіологічного контролю ГЛЗ, а саме: «Не рутинний тест: допускається проводити контроль першої та кожної п’ятої наступної серії, але не рідше ніж 1 серії в рік. В період дослідження стабільності випробування за даним показником проводиться на початку та в кінці терміну придатності».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UA/17560/01/01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 або по 4 таблетки у блістері; по 1 блістеру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30 мг, in bulk: №2400 (1х2400): по 1 таблетці у блістері; по 2400 блістерів у картонній коробці; №9600 (4х2400): по 4 таблетки у блістері; по 2400 блістерів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1 або по 4 таблетки у блістері; по 1 блістеру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UA/15230/01/02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ВАНДЕР®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dapoxetine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дапоксетину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G04BX14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60 мг, in bulk: №2400 (1х2400): по 1 таблетці у блістері; по 2400 блістерів у картонній коробці; №9600 (4х2400): по 4 таблетки у блістері; по 2400 блістерів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UA/21229/01/02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0,25 мг; по 1,5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Вест Фармасьютікалз Продактс Айрленд, Лтд., Каррікферіш Роуд, Вотерфорд, X91 R9V6, Ірландія, як альтернативного постачальника RTU сірого поршня для Вегові з картриджом на 1,5 мл та 3 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0,5 мг; по 1,5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 Данiя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Вест Фармасьютікалз Продактс Айрленд, Лтд., Каррікферіш Роуд, Вотерфорд, X91 R9V6, Ірландія, як альтернативного постачальника RTU сірого поршня для Вегові з картриджом на 1,5 мл та 3 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мг; по 3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 Данiя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color w:val="000000"/>
                <w:sz w:val="16"/>
                <w:szCs w:val="16"/>
              </w:rPr>
            </w:pPr>
            <w:r>
              <w:rPr>
                <w:rFonts w:cs="Arial" w:ascii="Arial" w:hAnsi="Arial"/>
                <w:color w:val="000000"/>
                <w:sz w:val="16"/>
                <w:szCs w:val="16"/>
              </w:rPr>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Вест Фармасьютікалз Продактс Айрленд, Лтд., Каррікферіш Роуд, Вотерфорд, X91 R9V6, Ірландія, як альтернативного постачальника RTU сірого поршня для Вегові з картриджом на 1,5 мл та 3 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1,7 мг; по 3 мл розчину у попередньо наповненій шприц-ручці; 1 попередньо наповнена шприц-ручка та 4 одноразові голки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Вест Фармасьютікалз Продактс Айрленд, Лтд., Каррікферіш Роуд, Вотерфорд, X91 R9V6, Ірландія, як альтернативного постачальника RTU сірого поршня для Вегові з картриджом на 1,5 мл та 3 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ВЕГОВІ®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semaglutide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семаглутид*</w:t>
            </w:r>
          </w:p>
          <w:p>
            <w:pPr>
              <w:pStyle w:val="Normal"/>
              <w:tabs>
                <w:tab w:val="left" w:pos="12600" w:leader="none"/>
              </w:tabs>
              <w:rPr>
                <w:rFonts w:ascii="Arial" w:hAnsi="Arial" w:cs="Arial"/>
                <w:color w:val="000000"/>
                <w:sz w:val="16"/>
                <w:szCs w:val="16"/>
              </w:rPr>
            </w:pPr>
            <w:r>
              <w:rPr>
                <w:rFonts w:cs="Arial" w:ascii="Arial" w:hAnsi="Arial"/>
                <w:sz w:val="16"/>
                <w:szCs w:val="16"/>
              </w:rPr>
              <w:t>* Аналог людського глюкагоноподібного пептиду-1 (ГПП-1), виготовлений за технологією рекомбінантної ДНК в Saccharomyces cerevisiae</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A10BJ06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2,4 мг; по 3 мл розчину у попередньо наповненій шприц-ручці; 1 або 3 попередньо наповнені шприц-ручки та 4 або 12 одноразових голок НовоФайн® Плюс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приготування, наповнення та контроль якості продукції in bulk (картриджі по 1,5 мл та 3 мл). Відповідальний за випуск серії готового лікарського засобу: А/Т Ново Нордіск, Данія; </w:t>
              <w:br/>
              <w:t xml:space="preserve">приготування, наповнення та контроль якості продукції in bulk (картриджі по 1,5 мл та 3 мл). Комплектування, маркування та пакування готового лікарського засобу (семаглутид, розчин для ін'єкцій по 1,5 мл та 3 мл, попередньо наповнена шприц-ручка PDS290 для семаглутиду): А/Т Ново Нордіск, Данiя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 Додавання Вест Фармасьютікалз Продактс Айрленд, Лтд., Каррікферіш Роуд, Вотерфорд, X91 R9V6, Ірландія, як альтернативного постачальника RTU сірого поршня для Вегові з картриджом на 1,5 мл та 3 мл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UA/20617/01/05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ВЕНОГЕПАНОЛ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heparin,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венорутинол, гепарин,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C05BA53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40 г у тубі; по 1 тубі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Отримання оновленого СЕР для АФІ Гепарин натрію від затвердженого виробника "Hebeі Changshan Biochemical Pharmaceutical Co. Ltd", Китай (діюча редакція: СЕР 2005 - 270 - Rev 12; пропонована редакція: СЕР 2005 - 270 - Rev 13)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UA/7100/01/01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ВЕНОГЕПАНОЛ 1000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heparin,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венорутинол, гепарину натрію, 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C05BA53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по 40 г у тубі; по 1 тубі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2005 - 270 - Rev 13 для АФІ Гепарін натрію від затвердженого виробника "Hebeі Changshan Biochemical Pharmaceutical Co. Ltd", Китай у зв'язку з введенням фірми- виробника проміжної продукції АФІ (діюча редакція: СЕР 2005 - 270 - Rev 12 пропонована редакція: затверджений СЕР СЕР 2005 - 270 - Rev 13)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ВЕРТИНЕКС®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prochlorperazine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прохлорперазину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1 блістеру в картонній упаковці; по 10 таблеток у блістері; по 1 блістеру в картонній упаковці; по 10 картонних упаковок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ВЕРТИНЕКС®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prochlorperazine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прохлорперазину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in bulk: № 12600 (10х1260) по 10 таблеток у блістері; по 1260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ВИДАНОЛ®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500 мг; по 10 таблеток у блістері; по 3 або по 6 блістерів у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Введення змін протягом 12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UA/14215/01/01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ВИДАНОЛ®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500 мг in bulk по 10 таблеток у блістері; по 150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розділу "Побічні реакції" щодо безпеки застосування діючої речовини транексамова кислота відповідно до рекомендацій PRAC. Введення змін протягом 12 місяців після затвердження.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Зміни внесено до Інструкції для медичного застосування лікарського засобу до розділу "Виробник". Затверджено: Виробник. ТОВ «ГЛЕДФАРМ ЛТД». Запропоновано: Виробник. ТОВ «КУСУМ». Та як наслідок зміни до тексту маркування упаковки лікарського засобу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"ГЛЕДФАРМ ЛТД", Україна. Запропоновано: ТОВ "КУСУМ", Україна. Зміни внесено до Інструкції для медичного застосування лікарського засобу до розділу "Виробник". Затверджено: Виробник. ТОВ «ГЛЕДФАРМ ЛТД». Запропоновано: Виробник. ТОВ «КУСУМ». Та як наслідок зміни до тексту маркування упаковки лікарського засобу Зміни внесено до Інструкції для медичного застосування лікарського засобу до розділу "Місцезнаходження виробника та адреса місця провадження його діяльності". Та як наслідок зміни до тексту маркування упаковки лікарського засобу до відповідних розділів. Введення змін протягом 12-ти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вторинне пакування з продукції in bulk, виготовленої виробником КУСУМ ХЕЛТХКЕР ПВТ ЛТД / KUSUM HEALTHCARE PVT LTD, з метою оптимізації виробництва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 якості Введення змін протягом 12-ти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Введення змін протягом 12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UA/19694/01/01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ВІДІСІК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карбомер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очний 0,2 % по 10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UA/8536/01/01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ВІНОРЕЛЬБІН "ЕБЕВЕ"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vinorelbine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вінорельбін (у вигляді вінорельбіну тартрату)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1 мл (10 мг) або 5 мл (50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ЕБЕВЕ Фарма Гес.м.б.Х. Нфг. КГ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ФАРЕВА Унтерах ГмбХ, Австрія; випуск серії: ЕБЕВЕ Фарма Гес.м.б.Х. Нфг. КГ, Австрія; тестування: МПЛ Мікробіологішес Прюфлабор ГмбХ, Австрія; тестування: Лабор ЛС СЕ &amp; Ко.КГ,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(стерильні лікарські засоби) Додавання альтернативного скляного флакону 2R 2 мл типу blowback, який використовуватиметься як первинне пакування для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ВОГЛІБОЗ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voglibose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воглібоз</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кристали або кристалічний порошок (субстанція) у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ТОВ «КУСУМ»</w:t>
            </w:r>
          </w:p>
          <w:p>
            <w:pPr>
              <w:pStyle w:val="Normal"/>
              <w:autoSpaceDE w:val="false"/>
              <w:jc w:val="center"/>
              <w:rPr>
                <w:rFonts w:ascii="Arial" w:hAnsi="Arial" w:cs="Arial"/>
                <w:bCs/>
                <w:color w:val="000000"/>
                <w:sz w:val="16"/>
                <w:szCs w:val="16"/>
              </w:rPr>
            </w:pPr>
            <w:r>
              <w:rPr>
                <w:rFonts w:cs="Arial" w:ascii="Arial" w:hAnsi="Arial"/>
                <w:bCs/>
                <w:color w:val="000000"/>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КОЛОН ЛАЙФ САЄНС, ІНК.</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Республiка Корея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Діюча редакція: ТОВ «ГЛЕДФАРМ ЛТД», Україна. Пропонована редакція: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i/>
                <w:i/>
                <w:color w:val="000000"/>
                <w:sz w:val="16"/>
                <w:szCs w:val="16"/>
              </w:rPr>
            </w:pPr>
            <w:r>
              <w:rPr>
                <w:rFonts w:cs="Arial" w:ascii="Arial" w:hAnsi="Arial"/>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ВОРИКОНАЗОЛ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200 мг; 1 флакон з порошком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Дженофарм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Хайнань Полі Фарм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"Протипоказання", "Взаємодія з іншими лікарськими засобами та інші види взаємодій" згідно з інформацією щодо медичного застосування референтного лікарського засобу (VFEND 200 mg powder for solution for infusion) (eCTD версія 0001).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J02AC03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14 таблеток у блістері; по 1 або по 2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дільниця з контролю якості: АСТРОН РЕСЬОРЧ ЛІМІТЕД, Велика Британія; дільниця з контролю якості: Фармадокс Хелскеа Лтд., Мальта; додаткова дільниця з первинного та вторинного пакування: АККОРД ХЕЛСКЕА ЛІМІТЕД, Велика Британiя; додаткова дільниця з вторинного пакування: АККОРД-ЮКЕЙ ЛІМІТЕД, Велика Британія; додаткова дільниця з вторинного пакування: ДЧЛ САПЛІ ЧЕЙН (Італія) СПА, Італiя; відповідальний за випуск серії: АККОРД ХЕЛСКЕА ЛІМІТЕД, Велика Британія; Аккорд Хелскеа Полска Сп. з o.o.,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Мальта/ Італiя/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збільшення терміну зберігання нерозфасованої продукції з 270 днів до 360 днів. Внесено редакційні зміни у розділи 3.2.Р.2; 3.2.Р.3.3.; 3.2.Р.3.5.; 3.2.Р.5.4.; 3.2.Р.7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w:t>
              <w:br/>
              <w:t xml:space="preserve">зміна межі стійкості до роздавлювання (твердості) таблеток непокритих з «60 N-130 N» на «60 N-145 N»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UA/20312/01/01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ВОРИКОНАЗОЛ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J02AC03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інфузій по 200 мг;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дільниця з контролю якості: АСТРОН РЕСЬОРЧ ЛІМІТЕД, Велика Британiя;</w:t>
              <w:br/>
              <w:t>дільниця з контролю якості: Фармадокс Хелскеа Лтд., Мальта;</w:t>
              <w:br/>
              <w:t>додаткова дільниця з вторинного пакування: АККОРД ХЕЛСКЕА ЛІМІТЕД, Велика Британія;</w:t>
              <w:br/>
              <w:t>додаткова дільниця з вторинного пакування: Синоптиз Індастріал Сп. з о.о., Польща;</w:t>
              <w:br/>
              <w:t>відповідальний за випуск серії: Аккорд Хелскеа Лімітед, Велика Британія;</w:t>
              <w:br/>
              <w:t>Аккорд Хелскеа Полска Сп. з о.о. ,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Британiя/ Мальта/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UA/20562/01/01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ГАБАЛЕПТ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желатинові по 300 мг; по 10 капсул у блістері; по 3 блістери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розділів "Особливості застосування" та "Побічні реакції" щодо безпеки застосування діючої речовини відповідно до рекомендацій PRAC.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ГАБАПЕНТИН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100 мг; по 10 капсул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ГАБАПЕНТИН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ГАБАПЕНТИН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gabapentin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габапентин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400 мг; по 10 капсул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UA/21261/01/03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ГАВІСКОН® М'ЯТНА СУСПЕНЗІЯ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натрію альгінат, натрію бікарбонат, кальцію карбонат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150 мл або по 300 мл у флаконах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UA/6865/01/02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концентрату для розчину для інфузій по 150 мг, ліофілізат для концентрату для розчину для iнфузiй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Дженентек Інк., США; Виробництво нерозфасованої продукції, первинне пакування, вторинне пакування, випробування контролю якості, випуск серії: Рош Діагностикс ГмбХ, Німеччина; Вторинне пакування, випробування контролю якості,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США</w:t>
            </w:r>
            <w:r>
              <w:rPr>
                <w:rFonts w:cs="Arial" w:ascii="Arial" w:hAnsi="Arial"/>
                <w:color w:val="000000"/>
                <w:sz w:val="16"/>
                <w:szCs w:val="16"/>
                <w:lang w:val="en-US"/>
              </w:rPr>
              <w:t>/</w:t>
            </w:r>
            <w:r>
              <w:rPr>
                <w:rFonts w:cs="Arial" w:ascii="Arial" w:hAnsi="Arial"/>
                <w:color w:val="000000"/>
                <w:sz w:val="16"/>
                <w:szCs w:val="16"/>
              </w:rPr>
              <w:t xml:space="preserve"> Німеччина</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частоти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термінів</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регулярно</w:t>
            </w:r>
            <w:r>
              <w:rPr>
                <w:rFonts w:cs="Arial" w:ascii="Arial" w:hAnsi="Arial"/>
                <w:color w:val="000000"/>
                <w:sz w:val="16"/>
                <w:szCs w:val="16"/>
                <w:lang w:val="en-US"/>
              </w:rPr>
              <w:t xml:space="preserve"> </w:t>
            </w:r>
            <w:r>
              <w:rPr>
                <w:rFonts w:cs="Arial" w:ascii="Arial" w:hAnsi="Arial"/>
                <w:color w:val="000000"/>
                <w:sz w:val="16"/>
                <w:szCs w:val="16"/>
              </w:rPr>
              <w:t>оновлюваних</w:t>
            </w:r>
            <w:r>
              <w:rPr>
                <w:rFonts w:cs="Arial" w:ascii="Arial" w:hAnsi="Arial"/>
                <w:color w:val="000000"/>
                <w:sz w:val="16"/>
                <w:szCs w:val="16"/>
                <w:lang w:val="en-US"/>
              </w:rPr>
              <w:t xml:space="preserve"> </w:t>
            </w:r>
            <w:r>
              <w:rPr>
                <w:rFonts w:cs="Arial" w:ascii="Arial" w:hAnsi="Arial"/>
                <w:color w:val="000000"/>
                <w:sz w:val="16"/>
                <w:szCs w:val="16"/>
              </w:rPr>
              <w:t>звітів</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r>
              <w:rPr>
                <w:rFonts w:cs="Arial" w:ascii="Arial" w:hAnsi="Arial"/>
                <w:color w:val="000000"/>
                <w:sz w:val="16"/>
                <w:szCs w:val="16"/>
              </w:rPr>
              <w:t>лікарських</w:t>
            </w:r>
            <w:r>
              <w:rPr>
                <w:rFonts w:cs="Arial" w:ascii="Arial" w:hAnsi="Arial"/>
                <w:color w:val="000000"/>
                <w:sz w:val="16"/>
                <w:szCs w:val="16"/>
                <w:lang w:val="en-US"/>
              </w:rPr>
              <w:t xml:space="preserve"> </w:t>
            </w:r>
            <w:r>
              <w:rPr>
                <w:rFonts w:cs="Arial" w:ascii="Arial" w:hAnsi="Arial"/>
                <w:color w:val="000000"/>
                <w:sz w:val="16"/>
                <w:szCs w:val="16"/>
              </w:rPr>
              <w:t>засобів</w:t>
            </w:r>
            <w:r>
              <w:rPr>
                <w:rFonts w:cs="Arial" w:ascii="Arial" w:hAnsi="Arial"/>
                <w:color w:val="000000"/>
                <w:sz w:val="16"/>
                <w:szCs w:val="16"/>
                <w:lang w:val="en-US"/>
              </w:rPr>
              <w:t xml:space="preserve"> -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частоти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термінів</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регулярно</w:t>
            </w:r>
            <w:r>
              <w:rPr>
                <w:rFonts w:cs="Arial" w:ascii="Arial" w:hAnsi="Arial"/>
                <w:color w:val="000000"/>
                <w:sz w:val="16"/>
                <w:szCs w:val="16"/>
                <w:lang w:val="en-US"/>
              </w:rPr>
              <w:t xml:space="preserve"> </w:t>
            </w:r>
            <w:r>
              <w:rPr>
                <w:rFonts w:cs="Arial" w:ascii="Arial" w:hAnsi="Arial"/>
                <w:color w:val="000000"/>
                <w:sz w:val="16"/>
                <w:szCs w:val="16"/>
              </w:rPr>
              <w:t>оновлюваного</w:t>
            </w:r>
            <w:r>
              <w:rPr>
                <w:rFonts w:cs="Arial" w:ascii="Arial" w:hAnsi="Arial"/>
                <w:color w:val="000000"/>
                <w:sz w:val="16"/>
                <w:szCs w:val="16"/>
                <w:lang w:val="en-US"/>
              </w:rPr>
              <w:t xml:space="preserve"> </w:t>
            </w:r>
            <w:r>
              <w:rPr>
                <w:rFonts w:cs="Arial" w:ascii="Arial" w:hAnsi="Arial"/>
                <w:color w:val="000000"/>
                <w:sz w:val="16"/>
                <w:szCs w:val="16"/>
              </w:rPr>
              <w:t>звіту</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br/>
            </w:r>
            <w:r>
              <w:rPr>
                <w:rFonts w:cs="Arial" w:ascii="Arial" w:hAnsi="Arial"/>
                <w:color w:val="000000"/>
                <w:sz w:val="16"/>
                <w:szCs w:val="16"/>
              </w:rPr>
              <w:t xml:space="preserve">Діюча редакція: Частота подання регулярно оновлюваного звіту з безпеки 1 рік. Кінцева дата для включення даних до РОЗБ - 24.03.2018 р. Дата подання РОЗБ - 02.06.2018 р. Пропонована редакція: Частота подання регулярно оновлюваного звіту з безпеки 3 роки. Кінцева дата для включення даних до РОЗБ - 24.09.2027 р. Дата подання РОЗБ - 23.12.2027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концентрату для розчину для інфузій по 440 мг; ліофілізат для концентрату для розчину для iнфузiй у флаконі, разом з 20 мл розчинника (розчинник: бактеріостатична вода для ін'єкцій 20 мл, що містить 1,1% бензилового спирту та воду для ін'єкцій) у флаконі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випробування контролю якості (тільки стерильність та механічні включення): Дженентек Інк., США; Дженентек Інк., США; </w:t>
              <w:br/>
              <w:t>Виробництво нерозфасованої продукції, первинне пакування, випробування контролю якості: Рош Діагностикс ГмбХ, Німеччина;</w:t>
              <w:br/>
              <w:t xml:space="preserve">Вторинне пакування, випробування контролю якості, випуск серії: Ф.Хоффманн-Ля Рош Лтд, Швейцарія; </w:t>
              <w:br/>
              <w:t>Розчинник: Виробництво нерозфасованої продукції, первинне пакування, вторинне пакування, випробування контролю якості, випуск серії: Ф.Хоффманн-Ля Рош Лтд, Швейцарія;</w:t>
              <w:br/>
              <w:t xml:space="preserve">Виробництво нерозфасованої продукції, первинне пакування, випробування контролю якості: Зігфрід Гамельн ГмбХ, Німеччина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США</w:t>
            </w:r>
            <w:r>
              <w:rPr>
                <w:rFonts w:cs="Arial" w:ascii="Arial" w:hAnsi="Arial"/>
                <w:color w:val="000000"/>
                <w:sz w:val="16"/>
                <w:szCs w:val="16"/>
                <w:lang w:val="en-US"/>
              </w:rPr>
              <w:t>/</w:t>
            </w:r>
            <w:r>
              <w:rPr>
                <w:rFonts w:cs="Arial" w:ascii="Arial" w:hAnsi="Arial"/>
                <w:color w:val="000000"/>
                <w:sz w:val="16"/>
                <w:szCs w:val="16"/>
              </w:rPr>
              <w:t xml:space="preserve"> Німеччина</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частоти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термінів</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регулярно</w:t>
            </w:r>
            <w:r>
              <w:rPr>
                <w:rFonts w:cs="Arial" w:ascii="Arial" w:hAnsi="Arial"/>
                <w:color w:val="000000"/>
                <w:sz w:val="16"/>
                <w:szCs w:val="16"/>
                <w:lang w:val="en-US"/>
              </w:rPr>
              <w:t xml:space="preserve"> </w:t>
            </w:r>
            <w:r>
              <w:rPr>
                <w:rFonts w:cs="Arial" w:ascii="Arial" w:hAnsi="Arial"/>
                <w:color w:val="000000"/>
                <w:sz w:val="16"/>
                <w:szCs w:val="16"/>
              </w:rPr>
              <w:t>оновлюваних</w:t>
            </w:r>
            <w:r>
              <w:rPr>
                <w:rFonts w:cs="Arial" w:ascii="Arial" w:hAnsi="Arial"/>
                <w:color w:val="000000"/>
                <w:sz w:val="16"/>
                <w:szCs w:val="16"/>
                <w:lang w:val="en-US"/>
              </w:rPr>
              <w:t xml:space="preserve"> </w:t>
            </w:r>
            <w:r>
              <w:rPr>
                <w:rFonts w:cs="Arial" w:ascii="Arial" w:hAnsi="Arial"/>
                <w:color w:val="000000"/>
                <w:sz w:val="16"/>
                <w:szCs w:val="16"/>
              </w:rPr>
              <w:t>звітів</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r>
            <w:r>
              <w:rPr>
                <w:rFonts w:cs="Arial" w:ascii="Arial" w:hAnsi="Arial"/>
                <w:color w:val="000000"/>
                <w:sz w:val="16"/>
                <w:szCs w:val="16"/>
              </w:rPr>
              <w:t>лікарських</w:t>
            </w:r>
            <w:r>
              <w:rPr>
                <w:rFonts w:cs="Arial" w:ascii="Arial" w:hAnsi="Arial"/>
                <w:color w:val="000000"/>
                <w:sz w:val="16"/>
                <w:szCs w:val="16"/>
                <w:lang w:val="en-US"/>
              </w:rPr>
              <w:t xml:space="preserve"> </w:t>
            </w:r>
            <w:r>
              <w:rPr>
                <w:rFonts w:cs="Arial" w:ascii="Arial" w:hAnsi="Arial"/>
                <w:color w:val="000000"/>
                <w:sz w:val="16"/>
                <w:szCs w:val="16"/>
              </w:rPr>
              <w:t>засобів</w:t>
            </w:r>
            <w:r>
              <w:rPr>
                <w:rFonts w:cs="Arial" w:ascii="Arial" w:hAnsi="Arial"/>
                <w:color w:val="000000"/>
                <w:sz w:val="16"/>
                <w:szCs w:val="16"/>
                <w:lang w:val="en-US"/>
              </w:rPr>
              <w:t xml:space="preserve"> -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частоти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термінів</w:t>
            </w:r>
            <w:r>
              <w:rPr>
                <w:rFonts w:cs="Arial" w:ascii="Arial" w:hAnsi="Arial"/>
                <w:color w:val="000000"/>
                <w:sz w:val="16"/>
                <w:szCs w:val="16"/>
                <w:lang w:val="en-US"/>
              </w:rPr>
              <w:t xml:space="preserve"> </w:t>
            </w:r>
            <w:r>
              <w:rPr>
                <w:rFonts w:cs="Arial" w:ascii="Arial" w:hAnsi="Arial"/>
                <w:color w:val="000000"/>
                <w:sz w:val="16"/>
                <w:szCs w:val="16"/>
              </w:rPr>
              <w:t>подання</w:t>
            </w:r>
            <w:r>
              <w:rPr>
                <w:rFonts w:cs="Arial" w:ascii="Arial" w:hAnsi="Arial"/>
                <w:color w:val="000000"/>
                <w:sz w:val="16"/>
                <w:szCs w:val="16"/>
                <w:lang w:val="en-US"/>
              </w:rPr>
              <w:t xml:space="preserve"> </w:t>
            </w:r>
            <w:r>
              <w:rPr>
                <w:rFonts w:cs="Arial" w:ascii="Arial" w:hAnsi="Arial"/>
                <w:color w:val="000000"/>
                <w:sz w:val="16"/>
                <w:szCs w:val="16"/>
              </w:rPr>
              <w:t>регулярно</w:t>
            </w:r>
            <w:r>
              <w:rPr>
                <w:rFonts w:cs="Arial" w:ascii="Arial" w:hAnsi="Arial"/>
                <w:color w:val="000000"/>
                <w:sz w:val="16"/>
                <w:szCs w:val="16"/>
                <w:lang w:val="en-US"/>
              </w:rPr>
              <w:t xml:space="preserve"> </w:t>
            </w:r>
            <w:r>
              <w:rPr>
                <w:rFonts w:cs="Arial" w:ascii="Arial" w:hAnsi="Arial"/>
                <w:color w:val="000000"/>
                <w:sz w:val="16"/>
                <w:szCs w:val="16"/>
              </w:rPr>
              <w:t>оновлюваного</w:t>
            </w:r>
            <w:r>
              <w:rPr>
                <w:rFonts w:cs="Arial" w:ascii="Arial" w:hAnsi="Arial"/>
                <w:color w:val="000000"/>
                <w:sz w:val="16"/>
                <w:szCs w:val="16"/>
                <w:lang w:val="en-US"/>
              </w:rPr>
              <w:t xml:space="preserve"> </w:t>
            </w:r>
            <w:r>
              <w:rPr>
                <w:rFonts w:cs="Arial" w:ascii="Arial" w:hAnsi="Arial"/>
                <w:color w:val="000000"/>
                <w:sz w:val="16"/>
                <w:szCs w:val="16"/>
              </w:rPr>
              <w:t>звіту</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 xml:space="preserve">. </w:t>
              <w:br/>
            </w:r>
            <w:r>
              <w:rPr>
                <w:rFonts w:cs="Arial" w:ascii="Arial" w:hAnsi="Arial"/>
                <w:color w:val="000000"/>
                <w:sz w:val="16"/>
                <w:szCs w:val="16"/>
              </w:rPr>
              <w:t xml:space="preserve">Діюча редакція: Частота подання регулярно оновлюваного звіту з безпеки 1 рік. Кінцева дата для включення даних до РОЗБ - 24.03.2018 р. Дата подання РОЗБ - 02.06.2018 р. Пропонована редакція: Частота подання регулярно оновлюваного звіту з безпеки 3 роки. Кінцева дата для включення даних до РОЗБ - 24.09.2027 р. Дата подання РОЗБ - 23.12.2027 р. Рекомендовано до затвердження відповідно до періодичності подання регулярно оновлюваних звітів з безпеки лікарських засобів у ЄС.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UA/13007/01/02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ГЛЕМОНТ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montelukast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монтелукаст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R03DC03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в картонній коробці; по 30 таблеток у контейнері;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UA/14000/01/01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ГЛЕНЦЕТ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levocetirizine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левоцетиризину дигідрохлорид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R06AE09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по 10 таблеток у блістері; по 1 або по 3, або по 10 блістерів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ГЛЮКОФАЖ XR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пролонгованої дії по 500 мг; по 15 таблеток у блістері; по 2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Мерк Санте с.а.с.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Мерк Санте, Францiя;</w:t>
            </w:r>
          </w:p>
          <w:p>
            <w:pPr>
              <w:pStyle w:val="Normal"/>
              <w:autoSpaceDE w:val="false"/>
              <w:jc w:val="center"/>
              <w:rPr>
                <w:rFonts w:ascii="Arial" w:hAnsi="Arial" w:cs="Arial"/>
                <w:bCs/>
                <w:sz w:val="16"/>
                <w:szCs w:val="16"/>
              </w:rPr>
            </w:pPr>
            <w:r>
              <w:rPr>
                <w:rFonts w:cs="Arial" w:ascii="Arial" w:hAnsi="Arial"/>
                <w:bCs/>
                <w:color w:val="000000"/>
                <w:sz w:val="16"/>
                <w:szCs w:val="16"/>
              </w:rPr>
              <w:t>контроль/випробування серії (визначення N-нітрозодиметиламіну (NDMA):</w:t>
            </w:r>
          </w:p>
          <w:p>
            <w:pPr>
              <w:pStyle w:val="Normal"/>
              <w:autoSpaceDE w:val="false"/>
              <w:jc w:val="center"/>
              <w:rPr>
                <w:rFonts w:ascii="Arial" w:hAnsi="Arial" w:cs="Arial"/>
                <w:bCs/>
                <w:sz w:val="16"/>
                <w:szCs w:val="16"/>
              </w:rPr>
            </w:pPr>
            <w:r>
              <w:rPr>
                <w:rFonts w:cs="Arial" w:ascii="Arial" w:hAnsi="Arial"/>
                <w:bCs/>
                <w:color w:val="000000"/>
                <w:sz w:val="16"/>
                <w:szCs w:val="16"/>
              </w:rPr>
              <w:t>Єврофінс Аматсі Аналітікс, Францiя;</w:t>
            </w:r>
          </w:p>
          <w:p>
            <w:pPr>
              <w:pStyle w:val="Normal"/>
              <w:autoSpaceDE w:val="false"/>
              <w:jc w:val="center"/>
              <w:rPr>
                <w:rFonts w:ascii="Arial" w:hAnsi="Arial" w:cs="Arial"/>
                <w:bCs/>
                <w:sz w:val="16"/>
                <w:szCs w:val="16"/>
              </w:rPr>
            </w:pPr>
            <w:r>
              <w:rPr>
                <w:rFonts w:cs="Arial" w:ascii="Arial" w:hAnsi="Arial"/>
                <w:bCs/>
                <w:color w:val="000000"/>
                <w:sz w:val="16"/>
                <w:szCs w:val="16"/>
              </w:rPr>
              <w:t>Мерк Хелскеа КГаА,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 специфікації ГЛЗ додано показник «N-нітрозодиметиламін (NDMA)» з відповідним методом випробування з примітками: тест виконується тільки при випуску; випробування проводять на одній партії кожні десять партій або щонайменше один раз на рік.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Додано дільницю Eurofins Amatsi Analytics, France, на якій буде здійснюватися контроль/випробування серії готового лікарського засобу Глюкофаж XR, таблетки пролонгованої дії по 500 мг, за показником N-Нітрозодиметиламін (NDMA).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Додано дільницю Merck Healthcare KGaA, Germany, на якій буде здійснюватися контроль/випробування серії готового лікарського засобу Глюкофаж XR, таблетки пролонгованої дії по 500 мг, за показником N-нітрозодиметиламін (NDMA).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Додано додатковий розмір серії 655,5 кг для готового лікарського засобу Глюкофаж XR, таблетки пролонгованої дії по 500 мг до зареєстрованого розміру серії 492,9 кг.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UA/3994/02/01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900 МО (66 мкг)/1,44 мл; по 1,44 мл у картриджі з пробкою-поршнем та рифленою кришечкою, вміщеному у ручку для введення; по 1 ручці та 16 голок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Вилучено незначний параметр «Важкі метали» (у вигляді свинцю) зі специфікації вихідної речовини - розчину аміаку 25 %, яка використовується в процесі виробництва активної речовини фолітропіну альфа.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 Заміна голок Pencylcap розміром 29G x 12 мм з маркуванням CE виробництва B. Braun, які поставляються в комплекті з препаратом ГОНАЛ-ф®, розчин для ін'єкцій у попередньо заповнених ручках, 300 МО/0,48 мл, 450 МО/0,72 мл та 900 МО/1,44 мл, на тонкі голки Omnican® розміром 31G x 8 мм з маркуванням CE виробництва B. Braun. Заміна голок Pencylcap розміром 29G x 12 мм на більш короткі та тонкі голки Omnican® розміром 31G x 8 мм проводиться для покращення зручності проведення ін’єкцій медичними працівниками та пацієнтами. Зміна також передбачає внесення відповідних змін до інструкції для медичного застосування лікарського засобу, а саме заміну деяких малюнків у розділі «Спосіб застосування та дози». Зміни внесено до інструкції для медичного застосування лікарського засобу до розділу "Спосіб застосування та дози". Введення змін протягом 6-ти місяців після затвердження.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Додано нові випробування, що застосовуються в процесі виробництва активної речовини фолітропіну альфа (р-лФСГ),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швидкість обертання лопатевого колеса і швидкість обертання обертального фільтра на етапах посіву і нарощування клітин у виробничому біореакторі під час виробництва у режимі безперервної перфузії;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зберігання і час витримування на етапі збору неочищеної клітинної культури;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і електропровідність на етапі ультрафільтрації;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бактеріальні ендотоксини на етапі збору неочищеної клітинної культури як випробування в процесі виробництва;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електропровідність, швидкість потоку, об’єм промивання, зупинка збору при аніонообмінній хроматографії, афінній хроматографії з барвником і хроматографії гідрофобних взаємодій;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зберігання і час витримування (години і дні) для проміжного продукту bulk;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і тривалість відтаювання на етапі відтаювання і об'єднання;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температура завантаження, електропровідність завантаження на етапі елюювання III;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об'єм врівноваження, швидкість потоку, об'єм промивання 1, об'єм промивання 2, зупинка збору піків при обернено-фазній хроматографії;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електропровідність, швидкість потоку (завантаження промивання 1), об'єм промивання 1, швидкість потоку (промивання 2), об'єм промивання 2, лінійний градієнт елюювання, початок збору піків, зупинка збору піків при аніонообмінній хроматографії;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робочі перепади тиску і переривання потоку на етапах нанофільтрації;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об'єм буфера для діафільтрації на етапах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скоригована концентрація білка після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мікробіологічна контамінація перед фільтрацією крізь фільтр з розміром пор 0,2 мкм, проміжного продукту in bulk після збирання, проміжного продукту in bulk (після зберігання) та перед фільтрацією крізь фільтр з розміром пор 0,2 мкм, елюатів етапу III, етапу V, етапу VI;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бактеріальні ендотоксини проміжного продукту in bulk після збирання, проміжного продукту in bulk (після зберігання) та перед фільтрацією крізь фільтр з розміром пор 0,2 мкм, елюатів етапу III, етапу V, етапу VI.</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з якості. АФІ. Виробництво. Зміни випробувань або допустимих меж у процесі виробництва АФІ, що встановлені у специфікаціях (звуження допустимих меж) Звуження меж для деяких випробувань в процесі виробництва активної речовини фолітропіну альфа (р- лФСГ),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зміна концентрації ізопропанолу в елююті етапу IV з 13 ± 1% до 12–13 %;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завантаження сорбенту колонки для аніонообмінної хроматографії з «не більше 4» до «не більше 3»;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електропровідності при ультрафільтрації/діафільтрації та остаточній фільтрації з «не більше 50» до «не більше 10»;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PDL до інокуляції на етапі нарощування клітин у 50-літровому біореакторі з «не більше 67» до «не більше 64»; </w:t>
            </w:r>
          </w:p>
          <w:p>
            <w:pPr>
              <w:pStyle w:val="Normal"/>
              <w:tabs>
                <w:tab w:val="left" w:pos="12600" w:leader="none"/>
              </w:tabs>
              <w:jc w:val="center"/>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показник густини клітин, що дозволяє перейти від етапу нарощування до етапу виробництва при виробництві в режимі безперервної перфузії з «не менше 5 x 10</w:t>
            </w:r>
            <w:r>
              <w:rPr>
                <w:rFonts w:cs="Arial" w:ascii="Arial" w:hAnsi="Arial"/>
                <w:color w:val="000000"/>
                <w:sz w:val="16"/>
                <w:szCs w:val="16"/>
                <w:vertAlign w:val="superscript"/>
              </w:rPr>
              <w:t>6</w:t>
            </w:r>
            <w:r>
              <w:rPr>
                <w:rFonts w:cs="Arial" w:ascii="Arial" w:hAnsi="Arial"/>
                <w:color w:val="000000"/>
                <w:sz w:val="16"/>
                <w:szCs w:val="16"/>
              </w:rPr>
              <w:t xml:space="preserve"> клітин/мл» до «не менше 5,00 x 10</w:t>
            </w:r>
            <w:r>
              <w:rPr>
                <w:rFonts w:cs="Arial" w:ascii="Arial" w:hAnsi="Arial"/>
                <w:color w:val="000000"/>
                <w:sz w:val="16"/>
                <w:szCs w:val="16"/>
                <w:vertAlign w:val="superscript"/>
              </w:rPr>
              <w:t>6</w:t>
            </w:r>
            <w:r>
              <w:rPr>
                <w:rFonts w:cs="Arial" w:ascii="Arial" w:hAnsi="Arial"/>
                <w:color w:val="000000"/>
                <w:sz w:val="16"/>
                <w:szCs w:val="16"/>
              </w:rPr>
              <w:t xml:space="preserve"> клітин/мл».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робочого стандартного зразка фолітропіну альфа (р-лФСГ), що використовується в даний час, первинним стандартним зразком та вторинним стандартним зразком для фізико-хімічних методів випробування субстанції активної речовини фолітропіну альфа. Зміна пов'язана із застосуванням дворівневого підходу до стандартизації стандартних зразків (RS), що використовуються для фізико-хімічних методів контролю, таких як визначення вмісту, ідентифікації та визначення домішок у субстанції активної речовини фолітропіну альфа (р-лФСГ).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робочого стандартного зразка фолітропіну альфа (р-лФСГ), що використовується в даний час, первинним стандартним зразком та вторинним стандартним зразком для фізико-хімічних методів випробування готового лікарського засобу. Зміна пов'язана із застосуванням дворівневого підходу до стандартизації стандартних зразків (RS), що використовуються для фізико-хімічних методів контролю, таких як визначення вмісту, ідентифікації та визначення домішок у готовому лікарському засобі. Зміни І типу - Зміни з якості. Медичні пристрої (інші зміни) Скорочення кількості голок, які постачаються в комплекті із попередньо заповненою шприц-ручкою з препаратом ГОНАЛ-ф®, розчин для ін'єкцій по 900 МО /1,44 мл; скорочення кількості голок з 20 до 16 голок зумовлено тим ,що для попередньо заповненої ручки з дозуванням 900 може бути використано лише 12 голок. Зміни внесено до інструкції для медичного застосування лікарського засобу до розділу "Упаковка" з відповідними змінами до тексту маркування упаковки лікарського засобу. Введення змін протягом 6-ти місяців після затвердження. Зміни II типу - Зміни з якості. АФІ. Виробництво. Зміни випробувань або допустимих меж у процесі виробництва АФІ, що встановлені у специфікаціях (вилучення випробування в процесі виробництва, що може мати істотний влив на загальну якість АФІ) Зміни у переліку випробувань в процесі виробництва активної речовини фолітропіну альфа (р –л ФСГ), а саме видалення наступних тестів: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PDL (Population doubling Level), глюкоза, лактат, підрахунок клітин та життєздатність клітин на етапі нарощування клітин;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підрахунок клітин, життєздатність клітин, глюкоза, лактат, PDL перед інокуляцією для нарощування клітин у біореакторі об'ємом 50 л.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життєздатність клітин, підрахунок клітин, глюкоза, лактат, р-лФСГ при посіві у біореактор об'ємом 250 л;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р-лФСГ, об'ємна продуктивність наприкінці етапу роботи біореактора;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вихід р-лФСГ після очищення та концентрування, у нерозфасованому проміжному продукті bulk після збирання, після афінної хроматографії з барвником, в елюаті етапу III, в елюаті після ОФ-хроматографії, в елюаті етапу V;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розподіл ізоформ за методом ізоелектричного фокусування/Вестерн -блоттингу (ІЕФ/ВБ) у проміжному продукті bulk після збирання;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вихід білка після етапів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надлишковий тиск у реакторі на етапах посіву та нарощування клітин у виробничому біореакторі та під час виробництва у режимі безперервної перфузії.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follitropin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300 МО (22 мкг)/0,48 мл; по 0,48 мл у картриджі з пробкою-поршнем та рифленою кришечкою, вміщеному у ручку для введення; по 1 ручці та 8 голок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параметрах</w:t>
            </w:r>
            <w:r>
              <w:rPr>
                <w:rFonts w:cs="Arial" w:ascii="Arial" w:hAnsi="Arial"/>
                <w:color w:val="000000"/>
                <w:sz w:val="16"/>
                <w:szCs w:val="16"/>
                <w:lang w:val="en-US"/>
              </w:rPr>
              <w:t xml:space="preserve"> </w:t>
            </w:r>
            <w:r>
              <w:rPr>
                <w:rFonts w:cs="Arial" w:ascii="Arial" w:hAnsi="Arial"/>
                <w:color w:val="000000"/>
                <w:sz w:val="16"/>
                <w:szCs w:val="16"/>
              </w:rPr>
              <w:t>специфікацій</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допустимих</w:t>
            </w:r>
            <w:r>
              <w:rPr>
                <w:rFonts w:cs="Arial" w:ascii="Arial" w:hAnsi="Arial"/>
                <w:color w:val="000000"/>
                <w:sz w:val="16"/>
                <w:szCs w:val="16"/>
                <w:lang w:val="en-US"/>
              </w:rPr>
              <w:t xml:space="preserve"> </w:t>
            </w:r>
            <w:r>
              <w:rPr>
                <w:rFonts w:cs="Arial" w:ascii="Arial" w:hAnsi="Arial"/>
                <w:color w:val="000000"/>
                <w:sz w:val="16"/>
                <w:szCs w:val="16"/>
              </w:rPr>
              <w:t>меж</w:t>
            </w:r>
            <w:r>
              <w:rPr>
                <w:rFonts w:cs="Arial" w:ascii="Arial" w:hAnsi="Arial"/>
                <w:color w:val="000000"/>
                <w:sz w:val="16"/>
                <w:szCs w:val="16"/>
                <w:lang w:val="en-US"/>
              </w:rPr>
              <w:t xml:space="preserve">, </w:t>
            </w:r>
            <w:r>
              <w:rPr>
                <w:rFonts w:cs="Arial" w:ascii="Arial" w:hAnsi="Arial"/>
                <w:color w:val="000000"/>
                <w:sz w:val="16"/>
                <w:szCs w:val="16"/>
              </w:rPr>
              <w:t>визначених</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специфікаціях</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вихідний</w:t>
            </w:r>
            <w:r>
              <w:rPr>
                <w:rFonts w:cs="Arial" w:ascii="Arial" w:hAnsi="Arial"/>
                <w:color w:val="000000"/>
                <w:sz w:val="16"/>
                <w:szCs w:val="16"/>
                <w:lang w:val="en-US"/>
              </w:rPr>
              <w:t>/</w:t>
            </w:r>
            <w:r>
              <w:rPr>
                <w:rFonts w:cs="Arial" w:ascii="Arial" w:hAnsi="Arial"/>
                <w:color w:val="000000"/>
                <w:sz w:val="16"/>
                <w:szCs w:val="16"/>
              </w:rPr>
              <w:t>проміжний</w:t>
            </w:r>
            <w:r>
              <w:rPr>
                <w:rFonts w:cs="Arial" w:ascii="Arial" w:hAnsi="Arial"/>
                <w:color w:val="000000"/>
                <w:sz w:val="16"/>
                <w:szCs w:val="16"/>
                <w:lang w:val="en-US"/>
              </w:rPr>
              <w:t xml:space="preserve"> </w:t>
            </w:r>
            <w:r>
              <w:rPr>
                <w:rFonts w:cs="Arial" w:ascii="Arial" w:hAnsi="Arial"/>
                <w:color w:val="000000"/>
                <w:sz w:val="16"/>
                <w:szCs w:val="16"/>
              </w:rPr>
              <w:t>продукт</w:t>
            </w:r>
            <w:r>
              <w:rPr>
                <w:rFonts w:cs="Arial" w:ascii="Arial" w:hAnsi="Arial"/>
                <w:color w:val="000000"/>
                <w:sz w:val="16"/>
                <w:szCs w:val="16"/>
                <w:lang w:val="en-US"/>
              </w:rPr>
              <w:t>/</w:t>
            </w:r>
            <w:r>
              <w:rPr>
                <w:rFonts w:cs="Arial" w:ascii="Arial" w:hAnsi="Arial"/>
                <w:color w:val="000000"/>
                <w:sz w:val="16"/>
                <w:szCs w:val="16"/>
              </w:rPr>
              <w:t>реагент</w:t>
            </w:r>
            <w:r>
              <w:rPr>
                <w:rFonts w:cs="Arial" w:ascii="Arial" w:hAnsi="Arial"/>
                <w:color w:val="000000"/>
                <w:sz w:val="16"/>
                <w:szCs w:val="16"/>
                <w:lang w:val="en-US"/>
              </w:rPr>
              <w:t xml:space="preserve">, </w:t>
            </w:r>
            <w:r>
              <w:rPr>
                <w:rFonts w:cs="Arial" w:ascii="Arial" w:hAnsi="Arial"/>
                <w:color w:val="000000"/>
                <w:sz w:val="16"/>
                <w:szCs w:val="16"/>
              </w:rPr>
              <w:t>що</w:t>
            </w:r>
            <w:r>
              <w:rPr>
                <w:rFonts w:cs="Arial" w:ascii="Arial" w:hAnsi="Arial"/>
                <w:color w:val="000000"/>
                <w:sz w:val="16"/>
                <w:szCs w:val="16"/>
                <w:lang w:val="en-US"/>
              </w:rPr>
              <w:t xml:space="preserve"> </w:t>
            </w:r>
            <w:r>
              <w:rPr>
                <w:rFonts w:cs="Arial" w:ascii="Arial" w:hAnsi="Arial"/>
                <w:color w:val="000000"/>
                <w:sz w:val="16"/>
                <w:szCs w:val="16"/>
              </w:rPr>
              <w:t>використовуються</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АФІ</w:t>
            </w:r>
            <w:r>
              <w:rPr>
                <w:rFonts w:cs="Arial" w:ascii="Arial" w:hAnsi="Arial"/>
                <w:color w:val="000000"/>
                <w:sz w:val="16"/>
                <w:szCs w:val="16"/>
                <w:lang w:val="en-US"/>
              </w:rPr>
              <w:t xml:space="preserve"> (</w:t>
            </w:r>
            <w:r>
              <w:rPr>
                <w:rFonts w:cs="Arial" w:ascii="Arial" w:hAnsi="Arial"/>
                <w:color w:val="000000"/>
                <w:sz w:val="16"/>
                <w:szCs w:val="16"/>
              </w:rPr>
              <w:t>вилучення</w:t>
            </w:r>
            <w:r>
              <w:rPr>
                <w:rFonts w:cs="Arial" w:ascii="Arial" w:hAnsi="Arial"/>
                <w:color w:val="000000"/>
                <w:sz w:val="16"/>
                <w:szCs w:val="16"/>
                <w:lang w:val="en-US"/>
              </w:rPr>
              <w:t xml:space="preserve"> </w:t>
            </w:r>
            <w:r>
              <w:rPr>
                <w:rFonts w:cs="Arial" w:ascii="Arial" w:hAnsi="Arial"/>
                <w:color w:val="000000"/>
                <w:sz w:val="16"/>
                <w:szCs w:val="16"/>
              </w:rPr>
              <w:t>незначного</w:t>
            </w:r>
            <w:r>
              <w:rPr>
                <w:rFonts w:cs="Arial" w:ascii="Arial" w:hAnsi="Arial"/>
                <w:color w:val="000000"/>
                <w:sz w:val="16"/>
                <w:szCs w:val="16"/>
                <w:lang w:val="en-US"/>
              </w:rPr>
              <w:t xml:space="preserve"> </w:t>
            </w:r>
            <w:r>
              <w:rPr>
                <w:rFonts w:cs="Arial" w:ascii="Arial" w:hAnsi="Arial"/>
                <w:color w:val="000000"/>
                <w:sz w:val="16"/>
                <w:szCs w:val="16"/>
              </w:rPr>
              <w:t>показника</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наприклад</w:t>
            </w:r>
            <w:r>
              <w:rPr>
                <w:rFonts w:cs="Arial" w:ascii="Arial" w:hAnsi="Arial"/>
                <w:color w:val="000000"/>
                <w:sz w:val="16"/>
                <w:szCs w:val="16"/>
                <w:lang w:val="en-US"/>
              </w:rPr>
              <w:t xml:space="preserve"> </w:t>
            </w:r>
            <w:r>
              <w:rPr>
                <w:rFonts w:cs="Arial" w:ascii="Arial" w:hAnsi="Arial"/>
                <w:color w:val="000000"/>
                <w:sz w:val="16"/>
                <w:szCs w:val="16"/>
              </w:rPr>
              <w:t>вилучення</w:t>
            </w:r>
            <w:r>
              <w:rPr>
                <w:rFonts w:cs="Arial" w:ascii="Arial" w:hAnsi="Arial"/>
                <w:color w:val="000000"/>
                <w:sz w:val="16"/>
                <w:szCs w:val="16"/>
                <w:lang w:val="en-US"/>
              </w:rPr>
              <w:t xml:space="preserve"> </w:t>
            </w:r>
            <w:r>
              <w:rPr>
                <w:rFonts w:cs="Arial" w:ascii="Arial" w:hAnsi="Arial"/>
                <w:color w:val="000000"/>
                <w:sz w:val="16"/>
                <w:szCs w:val="16"/>
              </w:rPr>
              <w:t>застарілого</w:t>
            </w:r>
            <w:r>
              <w:rPr>
                <w:rFonts w:cs="Arial" w:ascii="Arial" w:hAnsi="Arial"/>
                <w:color w:val="000000"/>
                <w:sz w:val="16"/>
                <w:szCs w:val="16"/>
                <w:lang w:val="en-US"/>
              </w:rPr>
              <w:t xml:space="preserve"> </w:t>
            </w:r>
            <w:r>
              <w:rPr>
                <w:rFonts w:cs="Arial" w:ascii="Arial" w:hAnsi="Arial"/>
                <w:color w:val="000000"/>
                <w:sz w:val="16"/>
                <w:szCs w:val="16"/>
              </w:rPr>
              <w:t>показника</w:t>
            </w:r>
            <w:r>
              <w:rPr>
                <w:rFonts w:cs="Arial" w:ascii="Arial" w:hAnsi="Arial"/>
                <w:color w:val="000000"/>
                <w:sz w:val="16"/>
                <w:szCs w:val="16"/>
                <w:lang w:val="en-US"/>
              </w:rPr>
              <w:t xml:space="preserve">)) </w:t>
            </w:r>
            <w:r>
              <w:rPr>
                <w:rFonts w:cs="Arial" w:ascii="Arial" w:hAnsi="Arial"/>
                <w:color w:val="000000"/>
                <w:sz w:val="16"/>
                <w:szCs w:val="16"/>
              </w:rPr>
              <w:t>Вилучено</w:t>
            </w:r>
            <w:r>
              <w:rPr>
                <w:rFonts w:cs="Arial" w:ascii="Arial" w:hAnsi="Arial"/>
                <w:color w:val="000000"/>
                <w:sz w:val="16"/>
                <w:szCs w:val="16"/>
                <w:lang w:val="en-US"/>
              </w:rPr>
              <w:t xml:space="preserve"> </w:t>
            </w:r>
            <w:r>
              <w:rPr>
                <w:rFonts w:cs="Arial" w:ascii="Arial" w:hAnsi="Arial"/>
                <w:color w:val="000000"/>
                <w:sz w:val="16"/>
                <w:szCs w:val="16"/>
              </w:rPr>
              <w:t>незначний</w:t>
            </w:r>
            <w:r>
              <w:rPr>
                <w:rFonts w:cs="Arial" w:ascii="Arial" w:hAnsi="Arial"/>
                <w:color w:val="000000"/>
                <w:sz w:val="16"/>
                <w:szCs w:val="16"/>
                <w:lang w:val="en-US"/>
              </w:rPr>
              <w:t xml:space="preserve"> </w:t>
            </w:r>
            <w:r>
              <w:rPr>
                <w:rFonts w:cs="Arial" w:ascii="Arial" w:hAnsi="Arial"/>
                <w:color w:val="000000"/>
                <w:sz w:val="16"/>
                <w:szCs w:val="16"/>
              </w:rPr>
              <w:t>параметр</w:t>
            </w:r>
            <w:r>
              <w:rPr>
                <w:rFonts w:cs="Arial" w:ascii="Arial" w:hAnsi="Arial"/>
                <w:color w:val="000000"/>
                <w:sz w:val="16"/>
                <w:szCs w:val="16"/>
                <w:lang w:val="en-US"/>
              </w:rPr>
              <w:t xml:space="preserve"> «</w:t>
            </w:r>
            <w:r>
              <w:rPr>
                <w:rFonts w:cs="Arial" w:ascii="Arial" w:hAnsi="Arial"/>
                <w:color w:val="000000"/>
                <w:sz w:val="16"/>
                <w:szCs w:val="16"/>
              </w:rPr>
              <w:t>Важкі</w:t>
            </w:r>
            <w:r>
              <w:rPr>
                <w:rFonts w:cs="Arial" w:ascii="Arial" w:hAnsi="Arial"/>
                <w:color w:val="000000"/>
                <w:sz w:val="16"/>
                <w:szCs w:val="16"/>
                <w:lang w:val="en-US"/>
              </w:rPr>
              <w:t xml:space="preserve"> </w:t>
            </w:r>
            <w:r>
              <w:rPr>
                <w:rFonts w:cs="Arial" w:ascii="Arial" w:hAnsi="Arial"/>
                <w:color w:val="000000"/>
                <w:sz w:val="16"/>
                <w:szCs w:val="16"/>
              </w:rPr>
              <w:t>метали</w:t>
            </w:r>
            <w:r>
              <w:rPr>
                <w:rFonts w:cs="Arial" w:ascii="Arial" w:hAnsi="Arial"/>
                <w:color w:val="000000"/>
                <w:sz w:val="16"/>
                <w:szCs w:val="16"/>
                <w:lang w:val="en-US"/>
              </w:rPr>
              <w:t>»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вигляді</w:t>
            </w:r>
            <w:r>
              <w:rPr>
                <w:rFonts w:cs="Arial" w:ascii="Arial" w:hAnsi="Arial"/>
                <w:color w:val="000000"/>
                <w:sz w:val="16"/>
                <w:szCs w:val="16"/>
                <w:lang w:val="en-US"/>
              </w:rPr>
              <w:t xml:space="preserve"> </w:t>
            </w:r>
            <w:r>
              <w:rPr>
                <w:rFonts w:cs="Arial" w:ascii="Arial" w:hAnsi="Arial"/>
                <w:color w:val="000000"/>
                <w:sz w:val="16"/>
                <w:szCs w:val="16"/>
              </w:rPr>
              <w:t>свинцю</w:t>
            </w:r>
            <w:r>
              <w:rPr>
                <w:rFonts w:cs="Arial" w:ascii="Arial" w:hAnsi="Arial"/>
                <w:color w:val="000000"/>
                <w:sz w:val="16"/>
                <w:szCs w:val="16"/>
                <w:lang w:val="en-US"/>
              </w:rPr>
              <w:t xml:space="preserve">) </w:t>
            </w:r>
            <w:r>
              <w:rPr>
                <w:rFonts w:cs="Arial" w:ascii="Arial" w:hAnsi="Arial"/>
                <w:color w:val="000000"/>
                <w:sz w:val="16"/>
                <w:szCs w:val="16"/>
              </w:rPr>
              <w:t>зі</w:t>
            </w:r>
            <w:r>
              <w:rPr>
                <w:rFonts w:cs="Arial" w:ascii="Arial" w:hAnsi="Arial"/>
                <w:color w:val="000000"/>
                <w:sz w:val="16"/>
                <w:szCs w:val="16"/>
                <w:lang w:val="en-US"/>
              </w:rPr>
              <w:t xml:space="preserve"> </w:t>
            </w:r>
            <w:r>
              <w:rPr>
                <w:rFonts w:cs="Arial" w:ascii="Arial" w:hAnsi="Arial"/>
                <w:color w:val="000000"/>
                <w:sz w:val="16"/>
                <w:szCs w:val="16"/>
              </w:rPr>
              <w:t>специфікації</w:t>
            </w:r>
            <w:r>
              <w:rPr>
                <w:rFonts w:cs="Arial" w:ascii="Arial" w:hAnsi="Arial"/>
                <w:color w:val="000000"/>
                <w:sz w:val="16"/>
                <w:szCs w:val="16"/>
                <w:lang w:val="en-US"/>
              </w:rPr>
              <w:t xml:space="preserve"> </w:t>
            </w:r>
            <w:r>
              <w:rPr>
                <w:rFonts w:cs="Arial" w:ascii="Arial" w:hAnsi="Arial"/>
                <w:color w:val="000000"/>
                <w:sz w:val="16"/>
                <w:szCs w:val="16"/>
              </w:rPr>
              <w:t>вихідної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 </w:t>
            </w:r>
            <w:r>
              <w:rPr>
                <w:rFonts w:cs="Arial" w:ascii="Arial" w:hAnsi="Arial"/>
                <w:color w:val="000000"/>
                <w:sz w:val="16"/>
                <w:szCs w:val="16"/>
              </w:rPr>
              <w:t>розчину</w:t>
            </w:r>
            <w:r>
              <w:rPr>
                <w:rFonts w:cs="Arial" w:ascii="Arial" w:hAnsi="Arial"/>
                <w:color w:val="000000"/>
                <w:sz w:val="16"/>
                <w:szCs w:val="16"/>
                <w:lang w:val="en-US"/>
              </w:rPr>
              <w:t xml:space="preserve"> </w:t>
            </w:r>
            <w:r>
              <w:rPr>
                <w:rFonts w:cs="Arial" w:ascii="Arial" w:hAnsi="Arial"/>
                <w:color w:val="000000"/>
                <w:sz w:val="16"/>
                <w:szCs w:val="16"/>
              </w:rPr>
              <w:t>аміаку</w:t>
            </w:r>
            <w:r>
              <w:rPr>
                <w:rFonts w:cs="Arial" w:ascii="Arial" w:hAnsi="Arial"/>
                <w:color w:val="000000"/>
                <w:sz w:val="16"/>
                <w:szCs w:val="16"/>
                <w:lang w:val="en-US"/>
              </w:rPr>
              <w:t xml:space="preserve"> 25 %, </w:t>
            </w:r>
            <w:r>
              <w:rPr>
                <w:rFonts w:cs="Arial" w:ascii="Arial" w:hAnsi="Arial"/>
                <w:color w:val="000000"/>
                <w:sz w:val="16"/>
                <w:szCs w:val="16"/>
              </w:rPr>
              <w:t>яка</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процесі</w:t>
            </w:r>
            <w:r>
              <w:rPr>
                <w:rFonts w:cs="Arial" w:ascii="Arial" w:hAnsi="Arial"/>
                <w:color w:val="000000"/>
                <w:sz w:val="16"/>
                <w:szCs w:val="16"/>
                <w:lang w:val="en-US"/>
              </w:rPr>
              <w:t xml:space="preserve"> </w:t>
            </w:r>
            <w:r>
              <w:rPr>
                <w:rFonts w:cs="Arial" w:ascii="Arial" w:hAnsi="Arial"/>
                <w:color w:val="000000"/>
                <w:sz w:val="16"/>
                <w:szCs w:val="16"/>
              </w:rPr>
              <w:t>виробництва</w:t>
            </w:r>
            <w:r>
              <w:rPr>
                <w:rFonts w:cs="Arial" w:ascii="Arial" w:hAnsi="Arial"/>
                <w:color w:val="000000"/>
                <w:sz w:val="16"/>
                <w:szCs w:val="16"/>
                <w:lang w:val="en-US"/>
              </w:rPr>
              <w:t xml:space="preserve"> </w:t>
            </w:r>
            <w:r>
              <w:rPr>
                <w:rFonts w:cs="Arial" w:ascii="Arial" w:hAnsi="Arial"/>
                <w:color w:val="000000"/>
                <w:sz w:val="16"/>
                <w:szCs w:val="16"/>
              </w:rPr>
              <w:t>активної</w:t>
            </w:r>
            <w:r>
              <w:rPr>
                <w:rFonts w:cs="Arial" w:ascii="Arial" w:hAnsi="Arial"/>
                <w:color w:val="000000"/>
                <w:sz w:val="16"/>
                <w:szCs w:val="16"/>
                <w:lang w:val="en-US"/>
              </w:rPr>
              <w:t xml:space="preserve"> </w:t>
            </w:r>
            <w:r>
              <w:rPr>
                <w:rFonts w:cs="Arial" w:ascii="Arial" w:hAnsi="Arial"/>
                <w:color w:val="000000"/>
                <w:sz w:val="16"/>
                <w:szCs w:val="16"/>
              </w:rPr>
              <w:t>речовини</w:t>
            </w:r>
            <w:r>
              <w:rPr>
                <w:rFonts w:cs="Arial" w:ascii="Arial" w:hAnsi="Arial"/>
                <w:color w:val="000000"/>
                <w:sz w:val="16"/>
                <w:szCs w:val="16"/>
                <w:lang w:val="en-US"/>
              </w:rPr>
              <w:t xml:space="preserve"> </w:t>
            </w:r>
            <w:r>
              <w:rPr>
                <w:rFonts w:cs="Arial" w:ascii="Arial" w:hAnsi="Arial"/>
                <w:color w:val="000000"/>
                <w:sz w:val="16"/>
                <w:szCs w:val="16"/>
              </w:rPr>
              <w:t>фолітропіну</w:t>
            </w:r>
            <w:r>
              <w:rPr>
                <w:rFonts w:cs="Arial" w:ascii="Arial" w:hAnsi="Arial"/>
                <w:color w:val="000000"/>
                <w:sz w:val="16"/>
                <w:szCs w:val="16"/>
                <w:lang w:val="en-US"/>
              </w:rPr>
              <w:t xml:space="preserve"> </w:t>
            </w:r>
            <w:r>
              <w:rPr>
                <w:rFonts w:cs="Arial" w:ascii="Arial" w:hAnsi="Arial"/>
                <w:color w:val="000000"/>
                <w:sz w:val="16"/>
                <w:szCs w:val="16"/>
              </w:rPr>
              <w:t>альфа</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Медичні</w:t>
            </w:r>
            <w:r>
              <w:rPr>
                <w:rFonts w:cs="Arial" w:ascii="Arial" w:hAnsi="Arial"/>
                <w:color w:val="000000"/>
                <w:sz w:val="16"/>
                <w:szCs w:val="16"/>
                <w:lang w:val="en-US"/>
              </w:rPr>
              <w:t xml:space="preserve"> </w:t>
            </w:r>
            <w:r>
              <w:rPr>
                <w:rFonts w:cs="Arial" w:ascii="Arial" w:hAnsi="Arial"/>
                <w:color w:val="000000"/>
                <w:sz w:val="16"/>
                <w:szCs w:val="16"/>
              </w:rPr>
              <w:t>пристрої</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пристроїв</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вимірювання</w:t>
            </w:r>
            <w:r>
              <w:rPr>
                <w:rFonts w:cs="Arial" w:ascii="Arial" w:hAnsi="Arial"/>
                <w:color w:val="000000"/>
                <w:sz w:val="16"/>
                <w:szCs w:val="16"/>
                <w:lang w:val="en-US"/>
              </w:rPr>
              <w:t xml:space="preserve"> </w:t>
            </w:r>
            <w:r>
              <w:rPr>
                <w:rFonts w:cs="Arial" w:ascii="Arial" w:hAnsi="Arial"/>
                <w:color w:val="000000"/>
                <w:sz w:val="16"/>
                <w:szCs w:val="16"/>
              </w:rPr>
              <w:t>дози</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додавання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заміна</w:t>
            </w:r>
            <w:r>
              <w:rPr>
                <w:rFonts w:cs="Arial" w:ascii="Arial" w:hAnsi="Arial"/>
                <w:color w:val="000000"/>
                <w:sz w:val="16"/>
                <w:szCs w:val="16"/>
                <w:lang w:val="en-US"/>
              </w:rPr>
              <w:t xml:space="preserve"> </w:t>
            </w:r>
            <w:r>
              <w:rPr>
                <w:rFonts w:cs="Arial" w:ascii="Arial" w:hAnsi="Arial"/>
                <w:color w:val="000000"/>
                <w:sz w:val="16"/>
                <w:szCs w:val="16"/>
              </w:rPr>
              <w:t>пристрою</w:t>
            </w:r>
            <w:r>
              <w:rPr>
                <w:rFonts w:cs="Arial" w:ascii="Arial" w:hAnsi="Arial"/>
                <w:color w:val="000000"/>
                <w:sz w:val="16"/>
                <w:szCs w:val="16"/>
                <w:lang w:val="en-US"/>
              </w:rPr>
              <w:t xml:space="preserve">, </w:t>
            </w:r>
            <w:r>
              <w:rPr>
                <w:rFonts w:cs="Arial" w:ascii="Arial" w:hAnsi="Arial"/>
                <w:color w:val="000000"/>
                <w:sz w:val="16"/>
                <w:szCs w:val="16"/>
              </w:rPr>
              <w:t>який</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є</w:t>
            </w:r>
            <w:r>
              <w:rPr>
                <w:rFonts w:cs="Arial" w:ascii="Arial" w:hAnsi="Arial"/>
                <w:color w:val="000000"/>
                <w:sz w:val="16"/>
                <w:szCs w:val="16"/>
                <w:lang w:val="en-US"/>
              </w:rPr>
              <w:t xml:space="preserve"> </w:t>
            </w:r>
            <w:r>
              <w:rPr>
                <w:rFonts w:cs="Arial" w:ascii="Arial" w:hAnsi="Arial"/>
                <w:color w:val="000000"/>
                <w:sz w:val="16"/>
                <w:szCs w:val="16"/>
              </w:rPr>
              <w:t>невід</w:t>
            </w:r>
            <w:r>
              <w:rPr>
                <w:rFonts w:cs="Arial" w:ascii="Arial" w:hAnsi="Arial"/>
                <w:color w:val="000000"/>
                <w:sz w:val="16"/>
                <w:szCs w:val="16"/>
                <w:lang w:val="en-US"/>
              </w:rPr>
              <w:t>'</w:t>
            </w:r>
            <w:r>
              <w:rPr>
                <w:rFonts w:cs="Arial" w:ascii="Arial" w:hAnsi="Arial"/>
                <w:color w:val="000000"/>
                <w:sz w:val="16"/>
                <w:szCs w:val="16"/>
              </w:rPr>
              <w:t>ємною</w:t>
            </w:r>
            <w:r>
              <w:rPr>
                <w:rFonts w:cs="Arial" w:ascii="Arial" w:hAnsi="Arial"/>
                <w:color w:val="000000"/>
                <w:sz w:val="16"/>
                <w:szCs w:val="16"/>
                <w:lang w:val="en-US"/>
              </w:rPr>
              <w:t xml:space="preserve"> </w:t>
            </w:r>
            <w:r>
              <w:rPr>
                <w:rFonts w:cs="Arial" w:ascii="Arial" w:hAnsi="Arial"/>
                <w:color w:val="000000"/>
                <w:sz w:val="16"/>
                <w:szCs w:val="16"/>
              </w:rPr>
              <w:t>частиною</w:t>
            </w:r>
            <w:r>
              <w:rPr>
                <w:rFonts w:cs="Arial" w:ascii="Arial" w:hAnsi="Arial"/>
                <w:color w:val="000000"/>
                <w:sz w:val="16"/>
                <w:szCs w:val="16"/>
                <w:lang w:val="en-US"/>
              </w:rPr>
              <w:t xml:space="preserve"> </w:t>
            </w:r>
            <w:r>
              <w:rPr>
                <w:rFonts w:cs="Arial" w:ascii="Arial" w:hAnsi="Arial"/>
                <w:color w:val="000000"/>
                <w:sz w:val="16"/>
                <w:szCs w:val="16"/>
              </w:rPr>
              <w:t>первинної</w:t>
            </w:r>
            <w:r>
              <w:rPr>
                <w:rFonts w:cs="Arial" w:ascii="Arial" w:hAnsi="Arial"/>
                <w:color w:val="000000"/>
                <w:sz w:val="16"/>
                <w:szCs w:val="16"/>
                <w:lang w:val="en-US"/>
              </w:rPr>
              <w:t xml:space="preserve"> </w:t>
            </w:r>
            <w:r>
              <w:rPr>
                <w:rFonts w:cs="Arial" w:ascii="Arial" w:hAnsi="Arial"/>
                <w:color w:val="000000"/>
                <w:sz w:val="16"/>
                <w:szCs w:val="16"/>
              </w:rPr>
              <w:t>упаковки</w:t>
            </w:r>
            <w:r>
              <w:rPr>
                <w:rFonts w:cs="Arial" w:ascii="Arial" w:hAnsi="Arial"/>
                <w:color w:val="000000"/>
                <w:sz w:val="16"/>
                <w:szCs w:val="16"/>
                <w:lang w:val="en-US"/>
              </w:rPr>
              <w:t xml:space="preserve">) - </w:t>
            </w:r>
            <w:r>
              <w:rPr>
                <w:rFonts w:cs="Arial" w:ascii="Arial" w:hAnsi="Arial"/>
                <w:color w:val="000000"/>
                <w:sz w:val="16"/>
                <w:szCs w:val="16"/>
              </w:rPr>
              <w:t>Пристрій</w:t>
            </w:r>
            <w:r>
              <w:rPr>
                <w:rFonts w:cs="Arial" w:ascii="Arial" w:hAnsi="Arial"/>
                <w:color w:val="000000"/>
                <w:sz w:val="16"/>
                <w:szCs w:val="16"/>
                <w:lang w:val="en-US"/>
              </w:rPr>
              <w:t xml:space="preserve">, </w:t>
            </w:r>
            <w:r>
              <w:rPr>
                <w:rFonts w:cs="Arial" w:ascii="Arial" w:hAnsi="Arial"/>
                <w:color w:val="000000"/>
                <w:sz w:val="16"/>
                <w:szCs w:val="16"/>
              </w:rPr>
              <w:t>який</w:t>
            </w:r>
            <w:r>
              <w:rPr>
                <w:rFonts w:cs="Arial" w:ascii="Arial" w:hAnsi="Arial"/>
                <w:color w:val="000000"/>
                <w:sz w:val="16"/>
                <w:szCs w:val="16"/>
                <w:lang w:val="en-US"/>
              </w:rPr>
              <w:t xml:space="preserve"> </w:t>
            </w:r>
            <w:r>
              <w:rPr>
                <w:rFonts w:cs="Arial" w:ascii="Arial" w:hAnsi="Arial"/>
                <w:color w:val="000000"/>
                <w:sz w:val="16"/>
                <w:szCs w:val="16"/>
              </w:rPr>
              <w:t>має</w:t>
            </w:r>
            <w:r>
              <w:rPr>
                <w:rFonts w:cs="Arial" w:ascii="Arial" w:hAnsi="Arial"/>
                <w:color w:val="000000"/>
                <w:sz w:val="16"/>
                <w:szCs w:val="16"/>
                <w:lang w:val="en-US"/>
              </w:rPr>
              <w:t xml:space="preserve"> </w:t>
            </w:r>
            <w:r>
              <w:rPr>
                <w:rFonts w:cs="Arial" w:ascii="Arial" w:hAnsi="Arial"/>
                <w:color w:val="000000"/>
                <w:sz w:val="16"/>
                <w:szCs w:val="16"/>
              </w:rPr>
              <w:t>СЕ</w:t>
            </w:r>
            <w:r>
              <w:rPr>
                <w:rFonts w:cs="Arial" w:ascii="Arial" w:hAnsi="Arial"/>
                <w:color w:val="000000"/>
                <w:sz w:val="16"/>
                <w:szCs w:val="16"/>
                <w:lang w:val="en-US"/>
              </w:rPr>
              <w:t>-</w:t>
            </w:r>
            <w:r>
              <w:rPr>
                <w:rFonts w:cs="Arial" w:ascii="Arial" w:hAnsi="Arial"/>
                <w:color w:val="000000"/>
                <w:sz w:val="16"/>
                <w:szCs w:val="16"/>
              </w:rPr>
              <w:t>маркування</w:t>
            </w:r>
            <w:r>
              <w:rPr>
                <w:rFonts w:cs="Arial" w:ascii="Arial" w:hAnsi="Arial"/>
                <w:color w:val="000000"/>
                <w:sz w:val="16"/>
                <w:szCs w:val="16"/>
                <w:lang w:val="en-US"/>
              </w:rPr>
              <w:t xml:space="preserve"> - </w:t>
            </w:r>
            <w:r>
              <w:rPr>
                <w:rFonts w:cs="Arial" w:ascii="Arial" w:hAnsi="Arial"/>
                <w:color w:val="000000"/>
                <w:sz w:val="16"/>
                <w:szCs w:val="16"/>
              </w:rPr>
              <w:t>Заміна</w:t>
            </w:r>
            <w:r>
              <w:rPr>
                <w:rFonts w:cs="Arial" w:ascii="Arial" w:hAnsi="Arial"/>
                <w:color w:val="000000"/>
                <w:sz w:val="16"/>
                <w:szCs w:val="16"/>
                <w:lang w:val="en-US"/>
              </w:rPr>
              <w:t xml:space="preserve"> </w:t>
            </w:r>
            <w:r>
              <w:rPr>
                <w:rFonts w:cs="Arial" w:ascii="Arial" w:hAnsi="Arial"/>
                <w:color w:val="000000"/>
                <w:sz w:val="16"/>
                <w:szCs w:val="16"/>
              </w:rPr>
              <w:t>голок</w:t>
            </w:r>
            <w:r>
              <w:rPr>
                <w:rFonts w:cs="Arial" w:ascii="Arial" w:hAnsi="Arial"/>
                <w:color w:val="000000"/>
                <w:sz w:val="16"/>
                <w:szCs w:val="16"/>
                <w:lang w:val="en-US"/>
              </w:rPr>
              <w:t xml:space="preserve"> Pencylcap </w:t>
            </w:r>
            <w:r>
              <w:rPr>
                <w:rFonts w:cs="Arial" w:ascii="Arial" w:hAnsi="Arial"/>
                <w:color w:val="000000"/>
                <w:sz w:val="16"/>
                <w:szCs w:val="16"/>
              </w:rPr>
              <w:t>розміром</w:t>
            </w:r>
            <w:r>
              <w:rPr>
                <w:rFonts w:cs="Arial" w:ascii="Arial" w:hAnsi="Arial"/>
                <w:color w:val="000000"/>
                <w:sz w:val="16"/>
                <w:szCs w:val="16"/>
                <w:lang w:val="en-US"/>
              </w:rPr>
              <w:t xml:space="preserve"> 29G x 12 </w:t>
            </w:r>
            <w:r>
              <w:rPr>
                <w:rFonts w:cs="Arial" w:ascii="Arial" w:hAnsi="Arial"/>
                <w:color w:val="000000"/>
                <w:sz w:val="16"/>
                <w:szCs w:val="16"/>
              </w:rPr>
              <w:t>мм</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маркуванням</w:t>
            </w:r>
            <w:r>
              <w:rPr>
                <w:rFonts w:cs="Arial" w:ascii="Arial" w:hAnsi="Arial"/>
                <w:color w:val="000000"/>
                <w:sz w:val="16"/>
                <w:szCs w:val="16"/>
                <w:lang w:val="en-US"/>
              </w:rPr>
              <w:t xml:space="preserve"> CE </w:t>
            </w:r>
            <w:r>
              <w:rPr>
                <w:rFonts w:cs="Arial" w:ascii="Arial" w:hAnsi="Arial"/>
                <w:color w:val="000000"/>
                <w:sz w:val="16"/>
                <w:szCs w:val="16"/>
              </w:rPr>
              <w:t>виробництва</w:t>
            </w:r>
            <w:r>
              <w:rPr>
                <w:rFonts w:cs="Arial" w:ascii="Arial" w:hAnsi="Arial"/>
                <w:color w:val="000000"/>
                <w:sz w:val="16"/>
                <w:szCs w:val="16"/>
                <w:lang w:val="en-US"/>
              </w:rPr>
              <w:t xml:space="preserve"> B. Braun, </w:t>
            </w:r>
            <w:r>
              <w:rPr>
                <w:rFonts w:cs="Arial" w:ascii="Arial" w:hAnsi="Arial"/>
                <w:color w:val="000000"/>
                <w:sz w:val="16"/>
                <w:szCs w:val="16"/>
              </w:rPr>
              <w:t>які</w:t>
            </w:r>
            <w:r>
              <w:rPr>
                <w:rFonts w:cs="Arial" w:ascii="Arial" w:hAnsi="Arial"/>
                <w:color w:val="000000"/>
                <w:sz w:val="16"/>
                <w:szCs w:val="16"/>
                <w:lang w:val="en-US"/>
              </w:rPr>
              <w:t xml:space="preserve"> </w:t>
            </w:r>
            <w:r>
              <w:rPr>
                <w:rFonts w:cs="Arial" w:ascii="Arial" w:hAnsi="Arial"/>
                <w:color w:val="000000"/>
                <w:sz w:val="16"/>
                <w:szCs w:val="16"/>
              </w:rPr>
              <w:t>поставляються</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комплекті</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препаратом</w:t>
            </w:r>
            <w:r>
              <w:rPr>
                <w:rFonts w:cs="Arial" w:ascii="Arial" w:hAnsi="Arial"/>
                <w:color w:val="000000"/>
                <w:sz w:val="16"/>
                <w:szCs w:val="16"/>
                <w:lang w:val="en-US"/>
              </w:rPr>
              <w:t xml:space="preserve"> </w:t>
            </w:r>
            <w:r>
              <w:rPr>
                <w:rFonts w:cs="Arial" w:ascii="Arial" w:hAnsi="Arial"/>
                <w:color w:val="000000"/>
                <w:sz w:val="16"/>
                <w:szCs w:val="16"/>
              </w:rPr>
              <w:t>ГОНАЛ</w:t>
            </w:r>
            <w:r>
              <w:rPr>
                <w:rFonts w:cs="Arial" w:ascii="Arial" w:hAnsi="Arial"/>
                <w:color w:val="000000"/>
                <w:sz w:val="16"/>
                <w:szCs w:val="16"/>
                <w:lang w:val="en-US"/>
              </w:rPr>
              <w:t>-</w:t>
            </w:r>
            <w:r>
              <w:rPr>
                <w:rFonts w:cs="Arial" w:ascii="Arial" w:hAnsi="Arial"/>
                <w:color w:val="000000"/>
                <w:sz w:val="16"/>
                <w:szCs w:val="16"/>
              </w:rPr>
              <w:t>ф</w:t>
            </w:r>
            <w:r>
              <w:rPr>
                <w:rFonts w:cs="Arial" w:ascii="Arial" w:hAnsi="Arial"/>
                <w:color w:val="000000"/>
                <w:sz w:val="16"/>
                <w:szCs w:val="16"/>
                <w:lang w:val="en-US"/>
              </w:rPr>
              <w:t xml:space="preserve">®, </w:t>
            </w:r>
            <w:r>
              <w:rPr>
                <w:rFonts w:cs="Arial" w:ascii="Arial" w:hAnsi="Arial"/>
                <w:color w:val="000000"/>
                <w:sz w:val="16"/>
                <w:szCs w:val="16"/>
              </w:rPr>
              <w:t>розчин</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ін</w:t>
            </w:r>
            <w:r>
              <w:rPr>
                <w:rFonts w:cs="Arial" w:ascii="Arial" w:hAnsi="Arial"/>
                <w:color w:val="000000"/>
                <w:sz w:val="16"/>
                <w:szCs w:val="16"/>
                <w:lang w:val="en-US"/>
              </w:rPr>
              <w:t>'</w:t>
            </w:r>
            <w:r>
              <w:rPr>
                <w:rFonts w:cs="Arial" w:ascii="Arial" w:hAnsi="Arial"/>
                <w:color w:val="000000"/>
                <w:sz w:val="16"/>
                <w:szCs w:val="16"/>
              </w:rPr>
              <w:t>єкцій</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попередньо</w:t>
            </w:r>
            <w:r>
              <w:rPr>
                <w:rFonts w:cs="Arial" w:ascii="Arial" w:hAnsi="Arial"/>
                <w:color w:val="000000"/>
                <w:sz w:val="16"/>
                <w:szCs w:val="16"/>
                <w:lang w:val="en-US"/>
              </w:rPr>
              <w:t xml:space="preserve"> </w:t>
            </w:r>
            <w:r>
              <w:rPr>
                <w:rFonts w:cs="Arial" w:ascii="Arial" w:hAnsi="Arial"/>
                <w:color w:val="000000"/>
                <w:sz w:val="16"/>
                <w:szCs w:val="16"/>
              </w:rPr>
              <w:t>заповнених</w:t>
            </w:r>
            <w:r>
              <w:rPr>
                <w:rFonts w:cs="Arial" w:ascii="Arial" w:hAnsi="Arial"/>
                <w:color w:val="000000"/>
                <w:sz w:val="16"/>
                <w:szCs w:val="16"/>
                <w:lang w:val="en-US"/>
              </w:rPr>
              <w:t xml:space="preserve"> </w:t>
            </w:r>
            <w:r>
              <w:rPr>
                <w:rFonts w:cs="Arial" w:ascii="Arial" w:hAnsi="Arial"/>
                <w:color w:val="000000"/>
                <w:sz w:val="16"/>
                <w:szCs w:val="16"/>
              </w:rPr>
              <w:t>ручках</w:t>
            </w:r>
            <w:r>
              <w:rPr>
                <w:rFonts w:cs="Arial" w:ascii="Arial" w:hAnsi="Arial"/>
                <w:color w:val="000000"/>
                <w:sz w:val="16"/>
                <w:szCs w:val="16"/>
                <w:lang w:val="en-US"/>
              </w:rPr>
              <w:t xml:space="preserve">, 300 </w:t>
            </w:r>
            <w:r>
              <w:rPr>
                <w:rFonts w:cs="Arial" w:ascii="Arial" w:hAnsi="Arial"/>
                <w:color w:val="000000"/>
                <w:sz w:val="16"/>
                <w:szCs w:val="16"/>
              </w:rPr>
              <w:t>МО</w:t>
            </w:r>
            <w:r>
              <w:rPr>
                <w:rFonts w:cs="Arial" w:ascii="Arial" w:hAnsi="Arial"/>
                <w:color w:val="000000"/>
                <w:sz w:val="16"/>
                <w:szCs w:val="16"/>
                <w:lang w:val="en-US"/>
              </w:rPr>
              <w:t xml:space="preserve">/0,48 </w:t>
            </w:r>
            <w:r>
              <w:rPr>
                <w:rFonts w:cs="Arial" w:ascii="Arial" w:hAnsi="Arial"/>
                <w:color w:val="000000"/>
                <w:sz w:val="16"/>
                <w:szCs w:val="16"/>
              </w:rPr>
              <w:t>мл</w:t>
            </w:r>
            <w:r>
              <w:rPr>
                <w:rFonts w:cs="Arial" w:ascii="Arial" w:hAnsi="Arial"/>
                <w:color w:val="000000"/>
                <w:sz w:val="16"/>
                <w:szCs w:val="16"/>
                <w:lang w:val="en-US"/>
              </w:rPr>
              <w:t xml:space="preserve">, 450 </w:t>
            </w:r>
            <w:r>
              <w:rPr>
                <w:rFonts w:cs="Arial" w:ascii="Arial" w:hAnsi="Arial"/>
                <w:color w:val="000000"/>
                <w:sz w:val="16"/>
                <w:szCs w:val="16"/>
              </w:rPr>
              <w:t>МО</w:t>
            </w:r>
            <w:r>
              <w:rPr>
                <w:rFonts w:cs="Arial" w:ascii="Arial" w:hAnsi="Arial"/>
                <w:color w:val="000000"/>
                <w:sz w:val="16"/>
                <w:szCs w:val="16"/>
                <w:lang w:val="en-US"/>
              </w:rPr>
              <w:t xml:space="preserve">/0,72 </w:t>
            </w:r>
            <w:r>
              <w:rPr>
                <w:rFonts w:cs="Arial" w:ascii="Arial" w:hAnsi="Arial"/>
                <w:color w:val="000000"/>
                <w:sz w:val="16"/>
                <w:szCs w:val="16"/>
              </w:rPr>
              <w:t>мл</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900 </w:t>
            </w:r>
            <w:r>
              <w:rPr>
                <w:rFonts w:cs="Arial" w:ascii="Arial" w:hAnsi="Arial"/>
                <w:color w:val="000000"/>
                <w:sz w:val="16"/>
                <w:szCs w:val="16"/>
              </w:rPr>
              <w:t>МО</w:t>
            </w:r>
            <w:r>
              <w:rPr>
                <w:rFonts w:cs="Arial" w:ascii="Arial" w:hAnsi="Arial"/>
                <w:color w:val="000000"/>
                <w:sz w:val="16"/>
                <w:szCs w:val="16"/>
                <w:lang w:val="en-US"/>
              </w:rPr>
              <w:t xml:space="preserve">/1,44 </w:t>
            </w:r>
            <w:r>
              <w:rPr>
                <w:rFonts w:cs="Arial" w:ascii="Arial" w:hAnsi="Arial"/>
                <w:color w:val="000000"/>
                <w:sz w:val="16"/>
                <w:szCs w:val="16"/>
              </w:rPr>
              <w:t>мл</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тонкі</w:t>
            </w:r>
            <w:r>
              <w:rPr>
                <w:rFonts w:cs="Arial" w:ascii="Arial" w:hAnsi="Arial"/>
                <w:color w:val="000000"/>
                <w:sz w:val="16"/>
                <w:szCs w:val="16"/>
                <w:lang w:val="en-US"/>
              </w:rPr>
              <w:t xml:space="preserve"> </w:t>
            </w:r>
            <w:r>
              <w:rPr>
                <w:rFonts w:cs="Arial" w:ascii="Arial" w:hAnsi="Arial"/>
                <w:color w:val="000000"/>
                <w:sz w:val="16"/>
                <w:szCs w:val="16"/>
              </w:rPr>
              <w:t>голки</w:t>
            </w:r>
            <w:r>
              <w:rPr>
                <w:rFonts w:cs="Arial" w:ascii="Arial" w:hAnsi="Arial"/>
                <w:color w:val="000000"/>
                <w:sz w:val="16"/>
                <w:szCs w:val="16"/>
                <w:lang w:val="en-US"/>
              </w:rPr>
              <w:t xml:space="preserve"> Omnican® </w:t>
            </w:r>
            <w:r>
              <w:rPr>
                <w:rFonts w:cs="Arial" w:ascii="Arial" w:hAnsi="Arial"/>
                <w:color w:val="000000"/>
                <w:sz w:val="16"/>
                <w:szCs w:val="16"/>
              </w:rPr>
              <w:t>розміром</w:t>
            </w:r>
            <w:r>
              <w:rPr>
                <w:rFonts w:cs="Arial" w:ascii="Arial" w:hAnsi="Arial"/>
                <w:color w:val="000000"/>
                <w:sz w:val="16"/>
                <w:szCs w:val="16"/>
                <w:lang w:val="en-US"/>
              </w:rPr>
              <w:t xml:space="preserve"> 31G x 8 </w:t>
            </w:r>
            <w:r>
              <w:rPr>
                <w:rFonts w:cs="Arial" w:ascii="Arial" w:hAnsi="Arial"/>
                <w:color w:val="000000"/>
                <w:sz w:val="16"/>
                <w:szCs w:val="16"/>
              </w:rPr>
              <w:t>мм</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маркуванням</w:t>
            </w:r>
            <w:r>
              <w:rPr>
                <w:rFonts w:cs="Arial" w:ascii="Arial" w:hAnsi="Arial"/>
                <w:color w:val="000000"/>
                <w:sz w:val="16"/>
                <w:szCs w:val="16"/>
                <w:lang w:val="en-US"/>
              </w:rPr>
              <w:t xml:space="preserve"> CE </w:t>
            </w:r>
            <w:r>
              <w:rPr>
                <w:rFonts w:cs="Arial" w:ascii="Arial" w:hAnsi="Arial"/>
                <w:color w:val="000000"/>
                <w:sz w:val="16"/>
                <w:szCs w:val="16"/>
              </w:rPr>
              <w:t>виробництва</w:t>
            </w:r>
            <w:r>
              <w:rPr>
                <w:rFonts w:cs="Arial" w:ascii="Arial" w:hAnsi="Arial"/>
                <w:color w:val="000000"/>
                <w:sz w:val="16"/>
                <w:szCs w:val="16"/>
                <w:lang w:val="en-US"/>
              </w:rPr>
              <w:t xml:space="preserve"> B. Braun. </w:t>
            </w:r>
            <w:r>
              <w:rPr>
                <w:rFonts w:cs="Arial" w:ascii="Arial" w:hAnsi="Arial"/>
                <w:color w:val="000000"/>
                <w:sz w:val="16"/>
                <w:szCs w:val="16"/>
              </w:rPr>
              <w:t>Заміна</w:t>
            </w:r>
            <w:r>
              <w:rPr>
                <w:rFonts w:cs="Arial" w:ascii="Arial" w:hAnsi="Arial"/>
                <w:color w:val="000000"/>
                <w:sz w:val="16"/>
                <w:szCs w:val="16"/>
                <w:lang w:val="en-US"/>
              </w:rPr>
              <w:t xml:space="preserve"> </w:t>
            </w:r>
            <w:r>
              <w:rPr>
                <w:rFonts w:cs="Arial" w:ascii="Arial" w:hAnsi="Arial"/>
                <w:color w:val="000000"/>
                <w:sz w:val="16"/>
                <w:szCs w:val="16"/>
              </w:rPr>
              <w:t>голок</w:t>
            </w:r>
            <w:r>
              <w:rPr>
                <w:rFonts w:cs="Arial" w:ascii="Arial" w:hAnsi="Arial"/>
                <w:color w:val="000000"/>
                <w:sz w:val="16"/>
                <w:szCs w:val="16"/>
                <w:lang w:val="en-US"/>
              </w:rPr>
              <w:t xml:space="preserve"> Pencylcap </w:t>
            </w:r>
            <w:r>
              <w:rPr>
                <w:rFonts w:cs="Arial" w:ascii="Arial" w:hAnsi="Arial"/>
                <w:color w:val="000000"/>
                <w:sz w:val="16"/>
                <w:szCs w:val="16"/>
              </w:rPr>
              <w:t>розміром</w:t>
            </w:r>
            <w:r>
              <w:rPr>
                <w:rFonts w:cs="Arial" w:ascii="Arial" w:hAnsi="Arial"/>
                <w:color w:val="000000"/>
                <w:sz w:val="16"/>
                <w:szCs w:val="16"/>
                <w:lang w:val="en-US"/>
              </w:rPr>
              <w:t xml:space="preserve"> 29G x 12 </w:t>
            </w:r>
            <w:r>
              <w:rPr>
                <w:rFonts w:cs="Arial" w:ascii="Arial" w:hAnsi="Arial"/>
                <w:color w:val="000000"/>
                <w:sz w:val="16"/>
                <w:szCs w:val="16"/>
              </w:rPr>
              <w:t>мм</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w:t>
            </w:r>
            <w:r>
              <w:rPr>
                <w:rFonts w:cs="Arial" w:ascii="Arial" w:hAnsi="Arial"/>
                <w:color w:val="000000"/>
                <w:sz w:val="16"/>
                <w:szCs w:val="16"/>
              </w:rPr>
              <w:t>більш</w:t>
            </w:r>
            <w:r>
              <w:rPr>
                <w:rFonts w:cs="Arial" w:ascii="Arial" w:hAnsi="Arial"/>
                <w:color w:val="000000"/>
                <w:sz w:val="16"/>
                <w:szCs w:val="16"/>
                <w:lang w:val="en-US"/>
              </w:rPr>
              <w:t xml:space="preserve"> </w:t>
            </w:r>
            <w:r>
              <w:rPr>
                <w:rFonts w:cs="Arial" w:ascii="Arial" w:hAnsi="Arial"/>
                <w:color w:val="000000"/>
                <w:sz w:val="16"/>
                <w:szCs w:val="16"/>
              </w:rPr>
              <w:t>короткі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тонкі</w:t>
            </w:r>
            <w:r>
              <w:rPr>
                <w:rFonts w:cs="Arial" w:ascii="Arial" w:hAnsi="Arial"/>
                <w:color w:val="000000"/>
                <w:sz w:val="16"/>
                <w:szCs w:val="16"/>
                <w:lang w:val="en-US"/>
              </w:rPr>
              <w:t xml:space="preserve"> </w:t>
            </w:r>
            <w:r>
              <w:rPr>
                <w:rFonts w:cs="Arial" w:ascii="Arial" w:hAnsi="Arial"/>
                <w:color w:val="000000"/>
                <w:sz w:val="16"/>
                <w:szCs w:val="16"/>
              </w:rPr>
              <w:t>голки</w:t>
            </w:r>
            <w:r>
              <w:rPr>
                <w:rFonts w:cs="Arial" w:ascii="Arial" w:hAnsi="Arial"/>
                <w:color w:val="000000"/>
                <w:sz w:val="16"/>
                <w:szCs w:val="16"/>
                <w:lang w:val="en-US"/>
              </w:rPr>
              <w:t xml:space="preserve"> Omnican® </w:t>
            </w:r>
            <w:r>
              <w:rPr>
                <w:rFonts w:cs="Arial" w:ascii="Arial" w:hAnsi="Arial"/>
                <w:color w:val="000000"/>
                <w:sz w:val="16"/>
                <w:szCs w:val="16"/>
              </w:rPr>
              <w:t>розміром</w:t>
            </w:r>
            <w:r>
              <w:rPr>
                <w:rFonts w:cs="Arial" w:ascii="Arial" w:hAnsi="Arial"/>
                <w:color w:val="000000"/>
                <w:sz w:val="16"/>
                <w:szCs w:val="16"/>
                <w:lang w:val="en-US"/>
              </w:rPr>
              <w:t xml:space="preserve"> 31G x 8 </w:t>
            </w:r>
            <w:r>
              <w:rPr>
                <w:rFonts w:cs="Arial" w:ascii="Arial" w:hAnsi="Arial"/>
                <w:color w:val="000000"/>
                <w:sz w:val="16"/>
                <w:szCs w:val="16"/>
              </w:rPr>
              <w:t>мм</w:t>
            </w:r>
            <w:r>
              <w:rPr>
                <w:rFonts w:cs="Arial" w:ascii="Arial" w:hAnsi="Arial"/>
                <w:color w:val="000000"/>
                <w:sz w:val="16"/>
                <w:szCs w:val="16"/>
                <w:lang w:val="en-US"/>
              </w:rPr>
              <w:t xml:space="preserve"> </w:t>
            </w:r>
            <w:r>
              <w:rPr>
                <w:rFonts w:cs="Arial" w:ascii="Arial" w:hAnsi="Arial"/>
                <w:color w:val="000000"/>
                <w:sz w:val="16"/>
                <w:szCs w:val="16"/>
              </w:rPr>
              <w:t>проводиться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покращення</w:t>
            </w:r>
            <w:r>
              <w:rPr>
                <w:rFonts w:cs="Arial" w:ascii="Arial" w:hAnsi="Arial"/>
                <w:color w:val="000000"/>
                <w:sz w:val="16"/>
                <w:szCs w:val="16"/>
                <w:lang w:val="en-US"/>
              </w:rPr>
              <w:t xml:space="preserve"> </w:t>
            </w:r>
            <w:r>
              <w:rPr>
                <w:rFonts w:cs="Arial" w:ascii="Arial" w:hAnsi="Arial"/>
                <w:color w:val="000000"/>
                <w:sz w:val="16"/>
                <w:szCs w:val="16"/>
              </w:rPr>
              <w:t>зручності</w:t>
            </w:r>
            <w:r>
              <w:rPr>
                <w:rFonts w:cs="Arial" w:ascii="Arial" w:hAnsi="Arial"/>
                <w:color w:val="000000"/>
                <w:sz w:val="16"/>
                <w:szCs w:val="16"/>
                <w:lang w:val="en-US"/>
              </w:rPr>
              <w:t xml:space="preserve"> </w:t>
            </w:r>
            <w:r>
              <w:rPr>
                <w:rFonts w:cs="Arial" w:ascii="Arial" w:hAnsi="Arial"/>
                <w:color w:val="000000"/>
                <w:sz w:val="16"/>
                <w:szCs w:val="16"/>
              </w:rPr>
              <w:t>проведення</w:t>
            </w:r>
            <w:r>
              <w:rPr>
                <w:rFonts w:cs="Arial" w:ascii="Arial" w:hAnsi="Arial"/>
                <w:color w:val="000000"/>
                <w:sz w:val="16"/>
                <w:szCs w:val="16"/>
                <w:lang w:val="en-US"/>
              </w:rPr>
              <w:t xml:space="preserve"> </w:t>
            </w:r>
            <w:r>
              <w:rPr>
                <w:rFonts w:cs="Arial" w:ascii="Arial" w:hAnsi="Arial"/>
                <w:color w:val="000000"/>
                <w:sz w:val="16"/>
                <w:szCs w:val="16"/>
              </w:rPr>
              <w:t>ін</w:t>
            </w:r>
            <w:r>
              <w:rPr>
                <w:rFonts w:cs="Arial" w:ascii="Arial" w:hAnsi="Arial"/>
                <w:color w:val="000000"/>
                <w:sz w:val="16"/>
                <w:szCs w:val="16"/>
                <w:lang w:val="en-US"/>
              </w:rPr>
              <w:t>’</w:t>
            </w:r>
            <w:r>
              <w:rPr>
                <w:rFonts w:cs="Arial" w:ascii="Arial" w:hAnsi="Arial"/>
                <w:color w:val="000000"/>
                <w:sz w:val="16"/>
                <w:szCs w:val="16"/>
              </w:rPr>
              <w:t>єкцій</w:t>
            </w:r>
            <w:r>
              <w:rPr>
                <w:rFonts w:cs="Arial" w:ascii="Arial" w:hAnsi="Arial"/>
                <w:color w:val="000000"/>
                <w:sz w:val="16"/>
                <w:szCs w:val="16"/>
                <w:lang w:val="en-US"/>
              </w:rPr>
              <w:t xml:space="preserve"> </w:t>
            </w:r>
            <w:r>
              <w:rPr>
                <w:rFonts w:cs="Arial" w:ascii="Arial" w:hAnsi="Arial"/>
                <w:color w:val="000000"/>
                <w:sz w:val="16"/>
                <w:szCs w:val="16"/>
              </w:rPr>
              <w:t>медичними</w:t>
            </w:r>
            <w:r>
              <w:rPr>
                <w:rFonts w:cs="Arial" w:ascii="Arial" w:hAnsi="Arial"/>
                <w:color w:val="000000"/>
                <w:sz w:val="16"/>
                <w:szCs w:val="16"/>
                <w:lang w:val="en-US"/>
              </w:rPr>
              <w:t xml:space="preserve"> </w:t>
            </w:r>
            <w:r>
              <w:rPr>
                <w:rFonts w:cs="Arial" w:ascii="Arial" w:hAnsi="Arial"/>
                <w:color w:val="000000"/>
                <w:sz w:val="16"/>
                <w:szCs w:val="16"/>
              </w:rPr>
              <w:t>працівниками</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пацієнтами</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також</w:t>
            </w:r>
            <w:r>
              <w:rPr>
                <w:rFonts w:cs="Arial" w:ascii="Arial" w:hAnsi="Arial"/>
                <w:color w:val="000000"/>
                <w:sz w:val="16"/>
                <w:szCs w:val="16"/>
                <w:lang w:val="en-US"/>
              </w:rPr>
              <w:t xml:space="preserve"> </w:t>
            </w:r>
            <w:r>
              <w:rPr>
                <w:rFonts w:cs="Arial" w:ascii="Arial" w:hAnsi="Arial"/>
                <w:color w:val="000000"/>
                <w:sz w:val="16"/>
                <w:szCs w:val="16"/>
              </w:rPr>
              <w:t>передбачає</w:t>
            </w:r>
            <w:r>
              <w:rPr>
                <w:rFonts w:cs="Arial" w:ascii="Arial" w:hAnsi="Arial"/>
                <w:color w:val="000000"/>
                <w:sz w:val="16"/>
                <w:szCs w:val="16"/>
                <w:lang w:val="en-US"/>
              </w:rPr>
              <w:t xml:space="preserve"> </w:t>
            </w: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відповідних</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а</w:t>
            </w:r>
            <w:r>
              <w:rPr>
                <w:rFonts w:cs="Arial" w:ascii="Arial" w:hAnsi="Arial"/>
                <w:color w:val="000000"/>
                <w:sz w:val="16"/>
                <w:szCs w:val="16"/>
                <w:lang w:val="en-US"/>
              </w:rPr>
              <w:t xml:space="preserve"> </w:t>
            </w:r>
            <w:r>
              <w:rPr>
                <w:rFonts w:cs="Arial" w:ascii="Arial" w:hAnsi="Arial"/>
                <w:color w:val="000000"/>
                <w:sz w:val="16"/>
                <w:szCs w:val="16"/>
              </w:rPr>
              <w:t>саме</w:t>
            </w:r>
            <w:r>
              <w:rPr>
                <w:rFonts w:cs="Arial" w:ascii="Arial" w:hAnsi="Arial"/>
                <w:color w:val="000000"/>
                <w:sz w:val="16"/>
                <w:szCs w:val="16"/>
                <w:lang w:val="en-US"/>
              </w:rPr>
              <w:t xml:space="preserve"> </w:t>
            </w:r>
            <w:r>
              <w:rPr>
                <w:rFonts w:cs="Arial" w:ascii="Arial" w:hAnsi="Arial"/>
                <w:color w:val="000000"/>
                <w:sz w:val="16"/>
                <w:szCs w:val="16"/>
              </w:rPr>
              <w:t>заміну</w:t>
            </w:r>
            <w:r>
              <w:rPr>
                <w:rFonts w:cs="Arial" w:ascii="Arial" w:hAnsi="Arial"/>
                <w:color w:val="000000"/>
                <w:sz w:val="16"/>
                <w:szCs w:val="16"/>
                <w:lang w:val="en-US"/>
              </w:rPr>
              <w:t xml:space="preserve"> </w:t>
            </w:r>
            <w:r>
              <w:rPr>
                <w:rFonts w:cs="Arial" w:ascii="Arial" w:hAnsi="Arial"/>
                <w:color w:val="000000"/>
                <w:sz w:val="16"/>
                <w:szCs w:val="16"/>
              </w:rPr>
              <w:t>деяких</w:t>
            </w:r>
            <w:r>
              <w:rPr>
                <w:rFonts w:cs="Arial" w:ascii="Arial" w:hAnsi="Arial"/>
                <w:color w:val="000000"/>
                <w:sz w:val="16"/>
                <w:szCs w:val="16"/>
                <w:lang w:val="en-US"/>
              </w:rPr>
              <w:t xml:space="preserve"> </w:t>
            </w:r>
            <w:r>
              <w:rPr>
                <w:rFonts w:cs="Arial" w:ascii="Arial" w:hAnsi="Arial"/>
                <w:color w:val="000000"/>
                <w:sz w:val="16"/>
                <w:szCs w:val="16"/>
              </w:rPr>
              <w:t>малюнків</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розділі</w:t>
            </w:r>
            <w:r>
              <w:rPr>
                <w:rFonts w:cs="Arial" w:ascii="Arial" w:hAnsi="Arial"/>
                <w:color w:val="000000"/>
                <w:sz w:val="16"/>
                <w:szCs w:val="16"/>
                <w:lang w:val="en-US"/>
              </w:rPr>
              <w:t xml:space="preserve"> «</w:t>
            </w:r>
            <w:r>
              <w:rPr>
                <w:rFonts w:cs="Arial" w:ascii="Arial" w:hAnsi="Arial"/>
                <w:color w:val="000000"/>
                <w:sz w:val="16"/>
                <w:szCs w:val="16"/>
              </w:rPr>
              <w:t>Спосіб</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дози</w:t>
            </w:r>
            <w:r>
              <w:rPr>
                <w:rFonts w:cs="Arial" w:ascii="Arial" w:hAnsi="Arial"/>
                <w:color w:val="000000"/>
                <w:sz w:val="16"/>
                <w:szCs w:val="16"/>
                <w:lang w:val="en-US"/>
              </w:rPr>
              <w:t xml:space="preserve">». </w:t>
            </w:r>
            <w:r>
              <w:rPr>
                <w:rFonts w:cs="Arial" w:ascii="Arial" w:hAnsi="Arial"/>
                <w:color w:val="000000"/>
                <w:sz w:val="16"/>
                <w:szCs w:val="16"/>
              </w:rPr>
              <w:t xml:space="preserve">Зміни внесено до інструкції для медичного застосування лікарського засобу до розділу "Спосіб застосування та дози". Введення змін протягом 6-ти місяців після затвердження.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Додано нові випробування, що застосовуються в процесі виробництва активної речовини фолітропіну альфа (р-лФСГ),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швидкість обертання лопатевого колеса і швидкість обертання обертального фільтра на етапах посіву і нарощування клітин у виробничому біореакторі під час виробництва у режимі безперервної перфузії;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зберігання і час витримування на етапі збору неочищеної клітинної культури;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і електропровідність на етапі ультрафільтрації;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бактеріальні ендотоксини на етапі збору неочищеної клітинної культури як випробування в процесі виробництва;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електропровідність, швидкість потоку, об’єм промивання, зупинка збору при аніонообмінній хроматографії, афінній хроматографії з барвником і хроматографії гідрофобних взаємодій;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зберігання і час витримування (години і дні) для проміжного продукту bulk;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і тривалість відтаювання на етапі відтаювання і об'єднання;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температура завантаження, електропровідність завантаження на етапі елюювання III;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об'єм врівноваження, швидкість потоку, об'єм промивання 1, об'єм промивання 2, зупинка збору піків при обернено-фазній хроматографії;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електропровідність, швидкість потоку (завантаження промивання 1), об'єм промивання 1, швидкість потоку (промивання 2), об'єм промивання 2, лінійний градієнт елюювання, початок збору піків, зупинка збору піків при аніонообмінній хроматографії;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робочі перепади тиску і переривання потоку на етапах нанофільтрації;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об'єм буфера для діафільтрації на етапах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скоригована концентрація білка після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мікробіологічна контамінація перед фільтрацією крізь фільтр з розміром пор 0,2 мкм, проміжного продукту in bulk після збирання, проміжного продукту in bulk (після зберігання) та перед фільтрацією крізь фільтр з розміром пор 0,2 мкм, елюатів етапу III, етапу V, етапу VI;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бактеріальні ендотоксини проміжного продукту in bulk після збирання, проміжного продукту in bulk (після зберігання) та перед фільтрацією крізь фільтр з розміром пор 0,2 мкм, елюатів етапу III, етапу V, етапу VI.</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з якості. АФІ. Виробництво. Зміни випробувань або допустимих меж у процесі виробництва АФІ, що встановлені у специфікаціях (звуження допустимих меж) Звуження меж для деяких випробувань в процесі виробництва активної речовини фолітропіну альфа (р- лФСГ),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зміна концентрації ізопропанолу в елююті етапу IV з 13 ± 1% до 12–13 %;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завантаження сорбенту колонки для аніонообмінної хроматографії з «не більше 4» до «не більше 3»;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електропровідності при ультрафільтрації/діафільтрації та остаточній фільтрації з «не більше 50» до «не більше 10»;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PDL до інокуляції на етапі нарощування клітин у 50-літровому біореакторі з «не більше 67» до «не більше 64»; </w:t>
            </w:r>
          </w:p>
          <w:p>
            <w:pPr>
              <w:pStyle w:val="Normal"/>
              <w:tabs>
                <w:tab w:val="left" w:pos="12600" w:leader="none"/>
              </w:tabs>
              <w:jc w:val="center"/>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показник густини клітин, що дозволяє перейти від етапу нарощування до етапу виробництва при виробництві в режимі безперервної перфузії з «не менше 5 x 10</w:t>
            </w:r>
            <w:r>
              <w:rPr>
                <w:rFonts w:cs="Arial" w:ascii="Arial" w:hAnsi="Arial"/>
                <w:color w:val="000000"/>
                <w:sz w:val="16"/>
                <w:szCs w:val="16"/>
                <w:vertAlign w:val="superscript"/>
              </w:rPr>
              <w:t>6</w:t>
            </w:r>
            <w:r>
              <w:rPr>
                <w:rFonts w:cs="Arial" w:ascii="Arial" w:hAnsi="Arial"/>
                <w:color w:val="000000"/>
                <w:sz w:val="16"/>
                <w:szCs w:val="16"/>
              </w:rPr>
              <w:t xml:space="preserve"> клітин/мл» до «не менше 5,00 x 10</w:t>
            </w:r>
            <w:r>
              <w:rPr>
                <w:rFonts w:cs="Arial" w:ascii="Arial" w:hAnsi="Arial"/>
                <w:color w:val="000000"/>
                <w:sz w:val="16"/>
                <w:szCs w:val="16"/>
                <w:vertAlign w:val="superscript"/>
              </w:rPr>
              <w:t>6</w:t>
            </w:r>
            <w:r>
              <w:rPr>
                <w:rFonts w:cs="Arial" w:ascii="Arial" w:hAnsi="Arial"/>
                <w:color w:val="000000"/>
                <w:sz w:val="16"/>
                <w:szCs w:val="16"/>
              </w:rPr>
              <w:t xml:space="preserve"> клітин/мл».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робочого стандартного зразка фолітропіну альфа (р-лФСГ), що використовується в даний час, первинним стандартним зразком та вторинним стандартним зразком для фізико-хімічних методів випробування субстанції активної речовини фолітропіну альфа. Зміна пов'язана із застосуванням дворівневого підходу до стандартизації стандартних зразків (RS), що використовуються для фізико-хімічних методів контролю, таких як визначення вмісту, ідентифікації та визначення домішок у субстанції активної речовини фолітропіну альфа (р-лФСГ).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робочого стандартного зразка фолітропіну альфа (р-лФСГ), що використовується в даний час, первинним стандартним зразком та вторинним стандартним зразком для фізико-хімічних методів випробування готового лікарського засобу. Зміна пов'язана із застосуванням дворівневого підходу до стандартизації стандартних зразків (RS), що використовуються для фізико-хімічних методів контролю, таких як визначення вмісту, ідентифікації та визначення домішок у готовому лікарському засобі. Зміни II типу - Зміни з якості. АФІ. Виробництво. Зміни випробувань або допустимих меж у процесі виробництва АФІ, що встановлені у специфікаціях (вилучення випробування в процесі виробництва, що може мати істотний влив на загальну якість АФІ) Зміни у переліку випробувань в процесі виробництва активної речовини фолітропіну альфа (р –л ФСГ), а саме видалення наступних тестів: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PDL (Population doubling Level), глюкоза, лактат, підрахунок клітин та життєздатність клітин на етапі нарощування клітин;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підрахунок клітин, життєздатність клітин, глюкоза, лактат, PDL перед інокуляцією для нарощування клітин у біореакторі об'ємом 50 л.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життєздатність клітин, підрахунок клітин, глюкоза, лактат, р-лФСГ при посіві у біореактор об'ємом 250 л;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р-лФСГ, об'ємна продуктивність наприкінці етапу роботи біореактора;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вихід р-лФСГ після очищення та концентрування, у нерозфасованому проміжному продукті bulk після збирання, після афінної хроматографії з барвником, в елюаті етапу III, в елюаті після ОФ-хроматографії, в елюаті етапу V;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розподіл ізоформ за методом ізоелектричного фокусування/Вестерн -блоттингу (ІЕФ/ВБ) у проміжному продукті bulk після збирання;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вихід білка після етапів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надлишковий тиск у реакторі на етапах посіву та нарощування клітин у виробничому біореакторі та під час виробництва у режимі безперервної перфузії.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UA/4113/02/01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450 МО (33 мкг)/0,72 мл; по 0,72 мл у картриджі з пробкою-поршнем та рифленою кришечкою, вміщеному у ручку для введення; по 1 ручці та 12 голок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Вилучено незначний параметр «Важкі метали» (у вигляді свинцю) зі специфікації вихідної речовини - розчину аміаку 25 %, яка використовується в процесі виробництва активної речовини фолітропіну альфа. Зміни І типу - Зміни з якості. Медичні пристрої. Зміна пристроїв для вимірювання дози або введення лікарського засобу (додавання або заміна пристрою, який не є невід'ємною частиною первинної упаковки) - Пристрій, який має СЕ-маркування - Заміна голок Pencylcap розміром 29G x 12 мм з маркуванням CE виробництва B. Braun, які поставляються в комплекті з препаратом ГОНАЛ-ф®, розчин для ін'єкцій у попередньо заповнених ручках, 300 МО/0,48 мл, 450 МО/0,72 мл та 900 МО/1,44 мл, на тонкі голки Omnican® розміром 31G x 8 мм з маркуванням CE виробництва B. Braun. Заміна голок Pencylcap розміром 29G x 12 мм на більш короткі та тонкі голки Omnican® розміром 31G x 8 мм проводиться для покращення зручності проведення ін’єкцій медичними працівниками та пацієнтами. Зміна також передбачає внесення відповідних змін до інструкції для медичного застосування лікарського засобу, а саме заміну деяких малюнків у розділі «Спосіб застосування та дози». Зміни внесено до інструкції для медичного застосування лікарського засобу до розділу "Спосіб застосування та дози". Введення змін протягом 6-ти місяців після затвердження. Зміни І типу - Зміни з якості. АФІ. Виробництво. Зміни випробувань або допустимих меж у процесі виробництва АФІ, що встановлені у специфікаціях (додавання нового випробування та допустимих меж)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Додано нові випробування, що застосовуються в процесі виробництва активної речовини фолітропіну альфа (р-лФСГ),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швидкість обертання лопатевого колеса і швидкість обертання обертального фільтра на етапах посіву і нарощування клітин у виробничому біореакторі під час виробництва у режимі безперервної перфузії;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зберігання і час витримування на етапі збору неочищеної клітинної культури;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і електропровідність на етапі ультрафільтрації;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бактеріальні ендотоксини на етапі збору неочищеної клітинної культури як випробування в процесі виробництва;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електропровідність, швидкість потоку, об’єм промивання, зупинка збору при аніонообмінній хроматографії, афінній хроматографії з барвником і хроматографії гідрофобних взаємодій;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зберігання і час витримування (години і дні) для проміжного продукту bulk;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і тривалість відтаювання на етапі відтаювання і об'єднання;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температура завантаження, електропровідність завантаження на етапі елюювання III;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температура, об'єм врівноваження, швидкість потоку, об'єм промивання 1, об'єм промивання 2, зупинка збору піків при обернено-фазній хроматографії; </w:t>
            </w:r>
          </w:p>
          <w:p>
            <w:pPr>
              <w:pStyle w:val="Normal"/>
              <w:tabs>
                <w:tab w:val="left" w:pos="12600" w:leader="none"/>
              </w:tabs>
              <w:jc w:val="center"/>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pH, електропровідність, швидкість потоку (завантаження промивання 1), об'єм промивання 1, швидкість потоку (промивання 2), об'єм промивання 2, лінійний градієнт елюювання, початок збору піків, зупинка збору піків при аніонообмінній хроматографії;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робочі перепади тиску і переривання потоку на етапах нанофільтрації;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об'єм буфера для діафільтрації на етапах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скоригована концентрація білка після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мікробіологічна контамінація перед фільтрацією крізь фільтр з розміром пор 0,2 мкм, проміжного продукту in bulk після збирання, проміжного продукту in bulk (після зберігання) та перед фільтрацією крізь фільтр з розміром пор 0,2 мкм, елюатів етапу III, етапу V, етапу VI;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бактеріальні ендотоксини проміжного продукту in bulk після збирання, проміжного продукту in bulk (після зберігання) та перед фільтрацією крізь фільтр з розміром пор 0,2 мкм, елюатів етапу III, етапу V, етапу VI.</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з якості. АФІ. Виробництво. Зміни випробувань або допустимих меж у процесі виробництва АФІ, що встановлені у специфікаціях (звуження допустимих меж) Звуження меж для деяких випробувань в процесі виробництва активної речовини фолітропіну альфа (р- лФСГ),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зміна концентрації ізопропанолу в елююті етапу IV з 13 ± 1% до 12–13 %;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завантаження сорбенту колонки для аніонообмінної хроматографії з «не більше 4» до «не більше 3»;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електропровідності при ультрафільтрації/діафільтрації та остаточній фільтрації з «не більше 50» до «не більше 10»;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зменшення PDL до інокуляції на етапі нарощування клітин у 50-літровому біореакторі з «не більше 67» до «не більше 64»; </w:t>
            </w:r>
          </w:p>
          <w:p>
            <w:pPr>
              <w:pStyle w:val="Normal"/>
              <w:tabs>
                <w:tab w:val="left" w:pos="12600" w:leader="none"/>
              </w:tabs>
              <w:jc w:val="center"/>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показник густини клітин, що дозволяє перейти від етапу нарощування до етапу виробництва при виробництві в режимі безперервної перфузії з «не менше 5 x 10</w:t>
            </w:r>
            <w:r>
              <w:rPr>
                <w:rFonts w:cs="Arial" w:ascii="Arial" w:hAnsi="Arial"/>
                <w:color w:val="000000"/>
                <w:sz w:val="16"/>
                <w:szCs w:val="16"/>
                <w:vertAlign w:val="superscript"/>
              </w:rPr>
              <w:t>6</w:t>
            </w:r>
            <w:r>
              <w:rPr>
                <w:rFonts w:cs="Arial" w:ascii="Arial" w:hAnsi="Arial"/>
                <w:color w:val="000000"/>
                <w:sz w:val="16"/>
                <w:szCs w:val="16"/>
              </w:rPr>
              <w:t xml:space="preserve"> клітин/мл» до «не менше 5,00 x 10</w:t>
            </w:r>
            <w:r>
              <w:rPr>
                <w:rFonts w:cs="Arial" w:ascii="Arial" w:hAnsi="Arial"/>
                <w:color w:val="000000"/>
                <w:sz w:val="16"/>
                <w:szCs w:val="16"/>
                <w:vertAlign w:val="superscript"/>
              </w:rPr>
              <w:t>6</w:t>
            </w:r>
            <w:r>
              <w:rPr>
                <w:rFonts w:cs="Arial" w:ascii="Arial" w:hAnsi="Arial"/>
                <w:color w:val="000000"/>
                <w:sz w:val="16"/>
                <w:szCs w:val="16"/>
              </w:rPr>
              <w:t xml:space="preserve"> клітин/мл».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Заміна робочого стандартного зразка фолітропіну альфа (р-лФСГ), що використовується в даний час, первинним стандартним зразком та вторинним стандартним зразком для фізико-хімічних методів випробування субстанції активної речовини фолітропіну альфа. Зміна пов'язана із застосуванням дворівневого підходу до стандартизації стандартних зразків (RS), що використовуються для фізико-хімічних методів контролю, таких як визначення вмісту, ідентифікації та визначення домішок у субстанції активної речовини фолітропіну альфа (р-лФСГ).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робочого стандартного зразка фолітропіну альфа (р-лФСГ), що використовується в даний час, первинним стандартним зразком та вторинним стандартним зразком для фізико-хімічних методів випробування готового лікарського засобу. Зміна пов'язана із застосуванням дворівневого підходу до стандартизації стандартних зразків (RS), що використовуються для фізико-хімічних методів контролю, таких як визначення вмісту, ідентифікації та визначення домішок у готовому лікарському засобі. Зміни II типу - Зміни з якості. АФІ. Виробництво. Зміни випробувань або допустимих меж у процесі виробництва АФІ, що встановлені у специфікаціях (вилучення випробування в процесі виробництва, що може мати істотний влив на загальну якість АФІ) Зміни у переліку випробувань в процесі виробництва активної речовини фолітропіну альфа (р –л ФСГ), а саме видалення наступних тестів: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PDL (Population doubling Level), глюкоза, лактат, підрахунок клітин та життєздатність клітин на етапі нарощування клітин; </w:t>
            </w:r>
          </w:p>
          <w:p>
            <w:pPr>
              <w:pStyle w:val="Normal"/>
              <w:tabs>
                <w:tab w:val="left" w:pos="12600" w:leader="none"/>
              </w:tabs>
              <w:jc w:val="center"/>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підрахунок клітин, життєздатність клітин, глюкоза, лактат, PDL перед інокуляцією для нарощування клітин у біореакторі об'ємом 50 л.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життєздатність клітин, підрахунок клітин, глюкоза, лактат, р-лФСГ при посіві у біореактор об'ємом 250 л;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р-лФСГ, об'ємна продуктивність наприкінці етапу роботи біореактора;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вихід р-лФСГ після очищення та концентрування, у нерозфасованому проміжному продукті bulk після збирання, після афінної хроматографії з барвником, в елюаті етапу III, в елюаті після ОФ-хроматографії, в елюаті етапу V;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розподіл ізоформ за методом ізоелектричного фокусування/Вестерн -блоттингу (ІЕФ/ВБ) у проміжному продукті bulk після збирання;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 xml:space="preserve">вихід білка після етапів ультрафільтрації/діафільтрації та остаточної фільтрації;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eastAsia="Arial" w:cs="Arial" w:ascii="Arial" w:hAnsi="Arial"/>
                <w:color w:val="000000"/>
                <w:sz w:val="16"/>
                <w:szCs w:val="16"/>
              </w:rPr>
              <w:t xml:space="preserve"> </w:t>
            </w:r>
            <w:r>
              <w:rPr>
                <w:rFonts w:cs="Arial" w:ascii="Arial" w:hAnsi="Arial"/>
                <w:color w:val="000000"/>
                <w:sz w:val="16"/>
                <w:szCs w:val="16"/>
              </w:rPr>
              <w:t>надлишковий тиск у реакторі на етапах посіву та нарощування клітин у виробничому біореакторі та під час виробництва у режимі безперервної перфузії.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450 МО (33 мкг)/0,72 мл; по 0,72 мл у картриджі з пробкою-поршнем та рифленою кришечкою, вміщеному у ручку для введення; по 1 ручці та 12 голок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випробувань</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заміну</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Заміна</w:t>
            </w:r>
            <w:r>
              <w:rPr>
                <w:rFonts w:cs="Arial" w:ascii="Arial" w:hAnsi="Arial"/>
                <w:color w:val="000000"/>
                <w:sz w:val="16"/>
                <w:szCs w:val="16"/>
                <w:lang w:val="en-US"/>
              </w:rPr>
              <w:t xml:space="preserve"> </w:t>
            </w:r>
            <w:r>
              <w:rPr>
                <w:rFonts w:cs="Arial" w:ascii="Arial" w:hAnsi="Arial"/>
                <w:color w:val="000000"/>
                <w:sz w:val="16"/>
                <w:szCs w:val="16"/>
              </w:rPr>
              <w:t>контрольного</w:t>
            </w:r>
            <w:r>
              <w:rPr>
                <w:rFonts w:cs="Arial" w:ascii="Arial" w:hAnsi="Arial"/>
                <w:color w:val="000000"/>
                <w:sz w:val="16"/>
                <w:szCs w:val="16"/>
                <w:lang w:val="en-US"/>
              </w:rPr>
              <w:t xml:space="preserve"> </w:t>
            </w:r>
            <w:r>
              <w:rPr>
                <w:rFonts w:cs="Arial" w:ascii="Arial" w:hAnsi="Arial"/>
                <w:color w:val="000000"/>
                <w:sz w:val="16"/>
                <w:szCs w:val="16"/>
              </w:rPr>
              <w:t>зразка</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CS r-hFSH 2023/01 SE-HPLC </w:t>
            </w:r>
            <w:r>
              <w:rPr>
                <w:rFonts w:cs="Arial" w:ascii="Arial" w:hAnsi="Arial"/>
                <w:color w:val="000000"/>
                <w:sz w:val="16"/>
                <w:szCs w:val="16"/>
              </w:rPr>
              <w:t>на</w:t>
            </w:r>
            <w:r>
              <w:rPr>
                <w:rFonts w:cs="Arial" w:ascii="Arial" w:hAnsi="Arial"/>
                <w:color w:val="000000"/>
                <w:sz w:val="16"/>
                <w:szCs w:val="16"/>
                <w:lang w:val="en-US"/>
              </w:rPr>
              <w:t xml:space="preserve"> CS r-hFSH 2025/02 1050 </w:t>
            </w:r>
            <w:r>
              <w:rPr>
                <w:rFonts w:cs="Arial" w:ascii="Arial" w:hAnsi="Arial"/>
                <w:color w:val="000000"/>
                <w:sz w:val="16"/>
                <w:szCs w:val="16"/>
              </w:rPr>
              <w:t>МО</w:t>
            </w:r>
            <w:r>
              <w:rPr>
                <w:rFonts w:cs="Arial" w:ascii="Arial" w:hAnsi="Arial"/>
                <w:color w:val="000000"/>
                <w:sz w:val="16"/>
                <w:szCs w:val="16"/>
                <w:lang w:val="en-US"/>
              </w:rPr>
              <w:t xml:space="preserve">, </w:t>
            </w:r>
            <w:r>
              <w:rPr>
                <w:rFonts w:cs="Arial" w:ascii="Arial" w:hAnsi="Arial"/>
                <w:color w:val="000000"/>
                <w:sz w:val="16"/>
                <w:szCs w:val="16"/>
              </w:rPr>
              <w:t>який</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кількісного</w:t>
            </w:r>
            <w:r>
              <w:rPr>
                <w:rFonts w:cs="Arial" w:ascii="Arial" w:hAnsi="Arial"/>
                <w:color w:val="000000"/>
                <w:sz w:val="16"/>
                <w:szCs w:val="16"/>
                <w:lang w:val="en-US"/>
              </w:rPr>
              <w:t xml:space="preserve"> </w:t>
            </w:r>
            <w:r>
              <w:rPr>
                <w:rFonts w:cs="Arial" w:ascii="Arial" w:hAnsi="Arial"/>
                <w:color w:val="000000"/>
                <w:sz w:val="16"/>
                <w:szCs w:val="16"/>
              </w:rPr>
              <w:t>визначення</w:t>
            </w:r>
            <w:r>
              <w:rPr>
                <w:rFonts w:cs="Arial" w:ascii="Arial" w:hAnsi="Arial"/>
                <w:color w:val="000000"/>
                <w:sz w:val="16"/>
                <w:szCs w:val="16"/>
                <w:lang w:val="en-US"/>
              </w:rPr>
              <w:t xml:space="preserve"> </w:t>
            </w:r>
            <w:r>
              <w:rPr>
                <w:rFonts w:cs="Arial" w:ascii="Arial" w:hAnsi="Arial"/>
                <w:color w:val="000000"/>
                <w:sz w:val="16"/>
                <w:szCs w:val="16"/>
              </w:rPr>
              <w:t>вмісту</w:t>
            </w:r>
            <w:r>
              <w:rPr>
                <w:rFonts w:cs="Arial" w:ascii="Arial" w:hAnsi="Arial"/>
                <w:color w:val="000000"/>
                <w:sz w:val="16"/>
                <w:szCs w:val="16"/>
                <w:lang w:val="en-US"/>
              </w:rPr>
              <w:t xml:space="preserve"> </w:t>
            </w:r>
            <w:r>
              <w:rPr>
                <w:rFonts w:cs="Arial" w:ascii="Arial" w:hAnsi="Arial"/>
                <w:color w:val="000000"/>
                <w:sz w:val="16"/>
                <w:szCs w:val="16"/>
              </w:rPr>
              <w:t>білка</w:t>
            </w:r>
            <w:r>
              <w:rPr>
                <w:rFonts w:cs="Arial" w:ascii="Arial" w:hAnsi="Arial"/>
                <w:color w:val="000000"/>
                <w:sz w:val="16"/>
                <w:szCs w:val="16"/>
                <w:lang w:val="en-US"/>
              </w:rPr>
              <w:t xml:space="preserve"> </w:t>
            </w:r>
            <w:r>
              <w:rPr>
                <w:rFonts w:cs="Arial" w:ascii="Arial" w:hAnsi="Arial"/>
                <w:color w:val="000000"/>
                <w:sz w:val="16"/>
                <w:szCs w:val="16"/>
              </w:rPr>
              <w:t>ФГС</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готовому</w:t>
            </w:r>
            <w:r>
              <w:rPr>
                <w:rFonts w:cs="Arial" w:ascii="Arial" w:hAnsi="Arial"/>
                <w:color w:val="000000"/>
                <w:sz w:val="16"/>
                <w:szCs w:val="16"/>
                <w:lang w:val="en-US"/>
              </w:rPr>
              <w:t xml:space="preserve"> </w:t>
            </w:r>
            <w:r>
              <w:rPr>
                <w:rFonts w:cs="Arial" w:ascii="Arial" w:hAnsi="Arial"/>
                <w:color w:val="000000"/>
                <w:sz w:val="16"/>
                <w:szCs w:val="16"/>
              </w:rPr>
              <w:t>лікарському</w:t>
            </w:r>
            <w:r>
              <w:rPr>
                <w:rFonts w:cs="Arial" w:ascii="Arial" w:hAnsi="Arial"/>
                <w:color w:val="000000"/>
                <w:sz w:val="16"/>
                <w:szCs w:val="16"/>
                <w:lang w:val="en-US"/>
              </w:rPr>
              <w:t xml:space="preserve"> </w:t>
            </w:r>
            <w:r>
              <w:rPr>
                <w:rFonts w:cs="Arial" w:ascii="Arial" w:hAnsi="Arial"/>
                <w:color w:val="000000"/>
                <w:sz w:val="16"/>
                <w:szCs w:val="16"/>
              </w:rPr>
              <w:t>засобі</w:t>
            </w:r>
            <w:r>
              <w:rPr>
                <w:rFonts w:cs="Arial" w:ascii="Arial" w:hAnsi="Arial"/>
                <w:color w:val="000000"/>
                <w:sz w:val="16"/>
                <w:szCs w:val="16"/>
                <w:lang w:val="en-US"/>
              </w:rPr>
              <w:t xml:space="preserve">. </w:t>
            </w:r>
            <w:r>
              <w:rPr>
                <w:rFonts w:cs="Arial" w:ascii="Arial" w:hAnsi="Arial"/>
                <w:color w:val="000000"/>
                <w:sz w:val="16"/>
                <w:szCs w:val="16"/>
              </w:rPr>
              <w:t>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900 МО (66 мкг)/1,44 мл; по 1,44 мл у картриджі з пробкою-поршнем та рифленою кришечкою, вміщеному у ручку для введення; по 1 ручці та 16 голок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випробувань</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заміну</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Заміна</w:t>
            </w:r>
            <w:r>
              <w:rPr>
                <w:rFonts w:cs="Arial" w:ascii="Arial" w:hAnsi="Arial"/>
                <w:color w:val="000000"/>
                <w:sz w:val="16"/>
                <w:szCs w:val="16"/>
                <w:lang w:val="en-US"/>
              </w:rPr>
              <w:t xml:space="preserve"> </w:t>
            </w:r>
            <w:r>
              <w:rPr>
                <w:rFonts w:cs="Arial" w:ascii="Arial" w:hAnsi="Arial"/>
                <w:color w:val="000000"/>
                <w:sz w:val="16"/>
                <w:szCs w:val="16"/>
              </w:rPr>
              <w:t>контрольного</w:t>
            </w:r>
            <w:r>
              <w:rPr>
                <w:rFonts w:cs="Arial" w:ascii="Arial" w:hAnsi="Arial"/>
                <w:color w:val="000000"/>
                <w:sz w:val="16"/>
                <w:szCs w:val="16"/>
                <w:lang w:val="en-US"/>
              </w:rPr>
              <w:t xml:space="preserve"> </w:t>
            </w:r>
            <w:r>
              <w:rPr>
                <w:rFonts w:cs="Arial" w:ascii="Arial" w:hAnsi="Arial"/>
                <w:color w:val="000000"/>
                <w:sz w:val="16"/>
                <w:szCs w:val="16"/>
              </w:rPr>
              <w:t>зразка</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CS r-hFSH 2023/01 SE-HPLC </w:t>
            </w:r>
            <w:r>
              <w:rPr>
                <w:rFonts w:cs="Arial" w:ascii="Arial" w:hAnsi="Arial"/>
                <w:color w:val="000000"/>
                <w:sz w:val="16"/>
                <w:szCs w:val="16"/>
              </w:rPr>
              <w:t>на</w:t>
            </w:r>
            <w:r>
              <w:rPr>
                <w:rFonts w:cs="Arial" w:ascii="Arial" w:hAnsi="Arial"/>
                <w:color w:val="000000"/>
                <w:sz w:val="16"/>
                <w:szCs w:val="16"/>
                <w:lang w:val="en-US"/>
              </w:rPr>
              <w:t xml:space="preserve"> CS r-hFSH 2025/02 1050 </w:t>
            </w:r>
            <w:r>
              <w:rPr>
                <w:rFonts w:cs="Arial" w:ascii="Arial" w:hAnsi="Arial"/>
                <w:color w:val="000000"/>
                <w:sz w:val="16"/>
                <w:szCs w:val="16"/>
              </w:rPr>
              <w:t>МО</w:t>
            </w:r>
            <w:r>
              <w:rPr>
                <w:rFonts w:cs="Arial" w:ascii="Arial" w:hAnsi="Arial"/>
                <w:color w:val="000000"/>
                <w:sz w:val="16"/>
                <w:szCs w:val="16"/>
                <w:lang w:val="en-US"/>
              </w:rPr>
              <w:t xml:space="preserve">, </w:t>
            </w:r>
            <w:r>
              <w:rPr>
                <w:rFonts w:cs="Arial" w:ascii="Arial" w:hAnsi="Arial"/>
                <w:color w:val="000000"/>
                <w:sz w:val="16"/>
                <w:szCs w:val="16"/>
              </w:rPr>
              <w:t>який</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кількісного</w:t>
            </w:r>
            <w:r>
              <w:rPr>
                <w:rFonts w:cs="Arial" w:ascii="Arial" w:hAnsi="Arial"/>
                <w:color w:val="000000"/>
                <w:sz w:val="16"/>
                <w:szCs w:val="16"/>
                <w:lang w:val="en-US"/>
              </w:rPr>
              <w:t xml:space="preserve"> </w:t>
            </w:r>
            <w:r>
              <w:rPr>
                <w:rFonts w:cs="Arial" w:ascii="Arial" w:hAnsi="Arial"/>
                <w:color w:val="000000"/>
                <w:sz w:val="16"/>
                <w:szCs w:val="16"/>
              </w:rPr>
              <w:t>визначення</w:t>
            </w:r>
            <w:r>
              <w:rPr>
                <w:rFonts w:cs="Arial" w:ascii="Arial" w:hAnsi="Arial"/>
                <w:color w:val="000000"/>
                <w:sz w:val="16"/>
                <w:szCs w:val="16"/>
                <w:lang w:val="en-US"/>
              </w:rPr>
              <w:t xml:space="preserve"> </w:t>
            </w:r>
            <w:r>
              <w:rPr>
                <w:rFonts w:cs="Arial" w:ascii="Arial" w:hAnsi="Arial"/>
                <w:color w:val="000000"/>
                <w:sz w:val="16"/>
                <w:szCs w:val="16"/>
              </w:rPr>
              <w:t>вмісту</w:t>
            </w:r>
            <w:r>
              <w:rPr>
                <w:rFonts w:cs="Arial" w:ascii="Arial" w:hAnsi="Arial"/>
                <w:color w:val="000000"/>
                <w:sz w:val="16"/>
                <w:szCs w:val="16"/>
                <w:lang w:val="en-US"/>
              </w:rPr>
              <w:t xml:space="preserve"> </w:t>
            </w:r>
            <w:r>
              <w:rPr>
                <w:rFonts w:cs="Arial" w:ascii="Arial" w:hAnsi="Arial"/>
                <w:color w:val="000000"/>
                <w:sz w:val="16"/>
                <w:szCs w:val="16"/>
              </w:rPr>
              <w:t>білка</w:t>
            </w:r>
            <w:r>
              <w:rPr>
                <w:rFonts w:cs="Arial" w:ascii="Arial" w:hAnsi="Arial"/>
                <w:color w:val="000000"/>
                <w:sz w:val="16"/>
                <w:szCs w:val="16"/>
                <w:lang w:val="en-US"/>
              </w:rPr>
              <w:t xml:space="preserve"> </w:t>
            </w:r>
            <w:r>
              <w:rPr>
                <w:rFonts w:cs="Arial" w:ascii="Arial" w:hAnsi="Arial"/>
                <w:color w:val="000000"/>
                <w:sz w:val="16"/>
                <w:szCs w:val="16"/>
              </w:rPr>
              <w:t>ФГС</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готовому</w:t>
            </w:r>
            <w:r>
              <w:rPr>
                <w:rFonts w:cs="Arial" w:ascii="Arial" w:hAnsi="Arial"/>
                <w:color w:val="000000"/>
                <w:sz w:val="16"/>
                <w:szCs w:val="16"/>
                <w:lang w:val="en-US"/>
              </w:rPr>
              <w:t xml:space="preserve"> </w:t>
            </w:r>
            <w:r>
              <w:rPr>
                <w:rFonts w:cs="Arial" w:ascii="Arial" w:hAnsi="Arial"/>
                <w:color w:val="000000"/>
                <w:sz w:val="16"/>
                <w:szCs w:val="16"/>
              </w:rPr>
              <w:t>лікарському</w:t>
            </w:r>
            <w:r>
              <w:rPr>
                <w:rFonts w:cs="Arial" w:ascii="Arial" w:hAnsi="Arial"/>
                <w:color w:val="000000"/>
                <w:sz w:val="16"/>
                <w:szCs w:val="16"/>
                <w:lang w:val="en-US"/>
              </w:rPr>
              <w:t xml:space="preserve"> </w:t>
            </w:r>
            <w:r>
              <w:rPr>
                <w:rFonts w:cs="Arial" w:ascii="Arial" w:hAnsi="Arial"/>
                <w:color w:val="000000"/>
                <w:sz w:val="16"/>
                <w:szCs w:val="16"/>
              </w:rPr>
              <w:t>засобі</w:t>
            </w:r>
            <w:r>
              <w:rPr>
                <w:rFonts w:cs="Arial" w:ascii="Arial" w:hAnsi="Arial"/>
                <w:color w:val="000000"/>
                <w:sz w:val="16"/>
                <w:szCs w:val="16"/>
                <w:lang w:val="en-US"/>
              </w:rPr>
              <w:t xml:space="preserve">. </w:t>
            </w:r>
            <w:r>
              <w:rPr>
                <w:rFonts w:cs="Arial" w:ascii="Arial" w:hAnsi="Arial"/>
                <w:color w:val="000000"/>
                <w:sz w:val="16"/>
                <w:szCs w:val="16"/>
              </w:rPr>
              <w:t>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ГОНАЛ-Ф®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follitropin alfa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фолітропін альфа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G03GA05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по 300 МО (22 мкг)/0,48 мл; по 0,48 мл у картриджі з пробкою-поршнем та рифленою кришечкою, вміщеному у ручку для введення; по 1 ручці та 8 голок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препарату, первинне та вторинне пакування, контроль якості та випуск серій: Мерк Сероно С.п.А., Італія; первинне пакування (збирання попередньо заповнених картриджів з препаратом в ручку для введення):</w:t>
              <w:br/>
              <w:t xml:space="preserve">Мерк Сероно С.А., відділення у м. Обонн,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якості</w:t>
            </w:r>
            <w:r>
              <w:rPr>
                <w:rFonts w:cs="Arial" w:ascii="Arial" w:hAnsi="Arial"/>
                <w:color w:val="000000"/>
                <w:sz w:val="16"/>
                <w:szCs w:val="16"/>
                <w:lang w:val="en-US"/>
              </w:rPr>
              <w:t xml:space="preserve">. </w:t>
            </w:r>
            <w:r>
              <w:rPr>
                <w:rFonts w:cs="Arial" w:ascii="Arial" w:hAnsi="Arial"/>
                <w:color w:val="000000"/>
                <w:sz w:val="16"/>
                <w:szCs w:val="16"/>
              </w:rPr>
              <w:t>Готовий</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Контроль</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випробування</w:t>
            </w:r>
            <w:r>
              <w:rPr>
                <w:rFonts w:cs="Arial" w:ascii="Arial" w:hAnsi="Arial"/>
                <w:color w:val="000000"/>
                <w:sz w:val="16"/>
                <w:szCs w:val="16"/>
                <w:lang w:val="en-US"/>
              </w:rPr>
              <w:t xml:space="preserve"> </w:t>
            </w:r>
            <w:r>
              <w:rPr>
                <w:rFonts w:cs="Arial" w:ascii="Arial" w:hAnsi="Arial"/>
                <w:color w:val="000000"/>
                <w:sz w:val="16"/>
                <w:szCs w:val="16"/>
              </w:rPr>
              <w:t>готового</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методах</w:t>
            </w:r>
            <w:r>
              <w:rPr>
                <w:rFonts w:cs="Arial" w:ascii="Arial" w:hAnsi="Arial"/>
                <w:color w:val="000000"/>
                <w:sz w:val="16"/>
                <w:szCs w:val="16"/>
                <w:lang w:val="en-US"/>
              </w:rPr>
              <w:t xml:space="preserve"> </w:t>
            </w:r>
            <w:r>
              <w:rPr>
                <w:rFonts w:cs="Arial" w:ascii="Arial" w:hAnsi="Arial"/>
                <w:color w:val="000000"/>
                <w:sz w:val="16"/>
                <w:szCs w:val="16"/>
              </w:rPr>
              <w:t>випробувань</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заміну</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доповнення</w:t>
            </w:r>
            <w:r>
              <w:rPr>
                <w:rFonts w:cs="Arial" w:ascii="Arial" w:hAnsi="Arial"/>
                <w:color w:val="000000"/>
                <w:sz w:val="16"/>
                <w:szCs w:val="16"/>
                <w:lang w:val="en-US"/>
              </w:rPr>
              <w:t xml:space="preserve">)) </w:t>
            </w:r>
            <w:r>
              <w:rPr>
                <w:rFonts w:cs="Arial" w:ascii="Arial" w:hAnsi="Arial"/>
                <w:color w:val="000000"/>
                <w:sz w:val="16"/>
                <w:szCs w:val="16"/>
              </w:rPr>
              <w:t>Заміна</w:t>
            </w:r>
            <w:r>
              <w:rPr>
                <w:rFonts w:cs="Arial" w:ascii="Arial" w:hAnsi="Arial"/>
                <w:color w:val="000000"/>
                <w:sz w:val="16"/>
                <w:szCs w:val="16"/>
                <w:lang w:val="en-US"/>
              </w:rPr>
              <w:t xml:space="preserve"> </w:t>
            </w:r>
            <w:r>
              <w:rPr>
                <w:rFonts w:cs="Arial" w:ascii="Arial" w:hAnsi="Arial"/>
                <w:color w:val="000000"/>
                <w:sz w:val="16"/>
                <w:szCs w:val="16"/>
              </w:rPr>
              <w:t>контрольного</w:t>
            </w:r>
            <w:r>
              <w:rPr>
                <w:rFonts w:cs="Arial" w:ascii="Arial" w:hAnsi="Arial"/>
                <w:color w:val="000000"/>
                <w:sz w:val="16"/>
                <w:szCs w:val="16"/>
                <w:lang w:val="en-US"/>
              </w:rPr>
              <w:t xml:space="preserve"> </w:t>
            </w:r>
            <w:r>
              <w:rPr>
                <w:rFonts w:cs="Arial" w:ascii="Arial" w:hAnsi="Arial"/>
                <w:color w:val="000000"/>
                <w:sz w:val="16"/>
                <w:szCs w:val="16"/>
              </w:rPr>
              <w:t>зразка</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CS r-hFSH 2023/01 SE-HPLC </w:t>
            </w:r>
            <w:r>
              <w:rPr>
                <w:rFonts w:cs="Arial" w:ascii="Arial" w:hAnsi="Arial"/>
                <w:color w:val="000000"/>
                <w:sz w:val="16"/>
                <w:szCs w:val="16"/>
              </w:rPr>
              <w:t>на</w:t>
            </w:r>
            <w:r>
              <w:rPr>
                <w:rFonts w:cs="Arial" w:ascii="Arial" w:hAnsi="Arial"/>
                <w:color w:val="000000"/>
                <w:sz w:val="16"/>
                <w:szCs w:val="16"/>
                <w:lang w:val="en-US"/>
              </w:rPr>
              <w:t xml:space="preserve"> CS r-hFSH 2025/02 1050 </w:t>
            </w:r>
            <w:r>
              <w:rPr>
                <w:rFonts w:cs="Arial" w:ascii="Arial" w:hAnsi="Arial"/>
                <w:color w:val="000000"/>
                <w:sz w:val="16"/>
                <w:szCs w:val="16"/>
              </w:rPr>
              <w:t>МО</w:t>
            </w:r>
            <w:r>
              <w:rPr>
                <w:rFonts w:cs="Arial" w:ascii="Arial" w:hAnsi="Arial"/>
                <w:color w:val="000000"/>
                <w:sz w:val="16"/>
                <w:szCs w:val="16"/>
                <w:lang w:val="en-US"/>
              </w:rPr>
              <w:t xml:space="preserve">, </w:t>
            </w:r>
            <w:r>
              <w:rPr>
                <w:rFonts w:cs="Arial" w:ascii="Arial" w:hAnsi="Arial"/>
                <w:color w:val="000000"/>
                <w:sz w:val="16"/>
                <w:szCs w:val="16"/>
              </w:rPr>
              <w:t>який</w:t>
            </w:r>
            <w:r>
              <w:rPr>
                <w:rFonts w:cs="Arial" w:ascii="Arial" w:hAnsi="Arial"/>
                <w:color w:val="000000"/>
                <w:sz w:val="16"/>
                <w:szCs w:val="16"/>
                <w:lang w:val="en-US"/>
              </w:rPr>
              <w:t xml:space="preserve"> </w:t>
            </w:r>
            <w:r>
              <w:rPr>
                <w:rFonts w:cs="Arial" w:ascii="Arial" w:hAnsi="Arial"/>
                <w:color w:val="000000"/>
                <w:sz w:val="16"/>
                <w:szCs w:val="16"/>
              </w:rPr>
              <w:t>використовується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кількісного</w:t>
            </w:r>
            <w:r>
              <w:rPr>
                <w:rFonts w:cs="Arial" w:ascii="Arial" w:hAnsi="Arial"/>
                <w:color w:val="000000"/>
                <w:sz w:val="16"/>
                <w:szCs w:val="16"/>
                <w:lang w:val="en-US"/>
              </w:rPr>
              <w:t xml:space="preserve"> </w:t>
            </w:r>
            <w:r>
              <w:rPr>
                <w:rFonts w:cs="Arial" w:ascii="Arial" w:hAnsi="Arial"/>
                <w:color w:val="000000"/>
                <w:sz w:val="16"/>
                <w:szCs w:val="16"/>
              </w:rPr>
              <w:t>визначення</w:t>
            </w:r>
            <w:r>
              <w:rPr>
                <w:rFonts w:cs="Arial" w:ascii="Arial" w:hAnsi="Arial"/>
                <w:color w:val="000000"/>
                <w:sz w:val="16"/>
                <w:szCs w:val="16"/>
                <w:lang w:val="en-US"/>
              </w:rPr>
              <w:t xml:space="preserve"> </w:t>
            </w:r>
            <w:r>
              <w:rPr>
                <w:rFonts w:cs="Arial" w:ascii="Arial" w:hAnsi="Arial"/>
                <w:color w:val="000000"/>
                <w:sz w:val="16"/>
                <w:szCs w:val="16"/>
              </w:rPr>
              <w:t>вмісту</w:t>
            </w:r>
            <w:r>
              <w:rPr>
                <w:rFonts w:cs="Arial" w:ascii="Arial" w:hAnsi="Arial"/>
                <w:color w:val="000000"/>
                <w:sz w:val="16"/>
                <w:szCs w:val="16"/>
                <w:lang w:val="en-US"/>
              </w:rPr>
              <w:t xml:space="preserve"> </w:t>
            </w:r>
            <w:r>
              <w:rPr>
                <w:rFonts w:cs="Arial" w:ascii="Arial" w:hAnsi="Arial"/>
                <w:color w:val="000000"/>
                <w:sz w:val="16"/>
                <w:szCs w:val="16"/>
              </w:rPr>
              <w:t>білка</w:t>
            </w:r>
            <w:r>
              <w:rPr>
                <w:rFonts w:cs="Arial" w:ascii="Arial" w:hAnsi="Arial"/>
                <w:color w:val="000000"/>
                <w:sz w:val="16"/>
                <w:szCs w:val="16"/>
                <w:lang w:val="en-US"/>
              </w:rPr>
              <w:t xml:space="preserve"> </w:t>
            </w:r>
            <w:r>
              <w:rPr>
                <w:rFonts w:cs="Arial" w:ascii="Arial" w:hAnsi="Arial"/>
                <w:color w:val="000000"/>
                <w:sz w:val="16"/>
                <w:szCs w:val="16"/>
              </w:rPr>
              <w:t>ФГС</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готовому</w:t>
            </w:r>
            <w:r>
              <w:rPr>
                <w:rFonts w:cs="Arial" w:ascii="Arial" w:hAnsi="Arial"/>
                <w:color w:val="000000"/>
                <w:sz w:val="16"/>
                <w:szCs w:val="16"/>
                <w:lang w:val="en-US"/>
              </w:rPr>
              <w:t xml:space="preserve"> </w:t>
            </w:r>
            <w:r>
              <w:rPr>
                <w:rFonts w:cs="Arial" w:ascii="Arial" w:hAnsi="Arial"/>
                <w:color w:val="000000"/>
                <w:sz w:val="16"/>
                <w:szCs w:val="16"/>
              </w:rPr>
              <w:t>лікарському</w:t>
            </w:r>
            <w:r>
              <w:rPr>
                <w:rFonts w:cs="Arial" w:ascii="Arial" w:hAnsi="Arial"/>
                <w:color w:val="000000"/>
                <w:sz w:val="16"/>
                <w:szCs w:val="16"/>
                <w:lang w:val="en-US"/>
              </w:rPr>
              <w:t xml:space="preserve"> </w:t>
            </w:r>
            <w:r>
              <w:rPr>
                <w:rFonts w:cs="Arial" w:ascii="Arial" w:hAnsi="Arial"/>
                <w:color w:val="000000"/>
                <w:sz w:val="16"/>
                <w:szCs w:val="16"/>
              </w:rPr>
              <w:t>засобі</w:t>
            </w:r>
            <w:r>
              <w:rPr>
                <w:rFonts w:cs="Arial" w:ascii="Arial" w:hAnsi="Arial"/>
                <w:color w:val="000000"/>
                <w:sz w:val="16"/>
                <w:szCs w:val="16"/>
                <w:lang w:val="en-US"/>
              </w:rPr>
              <w:t xml:space="preserve">. </w:t>
            </w:r>
            <w:r>
              <w:rPr>
                <w:rFonts w:cs="Arial" w:ascii="Arial" w:hAnsi="Arial"/>
                <w:color w:val="000000"/>
                <w:sz w:val="16"/>
                <w:szCs w:val="16"/>
              </w:rPr>
              <w:t>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UA/4113/02/01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ГРИЗЕОФУЛЬВІН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griseofulvin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гризеофульвін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125 мг по 20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Публічне акціонерне товариство «Науково-виробничий центр «Борщагівський хіміко-фармацевтичний завод»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 оновлено інформацію від виробника АФІ Гризеофульвін «Chifeng Pharmaceutical Co., Ltd», Китай про перенесення виробничих потужностей компанії на новий виробничий майданчик. Дане перенесення відбулося на виконання офіційних вимог уряду КНР щодо модернізації та оптимізації промислових зон. </w:t>
              <w:br/>
              <w:t>Зміна адреси виробника АФІ не пов’язана зі зміною самого виробника, а лише з переміщенням місця знаходження адміністрації та виробництва. Затверджено</w:t>
            </w:r>
            <w:r>
              <w:rPr>
                <w:rFonts w:cs="Arial" w:ascii="Arial" w:hAnsi="Arial"/>
                <w:color w:val="000000"/>
                <w:sz w:val="16"/>
                <w:szCs w:val="16"/>
                <w:lang w:val="en-US"/>
              </w:rPr>
              <w:t xml:space="preserve">: Chifeng Pharmaceutical Co., Ltd, </w:t>
            </w:r>
            <w:r>
              <w:rPr>
                <w:rFonts w:cs="Arial" w:ascii="Arial" w:hAnsi="Arial"/>
                <w:color w:val="000000"/>
                <w:sz w:val="16"/>
                <w:szCs w:val="16"/>
              </w:rPr>
              <w:t>Китай</w:t>
            </w:r>
            <w:r>
              <w:rPr>
                <w:rFonts w:cs="Arial" w:ascii="Arial" w:hAnsi="Arial"/>
                <w:color w:val="000000"/>
                <w:sz w:val="16"/>
                <w:szCs w:val="16"/>
                <w:lang w:val="en-US"/>
              </w:rPr>
              <w:t xml:space="preserve"> 84 Yidong Street, Hongshan District, Chifeng, Inner Mongolia, 024001, China </w:t>
            </w:r>
            <w:r>
              <w:rPr>
                <w:rFonts w:cs="Arial" w:ascii="Arial" w:hAnsi="Arial"/>
                <w:color w:val="000000"/>
                <w:sz w:val="16"/>
                <w:szCs w:val="16"/>
              </w:rPr>
              <w:t>Запропоновано</w:t>
            </w:r>
            <w:r>
              <w:rPr>
                <w:rFonts w:cs="Arial" w:ascii="Arial" w:hAnsi="Arial"/>
                <w:color w:val="000000"/>
                <w:sz w:val="16"/>
                <w:szCs w:val="16"/>
                <w:lang w:val="en-US"/>
              </w:rPr>
              <w:t xml:space="preserve">: Chifeng Pharmaceutical Co., Ltd, </w:t>
            </w:r>
            <w:r>
              <w:rPr>
                <w:rFonts w:cs="Arial" w:ascii="Arial" w:hAnsi="Arial"/>
                <w:color w:val="000000"/>
                <w:sz w:val="16"/>
                <w:szCs w:val="16"/>
              </w:rPr>
              <w:t>Китай</w:t>
            </w:r>
            <w:r>
              <w:rPr>
                <w:rFonts w:cs="Arial" w:ascii="Arial" w:hAnsi="Arial"/>
                <w:color w:val="000000"/>
                <w:sz w:val="16"/>
                <w:szCs w:val="16"/>
                <w:lang w:val="en-US"/>
              </w:rPr>
              <w:t xml:space="preserve"> #1, Chiyao Road, Chifeng Hongshan new and high-tech industrial development zone, Hongshan District, Chifeng, Inner Mongolia, China.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ДАЗАТИНІБ АККОРД ХЕЛСКЕА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dasatinib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дазатинібу моногідрат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70 мг; по 10 таблеток у блістері; по 6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C.Л.У.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w:t>
              <w:br/>
              <w:t>Аккорд Хелскеа Полска Сп. з o.o. Склад Імпортера, Польща;</w:t>
              <w:br/>
              <w:t>виробництво лікарського засобу, первинне та вторинне пакування:</w:t>
              <w:br/>
              <w:t>Інтас Фармасьютікалз Лімітед, Індія;</w:t>
              <w:br/>
              <w:t>контроль якості (фізичні, хімічні та мікробіологічні дослідження):</w:t>
              <w:br/>
              <w:t>Фармадокс Хелскеа Лімітед, Мальта;</w:t>
              <w:br/>
              <w:t>контроль якості (фізичні, хімічні та мікробіологічні дослідження):</w:t>
              <w:br/>
              <w:t>Лабораторі Фундасіo ДАУ,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Індія/ Мальта/ Іспанія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ДЕКСАНЕСТ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dexmedetomidine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дексмедетомідину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N05CM18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100 мкг/мл, по 2 мл в ампулі; по 1 ампулі у пачці з картону; по 5 ампул у блістері; по 1 або 5 блістерів у пачці з картону; по 4 мл у флаконі; по 1 флакону у пачці з картону; по 4 флакони у блістері; по 1 блістеру у пачці з картону; по 10 мл у флаконі; по 1 флакону у пачці з картону; по 4 флакони у блістері; по 1 блістеру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 внесення змін до методик випробування за показниками "Супровідні домішки", "Кількісне визначення", зокрема: виправлення технічних помилок допущених в описі аналітичних методів. </w:t>
              <w:br/>
              <w:t xml:space="preserve">В розділі 3.2.Р.5.2. Аналітичні методики, а саме в частині опису вимог до хроматографічної системи допущено технічні помилки: </w:t>
              <w:br/>
              <w:t>- зазначено довжину передколонки 10 мм замість фактичних 4 мм; - допущено друкарську помилку в абревіатурі назви передколонки Purospher Star RH18 замість Purospher Star RР-18</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ДЕКСКЕТОПРОФЕН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dexketoprofen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декскетопрофен (у формі декскетопрофену трометамолу)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2 мл в ампулі, по 5 ампул у контурній упаковці, по 1 контурній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ДЕРМАЗОЛ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вагінальні по 400 мг; in bulk № 1440 (5х288) по 5 супозиторіїв у стрипі; по 288 стрип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UA/12479/04/01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ДЕРМАЗОЛ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кетоконазол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G01AF11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супозиторії вагінальні по 400 мг; по 5 супозиторіїв у стрипі; по 1 або по 2 стрипи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UA/16144/01/01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lang w:val="en-US"/>
              </w:rPr>
            </w:pPr>
            <w:r>
              <w:rPr>
                <w:rFonts w:cs="Arial" w:ascii="Arial" w:hAnsi="Arial"/>
                <w:b/>
                <w:sz w:val="16"/>
                <w:szCs w:val="16"/>
                <w:lang w:val="en-US"/>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дроспіренон; </w:t>
            </w:r>
            <w:r>
              <w:rPr>
                <w:rFonts w:cs="Arial" w:ascii="Arial" w:hAnsi="Arial"/>
                <w:sz w:val="16"/>
                <w:szCs w:val="16"/>
              </w:rPr>
              <w:t>етинілестрадіол (у вигляді клатрату з бетадексом)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28 таблеток (24 таблетки світло-рожевого + 4 таблетки (плацебо) білого кольору) у блістері з самоклейкою стрічкою; по 1 блістеру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контроль якості, випуск серії для активної таблетки;</w:t>
              <w:br/>
              <w:t>первинне та вторинне пакування, випуск серії для "плацебо":</w:t>
              <w:br/>
              <w:t>Байєр АГ, Німеччина;</w:t>
              <w:br/>
              <w:t>Виробництво нерозфасованої продукції та проведення контролю якості для «плацебо»:</w:t>
              <w:br/>
              <w:t>Байєр АГ, Німеччина;</w:t>
              <w:br/>
              <w:t>Всі стадії виробництва для активної таблетки та «плацебо»:</w:t>
              <w:br/>
              <w:t>Байєр Ваймар ГмбХ і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 </w:t>
              <w:br/>
              <w:t xml:space="preserve">Діюча редакція: </w:t>
              <w:br/>
              <w:t xml:space="preserve">Частота подання регулярно оновлюваного звіту з безпеки 3 роки. </w:t>
              <w:br/>
              <w:t xml:space="preserve">Кінцева дата для включення даних до РОЗБ - 06.09.2019 р. </w:t>
              <w:br/>
              <w:t xml:space="preserve">Дата подання РОЗБ - 05.12.2019 р. </w:t>
              <w:br/>
              <w:t xml:space="preserve">Пропонована редакція: </w:t>
              <w:br/>
              <w:t xml:space="preserve">Частота подання регулярно оновлюваного звіту з безпеки 5 років. </w:t>
              <w:br/>
              <w:t xml:space="preserve">Кінцева дата для включення даних до РОЗБ - 06.09.2030 р. </w:t>
              <w:br/>
              <w:t xml:space="preserve">Дата подання РОЗБ - 05.12.2030 р. </w:t>
              <w:br/>
              <w:t>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UA/5468/01/01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ДЖАКАВІ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ruxolitinib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руксолітиніб (у формі фосфату)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5 мг; по 14 таблеток у блістері; по 4 блістери у коробці із картону пакувального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випуск серії:</w:t>
              <w:br/>
              <w:t>Новартіс Фарма Штейн АГ, Швейцарія;</w:t>
              <w:br/>
              <w:t>Виробництво, частковий контроль якості, первинне та вторинне пакування, випуск серії:</w:t>
              <w:br/>
              <w:t>Новартіс Фармасьютикал Мануфактурінг ЛЛС, Словенія;</w:t>
              <w:br/>
              <w:t>Частковий контроль якості:</w:t>
              <w:br/>
              <w:t>Національна лабораторія здоров'я навколишнього середовища та їжі, Словенія;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для первинного пакування.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Новартіс Фармасьютикал Мануфактурінг ЛЛС (вул. Веровшкова 57, Любляна, 1000, Словенія) / Novartis Pharmaceutical Manufacturing LLC (VerovskovaUlica57, Ljubljana, 1000, Slovenia), як альтернативної дільниці для вторинного пакування.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Національна лабораторія здоров'я навколишнього середовища та їжі (Првомайська вулиця 1 Марібор, 2000, Словенія) / National Laboratory of Health, Environment and Food (Prvomajska ulica 1 2000 Maribor Slovenia), як альтернативної дільниці для проведення часткового контролю якості.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розміру серії готового лікарського засобу, що виробляється на дільниці Novartis Pharmaceutical Manufacturing LLC, Slovenia (Любляна, Словенія), — з 240,0 кг до 360,0 кг.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спрямовані на вилучення операції розпушування (delumping) перед сушінням грануляту. Зміни впроваджуються на дільниці Novartis Pharmaceutical Manufacturing LLC, Slovenia у межах трансферу виробництва з Novartis Pharma Stein AG, Switzerland для узгодження процесу з наявним обладнанням.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виробничому процесі готового лікарського засобу, що стосується уточнення часу фінального змішування (final blend time) з 7,5 хвилин на 8 хвилин для серій із затвердженим розміром партії приблизно 240,0 кг, виготовлених на дільниці Novartis Pharma Stein AG, Switzerland.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що передбачають заміну ручного процесу просіювання на автоматизований процес просіювання на дільниці Novartis Pharmaceutical Manufacturing LLC, Slovenia.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пов’язані зі зміною послідовності додавання допоміжних речовин і гранулятів перед фінальним змішуванням. Зміни впроваджуються на дільниці Novartis Pharmaceutical Manufacturing LLC, Slovenia у межах трансферу виробництва з Novartis Pharma Stein AG, Switzerland для узгодження процесу з наявним обладнанням.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Заміна негерметичної (нефункціональної) вторинної упаковки для bulk продукту - з циліндричного металевого контейнера з кришкою на поліпропіленовий барабан для дільниці Novartis Pharmaceutical Manufacturing LLC, Slovenia. Для затвердженої дільниці Novartis Pharma Stein AG, Switzerland тип негерметичної (нефункціональної) вторинної упаковки залишається без змін.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Додавання альтернативного первинного пакування PVC/PE/PVdC (Triplex) блістерів на додаток до вже затвердженого пакування PVC/PCTFE (Aclar) блістер для готового лікарського засобу. Компонент основи «Алюмінієва фольга» залишається без змін.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відповідальної за випуск серій, включаючи частковий контроль якості.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(внесення додаткового виробника) з відповідними змінами в тексті маркування упаковок.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для виробництва готового лікарського засобу, до вже зареєстрованої дільниці Novartis Pharma Stein AG, Schaffhauserstrasse, 4332 Stein, Switzerland.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дільниці Фарманалітика СА, Швейцарія (Pharmanalytica SA, Switzerland) відповідальної за контроль якості за винятком визначення мікробіологічної чистоти.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Новартіс Фармасьютикалс С.Р.Л. (вул. Лівезені, 7А 540472, Тиргу Муреш, округ Муреш, Румунія) / Novartis Pharmaceuticals S.R.L. (Str. Livezeni nr. 7A 540472, Targu Mures, Jud. Mures, Romania), як додаткової дільниці для проведення контролю якості.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 Приведення Методів контролю якості ЛЗ у відповідність до вимог пункту 11 розділу V Порядку, включаючи переклад українською мовою та редакційне уточнення тексту, зокрема уніфікацію термінології, гармонізацію назв реагентів, матеріалів та обладнання, уніфікацію одиниць вимірювання і позначень, а також виправлення технічних та редакційних неточностей. Додатково методику «Продукти деградації, метод ВЕРХ» доповнено типовими хроматограмами з метою ілюстрації профілю домішок та підтвердження придатності системи. У звязку з цим актуалізовано нумерацію рисунків/хроматограм та внутрішні посилання на них.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ДЖАКАВІ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ruxolitinib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руксолітиніб (у формі фосфату)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14 таблеток у блістері; по 4 блістери у коробці із картону пакувального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випуск серії:</w:t>
              <w:br/>
              <w:t>Новартіс Фарма Штейн АГ, Швейцарія;</w:t>
              <w:br/>
              <w:t>Виробництво, частковий контроль якості, первинне та вторинне пакування, випуск серії:</w:t>
              <w:br/>
              <w:t>Новартіс Фармасьютикал Мануфактурінг ЛЛС, Словенія;</w:t>
              <w:br/>
              <w:br/>
              <w:t>Частковий контроль якості:</w:t>
              <w:br/>
              <w:t xml:space="preserve">Національна лабораторія здоров'я навколишнього середовища та їжі, Словенія; </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для первинного пакування.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Новартіс Фармасьютикал Мануфактурінг ЛЛС (вул. Веровшкова 57, Любляна, 1000, Словенія) / Novartis Pharmaceutical Manufacturing LLC (VerovskovaUlica57, Ljubljana, 1000, Slovenia), як альтернативної дільниці для вторинного пакування.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Національна лабораторія здоров'я навколишнього середовища та їжі (Првомайська вулиця 1 Марібор, 2000, Словенія) / National Laboratory of Health, Environment and Food (Prvomajska ulica 1 2000 Maribor Slovenia), як альтернативної дільниці для проведення часткового контролю якості.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розміру серії готового лікарського засобу, що виробляється на дільниці Novartis Pharmaceutical Manufacturing LLC, Slovenia (Любляна, Словенія), — з 240,0 кг до 360,0 кг.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спрямовані на вилучення операції розпушування (delumping) перед сушінням грануляту. Зміни впроваджуються на дільниці Novartis Pharmaceutical Manufacturing LLC, Slovenia у межах трансферу виробництва з Novartis Pharma Stein AG, Switzerland для узгодження процесу з наявним обладнанням.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виробничому процесі готового лікарського засобу, що стосується уточнення часу фінального змішування (final blend time) з 7,5 хвилин на 8 хвилин для серій із затвердженим розміром партії приблизно 240,0 кг, виготовлених на дільниці Novartis Pharma Stein AG, Switzerland.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що передбачають заміну ручного процесу просіювання на автоматизований процес просіювання на дільниці Novartis Pharmaceutical Manufacturing LLC, Slovenia.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пов’язані зі зміною послідовності додавання допоміжних речовин і гранулятів перед фінальним змішуванням. Зміни впроваджуються на дільниці Novartis Pharmaceutical Manufacturing LLC, Slovenia у межах трансферу виробництва з Novartis Pharma Stein AG, Switzerland для узгодження процесу з наявним обладнанням.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Заміна негерметичної (нефункціональної) вторинної упаковки для bulk продукту - з циліндричного металевого контейнера з кришкою на поліпропіленовий барабан для дільниці Novartis Pharmaceutical Manufacturing LLC, Slovenia. Для затвердженої дільниці Novartis Pharma Stein AG, Switzerland тип негерметичної (нефункціональної) вторинної упаковки залишається без змін.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Додавання альтернативного первинного пакування PVC/PE/PVdC (Triplex) блістерів на додаток до вже затвердженого пакування PVC/PCTFE (Aclar) блістер для готового лікарського засобу. Компонент основи «Алюмінієва фольга» залишається без змін.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відповідальної за випуск серій, включаючи частковий контроль якості.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(внесення додаткового виробника) з відповідними змінами в тексті маркування упаковок.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для виробництва готового лікарського засобу, до вже зареєстрованої дільниці Novartis Pharma Stein AG, Schaffhauserstrasse, 4332 Stein, Switzerland.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дільниці Фарманалітика СА, Швейцарія (Pharmanalytica SA, Switzerland) відповідальної за контроль якості за винятком визначення мікробіологічної чистоти.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Новартіс Фармасьютикалс С.Р.Л. (вул. Лівезені, 7А 540472, Тиргу Муреш, округ Муреш, Румунія) / Novartis Pharmaceuticals S.R.L. (Str. Livezeni nr. 7A 540472, Targu Mures, Jud. Mures, Romania), як додаткової дільниці для проведення контролю якості.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 Приведення Методів контролю якості ЛЗ у відповідність до вимог пункту 11 розділу V Порядку, включаючи переклад українською мовою та редакційне уточнення тексту, зокрема уніфікацію термінології, гармонізацію назв реагентів, матеріалів та обладнання, уніфікацію одиниць вимірювання і позначень, а також виправлення технічних та редакційних неточностей. Додатково методику «Продукти деградації, метод ВЕРХ» доповнено типовими хроматограмами з метою ілюстрації профілю домішок та підтвердження придатності системи. У звязку з цим актуалізовано нумерацію рисунків/хроматограм та внутрішні посилання на них.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UA/13456/01/02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ДЖАКАВІ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ruxolitinib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руксолітиніб (у формі фосфату)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L01EJ01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14 таблеток у блістері; по 4 блістери у коробці із картону пакувального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випуск серії:</w:t>
              <w:br/>
              <w:t>Новартіс Фарма Штейн АГ, Швейцарія;</w:t>
              <w:br/>
              <w:br/>
              <w:t>Виробництво, частковий контроль якості, первинне та вторинне пакування, випуск серії:</w:t>
              <w:br/>
              <w:t>Новартіс Фармасьютикал Мануфактурінг ЛЛС, Словенія</w:t>
              <w:br/>
              <w:br/>
              <w:t>Частковий контроль якості:</w:t>
              <w:br/>
              <w:t xml:space="preserve">Національна лабораторія здоров'я навколишнього середовища та їжі, Словенія; </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 Словенія/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для первинного пакування.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дільниці Новартіс Фармасьютикал Мануфактурінг ЛЛС (вул. Веровшкова 57, Любляна, 1000, Словенія) / Novartis Pharmaceutical Manufacturing LLC (VerovskovaUlica57, Ljubljana, 1000, Slovenia), як альтернативної дільниці для вторинного пакування.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Національна лабораторія здоров'я навколишнього середовища та їжі (Првомайська вулиця 1 Марібор, 2000, Словенія) / National Laboratory of Health, Environment and Food (Prvomajska ulica 1 2000 Maribor Slovenia), як альтернативної дільниці для проведення часткового контролю якості. Введення змін протягом 6-ти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 Збільшення розміру серії готового лікарського засобу, що виробляється на дільниці Novartis Pharmaceutical Manufacturing LLC, Slovenia (Любляна, Словенія), — з 240,0 кг до 360,0 кг.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спрямовані на вилучення операції розпушування (delumping) перед сушінням грануляту. Зміни впроваджуються на дільниці Novartis Pharmaceutical Manufacturing LLC, Slovenia у межах трансферу виробництва з Novartis Pharma Stein AG, Switzerland для узгодження процесу з наявним обладнанням.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виробничому процесі готового лікарського засобу, що стосується уточнення часу фінального змішування (final blend time) з 7,5 хвилин на 8 хвилин для серій із затвердженим розміром партії приблизно 240,0 кг, виготовлених на дільниці Novartis Pharma Stein AG, Switzerland.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що передбачають заміну ручного процесу просіювання на автоматизований процес просіювання на дільниці Novartis Pharmaceutical Manufacturing LLC, Slovenia.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Незначні зміни у виробничому процесі готового лікарського засобу, пов’язані зі зміною послідовності додавання допоміжних речовин і гранулятів перед фінальним змішуванням. Зміни впроваджуються на дільниці Novartis Pharmaceutical Manufacturing LLC, Slovenia у межах трансферу виробництва з Novartis Pharma Stein AG, Switzerland для узгодження процесу з наявним обладнанням. Введення змін протягом 6-ти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 Заміна негерметичної (нефункціональної) вторинної упаковки для bulk продукту - з циліндричного металевого контейнера з кришкою на поліпропіленовий барабан для дільниці Novartis Pharmaceutical Manufacturing LLC, Slovenia. Для затвердженої дільниці Novartis Pharma Stein AG, Switzerland тип негерметичної (нефункціональної) вторинної упаковки залишається без змін. Введення змін протягом 6-ти місяців після затвердження.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Додавання альтернативного первинного пакування PVC/PE/PVdC (Triplex) блістерів на додаток до вже затвердженого пакування PVC/PCTFE (Aclar) блістер для готового лікарського засобу. Компонент основи «Алюмінієва фольга» залишається без змін.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відповідальної за випуск серій, включаючи частковий контроль якості.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(внесення додаткового виробника) з відповідними змінами в тексті маркування упаковок.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 Додавання дільниці Новартіс Фармасьютикал Мануфактурінг ЛЛС (вул. Веровшкова 57, Любляна, 1000, Словенія) / Novartis Pharmaceutical Manufacturing LLC (Verovskova Ulica 57, Ljubljana, 1000, Slovenia), як альтернативної дільниці для виробництва готового лікарського засобу, до вже зареєстрованої дільниці Novartis Pharma Stein AG, Schaffhauserstrasse, 4332 Stein, Switzerland.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дільниці Фарманалітика СА, Швейцарія (Pharmanalytica SA, Switzerland) відповідальної за контроль якості за винятком визначення мікробіологічної чистоти.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дільниці Новартіс Фармасьютикалс С.Р.Л. (вул. Лівезені, 7А 540472, Тиргу Муреш, округ Муреш, Румунія) / Novartis Pharmaceuticals S.R.L. (Str. Livezeni nr. 7A 540472, Targu Mures, Jud. Mures, Romania), як додаткової дільниці для проведення контролю якості.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 Приведення Методів контролю якості ЛЗ у відповідність до вимог пункту 11 розділу V Порядку, включаючи переклад українською мовою та редакційне уточнення тексту, зокрема уніфікацію термінології, гармонізацію назв реагентів, матеріалів та обладнання, уніфікацію одиниць вимірювання і позначень, а також виправлення технічних та редакційних неточностей. Додатково методику «Продукти деградації, метод ВЕРХ» доповнено типовими хроматограмами з метою ілюстрації профілю домішок та підтвердження придатності системи. У звязку з цим актуалізовано нумерацію рисунків/хроматограм та внутрішні посилання на них.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UA/13456/01/03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або 6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сертифікату відповідності Європейській фармакопеї № CEP 2000-059-Rev 13 для діючої речовини метформіну гідрохлорид від вже затвердженого виробника Harman Finochem Limited, Індія Затверджено: R1-CEP 2000-059-Rev 12 Запропоновано: CEP 2000-059-Rev 13.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 в специфікацію/методи контролю для діючої речовини метформіну гідрохлорид за показниками : «Ідентифікація», «Прозорість розчину», «Кольоровість розчину», «Домішка F», «Супровідні домішки», «Втрата в масі при висушуванні», «Сульфатна зола», «Залишкові кількості органічних розчинників», «Кількісне визначення», «Розмір часток» – додано посилання на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приведення методів контролю від виробника ГЛЗ для діючої речовини метформіну гідрохлорид виробництва Harman Finochem Limited, Індія та Shouguang Fukang Pharmaceutical Co., Ltd, Китай за показниками «Домішка F», «Супровідні домішки» у відповідність до вимог монографії ЄФ.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із специфікації/методів контролю від виробника ГЛЗ для діючої речовини метформіну гідрохлорид виробництва Harman Finochem Limited, Індія показника «Насипна густина».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вилучено посилання на стандартні зразки в методах контролю для діючої речовини метформіну гідрохлорид для показників «Ідентифікація» та «Домішка F».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10 таблеток у блістері; по 3 або 6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сертифікату відповідності Європейській фармакопеї № CEP 2000-059-Rev 13 для діючої речовини метформіну гідрохлорид від вже затвердженого виробника Harman Finochem Limited, Індія Затверджено: R1-CEP 2000-059-Rev 12 Запропоновано: CEP 2000-059-Rev 13.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 в специфікацію/методи контролю для діючої речовини метформіну гідрохлорид за показниками : «Ідентифікація», «Прозорість розчину», «Кольоровість розчину», «Домішка F», «Супровідні домішки», «Втрата в масі при висушуванні», «Сульфатна зола», «Залишкові кількості органічних розчинників», «Кількісне визначення», «Розмір часток» – додано посилання на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приведення методів контролю від виробника ГЛЗ для діючої речовини метформіну гідрохлорид виробництва Harman Finochem Limited, Індія та Shouguang Fukang Pharmaceutical Co., Ltd, Китай за показниками «Домішка F», «Супровідні домішки» у відповідність до вимог монографії ЄФ.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із специфікації/методів контролю від виробника ГЛЗ для діючої речовини метформіну гідрохлорид виробництва Harman Finochem Limited, Індія показника «Насипна густина».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вилучено посилання на стандартні зразки в методах контролю для діючої речовини метформіну гідрохлорид для показників «Ідентифікація» та «Домішка F».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UA/15141/01/02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ДІАФОРМІН®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або 6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оновлення сертифікату відповідності Європейській фармакопеї № CEP 2000-059-Rev 13 для діючої речовини метформіну гідрохлорид від вже затвердженого виробника Harman Finochem Limited, Індія Затверджено: R1-CEP 2000-059-Rev 12 Запропоновано: CEP 2000-059-Rev 13.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внесення змін в специфікацію/методи контролю для діючої речовини метформіну гідрохлорид за показниками : «Ідентифікація», «Прозорість розчину», «Кольоровість розчину», «Домішка F», «Супровідні домішки», «Втрата в масі при висушуванні», «Сульфатна зола», «Залишкові кількості органічних розчинників», «Кількісне визначення», «Розмір часток» – додано посилання на ЄФ*.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 приведення методів контролю від виробника ГЛЗ для діючої речовини метформіну гідрохлорид виробництва Harman Finochem Limited, Індія та Shouguang Fukang Pharmaceutical Co., Ltd, Китай за показниками «Домішка F», «Супровідні домішки» у відповідність до вимог монографії ЄФ.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із специфікації/методів контролю від виробника ГЛЗ для діючої речовини метформіну гідрохлорид виробництва Harman Finochem Limited, Індія показника «Насипна густина».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 вилучено посилання на стандартні зразки в методах контролю для діючої речовини метформіну гідрохлорид для показників «Ідентифікація» та «Домішка F».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UA/15141/01/03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ДІКЛОТОЛ®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in bulk: № 12000 (10х1200) таблеток: по 10 таблеток у блістері; по 1200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UA/21042/01/01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ДІКЛОТОЛ®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по 10 таблеток у блістері; по 3 або 10 блістерів у картонній упаковці; по 14 таблеток у блістері; по 2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UA/12364/01/01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ДОЦЕТАКСЕЛ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docetaxel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доцетаксел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1 мл (20 мг) або 4 мл (80 мг) або 8 мл (160 мг) у флаконах, по 1 флакону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 Інтас Фармасьютікалс Лімітед, Індія; вторинне пакування: Аккорд Хелскеа Лімітед, Велика Британія; Синоптиз Індастріал Сп.з о.о., Польща; контроль якості серії: Єврофінс Аналітікал Сервісез Хангері Кфт., Угорщина; Фармадокс Хелскеа Лтд., Мальта; виробництво, первинне та вторинне пакування: Онко Ілак Сан. Ве Тідж. А.С., Туреччина; контроль якості серії: ФАРМАВАЛІД Лтд. Мікробіологічна лабораторія, Угорщина;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Польща/ Угорщина/ Мальта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ДУФАСТОН®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dydrogesterone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дидрогестерон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або 20, або 28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Хелскеа Продактс Б.В.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Абботт Біолоджікалз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у розділи "Особливості застосування", "Побічні реакції" щодо важливості звітування про побічні реакції.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UA/3074/01/01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amlodipine and hydrochlorothiazide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мг/160 мг/25 мг; по 14 таблеток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для АФІ Валсартану від затвердженого власника Novartis Pharma AG, Switzerland (затверджено: CEP 2016-290 - Rev 02; запропоновано: CEP 2016-290 - 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amlodipine and hydrochlorothiazide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мг/160 мг/12,5 мг; по 14 таблеток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для АФІ Валсартану від затвердженого власника Novartis Pharma AG, Switzerland (затверджено: CEP 2016-290 - Rev 02; запропоновано: CEP 2016-290 - 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valsartan, amlodipine and hydrochlorothiazide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мг/160 мг/12,5 мг; по 14 таблеток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для АФІ Валсартану від затвердженого власника Novartis Pharma AG, Switzerland (затверджено: CEP 2016-290 - Rev 02; запропоновано: CEP 2016-290 - 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UA/12679/01/04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ЕКСФОРЖ 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valsartan, amlodipine and hydrochlorothiazide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амлодипіну бесилат; валсартан;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мг/160 мг/25 мг; по 14 таблеток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w:t>
              <w:br/>
              <w:t>Новартіс Фарма C.п.А., Італія</w:t>
              <w:br/>
              <w:t>Виробництво, контроль якості, первинне пакування, вторинне пакування:</w:t>
              <w:br/>
              <w:t>Зігфрід Барбера, С.Л., Іспанія</w:t>
              <w:br/>
              <w:t>Випуск серії:</w:t>
              <w:br/>
              <w:t xml:space="preserve">Новартіс Фармасьютика, С.А., Іспанія </w:t>
              <w:br/>
              <w:t>Контроль якості:</w:t>
              <w:br/>
              <w:t>Сандоз С.Р.Л., Румунія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2016-290 - Rev 03 для АФІ Валсартану від затвердженого власника Novartis Pharma AG, Switzerland (затверджено: CEP 2016-290 - Rev 02; запропоновано: CEP 2016-290 - 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CEP 2020-389 - Rev 04 (Process-II) для АФІ Валсартану від затвердженого виробника Zhejiang Tianyu Pharmaceutical Co.Ltd, China. Як наслідок уточнення написання назви виробника – Zhejiang Tianyu Pharmaceutical Co. Ltd.,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UA/12679/01/01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ЕПІПЕН ЮНІОР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epinephrine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адреналін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C01CA24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0,15 мг/дозу; по 2 мл розчину у попередньо наповненій ручці; по 1 попередньо наповненій ручці в тубі; по 1 тубі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Хелскеа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(підготовка, асептична фільтрація, наповнення та укупорка):</w:t>
              <w:br/>
              <w:t>Мерідіан Медікал Текнолоджис, ЛЛС, США; виробник, відповідальний за тестування та комплектацію: Мерідіан Медікал Текнолоджис, ЛЛС, США; виробник, відповідальний за маркування та вторинну упаковку: МПФ Б.В. (Мануфактурінг Пекеджинг Фармака), Нідерланди; компанія, що відповідає за проведення контролю якості: Єврофінс Біофарма Продакт Тестінг, Данiя; виробник, відповідальний за випуск серії: МЕДА Фарма ГмбХ енд Ко. КГ, Німеччина; альтернативний виробник, відповідальний за маркування та вторинну упаковку: РОШ-ДЕЛЬТА ГмбХ енд Ко. КГ, Німеччина; альтернативний виробник, відповідальний за маркування та вторинну упаковку: ФармЛог Фарма Логістик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 Данiя/ 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ЕРІДЕЗ®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desloratadine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дезлоратадин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R06AX27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 мг по 10 таблеток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готового продукту, первинне та вторинне пакування, контроль серії, випуск серії: Дженефарм С.А., Греція; </w:t>
              <w:br/>
              <w:t>виробництво готового продукту, первинне та вторинне пакування, контроль серії, випуск серії: Фармапас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2013-231-Rev 02 для АФІ дезлоратадин від вже затвердженого виробника SUN Pharmaceutical Industries Limited, India. </w:t>
              <w:br/>
              <w:t xml:space="preserve">Затверджено: </w:t>
              <w:br/>
              <w:t xml:space="preserve">R1-CEP 2013-231-Rev 01 </w:t>
              <w:br/>
              <w:t xml:space="preserve">Запропоновано: </w:t>
              <w:br/>
              <w:t>CEP 2013-231-Rev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UA/18434/01/01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ЕРІДОН®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1 мг/мл, по 30 мл у флаконі; по 1 флакону у комплекті з дозуючою піпеткою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"АСІНО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зберігання, контроль якості та випуск серії:</w:t>
              <w:br/>
              <w:t xml:space="preserve">Шанель Медікал Анлімітед Компані, Ірландія </w:t>
              <w:br/>
              <w:t>контроль якості (хімічні/фізичні випробування та мікробіологічна чистота нестерильного лікарського засобу):</w:t>
              <w:br/>
              <w:t>Компліт Лабораторі Солушнз, Ірландія</w:t>
              <w:br/>
              <w:t>контроль якості (хімічні/фізичні, аналітичні та випробування стабільності):</w:t>
              <w:br/>
              <w:t>Шанель Лаб, Йорданія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 Йорданія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СЕР R1-CEP 2002-151-Rev 08 на АФІ рисперидон від затвердженого виробника Jubilant Pharmova Limited, India, який змінив назву на Jubilant Biosys Limited, India (затверджено: СЕР R1- CEP 2002-151-Rev 07; запропоновано: СЕР R1-CEP 2002-151-Rev 08).</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ЕФЕРАЛГАН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шипучі по 500 мг; по 4 таблетки у стрипі; по 4 стрипи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2000-124-Rev 12 від затвердженого виробника ANQIU LU’AN PHARMACEUTICAL CO., LTD. діючої речовини парацетамол, в зв’язку з додаванням виробника проміжного продукту, а також уточнення адрес виробничих майданчиків (затверджено: CEP 2000-124-Rev 11; запропоновано: CEP 2000-124-Rev 12).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ЗАРСІО®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filgrastim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філграстим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30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контроль серії: Ай Ді Ті Біологіка ГмбХ, Німеччина;</w:t>
              <w:br/>
              <w:t>повний цикл виробництва: Новартіс Фармасьютікал Мануфактурінг ГмбХ, Австрія;</w:t>
              <w:br/>
              <w:t xml:space="preserve">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Австрія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методу ізоелектричного фокусування (IEF) на капілярний електрофорез (iCE) з відображенням відповідних змін у специфікаціях готового лікарського засобу філграстим.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методу випробування ізоелектричного фокусування (IEF) на капілярний електрофорез (iCE) для діючої речовини філграстим.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капілярного електрофорезу до специфікацій готового лікарського засобу. Критерії прийнятності встановлено для чистоти основного піку вивільнення ≥ 90,7% та кислих сполук ≤ 9,2%, а також для чистоти основного піку протягом терміну придатності ≥ 87,4% та кислих сполук ≤ 12,2%. Зміни I типу: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додавання капілярного електрофорезу до специфікацій діючої речовини з критеріями прийнятності основного піка ≥ 92,1 % та кислі домішки ≤ 7,9 %.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ЗАРСІО®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filgrastim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філграстим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L03AA02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або інфузій, 48 млн ОД/0,5 мл, по 0,5 мл розчину в попередньо заповненому шприці, оснащеного поршнем, ін'єкційною голкою, ковпачком та захисним пристроєм для запобігання пошкодження голкою після застосування, у блістерній упаковці; по 1 або 5 блістерних упаковок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виробництво, первинне пакування, контроль серії: Ай Ді Ті Біологіка ГмбХ, Німеччина;</w:t>
              <w:br/>
              <w:t>повний цикл виробництва: Новартіс Фармасьютікал Мануфактурінг ГмбХ, Австрія;</w:t>
              <w:br/>
              <w:t xml:space="preserve">випуск серії: Сандоз ГмбХ - Виробнича дільниця Асептичні Лікарські Засоби Шафтенау (Асептичні ЛЗШ), Австрія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Австрія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 типу: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методу ізоелектричного фокусування (IEF) на капілярний електрофорез (iCE) з відображенням відповідних змін у специфікаціях готового лікарського засобу філграстим. Зміни I типу: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заміна методу випробування ізоелектричного фокусування (IEF) на капілярний електрофорез (iCE) для діючої речовини філграстим. Зміни I типу: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капілярного електрофорезу до специфікацій готового лікарського засобу. Критерії прийнятності встановлено для чистоти основного піку вивільнення ≥ 90,7% та кислих сполук ≤ 9,2%, а також для чистоти основного піку протягом терміну придатності ≥ 87,4% та кислих сполук ≤ 12,2%. Зміни I типу: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додавання капілярного електрофорезу до специфікацій діючої речовини з критеріями прийнятності основного піка ≥ 92,1 % та кислі домішки ≤ 7,9 %.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ЗЕЛБОРАФ®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vemurafenib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вемурафеніб у вигляді ко-преципітату вемурафенібу і гіпромелози ацетату сукцинату (у співвідношенні 3:7)</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L01EC01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240 мг; по 8 таблеток у блістері, по 7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нерозфасованої продукції, первинне пакування, вторинне пакування, випробування контролю якості: </w:t>
              <w:br/>
              <w:t>Дельфарм Мілано, С.Р.Л., Італія; Випуск серії: 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інші</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 </w:t>
            </w:r>
            <w:r>
              <w:rPr>
                <w:rFonts w:cs="Arial" w:ascii="Arial" w:hAnsi="Arial"/>
                <w:color w:val="000000"/>
                <w:sz w:val="16"/>
                <w:szCs w:val="16"/>
              </w:rPr>
              <w:t>Оновлення</w:t>
            </w:r>
            <w:r>
              <w:rPr>
                <w:rFonts w:cs="Arial" w:ascii="Arial" w:hAnsi="Arial"/>
                <w:color w:val="000000"/>
                <w:sz w:val="16"/>
                <w:szCs w:val="16"/>
                <w:lang w:val="en-US"/>
              </w:rPr>
              <w:t xml:space="preserve"> </w:t>
            </w:r>
            <w:r>
              <w:rPr>
                <w:rFonts w:cs="Arial" w:ascii="Arial" w:hAnsi="Arial"/>
                <w:color w:val="000000"/>
                <w:sz w:val="16"/>
                <w:szCs w:val="16"/>
              </w:rPr>
              <w:t>тексту</w:t>
            </w:r>
            <w:r>
              <w:rPr>
                <w:rFonts w:cs="Arial" w:ascii="Arial" w:hAnsi="Arial"/>
                <w:color w:val="000000"/>
                <w:sz w:val="16"/>
                <w:szCs w:val="16"/>
                <w:lang w:val="en-US"/>
              </w:rPr>
              <w:t xml:space="preserve"> </w:t>
            </w:r>
            <w:r>
              <w:rPr>
                <w:rFonts w:cs="Arial" w:ascii="Arial" w:hAnsi="Arial"/>
                <w:color w:val="000000"/>
                <w:sz w:val="16"/>
                <w:szCs w:val="16"/>
              </w:rPr>
              <w:t>маркування</w:t>
            </w:r>
            <w:r>
              <w:rPr>
                <w:rFonts w:cs="Arial" w:ascii="Arial" w:hAnsi="Arial"/>
                <w:color w:val="000000"/>
                <w:sz w:val="16"/>
                <w:szCs w:val="16"/>
                <w:lang w:val="en-US"/>
              </w:rPr>
              <w:t xml:space="preserve"> </w:t>
            </w:r>
            <w:r>
              <w:rPr>
                <w:rFonts w:cs="Arial" w:ascii="Arial" w:hAnsi="Arial"/>
                <w:color w:val="000000"/>
                <w:sz w:val="16"/>
                <w:szCs w:val="16"/>
              </w:rPr>
              <w:t>первинної</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вторинної</w:t>
            </w:r>
            <w:r>
              <w:rPr>
                <w:rFonts w:cs="Arial" w:ascii="Arial" w:hAnsi="Arial"/>
                <w:color w:val="000000"/>
                <w:sz w:val="16"/>
                <w:szCs w:val="16"/>
                <w:lang w:val="en-US"/>
              </w:rPr>
              <w:t xml:space="preserve"> </w:t>
            </w:r>
            <w:r>
              <w:rPr>
                <w:rFonts w:cs="Arial" w:ascii="Arial" w:hAnsi="Arial"/>
                <w:color w:val="000000"/>
                <w:sz w:val="16"/>
                <w:szCs w:val="16"/>
              </w:rPr>
              <w:t>упаковок</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ЗЕРОДОЛ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ацеклофенак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100 мг по 10 таблеток у блістері; по 1 або по 3 блістери у картонній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ЗОТЕК®-200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1, 17.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ЗОТЕК®-300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300 мг; по 10 таблеток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1, 17.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ЗОТЕК®-400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M01AE14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в текст маркування вторинної упаковки лікарського засобу у пункти 1, 17.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UA/11501/01/03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ІБУПРОМ ДЛЯ ДІТЕЙ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по 100 мг/5 мл по 100мл, 150 мл або 200 мл у флаконі; по 1 флакону у комплекті зі шприцом-дозатором по 5 мл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Юнілаб, ЛП</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 Фармасьєрра Мануфекчурін, С.Л., Іспанія; Виробництво, первинне та вторинне пакування, контроль якості, випуск серії готового продукту:</w:t>
              <w:br/>
              <w:t>Делфарм Бладел Б.В., Нідерланди; Контроль якості (за винятком мікробіологічного контролю), випуск серії готового продукту:</w:t>
              <w:br/>
              <w:t>Фармалідер, С.А., Іспанія; Виробництво, первинне та вторинне пакування, контроль якості: Едефарм, С.Л., Іспанія; Альтернативна дільниця для проведення мікробіологічного контролю (субдоговір з виробником Фармалідер, С.А.): Біолаб С.Л., Іспанiя; Випуск серії готового продукту: ТОВ ЮС Фармація,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Нідерланди/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Вилучення сертифікатів (за наявності мультиплетного сертифіката на матеріал) - Вилучення сертифіката відповідності ЄФ для АФІ Ібупрофен від затвердженого виробника (SI Group, INC, USA). У зв'язку з припиненням співпраці з виробником АФІ SI Group, INC, USA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UA/15878/01/02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ХУБЕЙ БІОКОЗ ХЕЙЛЕН ФАРМАСЬЮТИКАЛ КО.,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2002-099-Rev 08. Зміна відбулась в адміністративних даних, без зміни фактичного місця впровадження діяльності (зміна поштового індексу адреси власника CEP/місця виробництва) та зміна виробника вихідної сировини.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або 12 таблеток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внесені в текст маркування вторинної упаковки лікарського засобу (пункт 17) щодо деталізації технічної інформації виробника.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ІБУПРОФЕН-МБ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або 12 таблеток у блістері; по 1 блістеру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М.БІОТЕК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внесені в текст маркування вторинної упаковки лікарського засобу (пункт 17) щодо деталізації технічної інформації виробника.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ІНФАКОЛ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silicones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симетикон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A03AX13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40 мг/мл; по 50 мл, або 75 мл, або 100 мл у флаконі з крапельним дозатором;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Фенікс Лабс Анлімітед Компані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Пурна Фармасьютікалз НВ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Зміна уповноваженої особи заявника, відповідальної за фармаконагляд. Діюча редакція: Oksana Bystrova. Пропонована редакція: Rita Ramos. Зміна контактних даних уповноваженої особи заявника, відповідальної за фармаконагляд. Введення контактної особи заявника, відповідальної за фармаконагляд. Пропонована редакція: Rud Olga Oleksandrivna. Введення контактних даних контактної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UA/4419/01/01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lang w:val="en-US"/>
              </w:rPr>
              <w:t>Diphtheria-haemophilus influenzae B-pertussis-poliomyelitis-tetanus-hepatitis 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р-ДНК поверхневий антиген вірусу гепатиту В (</w:t>
            </w:r>
            <w:r>
              <w:rPr>
                <w:rFonts w:cs="Arial" w:ascii="Arial" w:hAnsi="Arial"/>
                <w:sz w:val="16"/>
                <w:szCs w:val="16"/>
                <w:lang w:val="en-AU"/>
              </w:rPr>
              <w:t>HBsAg</w:t>
            </w:r>
            <w:r>
              <w:rPr>
                <w:rFonts w:cs="Arial" w:ascii="Arial" w:hAnsi="Arial"/>
                <w:sz w:val="16"/>
                <w:szCs w:val="16"/>
              </w:rPr>
              <w:t>)</w:t>
            </w:r>
            <w:r>
              <w:rPr>
                <w:rFonts w:cs="Arial" w:ascii="Arial" w:hAnsi="Arial"/>
                <w:sz w:val="16"/>
                <w:szCs w:val="16"/>
                <w:vertAlign w:val="superscript"/>
              </w:rPr>
              <w:t>2,3</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rPr>
                <w:rFonts w:ascii="Arial" w:hAnsi="Arial" w:cs="Arial"/>
                <w:sz w:val="16"/>
                <w:szCs w:val="16"/>
                <w:vertAlign w:val="superscript"/>
              </w:rPr>
            </w:pPr>
            <w:r>
              <w:rPr>
                <w:rFonts w:cs="Arial" w:ascii="Arial" w:hAnsi="Arial"/>
                <w:sz w:val="16"/>
                <w:szCs w:val="16"/>
              </w:rPr>
              <w:t xml:space="preserve">тип 1 (штам </w:t>
            </w:r>
            <w:r>
              <w:rPr>
                <w:rFonts w:cs="Arial" w:ascii="Arial" w:hAnsi="Arial"/>
                <w:sz w:val="16"/>
                <w:szCs w:val="16"/>
                <w:lang w:val="en-AU"/>
              </w:rPr>
              <w:t>Mahoney</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r>
            <w:r>
              <w:rPr>
                <w:rFonts w:cs="Arial" w:ascii="Arial" w:hAnsi="Arial"/>
                <w:sz w:val="16"/>
                <w:szCs w:val="16"/>
                <w:vertAlign w:val="superscript"/>
              </w:rPr>
              <w:t>3</w:t>
            </w:r>
            <w:r>
              <w:rPr>
                <w:rFonts w:cs="Arial" w:ascii="Arial" w:hAnsi="Arial"/>
                <w:sz w:val="16"/>
                <w:szCs w:val="16"/>
              </w:rPr>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rPr>
              <w:t>(</w:t>
            </w:r>
            <w:r>
              <w:rPr>
                <w:rFonts w:cs="Arial" w:ascii="Arial" w:hAnsi="Arial"/>
                <w:i/>
                <w:iCs/>
                <w:sz w:val="16"/>
                <w:szCs w:val="16"/>
                <w:lang w:val="en-AU"/>
              </w:rPr>
              <w:t>OH</w:t>
            </w:r>
            <w:r>
              <w:rPr>
                <w:rFonts w:cs="Arial" w:ascii="Arial" w:hAnsi="Arial"/>
                <w:i/>
                <w:iCs/>
                <w:sz w:val="16"/>
                <w:szCs w:val="16"/>
              </w:rPr>
              <w:t>)</w:t>
            </w:r>
            <w:r>
              <w:rPr>
                <w:rFonts w:cs="Arial" w:ascii="Arial" w:hAnsi="Arial"/>
                <w:i/>
                <w:iCs/>
                <w:sz w:val="16"/>
                <w:szCs w:val="16"/>
                <w:vertAlign w:val="subscript"/>
              </w:rPr>
              <w:t>3</w:t>
            </w:r>
            <w:r>
              <w:rPr>
                <w:rFonts w:cs="Arial" w:ascii="Arial" w:hAnsi="Arial"/>
                <w:i/>
                <w:iCs/>
                <w:sz w:val="16"/>
                <w:szCs w:val="16"/>
              </w:rPr>
              <w:t>)</w:t>
            </w:r>
            <w:r>
              <w:rPr>
                <w:rFonts w:cs="Arial" w:ascii="Arial" w:hAnsi="Arial"/>
                <w:i/>
                <w:iCs/>
                <w:sz w:val="16"/>
                <w:szCs w:val="16"/>
                <w:lang w:val="en-AU"/>
              </w:rPr>
              <w:t> </w:t>
            </w:r>
          </w:p>
          <w:p>
            <w:pPr>
              <w:pStyle w:val="Normal"/>
              <w:rPr>
                <w:rFonts w:ascii="Arial" w:hAnsi="Arial" w:cs="Arial"/>
                <w:sz w:val="16"/>
                <w:szCs w:val="16"/>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вироблений в клітинах дріжджів (Saccharomyces cerevisiae) за допомогою р-ДНК  технології</w:t>
            </w:r>
          </w:p>
          <w:p>
            <w:pPr>
              <w:pStyle w:val="Normal"/>
              <w:rPr>
                <w:rFonts w:ascii="Arial" w:hAnsi="Arial" w:cs="Arial"/>
                <w:sz w:val="16"/>
                <w:szCs w:val="16"/>
                <w:vertAlign w:val="superscript"/>
              </w:rPr>
            </w:pPr>
            <w:r>
              <w:rPr>
                <w:rFonts w:cs="Arial" w:ascii="Arial" w:hAnsi="Arial"/>
                <w:i/>
                <w:iCs/>
                <w:sz w:val="16"/>
                <w:szCs w:val="16"/>
                <w:vertAlign w:val="superscript"/>
              </w:rPr>
              <w:t>3</w:t>
            </w:r>
            <w:r>
              <w:rPr>
                <w:rFonts w:cs="Arial" w:ascii="Arial" w:hAnsi="Arial"/>
                <w:i/>
                <w:iCs/>
                <w:sz w:val="16"/>
                <w:szCs w:val="16"/>
              </w:rPr>
              <w:t>адсорбований на алюмінію фосфат (AlPO4)</w:t>
            </w:r>
          </w:p>
          <w:p>
            <w:pPr>
              <w:pStyle w:val="Normal"/>
              <w:rPr>
                <w:rFonts w:ascii="Arial" w:hAnsi="Arial" w:cs="Arial"/>
                <w:sz w:val="16"/>
                <w:szCs w:val="16"/>
                <w:vertAlign w:val="superscript"/>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rPr>
            </w:pPr>
            <w:r>
              <w:rPr>
                <w:rFonts w:cs="Arial" w:ascii="Arial" w:hAnsi="Arial"/>
                <w:sz w:val="16"/>
                <w:szCs w:val="16"/>
                <w:vertAlign w:val="superscript"/>
              </w:rPr>
            </w:r>
          </w:p>
          <w:p>
            <w:pPr>
              <w:pStyle w:val="Normal"/>
              <w:rPr>
                <w:rFonts w:ascii="Arial" w:hAnsi="Arial" w:cs="Arial"/>
                <w:sz w:val="16"/>
                <w:szCs w:val="16"/>
                <w:vertAlign w:val="superscript"/>
              </w:rPr>
            </w:pPr>
            <w:r>
              <w:rPr>
                <w:rFonts w:cs="Arial" w:ascii="Arial" w:hAnsi="Arial"/>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стрикером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w:t>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«GSK Vaccines GmbH», Марбург, Німеччина, для діючих речовин дифтерійний анатоксин (Diphtheria Toxoid, DT) та правцевий анатоксин (Tetanus Toxoid, TT), а також проміжного продукту адсорбований концентрат дифтерійного та правцевого анатоксинів (Diphtheria and tetanus adsorbed concentrate, DTcc).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B-pertussis-poliomyelitis-tetanus-hepatitis 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lang w:val="en-AU"/>
              </w:rPr>
              <w:t>pertussis</w:t>
            </w:r>
            <w:r>
              <w:rPr>
                <w:rFonts w:cs="Arial" w:ascii="Arial" w:hAnsi="Arial"/>
                <w:sz w:val="16"/>
                <w:szCs w:val="16"/>
                <w:lang w:val="en-AU"/>
              </w:rPr>
              <w:t>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р-ДНК поверхневий антиген вірусу гепатиту В (</w:t>
            </w:r>
            <w:r>
              <w:rPr>
                <w:rFonts w:cs="Arial" w:ascii="Arial" w:hAnsi="Arial"/>
                <w:sz w:val="16"/>
                <w:szCs w:val="16"/>
                <w:lang w:val="en-AU"/>
              </w:rPr>
              <w:t>HBsAg</w:t>
            </w:r>
            <w:r>
              <w:rPr>
                <w:rFonts w:cs="Arial" w:ascii="Arial" w:hAnsi="Arial"/>
                <w:sz w:val="16"/>
                <w:szCs w:val="16"/>
              </w:rPr>
              <w:t>)</w:t>
            </w:r>
            <w:r>
              <w:rPr>
                <w:rFonts w:cs="Arial" w:ascii="Arial" w:hAnsi="Arial"/>
                <w:sz w:val="16"/>
                <w:szCs w:val="16"/>
                <w:vertAlign w:val="superscript"/>
              </w:rPr>
              <w:t>2,3</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rPr>
                <w:rFonts w:ascii="Arial" w:hAnsi="Arial" w:cs="Arial"/>
                <w:sz w:val="16"/>
                <w:szCs w:val="16"/>
                <w:vertAlign w:val="superscript"/>
              </w:rPr>
            </w:pPr>
            <w:r>
              <w:rPr>
                <w:rFonts w:cs="Arial" w:ascii="Arial" w:hAnsi="Arial"/>
                <w:sz w:val="16"/>
                <w:szCs w:val="16"/>
              </w:rPr>
              <w:t xml:space="preserve">тип 1 (штам </w:t>
            </w:r>
            <w:r>
              <w:rPr>
                <w:rFonts w:cs="Arial" w:ascii="Arial" w:hAnsi="Arial"/>
                <w:sz w:val="16"/>
                <w:szCs w:val="16"/>
                <w:lang w:val="en-AU"/>
              </w:rPr>
              <w:t>Mahoney</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 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4</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r>
            <w:r>
              <w:rPr>
                <w:rFonts w:cs="Arial" w:ascii="Arial" w:hAnsi="Arial"/>
                <w:sz w:val="16"/>
                <w:szCs w:val="16"/>
                <w:vertAlign w:val="superscript"/>
              </w:rPr>
              <w:t>3</w:t>
            </w:r>
            <w:r>
              <w:rPr>
                <w:rFonts w:cs="Arial" w:ascii="Arial" w:hAnsi="Arial"/>
                <w:sz w:val="16"/>
                <w:szCs w:val="16"/>
              </w:rPr>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 (</w:t>
            </w:r>
            <w:r>
              <w:rPr>
                <w:rFonts w:cs="Arial" w:ascii="Arial" w:hAnsi="Arial"/>
                <w:i/>
                <w:iCs/>
                <w:sz w:val="16"/>
                <w:szCs w:val="16"/>
                <w:lang w:val="en-AU"/>
              </w:rPr>
              <w:t>Al</w:t>
            </w:r>
            <w:r>
              <w:rPr>
                <w:rFonts w:cs="Arial" w:ascii="Arial" w:hAnsi="Arial"/>
                <w:i/>
                <w:iCs/>
                <w:sz w:val="16"/>
                <w:szCs w:val="16"/>
              </w:rPr>
              <w:t>(</w:t>
            </w:r>
            <w:r>
              <w:rPr>
                <w:rFonts w:cs="Arial" w:ascii="Arial" w:hAnsi="Arial"/>
                <w:i/>
                <w:iCs/>
                <w:sz w:val="16"/>
                <w:szCs w:val="16"/>
                <w:lang w:val="en-AU"/>
              </w:rPr>
              <w:t>OH</w:t>
            </w:r>
            <w:r>
              <w:rPr>
                <w:rFonts w:cs="Arial" w:ascii="Arial" w:hAnsi="Arial"/>
                <w:i/>
                <w:iCs/>
                <w:sz w:val="16"/>
                <w:szCs w:val="16"/>
              </w:rPr>
              <w:t>)</w:t>
            </w:r>
            <w:r>
              <w:rPr>
                <w:rFonts w:cs="Arial" w:ascii="Arial" w:hAnsi="Arial"/>
                <w:i/>
                <w:iCs/>
                <w:sz w:val="16"/>
                <w:szCs w:val="16"/>
                <w:vertAlign w:val="subscript"/>
              </w:rPr>
              <w:t>3</w:t>
            </w:r>
            <w:r>
              <w:rPr>
                <w:rFonts w:cs="Arial" w:ascii="Arial" w:hAnsi="Arial"/>
                <w:i/>
                <w:iCs/>
                <w:sz w:val="16"/>
                <w:szCs w:val="16"/>
              </w:rPr>
              <w:t>)</w:t>
            </w:r>
            <w:r>
              <w:rPr>
                <w:rFonts w:cs="Arial" w:ascii="Arial" w:hAnsi="Arial"/>
                <w:i/>
                <w:iCs/>
                <w:sz w:val="16"/>
                <w:szCs w:val="16"/>
                <w:lang w:val="en-AU"/>
              </w:rPr>
              <w:t> </w:t>
            </w:r>
          </w:p>
          <w:p>
            <w:pPr>
              <w:pStyle w:val="Normal"/>
              <w:rPr>
                <w:rFonts w:ascii="Arial" w:hAnsi="Arial" w:cs="Arial"/>
                <w:sz w:val="16"/>
                <w:szCs w:val="16"/>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вироблений в клітинах дріжджів (Saccharomyces cerevisiae) за допомогою р-ДНК  технології</w:t>
            </w:r>
          </w:p>
          <w:p>
            <w:pPr>
              <w:pStyle w:val="Normal"/>
              <w:rPr>
                <w:rFonts w:ascii="Arial" w:hAnsi="Arial" w:cs="Arial"/>
                <w:sz w:val="16"/>
                <w:szCs w:val="16"/>
                <w:vertAlign w:val="superscript"/>
              </w:rPr>
            </w:pPr>
            <w:r>
              <w:rPr>
                <w:rFonts w:cs="Arial" w:ascii="Arial" w:hAnsi="Arial"/>
                <w:i/>
                <w:iCs/>
                <w:sz w:val="16"/>
                <w:szCs w:val="16"/>
                <w:vertAlign w:val="superscript"/>
              </w:rPr>
              <w:t>3</w:t>
            </w:r>
            <w:r>
              <w:rPr>
                <w:rFonts w:cs="Arial" w:ascii="Arial" w:hAnsi="Arial"/>
                <w:i/>
                <w:iCs/>
                <w:sz w:val="16"/>
                <w:szCs w:val="16"/>
              </w:rPr>
              <w:t>адсорбований на алюмінію фосфат (AlPO4)</w:t>
            </w:r>
          </w:p>
          <w:p>
            <w:pPr>
              <w:pStyle w:val="Normal"/>
              <w:rPr>
                <w:rFonts w:ascii="Arial" w:hAnsi="Arial" w:cs="Arial"/>
                <w:sz w:val="16"/>
                <w:szCs w:val="16"/>
                <w:vertAlign w:val="superscript"/>
              </w:rPr>
            </w:pPr>
            <w:r>
              <w:rPr>
                <w:rFonts w:cs="Arial" w:ascii="Arial" w:hAnsi="Arial"/>
                <w:sz w:val="16"/>
                <w:szCs w:val="16"/>
                <w:vertAlign w:val="superscript"/>
              </w:rPr>
              <w:t>4 </w:t>
            </w:r>
            <w:r>
              <w:rPr>
                <w:rFonts w:cs="Arial" w:ascii="Arial" w:hAnsi="Arial"/>
                <w:i/>
                <w:iCs/>
                <w:sz w:val="16"/>
                <w:szCs w:val="16"/>
                <w:lang w:val="en-AU"/>
              </w:rPr>
              <w:t>розмножені на клітинах </w:t>
            </w:r>
            <w:r>
              <w:rPr>
                <w:rFonts w:cs="Arial" w:ascii="Arial" w:hAnsi="Arial"/>
                <w:i/>
                <w:iCs/>
                <w:sz w:val="16"/>
                <w:szCs w:val="16"/>
              </w:rPr>
              <w:t>Vero</w:t>
            </w:r>
          </w:p>
          <w:p>
            <w:pPr>
              <w:pStyle w:val="Normal"/>
              <w:rPr>
                <w:rFonts w:ascii="Arial" w:hAnsi="Arial" w:cs="Arial"/>
                <w:sz w:val="16"/>
                <w:szCs w:val="16"/>
                <w:vertAlign w:val="superscript"/>
              </w:rPr>
            </w:pPr>
            <w:r>
              <w:rPr>
                <w:rFonts w:cs="Arial" w:ascii="Arial" w:hAnsi="Arial"/>
                <w:sz w:val="16"/>
                <w:szCs w:val="16"/>
                <w:vertAlign w:val="superscript"/>
              </w:rPr>
            </w:r>
          </w:p>
          <w:p>
            <w:pPr>
              <w:pStyle w:val="Normal"/>
              <w:rPr>
                <w:rFonts w:ascii="Arial" w:hAnsi="Arial" w:cs="Arial"/>
                <w:sz w:val="16"/>
                <w:szCs w:val="16"/>
                <w:vertAlign w:val="superscript"/>
              </w:rPr>
            </w:pPr>
            <w:r>
              <w:rPr>
                <w:rFonts w:cs="Arial" w:ascii="Arial" w:hAnsi="Arial"/>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серій готового продукту. Проведення контролю якості DTPa-HBV-IPV компоненту); 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Заміна внутрішньої серії референтної вакцини SWN0568А12 (що відповідає вихідній серії АНАВВ457А) на нову серію референтної вакцини (Twinrix FC) SWN0568А14 (що відповідає комерційній вихідній серії АНАВВ486А), з метою забезпечення наявності кваліфікованої серії референтної вакцини Twinrix для проведення випробувань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UA/16235/01/01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ІНФАНРИКС ІПВ КОМБІНОВАНА ВАКЦИНА ДЛЯ ПРОФІЛАКТИКИ ДИФТЕРІЇ, ПРАВЦЯ, КАШЛЮКА (АЦЕЛЮЛЯРНИЙ КОМПОНЕНТ) ТА ПОЛІОМІЄЛІТУ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Diphtheria-pertussis-poliomyelitis-tetanus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i/>
                <w:iCs/>
                <w:sz w:val="16"/>
                <w:szCs w:val="16"/>
                <w:shd w:fill="FFFFFF" w:val="clear"/>
              </w:rPr>
              <w:t>Bordetella</w:t>
            </w:r>
            <w:r>
              <w:rPr>
                <w:rFonts w:cs="Arial" w:ascii="Arial" w:hAnsi="Arial"/>
                <w:sz w:val="16"/>
                <w:szCs w:val="16"/>
                <w:shd w:fill="FFFFFF" w:val="clear"/>
              </w:rPr>
              <w:t> </w:t>
            </w:r>
            <w:r>
              <w:rPr>
                <w:rFonts w:cs="Arial" w:ascii="Arial" w:hAnsi="Arial"/>
                <w:i/>
                <w:iCs/>
                <w:sz w:val="16"/>
                <w:szCs w:val="16"/>
                <w:shd w:fill="FFFFFF" w:val="clear"/>
              </w:rPr>
              <w:t>pertussis </w:t>
            </w:r>
            <w:r>
              <w:rPr>
                <w:rFonts w:cs="Arial" w:ascii="Arial" w:hAnsi="Arial"/>
                <w:sz w:val="16"/>
                <w:szCs w:val="16"/>
                <w:shd w:fill="FFFFFF" w:val="clear"/>
              </w:rPr>
              <w:t>кашлюкові</w:t>
            </w:r>
            <w:r>
              <w:rPr>
                <w:rFonts w:cs="Arial" w:ascii="Arial" w:hAnsi="Arial"/>
                <w:sz w:val="16"/>
                <w:szCs w:val="16"/>
              </w:rPr>
              <w:t> антигени:</w:t>
            </w:r>
          </w:p>
          <w:p>
            <w:pPr>
              <w:pStyle w:val="Normal"/>
              <w:jc w:val="both"/>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нитчастий гемаглютинін (FHA)</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пертактин (PRN)</w:t>
            </w:r>
            <w:r>
              <w:rPr>
                <w:rFonts w:cs="Arial" w:ascii="Arial" w:hAnsi="Arial"/>
                <w:sz w:val="16"/>
                <w:szCs w:val="16"/>
                <w:vertAlign w:val="superscript"/>
              </w:rPr>
              <w:t>1</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інактивовані віруси поліомієліту:</w:t>
            </w:r>
          </w:p>
          <w:p>
            <w:pPr>
              <w:pStyle w:val="Normal"/>
              <w:jc w:val="both"/>
              <w:rPr>
                <w:rFonts w:ascii="Arial" w:hAnsi="Arial" w:cs="Arial"/>
                <w:sz w:val="16"/>
                <w:szCs w:val="16"/>
                <w:vertAlign w:val="superscript"/>
              </w:rPr>
            </w:pPr>
            <w:r>
              <w:rPr>
                <w:rFonts w:cs="Arial" w:ascii="Arial" w:hAnsi="Arial"/>
                <w:sz w:val="16"/>
                <w:szCs w:val="16"/>
              </w:rPr>
              <w:t>тип 1 (штам Mahoney)</w:t>
            </w:r>
            <w:r>
              <w:rPr>
                <w:rFonts w:cs="Arial" w:ascii="Arial" w:hAnsi="Arial"/>
                <w:sz w:val="16"/>
                <w:szCs w:val="16"/>
                <w:vertAlign w:val="superscript"/>
              </w:rPr>
              <w:t>2</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тип 2 (штам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jc w:val="both"/>
              <w:rPr>
                <w:rFonts w:ascii="Arial" w:hAnsi="Arial" w:cs="Arial"/>
                <w:sz w:val="16"/>
                <w:szCs w:val="16"/>
                <w:vertAlign w:val="superscript"/>
              </w:rPr>
            </w:pPr>
            <w:r>
              <w:rPr>
                <w:rFonts w:cs="Arial" w:ascii="Arial" w:hAnsi="Arial"/>
                <w:sz w:val="16"/>
                <w:szCs w:val="16"/>
              </w:rPr>
              <w:t>тип 3 (штам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jc w:val="both"/>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 гідратований</w:t>
            </w:r>
          </w:p>
          <w:p>
            <w:pPr>
              <w:pStyle w:val="Normal"/>
              <w:jc w:val="both"/>
              <w:rPr>
                <w:rFonts w:ascii="Arial" w:hAnsi="Arial" w:cs="Arial"/>
                <w:sz w:val="16"/>
                <w:szCs w:val="16"/>
              </w:rPr>
            </w:pPr>
            <w:r>
              <w:rPr>
                <w:rFonts w:cs="Arial" w:ascii="Arial" w:hAnsi="Arial"/>
                <w:sz w:val="16"/>
                <w:szCs w:val="16"/>
                <w:vertAlign w:val="superscript"/>
              </w:rPr>
              <w:t>2 </w:t>
            </w:r>
            <w:r>
              <w:rPr>
                <w:rFonts w:cs="Arial" w:ascii="Arial" w:hAnsi="Arial"/>
                <w:i/>
                <w:iCs/>
                <w:sz w:val="16"/>
                <w:szCs w:val="16"/>
              </w:rPr>
              <w:t>розмножені на клітинах Vero</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0,5 мл у попередньо заповненому одноразовому шприці у комплекті з голкою; по 1 або 10 попередньо заповнених одноразових шприців у пластиковому контейнері; по 1 контейнеру в картонній коробці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(проведення контролю якості вакцини, випуск серій готового продукту); </w:t>
              <w:br/>
              <w:t xml:space="preserve">ГлаксоСмітКляйн Біолоджікалз, Франція (формування вакцини, наповнення вакцини в шприці, маркування та пакування готового продукту, проведення контролю якості вакцини); ГлаксоСмітКляйн Біолоджікалз С.А., Бельгія (наповнення вакцини в шприці, маркування і пакування готового продукту, проведення контролю якості вакцини)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«GSK Vaccines GmbH», Марбург, Німеччина, для діючих речовин дифтерійний анатоксин (Diphtheria Toxoid, DT) та правцевий анатоксин (Tetanus Toxoid, TT), а також проміжного продукту адсорбований концентрат дифтерійного та правцевого анатоксинів (Diphtheria and tetanus adsorbed concentrate, DTcc).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UA/13939/01/01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 xml:space="preserve">ІНФАНРИКС ІПВ ХІБ КОМБІНОВАНА ВАКЦИНА ДЛЯ ПРОФІЛАКТИКИ ДИФТЕРІЇ, ПРАВЦЯ, КАШЛЮКУ (АЦЕЛЮЛЯРНИЙ КОМПОНЕНТ), ПОЛІОМІЄЛІТУ ТА ЗАХВОРЮВАНЬ, ЗБУДНИКОМ ЯКИХ Є </w:t>
            </w:r>
            <w:r>
              <w:rPr>
                <w:rFonts w:cs="Arial" w:ascii="Arial" w:hAnsi="Arial"/>
                <w:b/>
                <w:sz w:val="16"/>
                <w:szCs w:val="16"/>
              </w:rPr>
              <w:t>HAEMOPHILUS</w:t>
            </w:r>
            <w:r>
              <w:rPr>
                <w:rFonts w:cs="Arial" w:ascii="Arial" w:hAnsi="Arial"/>
                <w:b/>
                <w:sz w:val="16"/>
                <w:szCs w:val="16"/>
                <w:lang w:val="uk-UA"/>
              </w:rPr>
              <w:t xml:space="preserve"> </w:t>
            </w:r>
            <w:r>
              <w:rPr>
                <w:rFonts w:cs="Arial" w:ascii="Arial" w:hAnsi="Arial"/>
                <w:b/>
                <w:sz w:val="16"/>
                <w:szCs w:val="16"/>
              </w:rPr>
              <w:t>INFLUENZAE</w:t>
            </w:r>
            <w:r>
              <w:rPr>
                <w:rFonts w:cs="Arial" w:ascii="Arial" w:hAnsi="Arial"/>
                <w:b/>
                <w:sz w:val="16"/>
                <w:szCs w:val="16"/>
                <w:lang w:val="uk-UA"/>
              </w:rPr>
              <w:t xml:space="preserve"> ТИПУ </w:t>
            </w:r>
            <w:r>
              <w:rPr>
                <w:rFonts w:cs="Arial" w:ascii="Arial" w:hAnsi="Arial"/>
                <w:b/>
                <w:sz w:val="16"/>
                <w:szCs w:val="16"/>
              </w:rPr>
              <w:t>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lang w:val="en-US"/>
              </w:rPr>
            </w:pPr>
            <w:r>
              <w:rPr>
                <w:rFonts w:cs="Arial" w:ascii="Arial" w:hAnsi="Arial"/>
                <w:sz w:val="16"/>
                <w:szCs w:val="16"/>
                <w:lang w:val="en-US"/>
              </w:rPr>
              <w:t>Diphtheria-haemophilus influenzae B-pertussis-poliomyelitis-tetanus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lang w:val="en-AU"/>
              </w:rPr>
              <w:t> </w:t>
            </w:r>
            <w:r>
              <w:rPr>
                <w:rFonts w:cs="Arial" w:ascii="Arial" w:hAnsi="Arial"/>
                <w:sz w:val="16"/>
                <w:szCs w:val="16"/>
              </w:rPr>
              <w:t>(D)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vertAlign w:val="superscript"/>
                <w:lang w:val="en-AU"/>
              </w:rPr>
              <w:t> </w:t>
            </w:r>
            <w:r>
              <w:rPr>
                <w:rFonts w:cs="Arial" w:ascii="Arial" w:hAnsi="Arial"/>
                <w:sz w:val="16"/>
                <w:szCs w:val="16"/>
              </w:rPr>
              <w:t>(T)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lang w:val="en-AU"/>
              </w:rPr>
              <w:t>Bordetella</w:t>
            </w:r>
            <w:r>
              <w:rPr>
                <w:rFonts w:cs="Arial" w:ascii="Arial" w:hAnsi="Arial"/>
                <w:sz w:val="16"/>
                <w:szCs w:val="16"/>
                <w:lang w:val="en-AU"/>
              </w:rPr>
              <w:t> </w:t>
            </w:r>
            <w:r>
              <w:rPr>
                <w:rFonts w:cs="Arial" w:ascii="Arial" w:hAnsi="Arial"/>
                <w:i/>
                <w:iCs/>
                <w:sz w:val="16"/>
                <w:szCs w:val="16"/>
              </w:rPr>
              <w:t>pertussis</w:t>
            </w:r>
            <w:r>
              <w:rPr>
                <w:rFonts w:cs="Arial" w:ascii="Arial" w:hAnsi="Arial"/>
                <w:sz w:val="16"/>
                <w:szCs w:val="16"/>
              </w:rPr>
              <w:t> кашлюкові</w:t>
            </w:r>
            <w:r>
              <w:rPr>
                <w:rFonts w:cs="Arial" w:ascii="Arial" w:hAnsi="Arial"/>
                <w:sz w:val="16"/>
                <w:szCs w:val="16"/>
                <w:lang w:val="en-AU"/>
              </w:rPr>
              <w:t> </w:t>
            </w:r>
            <w:r>
              <w:rPr>
                <w:rFonts w:cs="Arial" w:ascii="Arial" w:hAnsi="Arial"/>
                <w:sz w:val="16"/>
                <w:szCs w:val="16"/>
              </w:rPr>
              <w:t>антигени:</w:t>
            </w:r>
          </w:p>
          <w:p>
            <w:pPr>
              <w:pStyle w:val="Normal"/>
              <w:rPr>
                <w:rFonts w:ascii="Arial" w:hAnsi="Arial" w:cs="Arial"/>
                <w:sz w:val="16"/>
                <w:szCs w:val="16"/>
                <w:vertAlign w:val="superscript"/>
              </w:rPr>
            </w:pPr>
            <w:r>
              <w:rPr>
                <w:rFonts w:cs="Arial" w:ascii="Arial" w:hAnsi="Arial"/>
                <w:sz w:val="16"/>
                <w:szCs w:val="16"/>
              </w:rPr>
              <w:t>кашлюковий</w:t>
            </w:r>
            <w:r>
              <w:rPr>
                <w:rFonts w:cs="Arial" w:ascii="Arial" w:hAnsi="Arial"/>
                <w:sz w:val="16"/>
                <w:szCs w:val="16"/>
                <w:lang w:val="en-AU"/>
              </w:rPr>
              <w:t> </w:t>
            </w:r>
            <w:r>
              <w:rPr>
                <w:rFonts w:cs="Arial" w:ascii="Arial" w:hAnsi="Arial"/>
                <w:sz w:val="16"/>
                <w:szCs w:val="16"/>
              </w:rPr>
              <w:t>анатоксин</w:t>
            </w:r>
            <w:r>
              <w:rPr>
                <w:rFonts w:cs="Arial" w:ascii="Arial" w:hAnsi="Arial"/>
                <w:sz w:val="16"/>
                <w:szCs w:val="16"/>
                <w:lang w:val="en-AU"/>
              </w:rPr>
              <w:t> </w:t>
            </w:r>
            <w:r>
              <w:rPr>
                <w:rFonts w:cs="Arial" w:ascii="Arial" w:hAnsi="Arial"/>
                <w:sz w:val="16"/>
                <w:szCs w:val="16"/>
              </w:rPr>
              <w:t>(PT)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нитчастий</w:t>
            </w:r>
            <w:r>
              <w:rPr>
                <w:rFonts w:cs="Arial" w:ascii="Arial" w:hAnsi="Arial"/>
                <w:sz w:val="16"/>
                <w:szCs w:val="16"/>
                <w:lang w:val="en-AU"/>
              </w:rPr>
              <w:t> </w:t>
            </w:r>
            <w:r>
              <w:rPr>
                <w:rFonts w:cs="Arial" w:ascii="Arial" w:hAnsi="Arial"/>
                <w:sz w:val="16"/>
                <w:szCs w:val="16"/>
              </w:rPr>
              <w:t>гемаглютинін (FHA)</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пертактин</w:t>
            </w:r>
            <w:r>
              <w:rPr>
                <w:rFonts w:cs="Arial" w:ascii="Arial" w:hAnsi="Arial"/>
                <w:sz w:val="16"/>
                <w:szCs w:val="16"/>
                <w:lang w:val="en-AU"/>
              </w:rPr>
              <w:t> </w:t>
            </w:r>
            <w:r>
              <w:rPr>
                <w:rFonts w:cs="Arial" w:ascii="Arial" w:hAnsi="Arial"/>
                <w:sz w:val="16"/>
                <w:szCs w:val="16"/>
              </w:rPr>
              <w:t>(PRN)</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інактивовані</w:t>
            </w:r>
            <w:r>
              <w:rPr>
                <w:rFonts w:cs="Arial" w:ascii="Arial" w:hAnsi="Arial"/>
                <w:sz w:val="16"/>
                <w:szCs w:val="16"/>
                <w:lang w:val="en-AU"/>
              </w:rPr>
              <w:t> </w:t>
            </w:r>
            <w:r>
              <w:rPr>
                <w:rFonts w:cs="Arial" w:ascii="Arial" w:hAnsi="Arial"/>
                <w:sz w:val="16"/>
                <w:szCs w:val="16"/>
              </w:rPr>
              <w:t>віруси</w:t>
            </w:r>
            <w:r>
              <w:rPr>
                <w:rFonts w:cs="Arial" w:ascii="Arial" w:hAnsi="Arial"/>
                <w:sz w:val="16"/>
                <w:szCs w:val="16"/>
                <w:lang w:val="en-AU"/>
              </w:rPr>
              <w:t> </w:t>
            </w:r>
            <w:r>
              <w:rPr>
                <w:rFonts w:cs="Arial" w:ascii="Arial" w:hAnsi="Arial"/>
                <w:sz w:val="16"/>
                <w:szCs w:val="16"/>
              </w:rPr>
              <w:t>поліомієліту:</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1 (штам</w:t>
            </w:r>
            <w:r>
              <w:rPr>
                <w:rFonts w:cs="Arial" w:ascii="Arial" w:hAnsi="Arial"/>
                <w:sz w:val="16"/>
                <w:szCs w:val="16"/>
                <w:lang w:val="en-AU"/>
              </w:rPr>
              <w:t> Mahoney</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2 (штам</w:t>
            </w:r>
            <w:r>
              <w:rPr>
                <w:rFonts w:cs="Arial" w:ascii="Arial" w:hAnsi="Arial"/>
                <w:sz w:val="16"/>
                <w:szCs w:val="16"/>
                <w:lang w:val="en-AU"/>
              </w:rPr>
              <w:t> </w:t>
            </w:r>
            <w:r>
              <w:rPr>
                <w:rFonts w:cs="Arial" w:ascii="Arial" w:hAnsi="Arial"/>
                <w:sz w:val="16"/>
                <w:szCs w:val="16"/>
                <w:lang w:val="fr-FR"/>
              </w:rPr>
              <w:t>MEF-1</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тип</w:t>
            </w:r>
            <w:r>
              <w:rPr>
                <w:rFonts w:cs="Arial" w:ascii="Arial" w:hAnsi="Arial"/>
                <w:sz w:val="16"/>
                <w:szCs w:val="16"/>
                <w:lang w:val="en-AU"/>
              </w:rPr>
              <w:t> </w:t>
            </w:r>
            <w:r>
              <w:rPr>
                <w:rFonts w:cs="Arial" w:ascii="Arial" w:hAnsi="Arial"/>
                <w:sz w:val="16"/>
                <w:szCs w:val="16"/>
              </w:rPr>
              <w:t>3 (штам</w:t>
            </w:r>
            <w:r>
              <w:rPr>
                <w:rFonts w:cs="Arial" w:ascii="Arial" w:hAnsi="Arial"/>
                <w:sz w:val="16"/>
                <w:szCs w:val="16"/>
                <w:lang w:val="en-AU"/>
              </w:rPr>
              <w:t> </w:t>
            </w:r>
            <w:r>
              <w:rPr>
                <w:rFonts w:cs="Arial" w:ascii="Arial" w:hAnsi="Arial"/>
                <w:sz w:val="16"/>
                <w:szCs w:val="16"/>
                <w:lang w:val="fr-FR"/>
              </w:rPr>
              <w:t>Saukett</w:t>
            </w:r>
            <w:r>
              <w:rPr>
                <w:rFonts w:cs="Arial" w:ascii="Arial" w:hAnsi="Arial"/>
                <w:sz w:val="16"/>
                <w:szCs w:val="16"/>
              </w:rPr>
              <w:t>)</w:t>
            </w:r>
            <w:r>
              <w:rPr>
                <w:rFonts w:cs="Arial" w:ascii="Arial" w:hAnsi="Arial"/>
                <w:sz w:val="16"/>
                <w:szCs w:val="16"/>
                <w:vertAlign w:val="superscript"/>
              </w:rPr>
              <w:t>2</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полісахарид </w:t>
            </w:r>
            <w:r>
              <w:rPr>
                <w:rFonts w:cs="Arial" w:ascii="Arial" w:hAnsi="Arial"/>
                <w:i/>
                <w:iCs/>
                <w:sz w:val="16"/>
                <w:szCs w:val="16"/>
              </w:rPr>
              <w:t>Haemophilus influenzae</w:t>
            </w:r>
            <w:r>
              <w:rPr>
                <w:rFonts w:cs="Arial" w:ascii="Arial" w:hAnsi="Arial"/>
                <w:sz w:val="16"/>
                <w:szCs w:val="16"/>
              </w:rPr>
              <w:t> типу </w:t>
            </w:r>
            <w:r>
              <w:rPr>
                <w:rFonts w:cs="Arial" w:ascii="Arial" w:hAnsi="Arial"/>
                <w:i/>
                <w:iCs/>
                <w:sz w:val="16"/>
                <w:szCs w:val="16"/>
              </w:rPr>
              <w:t>b</w:t>
            </w:r>
            <w:r>
              <w:rPr>
                <w:rFonts w:cs="Arial" w:ascii="Arial" w:hAnsi="Arial"/>
                <w:sz w:val="16"/>
                <w:szCs w:val="16"/>
              </w:rPr>
              <w:br/>
              <w:t>(полірибозилрибітол фосфат, PRP)</w:t>
              <w:br/>
              <w:t>кон'югований з правцевим анатоксином (ТТ) як носієм протеїну</w:t>
            </w:r>
          </w:p>
          <w:p>
            <w:pPr>
              <w:pStyle w:val="Normal"/>
              <w:rPr>
                <w:rFonts w:ascii="Arial" w:hAnsi="Arial" w:cs="Arial"/>
                <w:sz w:val="16"/>
                <w:szCs w:val="16"/>
              </w:rPr>
            </w:pPr>
            <w:r>
              <w:rPr>
                <w:rFonts w:cs="Arial" w:ascii="Arial" w:hAnsi="Arial"/>
                <w:i/>
                <w:iCs/>
                <w:sz w:val="16"/>
                <w:szCs w:val="16"/>
                <w:vertAlign w:val="superscript"/>
              </w:rPr>
              <w:t>1</w:t>
            </w:r>
            <w:r>
              <w:rPr>
                <w:rFonts w:cs="Arial" w:ascii="Arial" w:hAnsi="Arial"/>
                <w:i/>
                <w:iCs/>
                <w:sz w:val="16"/>
                <w:szCs w:val="16"/>
              </w:rPr>
              <w:t> адсорбований на алюмінію гідроксиді, гідратований</w:t>
            </w:r>
          </w:p>
          <w:p>
            <w:pPr>
              <w:pStyle w:val="Normal"/>
              <w:rPr>
                <w:rFonts w:ascii="Arial" w:hAnsi="Arial" w:cs="Arial"/>
                <w:sz w:val="16"/>
                <w:szCs w:val="16"/>
                <w:vertAlign w:val="superscript"/>
              </w:rPr>
            </w:pPr>
            <w:r>
              <w:rPr>
                <w:rFonts w:cs="Arial" w:ascii="Arial" w:hAnsi="Arial"/>
                <w:i/>
                <w:iCs/>
                <w:sz w:val="16"/>
                <w:szCs w:val="16"/>
                <w:vertAlign w:val="superscript"/>
              </w:rPr>
              <w:t>2</w:t>
            </w:r>
            <w:r>
              <w:rPr>
                <w:rFonts w:cs="Arial" w:ascii="Arial" w:hAnsi="Arial"/>
                <w:sz w:val="16"/>
                <w:szCs w:val="16"/>
              </w:rPr>
              <w:t> </w:t>
            </w:r>
            <w:r>
              <w:rPr>
                <w:rFonts w:cs="Arial" w:ascii="Arial" w:hAnsi="Arial"/>
                <w:i/>
                <w:iCs/>
                <w:sz w:val="16"/>
                <w:szCs w:val="16"/>
              </w:rPr>
              <w:t>розмножені на клітинах Vero</w:t>
            </w:r>
          </w:p>
          <w:p>
            <w:pPr>
              <w:pStyle w:val="Normal"/>
              <w:tabs>
                <w:tab w:val="left" w:pos="12600" w:leader="none"/>
              </w:tabs>
              <w:rPr>
                <w:rFonts w:ascii="Arial" w:hAnsi="Arial" w:cs="Arial"/>
                <w:sz w:val="16"/>
                <w:szCs w:val="16"/>
                <w:vertAlign w:val="superscript"/>
              </w:rPr>
            </w:pPr>
            <w:r>
              <w:rPr>
                <w:rFonts w:cs="Arial" w:ascii="Arial" w:hAnsi="Arial"/>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(DTPa-IPV) для ін’єкцій по 0,5 мл (1 доза) та ліофілізат (Hib); суспензія (DTPa-IPV) для ін’єкцій по 0,5 мл (1 доза) у попередньо наповненому одноразовому шприці № 1 у комплекті з двома голками та ліофілізат (Hib) у флаконі № 1, що змішуються перед використанням: по 1 попередньо наповненому одноразовому шприцу у комплекті з двома голками та 1 флаконом з ліофілізатом (Hib) у вакуумній стерильній упаковці; по 1 вакуумній стерильній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ГлаксоСмітКляйн Біолоджікалз С.А., Бельгія (Випуск серій готового продукту); ГлаксоСмітКляйн Біолоджікалз, Франція (Формування, наповнення в шприці, маркування та пакування, проведення контролю якості DTPa-IPV компонент. Формування, наповнення та ліофілізація в флакони, маркування та пакування, проведення контролю якості Hib компонент. Маркування та пакування готового продукту); ГлаксоСмітКляйн Біолоджікалз С.А., Бельгія (Наповнення в шприці, маркування та пакування, проведення контролю якості DTPa-IPV компонент. Наповнення та ліофілізація в флакони, маркування та пакування, проведення контролю якості Hib компонент. </w:t>
              <w:br/>
              <w:t>Маркування та пакування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«GSK Vaccines GmbH», Марбург, Німеччина, для діючих речовин дифтерійний анатоксин (Diphtheria Toxoid, DT) та правцевий анатоксин (Tetanus Toxoid, TT), а також проміжного продукту адсорбований концентрат дифтерійного та правцевого анатоксинів (Diphtheria and tetanus adsorbed concentrate, DTcc).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lang w:val="uk-UA"/>
              </w:rPr>
            </w:pPr>
            <w:r>
              <w:rPr>
                <w:rFonts w:cs="Arial" w:ascii="Arial" w:hAnsi="Arial"/>
                <w:b/>
                <w:sz w:val="16"/>
                <w:szCs w:val="16"/>
                <w:lang w:val="uk-UA"/>
              </w:rPr>
              <w:t>ІНФАНРИКС КОМБІНОВАНА ВАКЦИНА ДЛЯ ПРОФІЛАКТИКИ ДИФТЕРІЇ, ПРАВЦЯ, КАШЛЮКУ АЦЕЛЮЛЯРНА ОЧИЩЕНА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Pertussis, purified antigen, combinations with toxoids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vertAlign w:val="superscript"/>
              </w:rPr>
            </w:pPr>
            <w:r>
              <w:rPr>
                <w:rFonts w:cs="Arial" w:ascii="Arial" w:hAnsi="Arial"/>
                <w:sz w:val="16"/>
                <w:szCs w:val="16"/>
              </w:rPr>
              <w:t>дифтерійний анатоксин (D)</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правцевий анатоксин (T)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i/>
                <w:iCs/>
                <w:sz w:val="16"/>
                <w:szCs w:val="16"/>
              </w:rPr>
              <w:t>Bordetella pertussis</w:t>
            </w:r>
            <w:r>
              <w:rPr>
                <w:rFonts w:cs="Arial" w:ascii="Arial" w:hAnsi="Arial"/>
                <w:sz w:val="16"/>
                <w:szCs w:val="16"/>
              </w:rPr>
              <w:t> кашлюкові антигени:</w:t>
            </w:r>
          </w:p>
          <w:p>
            <w:pPr>
              <w:pStyle w:val="Normal"/>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rPr>
            </w:pPr>
            <w:r>
              <w:rPr>
                <w:rFonts w:cs="Arial" w:ascii="Arial" w:hAnsi="Arial"/>
                <w:sz w:val="16"/>
                <w:szCs w:val="16"/>
              </w:rPr>
              <w:t>філаментозний гемаглютинін (FHA)</w:t>
            </w:r>
            <w:r>
              <w:rPr>
                <w:rFonts w:cs="Arial" w:ascii="Arial" w:hAnsi="Arial"/>
                <w:sz w:val="16"/>
                <w:szCs w:val="16"/>
                <w:vertAlign w:val="superscript"/>
              </w:rPr>
              <w:t>1</w:t>
            </w:r>
            <w:r>
              <w:rPr>
                <w:rFonts w:cs="Arial" w:ascii="Arial" w:hAnsi="Arial"/>
                <w:sz w:val="16"/>
                <w:szCs w:val="16"/>
              </w:rPr>
              <w:t>;</w:t>
            </w:r>
          </w:p>
          <w:p>
            <w:pPr>
              <w:pStyle w:val="Normal"/>
              <w:rPr/>
            </w:pPr>
            <w:r>
              <w:rPr>
                <w:rFonts w:cs="Arial" w:ascii="Arial" w:hAnsi="Arial"/>
                <w:sz w:val="16"/>
                <w:szCs w:val="16"/>
              </w:rPr>
              <w:t>пертактин (PRN)</w:t>
            </w:r>
            <w:r>
              <w:rPr>
                <w:rFonts w:cs="Arial" w:ascii="Arial" w:hAnsi="Arial"/>
                <w:sz w:val="16"/>
                <w:szCs w:val="16"/>
                <w:vertAlign w:val="superscript"/>
              </w:rPr>
              <w:t>1</w:t>
            </w:r>
          </w:p>
          <w:p>
            <w:pPr>
              <w:pStyle w:val="Normal"/>
              <w:rPr>
                <w:rFonts w:ascii="Arial" w:hAnsi="Arial" w:cs="Arial"/>
                <w:sz w:val="16"/>
                <w:szCs w:val="16"/>
                <w:vertAlign w:val="superscript"/>
              </w:rPr>
            </w:pPr>
            <w:r>
              <w:rPr>
                <w:rFonts w:cs="Arial" w:ascii="Arial" w:hAnsi="Arial"/>
                <w:i/>
                <w:iCs/>
                <w:sz w:val="16"/>
                <w:szCs w:val="16"/>
                <w:vertAlign w:val="superscript"/>
              </w:rPr>
              <w:t>1</w:t>
            </w:r>
            <w:r>
              <w:rPr>
                <w:rFonts w:cs="Arial" w:ascii="Arial" w:hAnsi="Arial"/>
                <w:i/>
                <w:iCs/>
                <w:sz w:val="16"/>
                <w:szCs w:val="16"/>
              </w:rPr>
              <w:t>адсорбований на алюмінію гідроксиді</w:t>
            </w:r>
          </w:p>
          <w:p>
            <w:pPr>
              <w:pStyle w:val="Normal"/>
              <w:tabs>
                <w:tab w:val="left" w:pos="12600" w:leader="none"/>
              </w:tabs>
              <w:rPr>
                <w:rFonts w:ascii="Arial" w:hAnsi="Arial" w:cs="Arial"/>
                <w:color w:val="000000"/>
                <w:sz w:val="16"/>
                <w:szCs w:val="16"/>
                <w:vertAlign w:val="superscript"/>
              </w:rPr>
            </w:pPr>
            <w:r>
              <w:rPr>
                <w:rFonts w:cs="Arial" w:ascii="Arial" w:hAnsi="Arial"/>
                <w:color w:val="000000"/>
                <w:sz w:val="16"/>
                <w:szCs w:val="16"/>
                <w:vertAlign w:val="superscript"/>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J07AJ52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суспензія для ін’єкцій по 1 дозі (0,5 мл) у попередньо заповненому шприці № 1 у комплекті з однією або двома голками; по 1 попередньо наповненому шприці у комплекті з однією або двома голками у пластиковому контейнері; по 1 пластиковому контейнеру в картонній коробці з маркуванням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(Формування, наповнення в попередньо наповнені шприці, маркування та пакування, контроль якості); ГлаксоСмітКляйн Біолоджікалз С.А., Бельгія (Наповнення в попередньо наповнені шприці, маркування та пакування, контроль якості); ГлаксоСмітКляйн Біолоджікалз С.А., Бельгія (Контроль якості,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«GSK Vaccines GmbH», Марбург, Німеччина, для діючих речовин дифтерійний анатоксин (Diphtheria Toxoid, DT) та правцевий анатоксин (Tetanus Toxoid, TT), а також проміжного продукту адсорбований концентрат дифтерійного та правцевого анатоксинів (Diphtheria and tetanus adsorbed concentrate, DTcc).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UA/15120/01/01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ІРИНОТЕКАН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irinotecan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іринотекану гідрохлориду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2 мл (40 мг), або по 5 мл (100 мг), або по 15 мл (300 мг) у скляному флаконі;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первинної упаковки, вторинне пакування, нанесення захисної плівки (опціонально), контроль/випробування серії та за випуск серії: Медак Гезельшафт фюр клініше Шпеціальпрепарате мбХ, Німеччина; Виробник, що відповідає за виробництво лікарського засобу, первинне пакування, маркування первинної упаковки, вторинне пакування, контроль/випробування серії: Онкотек Фарма Продакшн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UA/11702/01/01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КАЛІЮ ЙОДИД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potassium iodide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калію йодид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2 % по 10 мл у контейнері-крапельниці; по 1 контейнеру-крапельниці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стосується оновлення специфікації на пакувальний елемент (контейнер) з метою приведення у відповідність до чинних вимог Європейської фармакопеї, а також додавання посилання на відповідний фармакопейний аналітичний метод.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стосується оновлення специфікації на пакувальний елемент – закупорювальний засіб (гвинтова кришка із запобіжним кільцем) з метою приведення у відповідність до чинних вимог Європейської фармакопеї, а також додавання посилання на відповідний фармакопейний аналітичний метод.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w:t>
              <w:br/>
              <w:t>запропонована зміна стосується оновлення специфікації на пакувальний елемент – дозуючий пристрій (крапельниця) з метою приведення у відповідність до чинних вимог Європейської фармакопеї. Оновлення включає гармонізацію вимог специфікації із відповідною монографією Європейської фармакопеї, а також додавання посилання на відповідний фармакопейний аналітичний метод. Зміни І типу - Зміни з якості. Готовий лікарський засіб. Система контейнер/закупорювальний засіб (інші зміни) подання оновлених сертифікатів якості від виробника первинного пакувального матеріалу - компанії Bormioli Pharma, а також оновленої заяви виробника щодо сировини, включаючи інформацію про її регуляторний статус.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КАЛЬЦІЙ -Д3 НІКОМЕД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 xml:space="preserve">кальцію карбонат, холекальциферол (вітамін Д3) у вигляді концентрату холекальциферолу* </w:t>
              <w:br/>
              <w:t>*склад концентрату холекальциферолу: холекальциферол, DL-ɑ-токоферол, тригліцериди середнього ланцюга, крохмаль кукурудзяний модифікований, сахароза, натрію аскорбат, кремнію діоксид колоїдний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30, або 60, або 120 таблеток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Асіно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Аскер Контракт Мануфекчерінг 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Європейської фармакопеї № CEP 2015-199-Rev 01 для Cholecalciferol concentrate (powder form) від затвердженого виробника DSM Nutritional Products Ltd., Switzerland (затверджено: R1-CEP 2015-199-Rev 00; запропоновано: CEP 2015-199-Rev 01). Зміна назви виробника АФІ на DSM Nutritional Products AG, Switzerland.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Зменшення виробництва гранульованого кальцію з 780 кг до 776 кг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UA/3541/01/02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КАЛЬЦІЙ-Д3 НІКОМЕД ОСТЕОФОРТЕ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 xml:space="preserve">кальцію карбонат, холекальциферол (вітамін Д3) у вигляді концентрату холекальциферолу* </w:t>
              <w:br/>
              <w:t>*склад концентрату холекальциферолу: холекальциферол, токоферол, тригліцериди середнього ланцюга, крохмаль кукурудзяний модифікований, сахароза, натрію аскорбат, кремнію діоксид колоїдний безводний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жувальні; по 30 або по 60, або по 90 таблеток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Асіно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Аскер Контракт Мануфекчерінг АС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Європейської фармакопеї № CEP 2015-199-Rev 01 для Cholecalciferol concentrate (powder form) від затвердженого виробника DSM Nutritional Products Ltd., Switzerland (затверджено: R1-CEP 2015-199-Rev 00; запропоновано: CEP 2015-199-Rev 01). Зміна назви виробника АФІ на DSM Nutritional Products AG, Switzerland.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Зменшення виробництва гранульованого кальцію з 780 кг до 776 кг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UA/12922/01/01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КАПЕЦИТАБІН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capecitabine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капецитабін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 по 10 таблеток у блістері; по 3, 6 або 12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пакування, вторинне пакування, контроль якості серії: Інтас Фармасьютікалз Лімітед, Індія;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Первинне та вторинне пакування: Аккорд Хелскеа Лімітед, Велика Британія; вторинне пакування: ДЧЛ Саплі Чейн, Італія СПА, Італiя; СК Фарма Лоджистікс ГмбХ, Німеччина; Синоптиз Індастріал Сп. з о.о., Польща; вторинне пакування, контроль якості серії: Аккорд Хелскеа Сінгл Мембер С.А., Греція; контроль якості серії: Лабораторі Фундасіо ДАУ, Іспанія; Фармадокс Хелскеа Лтд., Мальта; відповідальний за випуск серії: 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Італiя/ Німеччина/ Польща/ Греція /Мальта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КАРБІДОПА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карбідопа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 Старт"</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Жейзян Вілд Вінд Фармасьютікал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w:t>
              <w:br/>
              <w:t>Збільшення терміну переконтролю АФІ. Діюча редакція: Термін переконтролю 3 роки. Пропонована редакція: Термін переконтролю 4 роки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КАРБОПЛАТИН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carboplatin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карбоплатин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5 мл, або по 15 мл, або по 45 мл, або по 60 мл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Полска Сп. з.о.о.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первинне та вторинне пакування, контроль якості серії:</w:t>
              <w:br/>
              <w:t>Інтас Фармасьютікалз Лімітед, Індія;</w:t>
              <w:br/>
              <w:t>Вторинне пакування:</w:t>
              <w:br/>
              <w:t>Аккорд Хелскеа Лімітед, Велика Британія;</w:t>
              <w:br/>
              <w:br/>
              <w:t xml:space="preserve">Виробництво готового лікарського засобу, первинне та вторинне пакування, контроль якості серії (альтернативний виробник): </w:t>
              <w:br/>
              <w:t>Інтас Фармасьютікалз Лімітед, Індія;</w:t>
              <w:br/>
              <w:t>виробництво готового лікарського засобу, первинне та вторинне пакування:</w:t>
              <w:br/>
              <w:t>Онко Ілак Санай Ве Тіджарет А.С., Туреччина;</w:t>
              <w:br/>
              <w:t>вторинне пакування</w:t>
              <w:br/>
              <w:t>Аккорд Хелскеа Сінгл Мембер С.А, Греція;</w:t>
              <w:br/>
              <w:t>контроль якості серії:</w:t>
              <w:br/>
              <w:t>Аккорд Хелскеа Сінгл Мембер С.А, Греція;</w:t>
              <w:br/>
              <w:br/>
              <w:t>контроль якості серії:</w:t>
              <w:br/>
              <w:t>Фармадокс Хелскеа Лтд., Мальта;</w:t>
              <w:br/>
              <w:t>Фармавалід Кфт., Угорщина;</w:t>
              <w:br/>
              <w:t xml:space="preserve">Відповідальний за випуск серії: </w:t>
              <w:br/>
              <w:t>Аккорд Хелскеа Полска Сп. з о.о. Склад Імпортера,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Туреччина/ Греція/ Мальта/ Угорщина/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відповідального за контроль якості серії готової продукції з Pharmavalid Ltd. Microbiological Laboratory, Hungary на Pharmavalid Kft., Hungary та приведення написання адреси у відповідність до GMP сертифікату, без зміни місця виробництва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КАРДУРА®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 якості при випуску, пакування, випуск серії:</w:t>
              <w:br/>
              <w:t>Пфайзер Менюфекчуринг Дойчленд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КАРДУРА®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 по 10 таблеток у блістері;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 якості при випуску, пакування, випуск серії:</w:t>
              <w:br/>
              <w:t>Пфайзер Менюфекчуринг Дойчленд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UA/5972/01/03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КАРДУРА®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doxazosin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доксазозину мезилат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C02CA04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 мг; по 10 таблеток у блістері; по 3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 якості при випуску, пакування, випуск серії:</w:t>
              <w:br/>
              <w:t>Пфайзер Менюфекчуринг Дойчленд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UA/5972/01/01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КАФФЕТІН® ЛЕДІ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 (у формі ібупрофену лізинату)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або 2 блістери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Північна Македонія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виключення незначних внутрішньо-технологічних параметрів кінцевої суміші: швидкість потоку (flow rate), насипна густина (bulk density), густина після ущільнення (tapped density), індекс стисливості (index of compressibility) та втрата в масі при висушуванні (Loss on Drying).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КЛЄВАЗОЛ®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Combinations of imidazole derivatives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кліндаміцину фосфат, міконазолу нітрат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G01AF20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вагінальний; по 20 г у тубі; по 1 тубі разом з 3 аплікаторами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"ФІТОФАРМ"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"ФІТОФАРМ"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"Взаємодія з іншими лікарськими засобами та інші види взаємодій" та "Особливості застосування" відповідно до оновленої інформації щодо безпеки застосування діючої речовини (міконазол).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розділи "Склад" (редакційні правки), "Побічні реакції" щодо важливості звітування про підозрювані побічні реакції та в розділ "Місцезнаходження заявника" щодо контактних даних.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UA/12647/01/01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КЛОДИФЕН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diclofenac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3 мл у ампулах, по 5 ампул у контурній чарунковій упаковці; 1 контурна чарункова упаковка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виробничої серії ГЛЗ 1600 л (517,799 ампул) в доповнення до вже затвердженого розміру виробничої серії 800 л (250,000 ампул).</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UA/16930/01/01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КО-ІРБЕСАН®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 and diuretics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rPr>
              <w:t>C09DA04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150 мг/12,5 мг; по 14 таблеток у блістері; по 2 блістери в картонній упаковці; по 15 таблеток у блістері; по 6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у розділі "Основні фізико-хімічні властивості", а саме опис таблеток (по 300 мг/12,5 мг) приведено у відповідність до Методів котролю якості: Затверджено: Основні фізико-хімічні властивості: таблетки 300 мг/12,5 мг: продовгуваті таблетки рожевого кольору, вкриті оболонкою, з лінією розлому з одного боку. </w:t>
              <w:br/>
              <w:t xml:space="preserve">Запропоновано: Основні фізико-хімічні властивості: таблетки 300 мг/12,5 мг: овальні двоопуклі таблетки рожевого кольору, вкриті оболонкою, з лінією розлому з одного боку.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КО-ІРБЕСАН®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irbesartan and diuretics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ірбесартан,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300 мг/12,5 мг; по 14 таблеток у блістері; по 2 блістери в картонній упаковці; по 15 таблеток у блістері; по 6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у розділі "Основні фізико-хімічні властивості", а саме опис таблеток (по 300 мг/12,5 мг) приведено у відповідність до Методів котролю якості: Затверджено: Основні фізико-хімічні властивості: таблетки 300 мг/12,5 мг: продовгуваті таблетки рожевого кольору, вкриті оболонкою, з лінією розлому з одного боку. </w:t>
              <w:br/>
              <w:t xml:space="preserve">Запропоновано: Основні фізико-хімічні властивості: таблетки 300 мг/12,5 мг: овальні двоопуклі таблетки рожевого кольору, вкриті оболонкою, з лінією розлому з одного боку.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UA/11583/01/02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КОЛДІБЕЛ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кофеїн, фенілефрину гідрохлорид, 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 таблеток у блістері; по 1 блістеру в картонній коробці; по 4 таблетки у блістері; по 1 блістеру у картонному конверті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«Аміла Хелс Кеа»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Біоділ Фармасьютікалз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UA/11466/01/01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КОПАЦИЛ®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Acetylsalicylic acid,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кислота ацетилсаліцилова, парацетамол, кофеїн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N02BA51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6 або 10 таблеток у блістерах; по 10 таблеток у блістері; по 1 або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Кофеїну «Jilin Shulan Synthetic Pharmaceutical Co., Ltd», Китай, у зв’язку з припиненням виробництва даного АФІ. Залишився виробник Shandong Xinhua Pharmaceutical Co., Ltd, Китай, який виконує таку саму функцію, що й вилучений.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UA/2930/01/01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КОРВАЛОЛ®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color w:val="000000"/>
                <w:sz w:val="16"/>
                <w:szCs w:val="16"/>
                <w:lang w:val="en-US"/>
              </w:rPr>
              <w:t>Barbiturates in combination with other drugs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rPr>
              <w:t>етиловий</w:t>
            </w:r>
            <w:r>
              <w:rPr>
                <w:rFonts w:cs="Arial" w:ascii="Arial" w:hAnsi="Arial"/>
                <w:sz w:val="16"/>
                <w:szCs w:val="16"/>
                <w:lang w:val="en-US"/>
              </w:rPr>
              <w:t xml:space="preserve"> </w:t>
            </w:r>
            <w:r>
              <w:rPr>
                <w:rFonts w:cs="Arial" w:ascii="Arial" w:hAnsi="Arial"/>
                <w:sz w:val="16"/>
                <w:szCs w:val="16"/>
              </w:rPr>
              <w:t>ефір</w:t>
            </w:r>
            <w:r>
              <w:rPr>
                <w:rFonts w:cs="Arial" w:ascii="Arial" w:hAnsi="Arial"/>
                <w:sz w:val="16"/>
                <w:szCs w:val="16"/>
                <w:lang w:val="en-US"/>
              </w:rPr>
              <w:t xml:space="preserve"> </w:t>
            </w:r>
            <w:r>
              <w:rPr>
                <w:rFonts w:eastAsia="Symbol" w:cs="Symbol" w:ascii="Symbol" w:hAnsi="Symbol"/>
                <w:sz w:val="16"/>
                <w:szCs w:val="16"/>
              </w:rPr>
              <w:t></w:t>
            </w:r>
            <w:r>
              <w:rPr>
                <w:rFonts w:cs="Arial" w:ascii="Arial" w:hAnsi="Arial"/>
                <w:sz w:val="16"/>
                <w:szCs w:val="16"/>
                <w:lang w:val="en-US"/>
              </w:rPr>
              <w:t>-</w:t>
            </w:r>
            <w:r>
              <w:rPr>
                <w:rFonts w:cs="Arial" w:ascii="Arial" w:hAnsi="Arial"/>
                <w:sz w:val="16"/>
                <w:szCs w:val="16"/>
              </w:rPr>
              <w:t>бромізовалеріанової</w:t>
            </w:r>
            <w:r>
              <w:rPr>
                <w:rFonts w:cs="Arial" w:ascii="Arial" w:hAnsi="Arial"/>
                <w:sz w:val="16"/>
                <w:szCs w:val="16"/>
                <w:lang w:val="en-US"/>
              </w:rPr>
              <w:t xml:space="preserve"> </w:t>
            </w:r>
            <w:r>
              <w:rPr>
                <w:rFonts w:cs="Arial" w:ascii="Arial" w:hAnsi="Arial"/>
                <w:sz w:val="16"/>
                <w:szCs w:val="16"/>
              </w:rPr>
              <w:t>кислоти</w:t>
            </w:r>
            <w:r>
              <w:rPr>
                <w:rFonts w:cs="Arial" w:ascii="Arial" w:hAnsi="Arial"/>
                <w:sz w:val="16"/>
                <w:szCs w:val="16"/>
                <w:lang w:val="en-US"/>
              </w:rPr>
              <w:t xml:space="preserve">, </w:t>
            </w:r>
            <w:r>
              <w:rPr>
                <w:rFonts w:cs="Arial" w:ascii="Arial" w:hAnsi="Arial"/>
                <w:sz w:val="16"/>
                <w:szCs w:val="16"/>
              </w:rPr>
              <w:t>фенобарбітал</w:t>
            </w:r>
            <w:r>
              <w:rPr>
                <w:rFonts w:cs="Arial" w:ascii="Arial" w:hAnsi="Arial"/>
                <w:sz w:val="16"/>
                <w:szCs w:val="16"/>
                <w:lang w:val="en-US"/>
              </w:rPr>
              <w:t xml:space="preserve">, </w:t>
            </w:r>
            <w:r>
              <w:rPr>
                <w:rFonts w:cs="Arial" w:ascii="Arial" w:hAnsi="Arial"/>
                <w:sz w:val="16"/>
                <w:szCs w:val="16"/>
              </w:rPr>
              <w:t>м</w:t>
            </w:r>
            <w:r>
              <w:rPr>
                <w:rFonts w:cs="Arial" w:ascii="Arial" w:hAnsi="Arial"/>
                <w:sz w:val="16"/>
                <w:szCs w:val="16"/>
                <w:lang w:val="en-US"/>
              </w:rPr>
              <w:t>’</w:t>
            </w:r>
            <w:r>
              <w:rPr>
                <w:rFonts w:cs="Arial" w:ascii="Arial" w:hAnsi="Arial"/>
                <w:sz w:val="16"/>
                <w:szCs w:val="16"/>
              </w:rPr>
              <w:t>яти</w:t>
            </w:r>
            <w:r>
              <w:rPr>
                <w:rFonts w:cs="Arial" w:ascii="Arial" w:hAnsi="Arial"/>
                <w:sz w:val="16"/>
                <w:szCs w:val="16"/>
                <w:lang w:val="en-US"/>
              </w:rPr>
              <w:t xml:space="preserve"> </w:t>
            </w:r>
            <w:r>
              <w:rPr>
                <w:rFonts w:cs="Arial" w:ascii="Arial" w:hAnsi="Arial"/>
                <w:sz w:val="16"/>
                <w:szCs w:val="16"/>
              </w:rPr>
              <w:t>олія</w:t>
            </w:r>
            <w:r>
              <w:rPr>
                <w:rFonts w:cs="Arial" w:ascii="Arial" w:hAnsi="Arial"/>
                <w:sz w:val="16"/>
                <w:szCs w:val="16"/>
                <w:lang w:val="en-US"/>
              </w:rPr>
              <w:t xml:space="preserve"> (Mentha oil)</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 капсул у блістері; по 1 або по 3 блістери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 xml:space="preserve">Внесення зміни до специфікації та методів вхідного контролю для діючої речовини Фенобарбітал виробників «ALKALOIDA Chemical Company Zrt.», Угорщина та «Harman Finochem Limited», Індія, зокрема вилучено показник «Розчинність», так як даний показник має рекомендаційний характер, та не є обов’язковим.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Вилучено посилання на якість стандартних зразків в методах вхідного контролю для діючої речовини Фенобарбітал виробників «ALKALOIDA Chemical Company Zrt.», Угорщина та «Harman Finochem Limited», Індія для показника «Ідентифікація».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Доповнено посилання на ЄФ. </w:t>
              <w:br/>
              <w:t xml:space="preserve">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показниками «Прозорість розчину», «Кольоровість розчину», «Втрата в масі при висушуванні», «Сульфатна зола» - доповнено посиланням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«Супровідні домішки» - вилучено посилання на якість стандартних зразків. Інформація щодо якості стандартних зразків, що використовуються при випробуванні наведена в розділі 3.2.S.5 Стандартні зразки або препарати реєстраційного досьє.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«Залишкові кількості органічних розчинників», додано посилання на ЄФ.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w:t>
              <w:br/>
              <w:t xml:space="preserve">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«Кількісне визначення» -приведено у відповідність до вимог монографії ЄФ з додаванням посилання на ЄФ, вилучено формулу розрахунку. Зміни І типу - Зміни з якості. АФІ. Контроль АФІ (інші зміни) Внесення зміни до методів вхідного контролю для діючої речовини Фенобарбітал виробників «ALKALOIDA Chemical Company Zrt.», Угорщина та «Harman Finochem Limited», Індія за показником «Мікробіологічна чистота» - вилучення повного опису проведення методики; доповнення відповідним посиланням на діючу редакцію ДФУ, ЄФ 2.6.12, 2.6.13, 5.1.4.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зміни до специфікації для діючої речовини Фенобарбітал (виробника ГЛЗ) виробництва «ALKALOIDA Chemical Company Zrt.», Угорщина та «Harman Finochem Limited», Індія за показником «Мікробіологічна чистота», зокрема вилучено примітки стосовно періодичності контролю *мікробіологічний контроль проводять вибірково: першу та кожну п'яту наступну серії» для впровадження рутинного контролю.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UA/2554/03/01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КОРДАГІН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arginine hydrochloride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аргініну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42 мг/мл; по 100 мл у пляшці; по 1 пляшці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"Українська фармацевтична компанія"</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внесені в інструкцію для медичного застосування лікарського засобу щодо додавання розділів «Заявник» та «Місцезнаходження заявника», як наслідок – відповідні зміни внесені в текст маркування вторинної упаковки (пункт 11). Термін введення змін -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br/>
              <w:t>Зміна уповноваженої особи заявника, відповідальної за фармаконагляд. Діюча редакція: Каніщев Юрій Миколайович. Пропонована редакція: Британ Оксана Валентинівна. Зміна контактних даних уповноваженої особи,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Оновлення тексту маркування упаковки лікарського засобу, а саме: внесення редакційних правок по тексту. Термін введення змін -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КОРНЕРЕГЕЛЬ®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S01XA12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очний, 50 мг/г; по 5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UA/8545/01/01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КРАЛОНІН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sz w:val="16"/>
                <w:szCs w:val="16"/>
                <w:lang w:val="en-US"/>
              </w:rPr>
              <w:t>Crataegus D0, Kalium carbonicum D3, Spigelia anthelmia D2</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30 мл у флаконі-крапельниці; по 1 флакону-крапельниці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(вилучення постачальника) Вилучення інформації про постачальника пакувального матеріалу з реєстраційного досьє, а саме розділу 3.2.Р.7 Система контейнер/закупорювальний засіб.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КСАЛАТАН®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латанопрост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0,005 %; по 2,5 мл у поліетиленовому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Менюфекчуринг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UA/11617/01/01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КСОЛАР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omalizumab</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омалізумаб</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R03DX05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 xml:space="preserve">порошок для розчину для ін’єкцій по 150 мг; 1 флакон з порошком у комплекті з розчинником (вода для ін’єкцій) по 2 мл в ампулах №1 в </w:t>
            </w:r>
            <w:r>
              <w:rPr>
                <w:rFonts w:cs="Arial" w:ascii="Arial" w:hAnsi="Arial"/>
                <w:b/>
                <w:color w:val="000000"/>
                <w:sz w:val="16"/>
                <w:szCs w:val="16"/>
              </w:rPr>
              <w:t xml:space="preserve">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Штейн АГ, Швейцарія; Вторинне пакування, випуск серії: Лек Фармасьютикалс д.д., Словенія; Виробництво, контроль якості, первинне пакування розчинника: ДЕЛЬФАРМ ДІЖОН,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упаковки (виправлення граматичної помилки) в наказі МОЗ України № 1454 від 30.09.2026 та № 1405 від 24.09.2026 в процесі внесення змін.</w:t>
            </w:r>
            <w:r>
              <w:rPr>
                <w:rFonts w:cs="Arial" w:ascii="Arial" w:hAnsi="Arial"/>
                <w:color w:val="000000"/>
                <w:sz w:val="16"/>
                <w:szCs w:val="16"/>
              </w:rPr>
              <w:t xml:space="preserve"> Редакція в наказі - 1 флакон з порошком у комплекті з розчинником (вода для ін’єкцій) по 2 мл в ампулах №1 в упаковкці. </w:t>
            </w:r>
            <w:r>
              <w:rPr>
                <w:rFonts w:cs="Arial" w:ascii="Arial" w:hAnsi="Arial"/>
                <w:b/>
                <w:color w:val="000000"/>
                <w:sz w:val="16"/>
                <w:szCs w:val="16"/>
              </w:rPr>
              <w:t>Вірна редакція - 1 флакон з порошком у комплекті з розчинником (вода для ін’єкцій) по 2 мл в ампулах №1 в упаковці</w:t>
            </w:r>
            <w:r>
              <w:rPr>
                <w:rFonts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UA/9055/01/02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КЮРЛЕД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sofosbuvir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софосбувір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J05AP08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28 таблеток 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в інструкцію для медичного застосування лікарського засобу до розділів "Особливі заходи безпеки", "Взаємодія з іншими лікарськими засобами та інші види взаємодій", "Побічні реакції" відповідно до оновленої інформації референтного лікарського засобу SOVALDI, film-coated tablets 400 mg.</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ЛАКТУВІТ®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lactulose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лактулоза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A06AD11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3,335 г/5 мл по 100 мл або 200 мл у флаконах полімерних; по 1 флакону в пачці* з картону; *(можливе додаткове вкладання в пачку мірного пристрою)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 - Зміни внесено у текст маркування первинної (п. 17) та вторинної (п. 11)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UA/12566/01/01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ЛАМІЗИЛ КРЕМ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terbinafine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тербінафіну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D01AE15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1 %; по 15 г або 30 г в тубі; по 1 тубі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КАРО ХЕЛСКЕА 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Халеон КХ С.а.р.л.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2017-272 Rev 02 (затверджено: R0-CEP 2017-272 Rev 01) для діючої речовини Terbinafine hydrochloride від вже затвердженого виробника DERIVADOS QUIMICOS S.A.U.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R0-CEP 2017-272 Rev 03 для діючої речовини Terbinafine hydrochloride від вже затвердженого виробника DERIVADOS QUIMICOS S.A.U.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 R0-CEP 2021-256 Rev 01 для діючої речовини Terbinafine hydrochloride, Type 2 від вже затвердженого виробника DERIVADOS QUIMICOS S.A.U.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2017-272 Rev 04 для діючої речовини Terbinafine hydrochloride від вже затвердженого виробника, який змінив назву на DERIVADOS QUIMICOS S.A.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2021-256 Rev 02 для діючої речовини Terbinafine hydrochloride, Type 2 від вже затвердженого виробника, який змінив назву на DERIVADOS QUIMICOS S. A.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UA/1005/03/01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ЛАРИТИЛЕН®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зі смаком м`яти; по 10 таблеток у блістері; по 1, 2 або 4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Дибукаїну гідрохлорид, а саме з Pioneer Agro Industries (Pharmaceutical Division), Індія на PIONEER AGRO INDUSTRIES SANVIN LABORATORIES PRIVATE LIMITED, Індія.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ЛАРИТИЛЕН®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зі смаком м`яти та лимону; по 10 таблеток у блістері; по 1, 2 або 4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Дибукаїну гідрохлорид, а саме з Pioneer Agro Industries (Pharmaceutical Division), Індія на PIONEER AGRO INDUSTRIES SANVIN LABORATORIES PRIVATE LIMITED, Індія.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ЛАРИТИЛЕН®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деквалінію хлорид, дибукаїну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розсмоктування зі смаком м`яти та малини, по 10 таблеток у блістері; по 1, 2 або 4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виробника АФІ Дибукаїну гідрохлорид, а саме з Pioneer Agro Industries (Pharmaceutical Division), Індія на PIONEER AGRO INDUSTRIES SANVIN LABORATORIES PRIVATE LIMITED, Індія.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ЛЕВОДРОПРОПІЗИН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levodropropizine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леводропропізин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Хунань Джудіан Хонгянг Фармасьютікал Ко.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ЛЕВОКАРНІТИН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levocarnitine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левокарнітин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Нортіст Фармасьютікал Груп Ко.,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 змін до реєстраційних матеріалів: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періоду переконтролю АФІ</w:t>
            </w:r>
            <w:r>
              <w:rPr>
                <w:rFonts w:cs="Arial" w:ascii="Arial" w:hAnsi="Arial"/>
                <w:color w:val="000000"/>
                <w:sz w:val="16"/>
                <w:szCs w:val="16"/>
                <w:lang w:val="en-US"/>
              </w:rPr>
              <w:t xml:space="preserve"> </w:t>
            </w:r>
            <w:r>
              <w:rPr>
                <w:rFonts w:cs="Arial" w:ascii="Arial" w:hAnsi="Arial"/>
                <w:color w:val="000000"/>
                <w:sz w:val="16"/>
                <w:szCs w:val="16"/>
              </w:rPr>
              <w:t>Левокарнітин</w:t>
            </w:r>
            <w:r>
              <w:rPr>
                <w:rFonts w:cs="Arial" w:ascii="Arial" w:hAnsi="Arial"/>
                <w:color w:val="000000"/>
                <w:sz w:val="16"/>
                <w:szCs w:val="16"/>
                <w:lang w:val="en-US"/>
              </w:rPr>
              <w:t xml:space="preserve"> «Northeast Pharmaceutical Group Co., Ltd.», China, </w:t>
            </w:r>
            <w:r>
              <w:rPr>
                <w:rFonts w:cs="Arial" w:ascii="Arial" w:hAnsi="Arial"/>
                <w:color w:val="000000"/>
                <w:sz w:val="16"/>
                <w:szCs w:val="16"/>
              </w:rPr>
              <w:t>з</w:t>
            </w:r>
            <w:r>
              <w:rPr>
                <w:rFonts w:cs="Arial" w:ascii="Arial" w:hAnsi="Arial"/>
                <w:color w:val="000000"/>
                <w:sz w:val="16"/>
                <w:szCs w:val="16"/>
                <w:lang w:val="en-US"/>
              </w:rPr>
              <w:t xml:space="preserve"> 2-</w:t>
            </w:r>
            <w:r>
              <w:rPr>
                <w:rFonts w:cs="Arial" w:ascii="Arial" w:hAnsi="Arial"/>
                <w:color w:val="000000"/>
                <w:sz w:val="16"/>
                <w:szCs w:val="16"/>
              </w:rPr>
              <w:t>х</w:t>
            </w:r>
            <w:r>
              <w:rPr>
                <w:rFonts w:cs="Arial" w:ascii="Arial" w:hAnsi="Arial"/>
                <w:color w:val="000000"/>
                <w:sz w:val="16"/>
                <w:szCs w:val="16"/>
                <w:lang w:val="en-US"/>
              </w:rPr>
              <w:t xml:space="preserve"> </w:t>
            </w:r>
            <w:r>
              <w:rPr>
                <w:rFonts w:cs="Arial" w:ascii="Arial" w:hAnsi="Arial"/>
                <w:color w:val="000000"/>
                <w:sz w:val="16"/>
                <w:szCs w:val="16"/>
              </w:rPr>
              <w:t>років</w:t>
            </w:r>
            <w:r>
              <w:rPr>
                <w:rFonts w:cs="Arial" w:ascii="Arial" w:hAnsi="Arial"/>
                <w:color w:val="000000"/>
                <w:sz w:val="16"/>
                <w:szCs w:val="16"/>
                <w:lang w:val="en-US"/>
              </w:rPr>
              <w:t xml:space="preserve"> </w:t>
            </w:r>
            <w:r>
              <w:rPr>
                <w:rFonts w:cs="Arial" w:ascii="Arial" w:hAnsi="Arial"/>
                <w:color w:val="000000"/>
                <w:sz w:val="16"/>
                <w:szCs w:val="16"/>
              </w:rPr>
              <w:t>на</w:t>
            </w:r>
            <w:r>
              <w:rPr>
                <w:rFonts w:cs="Arial" w:ascii="Arial" w:hAnsi="Arial"/>
                <w:color w:val="000000"/>
                <w:sz w:val="16"/>
                <w:szCs w:val="16"/>
                <w:lang w:val="en-US"/>
              </w:rPr>
              <w:t xml:space="preserve"> 3 </w:t>
            </w:r>
            <w:r>
              <w:rPr>
                <w:rFonts w:cs="Arial" w:ascii="Arial" w:hAnsi="Arial"/>
                <w:color w:val="000000"/>
                <w:sz w:val="16"/>
                <w:szCs w:val="16"/>
              </w:rPr>
              <w:t>роки</w:t>
            </w:r>
            <w:r>
              <w:rPr>
                <w:rFonts w:cs="Arial" w:ascii="Arial" w:hAnsi="Arial"/>
                <w:color w:val="000000"/>
                <w:sz w:val="16"/>
                <w:szCs w:val="16"/>
                <w:lang w:val="en-US"/>
              </w:rPr>
              <w:t>.</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лефлуномід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L04AK01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мг; по 10 таблеток у блістері; по 3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UA/6367/01/02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ЛЕФНО®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leflunomide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лефлуномід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мг; in bulk №14000 (10х1400): по 10 таблеток у блістері; по 1400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ЛІБЕРАТТІ®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етинілестрадіол, дроспіренон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0,02 мг/3 мг; по 28 (24+4) таблеток у блістері; по 1 блістеру разом з календарною шкалою та тримачем для блістеру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"ВОРВАРТС ФАРМА"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таблеток, первинне та вторинне пакування, контроль якості (окрім контролю якості (мікробіологічна чистота) та випуск серій кінцевого продукту):</w:t>
              <w:br/>
              <w:t>Лабораторіос Леон Фарма, С.А., Іспанія;</w:t>
              <w:br/>
              <w:br/>
              <w:t>контроль якості (мікробіологічна чистота):</w:t>
              <w:br/>
              <w:t>Лабораторіо Ечеварне С.А., Іспанія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Заміна ділянки, де здійснюється мікробіологічне тестування при фінальному контролі серій на LABORATORIO ECHEVARNE, S.A. Avenida Can Bellet, 61-65, Sant Cugat del Valles, 08174 Barcelona, Spain, та уточнюються функції затвердженого виробника ГЛЗ Лабораторіос Леон Фарма, С.А., Іспанiя (виробництво таблеток, первинне та вторинне пакування, контроль якості (окрім контролю якості (мікробіологічна чистота) та випуск серій кінцевого продукту).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14 капсул у блістері; по 1 або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додаткового пакування для дозувань 75 мг, 150 мг та 300 мг,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75 мг; по 14 капсул у блістері; по 1 блістеру в картонній коробці;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150 мг та 300 мг: по 14 капсул у блістері; по 2 блістери в картонній коробці, з відповідними змінами до розділу «Упаковка».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Затверджено: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 14 капсул у блістері; по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Запропоновано: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75 мг: по 14 капсул у блістері; по 1 або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дозувань 150 мг та 300 мг: по 14 капсул у блістері; по 2 або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14 капсул у блістері; по 2 або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додаткового пакування для дозувань 75 мг, 150 мг та 300 мг,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75 мг; по 14 капсул у блістері; по 1 блістеру в картонній коробці;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150 мг та 300 мг: по 14 капсул у блістері; по 2 блістери в картонній коробці, з відповідними змінами до розділу «Упаковка».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Затверджено: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 14 капсул у блістері; по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Запропоновано: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75 мг: по 14 капсул у блістері; по 1 або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дозувань 150 мг та 300 мг: по 14 капсул у блістері; по 2 або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ЛІНЕФОР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300 мг; по 14 капсул у блістері; по 2 або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внесення змін до реєстраційних матеріалів: Зміни І типу - Зміни з якості. Готовий лікарський засіб. Система контейнер/закупорювальний засіб. Зміна розміру упаковки готового лікарського засобу (зміна кількості одиниць (наприклад таблеток, ампул тощо) в упаковці:) - Зміна у діапазоні затверджених розмірів упаковки  - Введення додаткового пакування для дозувань 75 мг, 150 мг та 300 мг, а саме: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75 мг; по 14 капсул у блістері; по 1 блістеру в картонній коробці;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150 мг та 300 мг: по 14 капсул у блістері; по 2 блістери в картонній коробці, з відповідними змінами до розділу «Упаковка».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Затверджено: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по 14 капсул у блістері; по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Запропоновано: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дозування 75 мг: по 14 капсул у блістері; по 1 або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для дозувань 150 мг та 300 мг: по 14 капсул у блістері; по 2 або 4 блістери в картонній коробці з маркуванням українською мовою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внесено в інструкцію для медичного застосування лікарського засобу в розділ "Упаковка" у зв'язку з введенням додаткових упаковок, як наслідок - затвердження тексту маркування додаткових упаковок лікарського засобу. </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UA/18144/01/03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або по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вона</w:t>
            </w:r>
            <w:r>
              <w:rPr>
                <w:rFonts w:cs="Arial" w:ascii="Arial" w:hAnsi="Arial"/>
                <w:color w:val="000000"/>
                <w:sz w:val="16"/>
                <w:szCs w:val="16"/>
                <w:lang w:val="en-US"/>
              </w:rPr>
              <w:t xml:space="preserve"> </w:t>
            </w:r>
            <w:r>
              <w:rPr>
                <w:rFonts w:cs="Arial" w:ascii="Arial" w:hAnsi="Arial"/>
                <w:color w:val="000000"/>
                <w:sz w:val="16"/>
                <w:szCs w:val="16"/>
              </w:rPr>
              <w:t>відмінна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контактні</w:t>
            </w:r>
            <w:r>
              <w:rPr>
                <w:rFonts w:cs="Arial" w:ascii="Arial" w:hAnsi="Arial"/>
                <w:color w:val="000000"/>
                <w:sz w:val="16"/>
                <w:szCs w:val="16"/>
                <w:lang w:val="en-US"/>
              </w:rPr>
              <w:t xml:space="preserve"> </w:t>
            </w:r>
            <w:r>
              <w:rPr>
                <w:rFonts w:cs="Arial" w:ascii="Arial" w:hAnsi="Arial"/>
                <w:color w:val="000000"/>
                <w:sz w:val="16"/>
                <w:szCs w:val="16"/>
              </w:rPr>
              <w:t>дані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розміщенні</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w:t>
              <w:br/>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Dr Eiko Soehlke. </w:t>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Andrea Oliva.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контактних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місцезнаходження</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основної</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блістери або по 10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Німеччина </w:t>
            </w:r>
            <w:r>
              <w:rPr>
                <w:rFonts w:cs="Arial" w:ascii="Arial" w:hAnsi="Arial"/>
                <w:color w:val="000000"/>
                <w:sz w:val="16"/>
                <w:szCs w:val="16"/>
                <w:lang w:val="en-US"/>
              </w:rPr>
              <w:t>/</w:t>
            </w:r>
            <w:r>
              <w:rPr>
                <w:rFonts w:cs="Arial" w:ascii="Arial" w:hAnsi="Arial"/>
                <w:color w:val="000000"/>
                <w:sz w:val="16"/>
                <w:szCs w:val="16"/>
              </w:rPr>
              <w:t>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вона</w:t>
            </w:r>
            <w:r>
              <w:rPr>
                <w:rFonts w:cs="Arial" w:ascii="Arial" w:hAnsi="Arial"/>
                <w:color w:val="000000"/>
                <w:sz w:val="16"/>
                <w:szCs w:val="16"/>
                <w:lang w:val="en-US"/>
              </w:rPr>
              <w:t xml:space="preserve"> </w:t>
            </w:r>
            <w:r>
              <w:rPr>
                <w:rFonts w:cs="Arial" w:ascii="Arial" w:hAnsi="Arial"/>
                <w:color w:val="000000"/>
                <w:sz w:val="16"/>
                <w:szCs w:val="16"/>
              </w:rPr>
              <w:t>відмінна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контактні</w:t>
            </w:r>
            <w:r>
              <w:rPr>
                <w:rFonts w:cs="Arial" w:ascii="Arial" w:hAnsi="Arial"/>
                <w:color w:val="000000"/>
                <w:sz w:val="16"/>
                <w:szCs w:val="16"/>
                <w:lang w:val="en-US"/>
              </w:rPr>
              <w:t xml:space="preserve"> </w:t>
            </w:r>
            <w:r>
              <w:rPr>
                <w:rFonts w:cs="Arial" w:ascii="Arial" w:hAnsi="Arial"/>
                <w:color w:val="000000"/>
                <w:sz w:val="16"/>
                <w:szCs w:val="16"/>
              </w:rPr>
              <w:t>дані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розміщенні</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w:t>
              <w:br/>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Dr Eiko Soehlke. </w:t>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Andrea Oliva.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контактних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місцезнаходження</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основної</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ЛІПРИМАР®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аторвастатин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 мг, по 10 таблеток у блістері; по 3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контроль якості та випуск серії: Пфайзер Менюфекчуринг Дойчленд ГмбХ, Німеччина; виробництво in bulk, контроль якості: Віатріс Фармасютікалз ЛЛС,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вона</w:t>
            </w:r>
            <w:r>
              <w:rPr>
                <w:rFonts w:cs="Arial" w:ascii="Arial" w:hAnsi="Arial"/>
                <w:color w:val="000000"/>
                <w:sz w:val="16"/>
                <w:szCs w:val="16"/>
                <w:lang w:val="en-US"/>
              </w:rPr>
              <w:t xml:space="preserve"> </w:t>
            </w:r>
            <w:r>
              <w:rPr>
                <w:rFonts w:cs="Arial" w:ascii="Arial" w:hAnsi="Arial"/>
                <w:color w:val="000000"/>
                <w:sz w:val="16"/>
                <w:szCs w:val="16"/>
              </w:rPr>
              <w:t>відмінна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контактні</w:t>
            </w:r>
            <w:r>
              <w:rPr>
                <w:rFonts w:cs="Arial" w:ascii="Arial" w:hAnsi="Arial"/>
                <w:color w:val="000000"/>
                <w:sz w:val="16"/>
                <w:szCs w:val="16"/>
                <w:lang w:val="en-US"/>
              </w:rPr>
              <w:t xml:space="preserve"> </w:t>
            </w:r>
            <w:r>
              <w:rPr>
                <w:rFonts w:cs="Arial" w:ascii="Arial" w:hAnsi="Arial"/>
                <w:color w:val="000000"/>
                <w:sz w:val="16"/>
                <w:szCs w:val="16"/>
              </w:rPr>
              <w:t>дані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розміщенні</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w:t>
              <w:br/>
            </w:r>
            <w:r>
              <w:rPr>
                <w:rFonts w:cs="Arial" w:ascii="Arial" w:hAnsi="Arial"/>
                <w:color w:val="000000"/>
                <w:sz w:val="16"/>
                <w:szCs w:val="16"/>
              </w:rPr>
              <w:t>Діюча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Dr Eiko Soehlke. </w:t>
            </w:r>
            <w:r>
              <w:rPr>
                <w:rFonts w:cs="Arial" w:ascii="Arial" w:hAnsi="Arial"/>
                <w:color w:val="000000"/>
                <w:sz w:val="16"/>
                <w:szCs w:val="16"/>
              </w:rPr>
              <w:t>Пропонована</w:t>
            </w:r>
            <w:r>
              <w:rPr>
                <w:rFonts w:cs="Arial" w:ascii="Arial" w:hAnsi="Arial"/>
                <w:color w:val="000000"/>
                <w:sz w:val="16"/>
                <w:szCs w:val="16"/>
                <w:lang w:val="en-US"/>
              </w:rPr>
              <w:t xml:space="preserve"> </w:t>
            </w:r>
            <w:r>
              <w:rPr>
                <w:rFonts w:cs="Arial" w:ascii="Arial" w:hAnsi="Arial"/>
                <w:color w:val="000000"/>
                <w:sz w:val="16"/>
                <w:szCs w:val="16"/>
              </w:rPr>
              <w:t>редакція</w:t>
            </w:r>
            <w:r>
              <w:rPr>
                <w:rFonts w:cs="Arial" w:ascii="Arial" w:hAnsi="Arial"/>
                <w:color w:val="000000"/>
                <w:sz w:val="16"/>
                <w:szCs w:val="16"/>
                <w:lang w:val="en-US"/>
              </w:rPr>
              <w:t xml:space="preserve">: Andrea Oliva.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контактних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місцезнаходження</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місця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основної</w:t>
            </w:r>
            <w:r>
              <w:rPr>
                <w:rFonts w:cs="Arial" w:ascii="Arial" w:hAnsi="Arial"/>
                <w:color w:val="000000"/>
                <w:sz w:val="16"/>
                <w:szCs w:val="16"/>
                <w:lang w:val="en-US"/>
              </w:rPr>
              <w:t xml:space="preserve"> </w:t>
            </w:r>
            <w:r>
              <w:rPr>
                <w:rFonts w:cs="Arial" w:ascii="Arial" w:hAnsi="Arial"/>
                <w:color w:val="000000"/>
                <w:sz w:val="16"/>
                <w:szCs w:val="16"/>
              </w:rPr>
              <w:t>діяльності</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UA/2377/01/03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ЛОМФЛОКС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lomefloxacin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ломефлоксацину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5 таблеток у блістері; по 1 блістеру в картонній упаковці; по 5 таблеток у блістері; по 1 блістеру в картонній упаковці; по 4 упаковки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МАГНІКУМ-АНТИСТРЕС®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магнію цитрат і піридоксину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A11EC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таблеток у блістері; по 6 блістерів у пачці; по 12 таблеток у блістері; по 4 або 5 блістерів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"КИЇВСЬКИЙ ВІТАМІННИЙ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 </w:t>
              <w:br/>
              <w:t>Подання нового СЕР (CEP 2013-165-Rev 01) для АФІ Піридоксину гідрохлорид від нового виробника "Jiangxi Tianxin Pharmaceutical Co., Ltd",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МАЙДЕКЛА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daclatasvir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даклатасвіру дигідрохлорид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J05AP07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 мг; по 28 таблеток у непрозорому поліетиленовому флаконі блакитного кольору з блакитною непрозорою поліпропіленовою кришкою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UA/17912/01/01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МАЙХЕП ОЛЛ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sofosbuvir and velpatasvir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софосбувір та велпатасвір</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J05AP55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мг/100 мг; по 28 таблеток у флаконі; по 1 флакону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МАЙЛАН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МАКСІГРА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100 мг; по 1 або по 4 таблетки у блістері; по 1 блістеру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Оновлення специфікації допоміжної речовини індигокармін (Е 132) з метою приведення у відповідність до чинних вимог Регламенту Комісії (ЄС) № 231/2012.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МАКСІГРА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плівковою оболонкою, по 50 мг; по 1 або по 4 таблетки у блістері; по 1 блістеру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Фармацевтичний завод "ПОЛЬФАРМА" С.А.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 - Оновлення специфікації допоміжної речовини індигокармін (Е 132) з метою приведення у відповідність до чинних вимог Регламенту Комісії (ЄС) № 231/2012.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МЕДАКСА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oxaliplatin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оксаліплатин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5 мг/мл; по 10 мл (50 мг) або 20 мл (100 мг), або 40 мл (200 мг) у флаконі; по 1 флакону в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випуск серії, маркування та вторинне пакування: Медак Гезельшафт фюр клініше Шпеціальпрепарате мбХ, Німеччина; виробник, що відповідає за виробництво нерозфасованої продукції, первинне пакування, маркування та вториннне пакування, контроль/випробування серії: Онкомед меньюфекчерінг,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Чеська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вона</w:t>
            </w:r>
            <w:r>
              <w:rPr>
                <w:rFonts w:cs="Arial" w:ascii="Arial" w:hAnsi="Arial"/>
                <w:color w:val="000000"/>
                <w:sz w:val="16"/>
                <w:szCs w:val="16"/>
                <w:lang w:val="en-US"/>
              </w:rPr>
              <w:t xml:space="preserve"> </w:t>
            </w:r>
            <w:r>
              <w:rPr>
                <w:rFonts w:cs="Arial" w:ascii="Arial" w:hAnsi="Arial"/>
                <w:color w:val="000000"/>
                <w:sz w:val="16"/>
                <w:szCs w:val="16"/>
              </w:rPr>
              <w:t>відмінна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контактні</w:t>
            </w:r>
            <w:r>
              <w:rPr>
                <w:rFonts w:cs="Arial" w:ascii="Arial" w:hAnsi="Arial"/>
                <w:color w:val="000000"/>
                <w:sz w:val="16"/>
                <w:szCs w:val="16"/>
                <w:lang w:val="en-US"/>
              </w:rPr>
              <w:t xml:space="preserve"> </w:t>
            </w:r>
            <w:r>
              <w:rPr>
                <w:rFonts w:cs="Arial" w:ascii="Arial" w:hAnsi="Arial"/>
                <w:color w:val="000000"/>
                <w:sz w:val="16"/>
                <w:szCs w:val="16"/>
              </w:rPr>
              <w:t>дані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розміщенні</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фармаконагляд</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br/>
            </w:r>
            <w:r>
              <w:rPr>
                <w:rFonts w:cs="Arial" w:ascii="Arial" w:hAnsi="Arial"/>
                <w:color w:val="000000"/>
                <w:sz w:val="16"/>
                <w:szCs w:val="16"/>
              </w:rP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 Рекомендовано до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UA/4884/02/01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МЕДОТИЛІН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choline alfoscerate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холіну альфосцерат (в формі 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N07AX02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1000 мг/4 мл; по 4 мл в ампулі; по 3 ампули в контурній чарунковій упаковці; по 1 контурній чарунковій упаковці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 Ромфарм Компані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Румунія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Інформація щодо системи управління ризиками </w:t>
              <w:br/>
              <w:t>Заявником надано оновлений План управління ризиками версія 3.0. Зміни внесено до частин: І «Загальна інформація» ІІ «Специфікація з безпеки» VII «Додатки» з метою внесення адміністративної інформації щодо нового виробника, а саме включення лікарського засобу виробництва УОРЛД МЕДИЦИН ІЛАЧ САН. ВЕ ТІДЖ. А.Ш., Туреччина до єдиного ПУР для діючої речовини холіну альфосцерату. Резюме Плану управління ризиками версія 3.0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meloxicam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15 мг по 10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(А.7. ІА)</w:t>
              <w:br/>
              <w:t>вилучення виробника BIOGENA API Ltd, Кіпр діючої речовини мелоксикам (затверджено: BIOGENA API Ltd; Sun Pharmaceutical Industries Limited; Apitoria Pharma Private Limited; запропоновано: Sun Pharmaceutical Industries Limited; Apitoria Pharma Private Limited)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UA/7284/01/02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МЕРОНЕМ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meropenem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меропенему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500 мг; по 10 флаконів з порошком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"in bulk":</w:t>
              <w:br/>
              <w:t xml:space="preserve">ЕйСіЕс Добфар С.п.А., Італія </w:t>
              <w:br/>
              <w:t>або</w:t>
              <w:br/>
              <w:t>Сумітомо Фарма Ко., Лтд., Японія</w:t>
              <w:br/>
              <w:br/>
              <w:t>Виробник, відповідальний за первинну упаковку, вторинну упаковку, випуск серії:</w:t>
              <w:br/>
              <w:t>Замбон Світцерланд Лтд, Швейцарія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Японія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w:t>
            </w:r>
            <w:r>
              <w:rPr>
                <w:rFonts w:cs="Arial" w:ascii="Arial" w:hAnsi="Arial"/>
                <w:color w:val="000000"/>
                <w:sz w:val="16"/>
                <w:szCs w:val="16"/>
              </w:rPr>
              <w:t>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короткій</w:t>
            </w:r>
            <w:r>
              <w:rPr>
                <w:rFonts w:cs="Arial" w:ascii="Arial" w:hAnsi="Arial"/>
                <w:color w:val="000000"/>
                <w:sz w:val="16"/>
                <w:szCs w:val="16"/>
                <w:lang w:val="en-US"/>
              </w:rPr>
              <w:t xml:space="preserve"> </w:t>
            </w:r>
            <w:r>
              <w:rPr>
                <w:rFonts w:cs="Arial" w:ascii="Arial" w:hAnsi="Arial"/>
                <w:color w:val="000000"/>
                <w:sz w:val="16"/>
                <w:szCs w:val="16"/>
              </w:rPr>
              <w:t>характеристиці</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тексті</w:t>
            </w:r>
            <w:r>
              <w:rPr>
                <w:rFonts w:cs="Arial" w:ascii="Arial" w:hAnsi="Arial"/>
                <w:color w:val="000000"/>
                <w:sz w:val="16"/>
                <w:szCs w:val="16"/>
                <w:lang w:val="en-US"/>
              </w:rPr>
              <w:t xml:space="preserve"> </w:t>
            </w:r>
            <w:r>
              <w:rPr>
                <w:rFonts w:cs="Arial" w:ascii="Arial" w:hAnsi="Arial"/>
                <w:color w:val="000000"/>
                <w:sz w:val="16"/>
                <w:szCs w:val="16"/>
              </w:rPr>
              <w:t>маркування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ліцензованого</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ЄС</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процедурою</w:t>
            </w:r>
            <w:r>
              <w:rPr>
                <w:rFonts w:cs="Arial" w:ascii="Arial" w:hAnsi="Arial"/>
                <w:color w:val="000000"/>
                <w:sz w:val="16"/>
                <w:szCs w:val="16"/>
                <w:lang w:val="en-US"/>
              </w:rPr>
              <w:t xml:space="preserve"> </w:t>
            </w:r>
            <w:r>
              <w:rPr>
                <w:rFonts w:cs="Arial" w:ascii="Arial" w:hAnsi="Arial"/>
                <w:color w:val="000000"/>
                <w:sz w:val="16"/>
                <w:szCs w:val="16"/>
              </w:rPr>
              <w:t>взаємного</w:t>
            </w:r>
            <w:r>
              <w:rPr>
                <w:rFonts w:cs="Arial" w:ascii="Arial" w:hAnsi="Arial"/>
                <w:color w:val="000000"/>
                <w:sz w:val="16"/>
                <w:szCs w:val="16"/>
                <w:lang w:val="en-US"/>
              </w:rPr>
              <w:t xml:space="preserve"> </w:t>
            </w:r>
            <w:r>
              <w:rPr>
                <w:rFonts w:cs="Arial" w:ascii="Arial" w:hAnsi="Arial"/>
                <w:color w:val="000000"/>
                <w:sz w:val="16"/>
                <w:szCs w:val="16"/>
              </w:rPr>
              <w:t>визнання</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входить</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сфери</w:t>
            </w:r>
            <w:r>
              <w:rPr>
                <w:rFonts w:cs="Arial" w:ascii="Arial" w:hAnsi="Arial"/>
                <w:color w:val="000000"/>
                <w:sz w:val="16"/>
                <w:szCs w:val="16"/>
                <w:lang w:val="en-US"/>
              </w:rPr>
              <w:t xml:space="preserve"> </w:t>
            </w:r>
            <w:r>
              <w:rPr>
                <w:rFonts w:cs="Arial" w:ascii="Arial" w:hAnsi="Arial"/>
                <w:color w:val="000000"/>
                <w:sz w:val="16"/>
                <w:szCs w:val="16"/>
              </w:rPr>
              <w:t>дії</w:t>
            </w:r>
            <w:r>
              <w:rPr>
                <w:rFonts w:cs="Arial" w:ascii="Arial" w:hAnsi="Arial"/>
                <w:color w:val="000000"/>
                <w:sz w:val="16"/>
                <w:szCs w:val="16"/>
                <w:lang w:val="en-US"/>
              </w:rPr>
              <w:t xml:space="preserve"> </w:t>
            </w:r>
            <w:r>
              <w:rPr>
                <w:rFonts w:cs="Arial" w:ascii="Arial" w:hAnsi="Arial"/>
                <w:color w:val="000000"/>
                <w:sz w:val="16"/>
                <w:szCs w:val="16"/>
              </w:rPr>
              <w:t>процедури</w:t>
            </w:r>
            <w:r>
              <w:rPr>
                <w:rFonts w:cs="Arial" w:ascii="Arial" w:hAnsi="Arial"/>
                <w:color w:val="000000"/>
                <w:sz w:val="16"/>
                <w:szCs w:val="16"/>
                <w:lang w:val="en-US"/>
              </w:rPr>
              <w:t xml:space="preserve"> </w:t>
            </w:r>
            <w:r>
              <w:rPr>
                <w:rFonts w:cs="Arial" w:ascii="Arial" w:hAnsi="Arial"/>
                <w:color w:val="000000"/>
                <w:sz w:val="16"/>
                <w:szCs w:val="16"/>
              </w:rPr>
              <w:t>взаємного</w:t>
            </w:r>
            <w:r>
              <w:rPr>
                <w:rFonts w:cs="Arial" w:ascii="Arial" w:hAnsi="Arial"/>
                <w:color w:val="000000"/>
                <w:sz w:val="16"/>
                <w:szCs w:val="16"/>
                <w:lang w:val="en-US"/>
              </w:rPr>
              <w:t xml:space="preserve"> </w:t>
            </w:r>
            <w:r>
              <w:rPr>
                <w:rFonts w:cs="Arial" w:ascii="Arial" w:hAnsi="Arial"/>
                <w:color w:val="000000"/>
                <w:sz w:val="16"/>
                <w:szCs w:val="16"/>
              </w:rPr>
              <w:t>визнання</w:t>
            </w:r>
            <w:r>
              <w:rPr>
                <w:rFonts w:cs="Arial" w:ascii="Arial" w:hAnsi="Arial"/>
                <w:color w:val="000000"/>
                <w:sz w:val="16"/>
                <w:szCs w:val="16"/>
                <w:lang w:val="en-US"/>
              </w:rPr>
              <w:t xml:space="preserve">, </w:t>
            </w:r>
            <w:r>
              <w:rPr>
                <w:rFonts w:cs="Arial" w:ascii="Arial" w:hAnsi="Arial"/>
                <w:color w:val="000000"/>
                <w:sz w:val="16"/>
                <w:szCs w:val="16"/>
              </w:rPr>
              <w:t>але</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вноситься</w:t>
            </w:r>
            <w:r>
              <w:rPr>
                <w:rFonts w:cs="Arial" w:ascii="Arial" w:hAnsi="Arial"/>
                <w:color w:val="000000"/>
                <w:sz w:val="16"/>
                <w:szCs w:val="16"/>
                <w:lang w:val="en-US"/>
              </w:rPr>
              <w:t xml:space="preserve"> </w:t>
            </w:r>
            <w:r>
              <w:rPr>
                <w:rFonts w:cs="Arial" w:ascii="Arial" w:hAnsi="Arial"/>
                <w:color w:val="000000"/>
                <w:sz w:val="16"/>
                <w:szCs w:val="16"/>
              </w:rPr>
              <w:t>як</w:t>
            </w:r>
            <w:r>
              <w:rPr>
                <w:rFonts w:cs="Arial" w:ascii="Arial" w:hAnsi="Arial"/>
                <w:color w:val="000000"/>
                <w:sz w:val="16"/>
                <w:szCs w:val="16"/>
                <w:lang w:val="en-US"/>
              </w:rPr>
              <w:t xml:space="preserve"> </w:t>
            </w:r>
            <w:r>
              <w:rPr>
                <w:rFonts w:cs="Arial" w:ascii="Arial" w:hAnsi="Arial"/>
                <w:color w:val="000000"/>
                <w:sz w:val="16"/>
                <w:szCs w:val="16"/>
              </w:rPr>
              <w:t>результат</w:t>
            </w:r>
            <w:r>
              <w:rPr>
                <w:rFonts w:cs="Arial" w:ascii="Arial" w:hAnsi="Arial"/>
                <w:color w:val="000000"/>
                <w:sz w:val="16"/>
                <w:szCs w:val="16"/>
                <w:lang w:val="en-US"/>
              </w:rPr>
              <w:t xml:space="preserve"> </w:t>
            </w:r>
            <w:r>
              <w:rPr>
                <w:rFonts w:cs="Arial" w:ascii="Arial" w:hAnsi="Arial"/>
                <w:color w:val="000000"/>
                <w:sz w:val="16"/>
                <w:szCs w:val="16"/>
              </w:rPr>
              <w:t>процедури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власника</w:t>
            </w:r>
            <w:r>
              <w:rPr>
                <w:rFonts w:cs="Arial" w:ascii="Arial" w:hAnsi="Arial"/>
                <w:color w:val="000000"/>
                <w:sz w:val="16"/>
                <w:szCs w:val="16"/>
                <w:lang w:val="en-US"/>
              </w:rPr>
              <w:t xml:space="preserve"> </w:t>
            </w:r>
            <w:r>
              <w:rPr>
                <w:rFonts w:cs="Arial" w:ascii="Arial" w:hAnsi="Arial"/>
                <w:color w:val="000000"/>
                <w:sz w:val="16"/>
                <w:szCs w:val="16"/>
              </w:rPr>
              <w:t>торгової</w:t>
            </w:r>
            <w:r>
              <w:rPr>
                <w:rFonts w:cs="Arial" w:ascii="Arial" w:hAnsi="Arial"/>
                <w:color w:val="000000"/>
                <w:sz w:val="16"/>
                <w:szCs w:val="16"/>
                <w:lang w:val="en-US"/>
              </w:rPr>
              <w:t xml:space="preserve"> </w:t>
            </w:r>
            <w:r>
              <w:rPr>
                <w:rFonts w:cs="Arial" w:ascii="Arial" w:hAnsi="Arial"/>
                <w:color w:val="000000"/>
                <w:sz w:val="16"/>
                <w:szCs w:val="16"/>
              </w:rPr>
              <w:t>ліцензії</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вимагається</w:t>
            </w:r>
            <w:r>
              <w:rPr>
                <w:rFonts w:cs="Arial" w:ascii="Arial" w:hAnsi="Arial"/>
                <w:color w:val="000000"/>
                <w:sz w:val="16"/>
                <w:szCs w:val="16"/>
                <w:lang w:val="en-US"/>
              </w:rPr>
              <w:t xml:space="preserve"> </w:t>
            </w:r>
            <w:r>
              <w:rPr>
                <w:rFonts w:cs="Arial" w:ascii="Arial" w:hAnsi="Arial"/>
                <w:color w:val="000000"/>
                <w:sz w:val="16"/>
                <w:szCs w:val="16"/>
              </w:rPr>
              <w:t>надання</w:t>
            </w:r>
            <w:r>
              <w:rPr>
                <w:rFonts w:cs="Arial" w:ascii="Arial" w:hAnsi="Arial"/>
                <w:color w:val="000000"/>
                <w:sz w:val="16"/>
                <w:szCs w:val="16"/>
                <w:lang w:val="en-US"/>
              </w:rPr>
              <w:t xml:space="preserve"> </w:t>
            </w:r>
            <w:r>
              <w:rPr>
                <w:rFonts w:cs="Arial" w:ascii="Arial" w:hAnsi="Arial"/>
                <w:color w:val="000000"/>
                <w:sz w:val="16"/>
                <w:szCs w:val="16"/>
              </w:rPr>
              <w:t>жодних</w:t>
            </w:r>
            <w:r>
              <w:rPr>
                <w:rFonts w:cs="Arial" w:ascii="Arial" w:hAnsi="Arial"/>
                <w:color w:val="000000"/>
                <w:sz w:val="16"/>
                <w:szCs w:val="16"/>
                <w:lang w:val="en-US"/>
              </w:rPr>
              <w:t xml:space="preserve"> </w:t>
            </w:r>
            <w:r>
              <w:rPr>
                <w:rFonts w:cs="Arial" w:ascii="Arial" w:hAnsi="Arial"/>
                <w:color w:val="000000"/>
                <w:sz w:val="16"/>
                <w:szCs w:val="16"/>
              </w:rPr>
              <w:t>нових</w:t>
            </w:r>
            <w:r>
              <w:rPr>
                <w:rFonts w:cs="Arial" w:ascii="Arial" w:hAnsi="Arial"/>
                <w:color w:val="000000"/>
                <w:sz w:val="16"/>
                <w:szCs w:val="16"/>
                <w:lang w:val="en-US"/>
              </w:rPr>
              <w:t xml:space="preserve"> </w:t>
            </w:r>
            <w:r>
              <w:rPr>
                <w:rFonts w:cs="Arial" w:ascii="Arial" w:hAnsi="Arial"/>
                <w:color w:val="000000"/>
                <w:sz w:val="16"/>
                <w:szCs w:val="16"/>
              </w:rPr>
              <w:t>додаткових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внесено</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інструкцію</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розділів</w:t>
            </w:r>
            <w:r>
              <w:rPr>
                <w:rFonts w:cs="Arial" w:ascii="Arial" w:hAnsi="Arial"/>
                <w:color w:val="000000"/>
                <w:sz w:val="16"/>
                <w:szCs w:val="16"/>
                <w:lang w:val="en-US"/>
              </w:rPr>
              <w:t xml:space="preserve"> "</w:t>
            </w:r>
            <w:r>
              <w:rPr>
                <w:rFonts w:cs="Arial" w:ascii="Arial" w:hAnsi="Arial"/>
                <w:color w:val="000000"/>
                <w:sz w:val="16"/>
                <w:szCs w:val="16"/>
              </w:rPr>
              <w:t>Показання</w:t>
            </w:r>
            <w:r>
              <w:rPr>
                <w:rFonts w:cs="Arial" w:ascii="Arial" w:hAnsi="Arial"/>
                <w:color w:val="000000"/>
                <w:sz w:val="16"/>
                <w:szCs w:val="16"/>
                <w:lang w:val="en-US"/>
              </w:rPr>
              <w:t>" (</w:t>
            </w:r>
            <w:r>
              <w:rPr>
                <w:rFonts w:cs="Arial" w:ascii="Arial" w:hAnsi="Arial"/>
                <w:color w:val="000000"/>
                <w:sz w:val="16"/>
                <w:szCs w:val="16"/>
              </w:rPr>
              <w:t>уточнення</w:t>
            </w:r>
            <w:r>
              <w:rPr>
                <w:rFonts w:cs="Arial" w:ascii="Arial" w:hAnsi="Arial"/>
                <w:color w:val="000000"/>
                <w:sz w:val="16"/>
                <w:szCs w:val="16"/>
                <w:lang w:val="en-US"/>
              </w:rPr>
              <w:t xml:space="preserve"> </w:t>
            </w:r>
            <w:r>
              <w:rPr>
                <w:rFonts w:cs="Arial" w:ascii="Arial" w:hAnsi="Arial"/>
                <w:color w:val="000000"/>
                <w:sz w:val="16"/>
                <w:szCs w:val="16"/>
              </w:rPr>
              <w:t>виду</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ступеня</w:t>
            </w:r>
            <w:r>
              <w:rPr>
                <w:rFonts w:cs="Arial" w:ascii="Arial" w:hAnsi="Arial"/>
                <w:color w:val="000000"/>
                <w:sz w:val="16"/>
                <w:szCs w:val="16"/>
                <w:lang w:val="en-US"/>
              </w:rPr>
              <w:t xml:space="preserve"> </w:t>
            </w:r>
            <w:r>
              <w:rPr>
                <w:rFonts w:cs="Arial" w:ascii="Arial" w:hAnsi="Arial"/>
                <w:color w:val="000000"/>
                <w:sz w:val="16"/>
                <w:szCs w:val="16"/>
              </w:rPr>
              <w:t>тяжкості</w:t>
            </w:r>
            <w:r>
              <w:rPr>
                <w:rFonts w:cs="Arial" w:ascii="Arial" w:hAnsi="Arial"/>
                <w:color w:val="000000"/>
                <w:sz w:val="16"/>
                <w:szCs w:val="16"/>
                <w:lang w:val="en-US"/>
              </w:rPr>
              <w:t xml:space="preserve"> </w:t>
            </w:r>
            <w:r>
              <w:rPr>
                <w:rFonts w:cs="Arial" w:ascii="Arial" w:hAnsi="Arial"/>
                <w:color w:val="000000"/>
                <w:sz w:val="16"/>
                <w:szCs w:val="16"/>
              </w:rPr>
              <w:t>пневмонії</w:t>
            </w:r>
            <w:r>
              <w:rPr>
                <w:rFonts w:cs="Arial" w:ascii="Arial" w:hAnsi="Arial"/>
                <w:color w:val="000000"/>
                <w:sz w:val="16"/>
                <w:szCs w:val="16"/>
                <w:lang w:val="en-US"/>
              </w:rPr>
              <w:t>), "</w:t>
            </w:r>
            <w:r>
              <w:rPr>
                <w:rFonts w:cs="Arial" w:ascii="Arial" w:hAnsi="Arial"/>
                <w:color w:val="000000"/>
                <w:sz w:val="16"/>
                <w:szCs w:val="16"/>
              </w:rPr>
              <w:t>Спосіб</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дози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уніфікації</w:t>
            </w:r>
            <w:r>
              <w:rPr>
                <w:rFonts w:cs="Arial" w:ascii="Arial" w:hAnsi="Arial"/>
                <w:color w:val="000000"/>
                <w:sz w:val="16"/>
                <w:szCs w:val="16"/>
                <w:lang w:val="en-US"/>
              </w:rPr>
              <w:t xml:space="preserve"> </w:t>
            </w:r>
            <w:r>
              <w:rPr>
                <w:rFonts w:cs="Arial" w:ascii="Arial" w:hAnsi="Arial"/>
                <w:color w:val="000000"/>
                <w:sz w:val="16"/>
                <w:szCs w:val="16"/>
              </w:rPr>
              <w:t>показань</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рекомендації</w:t>
            </w:r>
            <w:r>
              <w:rPr>
                <w:rFonts w:cs="Arial" w:ascii="Arial" w:hAnsi="Arial"/>
                <w:color w:val="000000"/>
                <w:sz w:val="16"/>
                <w:szCs w:val="16"/>
                <w:lang w:val="en-US"/>
              </w:rPr>
              <w:t xml:space="preserve"> CMDh. </w:t>
              <w:br/>
            </w:r>
            <w:r>
              <w:rPr>
                <w:rFonts w:cs="Arial" w:ascii="Arial" w:hAnsi="Arial"/>
                <w:color w:val="000000"/>
                <w:sz w:val="16"/>
                <w:szCs w:val="16"/>
              </w:rP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МЕРОНЕМ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meropenem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меропенему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по 1000 мг; по 10 флаконів з порошком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"in bulk":</w:t>
              <w:br/>
              <w:t xml:space="preserve">ЕйСіЕс Добфар С.п.А., Італія </w:t>
              <w:br/>
              <w:br/>
              <w:t>або</w:t>
              <w:br/>
              <w:t>Сумітомо Фарма Ко., Лтд., Японія</w:t>
              <w:br/>
              <w:br/>
              <w:t>Виробник, відповідальний за первинну упаковку, вторинну упаковку, випуск серії:</w:t>
              <w:br/>
              <w:t>Замбон Світцерланд Лтд, Швейцарія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Італія</w:t>
            </w:r>
            <w:r>
              <w:rPr>
                <w:rFonts w:cs="Arial" w:ascii="Arial" w:hAnsi="Arial"/>
                <w:color w:val="000000"/>
                <w:sz w:val="16"/>
                <w:szCs w:val="16"/>
                <w:lang w:val="en-US"/>
              </w:rPr>
              <w:t>/</w:t>
            </w:r>
            <w:r>
              <w:rPr>
                <w:rFonts w:cs="Arial" w:ascii="Arial" w:hAnsi="Arial"/>
                <w:color w:val="000000"/>
                <w:sz w:val="16"/>
                <w:szCs w:val="16"/>
              </w:rPr>
              <w:t xml:space="preserve"> Японія</w:t>
            </w:r>
            <w:r>
              <w:rPr>
                <w:rFonts w:cs="Arial" w:ascii="Arial" w:hAnsi="Arial"/>
                <w:color w:val="000000"/>
                <w:sz w:val="16"/>
                <w:szCs w:val="16"/>
                <w:lang w:val="en-US"/>
              </w:rPr>
              <w:t>/</w:t>
            </w:r>
            <w:r>
              <w:rPr>
                <w:rFonts w:cs="Arial" w:ascii="Arial" w:hAnsi="Arial"/>
                <w:color w:val="000000"/>
                <w:sz w:val="16"/>
                <w:szCs w:val="16"/>
              </w:rPr>
              <w:t xml:space="preserve">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w:t>
            </w:r>
            <w:r>
              <w:rPr>
                <w:rFonts w:cs="Arial" w:ascii="Arial" w:hAnsi="Arial"/>
                <w:color w:val="000000"/>
                <w:sz w:val="16"/>
                <w:szCs w:val="16"/>
              </w:rPr>
              <w:t>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короткій</w:t>
            </w:r>
            <w:r>
              <w:rPr>
                <w:rFonts w:cs="Arial" w:ascii="Arial" w:hAnsi="Arial"/>
                <w:color w:val="000000"/>
                <w:sz w:val="16"/>
                <w:szCs w:val="16"/>
                <w:lang w:val="en-US"/>
              </w:rPr>
              <w:t xml:space="preserve"> </w:t>
            </w:r>
            <w:r>
              <w:rPr>
                <w:rFonts w:cs="Arial" w:ascii="Arial" w:hAnsi="Arial"/>
                <w:color w:val="000000"/>
                <w:sz w:val="16"/>
                <w:szCs w:val="16"/>
              </w:rPr>
              <w:t>характеристиці</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тексті</w:t>
            </w:r>
            <w:r>
              <w:rPr>
                <w:rFonts w:cs="Arial" w:ascii="Arial" w:hAnsi="Arial"/>
                <w:color w:val="000000"/>
                <w:sz w:val="16"/>
                <w:szCs w:val="16"/>
                <w:lang w:val="en-US"/>
              </w:rPr>
              <w:t xml:space="preserve"> </w:t>
            </w:r>
            <w:r>
              <w:rPr>
                <w:rFonts w:cs="Arial" w:ascii="Arial" w:hAnsi="Arial"/>
                <w:color w:val="000000"/>
                <w:sz w:val="16"/>
                <w:szCs w:val="16"/>
              </w:rPr>
              <w:t>маркування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інструкції</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ліцензованого</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ЄС</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процедурою</w:t>
            </w:r>
            <w:r>
              <w:rPr>
                <w:rFonts w:cs="Arial" w:ascii="Arial" w:hAnsi="Arial"/>
                <w:color w:val="000000"/>
                <w:sz w:val="16"/>
                <w:szCs w:val="16"/>
                <w:lang w:val="en-US"/>
              </w:rPr>
              <w:t xml:space="preserve"> </w:t>
            </w:r>
            <w:r>
              <w:rPr>
                <w:rFonts w:cs="Arial" w:ascii="Arial" w:hAnsi="Arial"/>
                <w:color w:val="000000"/>
                <w:sz w:val="16"/>
                <w:szCs w:val="16"/>
              </w:rPr>
              <w:t>взаємного</w:t>
            </w:r>
            <w:r>
              <w:rPr>
                <w:rFonts w:cs="Arial" w:ascii="Arial" w:hAnsi="Arial"/>
                <w:color w:val="000000"/>
                <w:sz w:val="16"/>
                <w:szCs w:val="16"/>
                <w:lang w:val="en-US"/>
              </w:rPr>
              <w:t xml:space="preserve"> </w:t>
            </w:r>
            <w:r>
              <w:rPr>
                <w:rFonts w:cs="Arial" w:ascii="Arial" w:hAnsi="Arial"/>
                <w:color w:val="000000"/>
                <w:sz w:val="16"/>
                <w:szCs w:val="16"/>
              </w:rPr>
              <w:t>визнання</w:t>
            </w:r>
            <w:r>
              <w:rPr>
                <w:rFonts w:cs="Arial" w:ascii="Arial" w:hAnsi="Arial"/>
                <w:color w:val="000000"/>
                <w:sz w:val="16"/>
                <w:szCs w:val="16"/>
                <w:lang w:val="en-US"/>
              </w:rPr>
              <w:t xml:space="preserve"> (</w:t>
            </w:r>
            <w:r>
              <w:rPr>
                <w:rFonts w:cs="Arial" w:ascii="Arial" w:hAnsi="Arial"/>
                <w:color w:val="000000"/>
                <w:sz w:val="16"/>
                <w:szCs w:val="16"/>
              </w:rPr>
              <w:t>лікарський</w:t>
            </w:r>
            <w:r>
              <w:rPr>
                <w:rFonts w:cs="Arial" w:ascii="Arial" w:hAnsi="Arial"/>
                <w:color w:val="000000"/>
                <w:sz w:val="16"/>
                <w:szCs w:val="16"/>
                <w:lang w:val="en-US"/>
              </w:rPr>
              <w:t xml:space="preserve"> </w:t>
            </w:r>
            <w:r>
              <w:rPr>
                <w:rFonts w:cs="Arial" w:ascii="Arial" w:hAnsi="Arial"/>
                <w:color w:val="000000"/>
                <w:sz w:val="16"/>
                <w:szCs w:val="16"/>
              </w:rPr>
              <w:t>засіб</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входить</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сфери</w:t>
            </w:r>
            <w:r>
              <w:rPr>
                <w:rFonts w:cs="Arial" w:ascii="Arial" w:hAnsi="Arial"/>
                <w:color w:val="000000"/>
                <w:sz w:val="16"/>
                <w:szCs w:val="16"/>
                <w:lang w:val="en-US"/>
              </w:rPr>
              <w:t xml:space="preserve"> </w:t>
            </w:r>
            <w:r>
              <w:rPr>
                <w:rFonts w:cs="Arial" w:ascii="Arial" w:hAnsi="Arial"/>
                <w:color w:val="000000"/>
                <w:sz w:val="16"/>
                <w:szCs w:val="16"/>
              </w:rPr>
              <w:t>дії</w:t>
            </w:r>
            <w:r>
              <w:rPr>
                <w:rFonts w:cs="Arial" w:ascii="Arial" w:hAnsi="Arial"/>
                <w:color w:val="000000"/>
                <w:sz w:val="16"/>
                <w:szCs w:val="16"/>
                <w:lang w:val="en-US"/>
              </w:rPr>
              <w:t xml:space="preserve"> </w:t>
            </w:r>
            <w:r>
              <w:rPr>
                <w:rFonts w:cs="Arial" w:ascii="Arial" w:hAnsi="Arial"/>
                <w:color w:val="000000"/>
                <w:sz w:val="16"/>
                <w:szCs w:val="16"/>
              </w:rPr>
              <w:t>процедури</w:t>
            </w:r>
            <w:r>
              <w:rPr>
                <w:rFonts w:cs="Arial" w:ascii="Arial" w:hAnsi="Arial"/>
                <w:color w:val="000000"/>
                <w:sz w:val="16"/>
                <w:szCs w:val="16"/>
                <w:lang w:val="en-US"/>
              </w:rPr>
              <w:t xml:space="preserve"> </w:t>
            </w:r>
            <w:r>
              <w:rPr>
                <w:rFonts w:cs="Arial" w:ascii="Arial" w:hAnsi="Arial"/>
                <w:color w:val="000000"/>
                <w:sz w:val="16"/>
                <w:szCs w:val="16"/>
              </w:rPr>
              <w:t>взаємного</w:t>
            </w:r>
            <w:r>
              <w:rPr>
                <w:rFonts w:cs="Arial" w:ascii="Arial" w:hAnsi="Arial"/>
                <w:color w:val="000000"/>
                <w:sz w:val="16"/>
                <w:szCs w:val="16"/>
                <w:lang w:val="en-US"/>
              </w:rPr>
              <w:t xml:space="preserve"> </w:t>
            </w:r>
            <w:r>
              <w:rPr>
                <w:rFonts w:cs="Arial" w:ascii="Arial" w:hAnsi="Arial"/>
                <w:color w:val="000000"/>
                <w:sz w:val="16"/>
                <w:szCs w:val="16"/>
              </w:rPr>
              <w:t>визнання</w:t>
            </w:r>
            <w:r>
              <w:rPr>
                <w:rFonts w:cs="Arial" w:ascii="Arial" w:hAnsi="Arial"/>
                <w:color w:val="000000"/>
                <w:sz w:val="16"/>
                <w:szCs w:val="16"/>
                <w:lang w:val="en-US"/>
              </w:rPr>
              <w:t xml:space="preserve">, </w:t>
            </w:r>
            <w:r>
              <w:rPr>
                <w:rFonts w:cs="Arial" w:ascii="Arial" w:hAnsi="Arial"/>
                <w:color w:val="000000"/>
                <w:sz w:val="16"/>
                <w:szCs w:val="16"/>
              </w:rPr>
              <w:t>але</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вноситься</w:t>
            </w:r>
            <w:r>
              <w:rPr>
                <w:rFonts w:cs="Arial" w:ascii="Arial" w:hAnsi="Arial"/>
                <w:color w:val="000000"/>
                <w:sz w:val="16"/>
                <w:szCs w:val="16"/>
                <w:lang w:val="en-US"/>
              </w:rPr>
              <w:t xml:space="preserve"> </w:t>
            </w:r>
            <w:r>
              <w:rPr>
                <w:rFonts w:cs="Arial" w:ascii="Arial" w:hAnsi="Arial"/>
                <w:color w:val="000000"/>
                <w:sz w:val="16"/>
                <w:szCs w:val="16"/>
              </w:rPr>
              <w:t>як</w:t>
            </w:r>
            <w:r>
              <w:rPr>
                <w:rFonts w:cs="Arial" w:ascii="Arial" w:hAnsi="Arial"/>
                <w:color w:val="000000"/>
                <w:sz w:val="16"/>
                <w:szCs w:val="16"/>
                <w:lang w:val="en-US"/>
              </w:rPr>
              <w:t xml:space="preserve"> </w:t>
            </w:r>
            <w:r>
              <w:rPr>
                <w:rFonts w:cs="Arial" w:ascii="Arial" w:hAnsi="Arial"/>
                <w:color w:val="000000"/>
                <w:sz w:val="16"/>
                <w:szCs w:val="16"/>
              </w:rPr>
              <w:t>результат</w:t>
            </w:r>
            <w:r>
              <w:rPr>
                <w:rFonts w:cs="Arial" w:ascii="Arial" w:hAnsi="Arial"/>
                <w:color w:val="000000"/>
                <w:sz w:val="16"/>
                <w:szCs w:val="16"/>
                <w:lang w:val="en-US"/>
              </w:rPr>
              <w:t xml:space="preserve"> </w:t>
            </w:r>
            <w:r>
              <w:rPr>
                <w:rFonts w:cs="Arial" w:ascii="Arial" w:hAnsi="Arial"/>
                <w:color w:val="000000"/>
                <w:sz w:val="16"/>
                <w:szCs w:val="16"/>
              </w:rPr>
              <w:t>процедури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власника</w:t>
            </w:r>
            <w:r>
              <w:rPr>
                <w:rFonts w:cs="Arial" w:ascii="Arial" w:hAnsi="Arial"/>
                <w:color w:val="000000"/>
                <w:sz w:val="16"/>
                <w:szCs w:val="16"/>
                <w:lang w:val="en-US"/>
              </w:rPr>
              <w:t xml:space="preserve"> </w:t>
            </w:r>
            <w:r>
              <w:rPr>
                <w:rFonts w:cs="Arial" w:ascii="Arial" w:hAnsi="Arial"/>
                <w:color w:val="000000"/>
                <w:sz w:val="16"/>
                <w:szCs w:val="16"/>
              </w:rPr>
              <w:t>торгової</w:t>
            </w:r>
            <w:r>
              <w:rPr>
                <w:rFonts w:cs="Arial" w:ascii="Arial" w:hAnsi="Arial"/>
                <w:color w:val="000000"/>
                <w:sz w:val="16"/>
                <w:szCs w:val="16"/>
                <w:lang w:val="en-US"/>
              </w:rPr>
              <w:t xml:space="preserve"> </w:t>
            </w:r>
            <w:r>
              <w:rPr>
                <w:rFonts w:cs="Arial" w:ascii="Arial" w:hAnsi="Arial"/>
                <w:color w:val="000000"/>
                <w:sz w:val="16"/>
                <w:szCs w:val="16"/>
              </w:rPr>
              <w:t>ліцензії</w:t>
            </w:r>
            <w:r>
              <w:rPr>
                <w:rFonts w:cs="Arial" w:ascii="Arial" w:hAnsi="Arial"/>
                <w:color w:val="000000"/>
                <w:sz w:val="16"/>
                <w:szCs w:val="16"/>
                <w:lang w:val="en-US"/>
              </w:rPr>
              <w:t xml:space="preserve"> </w:t>
            </w:r>
            <w:r>
              <w:rPr>
                <w:rFonts w:cs="Arial" w:ascii="Arial" w:hAnsi="Arial"/>
                <w:color w:val="000000"/>
                <w:sz w:val="16"/>
                <w:szCs w:val="16"/>
              </w:rPr>
              <w:t>не</w:t>
            </w:r>
            <w:r>
              <w:rPr>
                <w:rFonts w:cs="Arial" w:ascii="Arial" w:hAnsi="Arial"/>
                <w:color w:val="000000"/>
                <w:sz w:val="16"/>
                <w:szCs w:val="16"/>
                <w:lang w:val="en-US"/>
              </w:rPr>
              <w:t xml:space="preserve"> </w:t>
            </w:r>
            <w:r>
              <w:rPr>
                <w:rFonts w:cs="Arial" w:ascii="Arial" w:hAnsi="Arial"/>
                <w:color w:val="000000"/>
                <w:sz w:val="16"/>
                <w:szCs w:val="16"/>
              </w:rPr>
              <w:t>вимагається</w:t>
            </w:r>
            <w:r>
              <w:rPr>
                <w:rFonts w:cs="Arial" w:ascii="Arial" w:hAnsi="Arial"/>
                <w:color w:val="000000"/>
                <w:sz w:val="16"/>
                <w:szCs w:val="16"/>
                <w:lang w:val="en-US"/>
              </w:rPr>
              <w:t xml:space="preserve"> </w:t>
            </w:r>
            <w:r>
              <w:rPr>
                <w:rFonts w:cs="Arial" w:ascii="Arial" w:hAnsi="Arial"/>
                <w:color w:val="000000"/>
                <w:sz w:val="16"/>
                <w:szCs w:val="16"/>
              </w:rPr>
              <w:t>надання</w:t>
            </w:r>
            <w:r>
              <w:rPr>
                <w:rFonts w:cs="Arial" w:ascii="Arial" w:hAnsi="Arial"/>
                <w:color w:val="000000"/>
                <w:sz w:val="16"/>
                <w:szCs w:val="16"/>
                <w:lang w:val="en-US"/>
              </w:rPr>
              <w:t xml:space="preserve"> </w:t>
            </w:r>
            <w:r>
              <w:rPr>
                <w:rFonts w:cs="Arial" w:ascii="Arial" w:hAnsi="Arial"/>
                <w:color w:val="000000"/>
                <w:sz w:val="16"/>
                <w:szCs w:val="16"/>
              </w:rPr>
              <w:t>жодних</w:t>
            </w:r>
            <w:r>
              <w:rPr>
                <w:rFonts w:cs="Arial" w:ascii="Arial" w:hAnsi="Arial"/>
                <w:color w:val="000000"/>
                <w:sz w:val="16"/>
                <w:szCs w:val="16"/>
                <w:lang w:val="en-US"/>
              </w:rPr>
              <w:t xml:space="preserve"> </w:t>
            </w:r>
            <w:r>
              <w:rPr>
                <w:rFonts w:cs="Arial" w:ascii="Arial" w:hAnsi="Arial"/>
                <w:color w:val="000000"/>
                <w:sz w:val="16"/>
                <w:szCs w:val="16"/>
              </w:rPr>
              <w:t>нових</w:t>
            </w:r>
            <w:r>
              <w:rPr>
                <w:rFonts w:cs="Arial" w:ascii="Arial" w:hAnsi="Arial"/>
                <w:color w:val="000000"/>
                <w:sz w:val="16"/>
                <w:szCs w:val="16"/>
                <w:lang w:val="en-US"/>
              </w:rPr>
              <w:t xml:space="preserve"> </w:t>
            </w:r>
            <w:r>
              <w:rPr>
                <w:rFonts w:cs="Arial" w:ascii="Arial" w:hAnsi="Arial"/>
                <w:color w:val="000000"/>
                <w:sz w:val="16"/>
                <w:szCs w:val="16"/>
              </w:rPr>
              <w:t>додаткових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внесено</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інструкцію</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медичного</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лікарського</w:t>
            </w:r>
            <w:r>
              <w:rPr>
                <w:rFonts w:cs="Arial" w:ascii="Arial" w:hAnsi="Arial"/>
                <w:color w:val="000000"/>
                <w:sz w:val="16"/>
                <w:szCs w:val="16"/>
                <w:lang w:val="en-US"/>
              </w:rPr>
              <w:t xml:space="preserve"> </w:t>
            </w:r>
            <w:r>
              <w:rPr>
                <w:rFonts w:cs="Arial" w:ascii="Arial" w:hAnsi="Arial"/>
                <w:color w:val="000000"/>
                <w:sz w:val="16"/>
                <w:szCs w:val="16"/>
              </w:rPr>
              <w:t>засобу</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розділів</w:t>
            </w:r>
            <w:r>
              <w:rPr>
                <w:rFonts w:cs="Arial" w:ascii="Arial" w:hAnsi="Arial"/>
                <w:color w:val="000000"/>
                <w:sz w:val="16"/>
                <w:szCs w:val="16"/>
                <w:lang w:val="en-US"/>
              </w:rPr>
              <w:t xml:space="preserve"> "</w:t>
            </w:r>
            <w:r>
              <w:rPr>
                <w:rFonts w:cs="Arial" w:ascii="Arial" w:hAnsi="Arial"/>
                <w:color w:val="000000"/>
                <w:sz w:val="16"/>
                <w:szCs w:val="16"/>
              </w:rPr>
              <w:t>Показання</w:t>
            </w:r>
            <w:r>
              <w:rPr>
                <w:rFonts w:cs="Arial" w:ascii="Arial" w:hAnsi="Arial"/>
                <w:color w:val="000000"/>
                <w:sz w:val="16"/>
                <w:szCs w:val="16"/>
                <w:lang w:val="en-US"/>
              </w:rPr>
              <w:t>" (</w:t>
            </w:r>
            <w:r>
              <w:rPr>
                <w:rFonts w:cs="Arial" w:ascii="Arial" w:hAnsi="Arial"/>
                <w:color w:val="000000"/>
                <w:sz w:val="16"/>
                <w:szCs w:val="16"/>
              </w:rPr>
              <w:t>уточнення</w:t>
            </w:r>
            <w:r>
              <w:rPr>
                <w:rFonts w:cs="Arial" w:ascii="Arial" w:hAnsi="Arial"/>
                <w:color w:val="000000"/>
                <w:sz w:val="16"/>
                <w:szCs w:val="16"/>
                <w:lang w:val="en-US"/>
              </w:rPr>
              <w:t xml:space="preserve"> </w:t>
            </w:r>
            <w:r>
              <w:rPr>
                <w:rFonts w:cs="Arial" w:ascii="Arial" w:hAnsi="Arial"/>
                <w:color w:val="000000"/>
                <w:sz w:val="16"/>
                <w:szCs w:val="16"/>
              </w:rPr>
              <w:t>виду</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ступеня</w:t>
            </w:r>
            <w:r>
              <w:rPr>
                <w:rFonts w:cs="Arial" w:ascii="Arial" w:hAnsi="Arial"/>
                <w:color w:val="000000"/>
                <w:sz w:val="16"/>
                <w:szCs w:val="16"/>
                <w:lang w:val="en-US"/>
              </w:rPr>
              <w:t xml:space="preserve"> </w:t>
            </w:r>
            <w:r>
              <w:rPr>
                <w:rFonts w:cs="Arial" w:ascii="Arial" w:hAnsi="Arial"/>
                <w:color w:val="000000"/>
                <w:sz w:val="16"/>
                <w:szCs w:val="16"/>
              </w:rPr>
              <w:t>тяжкості</w:t>
            </w:r>
            <w:r>
              <w:rPr>
                <w:rFonts w:cs="Arial" w:ascii="Arial" w:hAnsi="Arial"/>
                <w:color w:val="000000"/>
                <w:sz w:val="16"/>
                <w:szCs w:val="16"/>
                <w:lang w:val="en-US"/>
              </w:rPr>
              <w:t xml:space="preserve"> </w:t>
            </w:r>
            <w:r>
              <w:rPr>
                <w:rFonts w:cs="Arial" w:ascii="Arial" w:hAnsi="Arial"/>
                <w:color w:val="000000"/>
                <w:sz w:val="16"/>
                <w:szCs w:val="16"/>
              </w:rPr>
              <w:t>пневмонії</w:t>
            </w:r>
            <w:r>
              <w:rPr>
                <w:rFonts w:cs="Arial" w:ascii="Arial" w:hAnsi="Arial"/>
                <w:color w:val="000000"/>
                <w:sz w:val="16"/>
                <w:szCs w:val="16"/>
                <w:lang w:val="en-US"/>
              </w:rPr>
              <w:t>), "</w:t>
            </w:r>
            <w:r>
              <w:rPr>
                <w:rFonts w:cs="Arial" w:ascii="Arial" w:hAnsi="Arial"/>
                <w:color w:val="000000"/>
                <w:sz w:val="16"/>
                <w:szCs w:val="16"/>
              </w:rPr>
              <w:t>Спосіб</w:t>
            </w:r>
            <w:r>
              <w:rPr>
                <w:rFonts w:cs="Arial" w:ascii="Arial" w:hAnsi="Arial"/>
                <w:color w:val="000000"/>
                <w:sz w:val="16"/>
                <w:szCs w:val="16"/>
                <w:lang w:val="en-US"/>
              </w:rPr>
              <w:t xml:space="preserve"> </w:t>
            </w:r>
            <w:r>
              <w:rPr>
                <w:rFonts w:cs="Arial" w:ascii="Arial" w:hAnsi="Arial"/>
                <w:color w:val="000000"/>
                <w:sz w:val="16"/>
                <w:szCs w:val="16"/>
              </w:rPr>
              <w:t>застосування</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дози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уніфікації</w:t>
            </w:r>
            <w:r>
              <w:rPr>
                <w:rFonts w:cs="Arial" w:ascii="Arial" w:hAnsi="Arial"/>
                <w:color w:val="000000"/>
                <w:sz w:val="16"/>
                <w:szCs w:val="16"/>
                <w:lang w:val="en-US"/>
              </w:rPr>
              <w:t xml:space="preserve"> </w:t>
            </w:r>
            <w:r>
              <w:rPr>
                <w:rFonts w:cs="Arial" w:ascii="Arial" w:hAnsi="Arial"/>
                <w:color w:val="000000"/>
                <w:sz w:val="16"/>
                <w:szCs w:val="16"/>
              </w:rPr>
              <w:t>показань</w:t>
            </w:r>
            <w:r>
              <w:rPr>
                <w:rFonts w:cs="Arial" w:ascii="Arial" w:hAnsi="Arial"/>
                <w:color w:val="000000"/>
                <w:sz w:val="16"/>
                <w:szCs w:val="16"/>
                <w:lang w:val="en-US"/>
              </w:rPr>
              <w:t xml:space="preserve"> </w:t>
            </w:r>
            <w:r>
              <w:rPr>
                <w:rFonts w:cs="Arial" w:ascii="Arial" w:hAnsi="Arial"/>
                <w:color w:val="000000"/>
                <w:sz w:val="16"/>
                <w:szCs w:val="16"/>
              </w:rPr>
              <w:t>відповідно</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рекомендації</w:t>
            </w:r>
            <w:r>
              <w:rPr>
                <w:rFonts w:cs="Arial" w:ascii="Arial" w:hAnsi="Arial"/>
                <w:color w:val="000000"/>
                <w:sz w:val="16"/>
                <w:szCs w:val="16"/>
                <w:lang w:val="en-US"/>
              </w:rPr>
              <w:t xml:space="preserve"> CMDh. </w:t>
              <w:br/>
            </w:r>
            <w:r>
              <w:rPr>
                <w:rFonts w:cs="Arial" w:ascii="Arial" w:hAnsi="Arial"/>
                <w:color w:val="000000"/>
                <w:sz w:val="16"/>
                <w:szCs w:val="16"/>
              </w:rP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UA/0186/01/02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МЕТАКАРТИН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levocarnitine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левокарнітин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2 г/10 мл; по 10 мл у флаконах; по 10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A.Ш.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зміна розміру серії ГЛЗ із 20 л (1951 флакон) на 3000 л (292112 флаконів).</w:t>
              <w:br/>
              <w:t xml:space="preserve">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оновлення інформації в розділі 3.2.Р.7. Система контейнер/закупорювальний засіб, а саме заміна виробника флакона з Sisecam, Turkey на виробника SGD S.A., France.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альтернативного виробника АФІ Liaoning Koncepnutra Co., Ltd., China з наданням мастер-файла на АФІ левокарнітину.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UA/18029/01/01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850 мг, по 10 таблеток у блістері; по 3, по 6 або по 10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"КУСУМ ФАРМ", Україна або ТОВ "ГЛЕДФАРМ ЛТД", Україна. Запропоновано: ТОВ "КУСУМ ФАРМ", Україна або ТОВ "КУСУМ", Україна.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UA/11506/02/02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1000 мг: по 15 таблеток у блістері; по 2, по 4 або по 6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"КУСУМ ФАРМ", Україна або ТОВ "ГЛЕДФАРМ ЛТД", Україна. Запропоновано: ТОВ "КУСУМ ФАРМ", Україна або ТОВ "КУСУМ", Україна.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UA/11506/02/03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МЕТАМІН®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500 мг; по 10 таблеток у блістері; по 3, по 6 або по 10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autoSpaceDE w:val="false"/>
              <w:jc w:val="center"/>
              <w:rPr>
                <w:rFonts w:ascii="Arial" w:hAnsi="Arial" w:cs="Arial"/>
                <w:bCs/>
                <w:sz w:val="16"/>
                <w:szCs w:val="16"/>
              </w:rPr>
            </w:pPr>
            <w:r>
              <w:rPr>
                <w:rFonts w:cs="Arial" w:ascii="Arial" w:hAnsi="Arial"/>
                <w:bCs/>
                <w:color w:val="000000"/>
                <w:sz w:val="16"/>
                <w:szCs w:val="16"/>
              </w:rPr>
              <w:t>ТОВ "КУСУМ ФАРМ", Україна</w:t>
            </w:r>
          </w:p>
          <w:p>
            <w:pPr>
              <w:pStyle w:val="Normal"/>
              <w:autoSpaceDE w:val="false"/>
              <w:jc w:val="center"/>
              <w:rPr>
                <w:rFonts w:ascii="Arial" w:hAnsi="Arial" w:cs="Arial"/>
                <w:bCs/>
                <w:sz w:val="16"/>
                <w:szCs w:val="16"/>
              </w:rPr>
            </w:pPr>
            <w:r>
              <w:rPr>
                <w:rFonts w:cs="Arial" w:ascii="Arial" w:hAnsi="Arial"/>
                <w:bCs/>
                <w:color w:val="000000"/>
                <w:sz w:val="16"/>
                <w:szCs w:val="16"/>
              </w:rPr>
              <w:t>або</w:t>
            </w:r>
          </w:p>
          <w:p>
            <w:pPr>
              <w:pStyle w:val="Normal"/>
              <w:autoSpaceDE w:val="false"/>
              <w:jc w:val="center"/>
              <w:rPr>
                <w:rFonts w:ascii="Arial" w:hAnsi="Arial" w:cs="Arial"/>
                <w:color w:val="000000"/>
                <w:sz w:val="16"/>
                <w:szCs w:val="16"/>
              </w:rPr>
            </w:pPr>
            <w:r>
              <w:rPr>
                <w:rFonts w:cs="Arial" w:ascii="Arial" w:hAnsi="Arial"/>
                <w:bCs/>
                <w:color w:val="000000"/>
                <w:sz w:val="16"/>
                <w:szCs w:val="16"/>
              </w:rPr>
              <w:t xml:space="preserve">ТОВ "КУСУМ", Україна,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Затверджено: ТОВ "ГЛЕДФАРМ ЛТД", Україна. Запропоновано: ТОВ "КУСУМ", Україна. Термін введення змін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 Зміна найменування виробника, без зміни місця виробництва: Затверджено: ТОВ "КУСУМ ФАРМ", Україна або ТОВ "ГЛЕДФАРМ ЛТД", Україна. Запропоновано: ТОВ "КУСУМ ФАРМ", Україна або ТОВ "КУСУМ", Україна. Зміни внесено в розділ "Виробник" в інструкцію для медичного застосування у зв’язку зі зміною назви виробника з ТОВ «ГЛЕДФАРМ ЛТД» на ТОВ «КУСУМ» без зміни адреси місця провадження діяльності та як наслідок - у текст маркування упаковки лікарського засобу. Термін введення змін протягом 12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UA/11506/02/01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МЕТРОНІДАЗОЛ ДЕНТА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Metronidazole, combinations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метронідазолу бензоат, 20 % розчину хлоргексидину глюконату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A01AB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гель для ясен, по 20 г гелю в тубі; по 1 тубі в картонній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ПП "ГЛЕДЕКС"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"Арпімед"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Вiрменiя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w:t>
              <w:br/>
              <w:t>Виправлено технічну помилку в тексті маркування вторинної упаковки лікарського засобу, а саме: у пункті 11 вторинної упаковки зазначену інформацію щодо заявника, яку було помилково видалено під час процедури зміни заявника (наказ від 09.06.2026 р. № 763).</w:t>
              <w:br/>
              <w:t xml:space="preserve">ЗАТВЕРДЖЕНО: </w:t>
              <w:br/>
              <w:t xml:space="preserve">11. НАЙМЕНУВАННЯ І МІСЦЕЗНАХОДЖЕННЯ ВИРОБНИКА ТА/АБО ЗАЯВНИКА </w:t>
              <w:br/>
              <w:t xml:space="preserve">Виробник: ТОВ «Арпімед» Республіка Вірменія, Котайкська обл., м. Абовян, 2-й мікрорайон, буд. 19. </w:t>
              <w:br/>
              <w:t xml:space="preserve">ЗАПРОПОНОВАНО: </w:t>
              <w:br/>
              <w:t xml:space="preserve">11. НАЙМЕНУВАННЯ І МІСЦЕЗНАХОДЖЕННЯ ВИРОБНИКА ТА/АБО ЗАЯВНИКА </w:t>
              <w:br/>
              <w:t xml:space="preserve">Виробник: ТОВ «Арпімед» Республіка Вірменія, Котайкська обл., м. Абовян, 2-й мікрорайон, буд. 19. </w:t>
              <w:br/>
              <w:t xml:space="preserve">Заявник: ПП «ГЛЕДЕКС», Україна, 01033, м. Київ, вул. Тарасівська, 36-А, офіс 5 </w:t>
              <w:br/>
              <w:t xml:space="preserve">Зазначене виправлення відповідає матеріалам реєстраційного досьє.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МІРЕНА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levonorgestrel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левоноргестрел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G02BA03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внутрішньоматкова система з левоноргестрелом, 52 мг (20 мкг/24 години); внутрішньоматкова система та пристрій для введення (запаяний в окремий блістер), запаковані в стерильний, запаяний мішечок, що поміщається в картонну пачку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Оу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Фiнляндiя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Байєр Оу, Фінляндія; Вторинне пакування: Байєр Оу, Фінляндія; Стерилізація: Стерідженікс Белджіум (Петі-Решен),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Фінляндія</w:t>
            </w:r>
            <w:r>
              <w:rPr>
                <w:rFonts w:cs="Arial" w:ascii="Arial" w:hAnsi="Arial"/>
                <w:color w:val="000000"/>
                <w:sz w:val="16"/>
                <w:szCs w:val="16"/>
                <w:lang w:val="en-US"/>
              </w:rPr>
              <w:t>/</w:t>
            </w:r>
            <w:r>
              <w:rPr>
                <w:rFonts w:cs="Arial" w:ascii="Arial" w:hAnsi="Arial"/>
                <w:color w:val="000000"/>
                <w:sz w:val="16"/>
                <w:szCs w:val="16"/>
              </w:rPr>
              <w:t xml:space="preserve"> Бельгія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Готовий</w:t>
            </w:r>
            <w:r>
              <w:rPr>
                <w:rFonts w:cs="Arial" w:ascii="Arial" w:hAnsi="Arial"/>
                <w:sz w:val="16"/>
                <w:szCs w:val="16"/>
                <w:lang w:val="en-US"/>
              </w:rPr>
              <w:t xml:space="preserve"> </w:t>
            </w:r>
            <w:r>
              <w:rPr>
                <w:rFonts w:cs="Arial" w:ascii="Arial" w:hAnsi="Arial"/>
                <w:sz w:val="16"/>
                <w:szCs w:val="16"/>
              </w:rPr>
              <w:t>лікарський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Система</w:t>
            </w:r>
            <w:r>
              <w:rPr>
                <w:rFonts w:cs="Arial" w:ascii="Arial" w:hAnsi="Arial"/>
                <w:sz w:val="16"/>
                <w:szCs w:val="16"/>
                <w:lang w:val="en-US"/>
              </w:rPr>
              <w:t xml:space="preserve"> </w:t>
            </w:r>
            <w:r>
              <w:rPr>
                <w:rFonts w:cs="Arial" w:ascii="Arial" w:hAnsi="Arial"/>
                <w:sz w:val="16"/>
                <w:szCs w:val="16"/>
              </w:rPr>
              <w:t>контейнер</w:t>
            </w:r>
            <w:r>
              <w:rPr>
                <w:rFonts w:cs="Arial" w:ascii="Arial" w:hAnsi="Arial"/>
                <w:sz w:val="16"/>
                <w:szCs w:val="16"/>
                <w:lang w:val="en-US"/>
              </w:rPr>
              <w:t>/</w:t>
            </w:r>
            <w:r>
              <w:rPr>
                <w:rFonts w:cs="Arial" w:ascii="Arial" w:hAnsi="Arial"/>
                <w:sz w:val="16"/>
                <w:szCs w:val="16"/>
              </w:rPr>
              <w:t>закупорювальний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первинній</w:t>
            </w:r>
            <w:r>
              <w:rPr>
                <w:rFonts w:cs="Arial" w:ascii="Arial" w:hAnsi="Arial"/>
                <w:sz w:val="16"/>
                <w:szCs w:val="16"/>
                <w:lang w:val="en-US"/>
              </w:rPr>
              <w:t xml:space="preserve"> </w:t>
            </w:r>
            <w:r>
              <w:rPr>
                <w:rFonts w:cs="Arial" w:ascii="Arial" w:hAnsi="Arial"/>
                <w:sz w:val="16"/>
                <w:szCs w:val="16"/>
              </w:rPr>
              <w:t>упаковці</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тип</w:t>
            </w:r>
            <w:r>
              <w:rPr>
                <w:rFonts w:cs="Arial" w:ascii="Arial" w:hAnsi="Arial"/>
                <w:sz w:val="16"/>
                <w:szCs w:val="16"/>
                <w:lang w:val="en-US"/>
              </w:rPr>
              <w:t xml:space="preserve"> </w:t>
            </w:r>
            <w:r>
              <w:rPr>
                <w:rFonts w:cs="Arial" w:ascii="Arial" w:hAnsi="Arial"/>
                <w:sz w:val="16"/>
                <w:szCs w:val="16"/>
              </w:rPr>
              <w:t>контейнера</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нового</w:t>
            </w:r>
            <w:r>
              <w:rPr>
                <w:rFonts w:cs="Arial" w:ascii="Arial" w:hAnsi="Arial"/>
                <w:sz w:val="16"/>
                <w:szCs w:val="16"/>
                <w:lang w:val="en-US"/>
              </w:rPr>
              <w:t xml:space="preserve"> </w:t>
            </w:r>
            <w:r>
              <w:rPr>
                <w:rFonts w:cs="Arial" w:ascii="Arial" w:hAnsi="Arial"/>
                <w:sz w:val="16"/>
                <w:szCs w:val="16"/>
              </w:rPr>
              <w:t>контейнера</w:t>
            </w:r>
            <w:r>
              <w:rPr>
                <w:rFonts w:cs="Arial" w:ascii="Arial" w:hAnsi="Arial"/>
                <w:sz w:val="16"/>
                <w:szCs w:val="16"/>
                <w:lang w:val="en-US"/>
              </w:rPr>
              <w:t xml:space="preserve">) - </w:t>
            </w:r>
            <w:r>
              <w:rPr>
                <w:rFonts w:cs="Arial" w:ascii="Arial" w:hAnsi="Arial"/>
                <w:sz w:val="16"/>
                <w:szCs w:val="16"/>
              </w:rPr>
              <w:t>Вилучення</w:t>
            </w:r>
            <w:r>
              <w:rPr>
                <w:rFonts w:cs="Arial" w:ascii="Arial" w:hAnsi="Arial"/>
                <w:sz w:val="16"/>
                <w:szCs w:val="16"/>
                <w:lang w:val="en-US"/>
              </w:rPr>
              <w:t xml:space="preserve"> </w:t>
            </w:r>
            <w:r>
              <w:rPr>
                <w:rFonts w:cs="Arial" w:ascii="Arial" w:hAnsi="Arial"/>
                <w:sz w:val="16"/>
                <w:szCs w:val="16"/>
              </w:rPr>
              <w:t>первинної</w:t>
            </w:r>
            <w:r>
              <w:rPr>
                <w:rFonts w:cs="Arial" w:ascii="Arial" w:hAnsi="Arial"/>
                <w:sz w:val="16"/>
                <w:szCs w:val="16"/>
                <w:lang w:val="en-US"/>
              </w:rPr>
              <w:t xml:space="preserve"> </w:t>
            </w:r>
            <w:r>
              <w:rPr>
                <w:rFonts w:cs="Arial" w:ascii="Arial" w:hAnsi="Arial"/>
                <w:sz w:val="16"/>
                <w:szCs w:val="16"/>
              </w:rPr>
              <w:t>упаковки</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не</w:t>
            </w:r>
            <w:r>
              <w:rPr>
                <w:rFonts w:cs="Arial" w:ascii="Arial" w:hAnsi="Arial"/>
                <w:sz w:val="16"/>
                <w:szCs w:val="16"/>
                <w:lang w:val="en-US"/>
              </w:rPr>
              <w:t xml:space="preserve"> </w:t>
            </w:r>
            <w:r>
              <w:rPr>
                <w:rFonts w:cs="Arial" w:ascii="Arial" w:hAnsi="Arial"/>
                <w:sz w:val="16"/>
                <w:szCs w:val="16"/>
              </w:rPr>
              <w:t>призводить</w:t>
            </w:r>
            <w:r>
              <w:rPr>
                <w:rFonts w:cs="Arial" w:ascii="Arial" w:hAnsi="Arial"/>
                <w:sz w:val="16"/>
                <w:szCs w:val="16"/>
                <w:lang w:val="en-US"/>
              </w:rPr>
              <w:t xml:space="preserv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повного</w:t>
            </w:r>
            <w:r>
              <w:rPr>
                <w:rFonts w:cs="Arial" w:ascii="Arial" w:hAnsi="Arial"/>
                <w:sz w:val="16"/>
                <w:szCs w:val="16"/>
                <w:lang w:val="en-US"/>
              </w:rPr>
              <w:t xml:space="preserve"> </w:t>
            </w:r>
            <w:r>
              <w:rPr>
                <w:rFonts w:cs="Arial" w:ascii="Arial" w:hAnsi="Arial"/>
                <w:sz w:val="16"/>
                <w:szCs w:val="16"/>
              </w:rPr>
              <w:t>вилучення</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певною</w:t>
            </w:r>
            <w:r>
              <w:rPr>
                <w:rFonts w:cs="Arial" w:ascii="Arial" w:hAnsi="Arial"/>
                <w:sz w:val="16"/>
                <w:szCs w:val="16"/>
                <w:lang w:val="en-US"/>
              </w:rPr>
              <w:t xml:space="preserve"> </w:t>
            </w:r>
            <w:r>
              <w:rPr>
                <w:rFonts w:cs="Arial" w:ascii="Arial" w:hAnsi="Arial"/>
                <w:sz w:val="16"/>
                <w:szCs w:val="16"/>
              </w:rPr>
              <w:t>силою</w:t>
            </w:r>
            <w:r>
              <w:rPr>
                <w:rFonts w:cs="Arial" w:ascii="Arial" w:hAnsi="Arial"/>
                <w:sz w:val="16"/>
                <w:szCs w:val="16"/>
                <w:lang w:val="en-US"/>
              </w:rPr>
              <w:t xml:space="preserve"> </w:t>
            </w:r>
            <w:r>
              <w:rPr>
                <w:rFonts w:cs="Arial" w:ascii="Arial" w:hAnsi="Arial"/>
                <w:sz w:val="16"/>
                <w:szCs w:val="16"/>
              </w:rPr>
              <w:t>дії</w:t>
            </w:r>
            <w:r>
              <w:rPr>
                <w:rFonts w:cs="Arial" w:ascii="Arial" w:hAnsi="Arial"/>
                <w:sz w:val="16"/>
                <w:szCs w:val="16"/>
                <w:lang w:val="en-US"/>
              </w:rPr>
              <w:t xml:space="preserve"> </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у</w:t>
            </w:r>
            <w:r>
              <w:rPr>
                <w:rFonts w:cs="Arial" w:ascii="Arial" w:hAnsi="Arial"/>
                <w:sz w:val="16"/>
                <w:szCs w:val="16"/>
                <w:lang w:val="en-US"/>
              </w:rPr>
              <w:t xml:space="preserve"> </w:t>
            </w:r>
            <w:r>
              <w:rPr>
                <w:rFonts w:cs="Arial" w:ascii="Arial" w:hAnsi="Arial"/>
                <w:sz w:val="16"/>
                <w:szCs w:val="16"/>
              </w:rPr>
              <w:t>певній</w:t>
            </w:r>
            <w:r>
              <w:rPr>
                <w:rFonts w:cs="Arial" w:ascii="Arial" w:hAnsi="Arial"/>
                <w:sz w:val="16"/>
                <w:szCs w:val="16"/>
                <w:lang w:val="en-US"/>
              </w:rPr>
              <w:t xml:space="preserve"> </w:t>
            </w:r>
            <w:r>
              <w:rPr>
                <w:rFonts w:cs="Arial" w:ascii="Arial" w:hAnsi="Arial"/>
                <w:sz w:val="16"/>
                <w:szCs w:val="16"/>
              </w:rPr>
              <w:t>лікарській</w:t>
            </w:r>
            <w:r>
              <w:rPr>
                <w:rFonts w:cs="Arial" w:ascii="Arial" w:hAnsi="Arial"/>
                <w:sz w:val="16"/>
                <w:szCs w:val="16"/>
                <w:lang w:val="en-US"/>
              </w:rPr>
              <w:t xml:space="preserve"> </w:t>
            </w:r>
            <w:r>
              <w:rPr>
                <w:rFonts w:cs="Arial" w:ascii="Arial" w:hAnsi="Arial"/>
                <w:sz w:val="16"/>
                <w:szCs w:val="16"/>
              </w:rPr>
              <w:t>формі</w:t>
            </w:r>
            <w:r>
              <w:rPr>
                <w:rFonts w:cs="Arial" w:ascii="Arial" w:hAnsi="Arial"/>
                <w:sz w:val="16"/>
                <w:szCs w:val="16"/>
                <w:lang w:val="en-US"/>
              </w:rPr>
              <w:t xml:space="preserve">. </w:t>
            </w:r>
            <w:r>
              <w:rPr>
                <w:rFonts w:cs="Arial" w:ascii="Arial" w:hAnsi="Arial"/>
                <w:sz w:val="16"/>
                <w:szCs w:val="16"/>
              </w:rPr>
              <w:t>Вилучення</w:t>
            </w:r>
            <w:r>
              <w:rPr>
                <w:rFonts w:cs="Arial" w:ascii="Arial" w:hAnsi="Arial"/>
                <w:sz w:val="16"/>
                <w:szCs w:val="16"/>
                <w:lang w:val="en-US"/>
              </w:rPr>
              <w:t xml:space="preserve"> </w:t>
            </w:r>
            <w:r>
              <w:rPr>
                <w:rFonts w:cs="Arial" w:ascii="Arial" w:hAnsi="Arial"/>
                <w:sz w:val="16"/>
                <w:szCs w:val="16"/>
              </w:rPr>
              <w:t>альтернативного</w:t>
            </w:r>
            <w:r>
              <w:rPr>
                <w:rFonts w:cs="Arial" w:ascii="Arial" w:hAnsi="Arial"/>
                <w:sz w:val="16"/>
                <w:szCs w:val="16"/>
                <w:lang w:val="en-US"/>
              </w:rPr>
              <w:t xml:space="preserve"> </w:t>
            </w:r>
            <w:r>
              <w:rPr>
                <w:rFonts w:cs="Arial" w:ascii="Arial" w:hAnsi="Arial"/>
                <w:sz w:val="16"/>
                <w:szCs w:val="16"/>
              </w:rPr>
              <w:t>виду</w:t>
            </w:r>
            <w:r>
              <w:rPr>
                <w:rFonts w:cs="Arial" w:ascii="Arial" w:hAnsi="Arial"/>
                <w:sz w:val="16"/>
                <w:szCs w:val="16"/>
                <w:lang w:val="en-US"/>
              </w:rPr>
              <w:t xml:space="preserve"> </w:t>
            </w:r>
            <w:r>
              <w:rPr>
                <w:rFonts w:cs="Arial" w:ascii="Arial" w:hAnsi="Arial"/>
                <w:sz w:val="16"/>
                <w:szCs w:val="16"/>
              </w:rPr>
              <w:t>первинної</w:t>
            </w:r>
            <w:r>
              <w:rPr>
                <w:rFonts w:cs="Arial" w:ascii="Arial" w:hAnsi="Arial"/>
                <w:sz w:val="16"/>
                <w:szCs w:val="16"/>
                <w:lang w:val="en-US"/>
              </w:rPr>
              <w:t xml:space="preserve"> </w:t>
            </w:r>
            <w:r>
              <w:rPr>
                <w:rFonts w:cs="Arial" w:ascii="Arial" w:hAnsi="Arial"/>
                <w:sz w:val="16"/>
                <w:szCs w:val="16"/>
              </w:rPr>
              <w:t>упаковки</w:t>
            </w:r>
            <w:r>
              <w:rPr>
                <w:rFonts w:cs="Arial" w:ascii="Arial" w:hAnsi="Arial"/>
                <w:sz w:val="16"/>
                <w:szCs w:val="16"/>
                <w:lang w:val="en-US"/>
              </w:rPr>
              <w:t xml:space="preserve">, </w:t>
            </w:r>
            <w:r>
              <w:rPr>
                <w:rFonts w:cs="Arial" w:ascii="Arial" w:hAnsi="Arial"/>
                <w:sz w:val="16"/>
                <w:szCs w:val="16"/>
              </w:rPr>
              <w:t>а</w:t>
            </w:r>
            <w:r>
              <w:rPr>
                <w:rFonts w:cs="Arial" w:ascii="Arial" w:hAnsi="Arial"/>
                <w:sz w:val="16"/>
                <w:szCs w:val="16"/>
                <w:lang w:val="en-US"/>
              </w:rPr>
              <w:t xml:space="preserve"> </w:t>
            </w:r>
            <w:r>
              <w:rPr>
                <w:rFonts w:cs="Arial" w:ascii="Arial" w:hAnsi="Arial"/>
                <w:sz w:val="16"/>
                <w:szCs w:val="16"/>
              </w:rPr>
              <w:t>саме</w:t>
            </w:r>
            <w:r>
              <w:rPr>
                <w:rFonts w:cs="Arial" w:ascii="Arial" w:hAnsi="Arial"/>
                <w:sz w:val="16"/>
                <w:szCs w:val="16"/>
                <w:lang w:val="en-US"/>
              </w:rPr>
              <w:t xml:space="preserve">: </w:t>
            </w:r>
            <w:r>
              <w:rPr>
                <w:rFonts w:cs="Arial" w:ascii="Arial" w:hAnsi="Arial"/>
                <w:sz w:val="16"/>
                <w:szCs w:val="16"/>
              </w:rPr>
              <w:t>упаковка</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виготовляється</w:t>
            </w:r>
            <w:r>
              <w:rPr>
                <w:rFonts w:cs="Arial" w:ascii="Arial" w:hAnsi="Arial"/>
                <w:sz w:val="16"/>
                <w:szCs w:val="16"/>
                <w:lang w:val="en-US"/>
              </w:rPr>
              <w:t xml:space="preserve"> </w:t>
            </w:r>
            <w:r>
              <w:rPr>
                <w:rFonts w:cs="Arial" w:ascii="Arial" w:hAnsi="Arial"/>
                <w:sz w:val="16"/>
                <w:szCs w:val="16"/>
              </w:rPr>
              <w:t>із</w:t>
            </w:r>
            <w:r>
              <w:rPr>
                <w:rFonts w:cs="Arial" w:ascii="Arial" w:hAnsi="Arial"/>
                <w:sz w:val="16"/>
                <w:szCs w:val="16"/>
                <w:lang w:val="en-US"/>
              </w:rPr>
              <w:t xml:space="preserve"> </w:t>
            </w:r>
            <w:r>
              <w:rPr>
                <w:rFonts w:cs="Arial" w:ascii="Arial" w:hAnsi="Arial"/>
                <w:sz w:val="16"/>
                <w:szCs w:val="16"/>
              </w:rPr>
              <w:t>матеріалу</w:t>
            </w:r>
            <w:r>
              <w:rPr>
                <w:rFonts w:cs="Arial" w:ascii="Arial" w:hAnsi="Arial"/>
                <w:sz w:val="16"/>
                <w:szCs w:val="16"/>
                <w:lang w:val="en-US"/>
              </w:rPr>
              <w:t xml:space="preserve"> </w:t>
            </w:r>
            <w:r>
              <w:rPr>
                <w:rFonts w:cs="Arial" w:ascii="Arial" w:hAnsi="Arial"/>
                <w:sz w:val="16"/>
                <w:szCs w:val="16"/>
              </w:rPr>
              <w:t>аморфна</w:t>
            </w:r>
            <w:r>
              <w:rPr>
                <w:rFonts w:cs="Arial" w:ascii="Arial" w:hAnsi="Arial"/>
                <w:sz w:val="16"/>
                <w:szCs w:val="16"/>
                <w:lang w:val="en-US"/>
              </w:rPr>
              <w:t xml:space="preserve"> </w:t>
            </w:r>
            <w:r>
              <w:rPr>
                <w:rFonts w:cs="Arial" w:ascii="Arial" w:hAnsi="Arial"/>
                <w:sz w:val="16"/>
                <w:szCs w:val="16"/>
              </w:rPr>
              <w:t>плівка</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поліетилентерефталату</w:t>
            </w:r>
            <w:r>
              <w:rPr>
                <w:rFonts w:cs="Arial" w:ascii="Arial" w:hAnsi="Arial"/>
                <w:sz w:val="16"/>
                <w:szCs w:val="16"/>
                <w:lang w:val="en-US"/>
              </w:rPr>
              <w:t xml:space="preserve"> 500 </w:t>
            </w:r>
            <w:r>
              <w:rPr>
                <w:rFonts w:cs="Arial" w:ascii="Arial" w:hAnsi="Arial"/>
                <w:sz w:val="16"/>
                <w:szCs w:val="16"/>
              </w:rPr>
              <w:t>мкм</w:t>
            </w:r>
            <w:r>
              <w:rPr>
                <w:rFonts w:cs="Arial" w:ascii="Arial" w:hAnsi="Arial"/>
                <w:sz w:val="16"/>
                <w:szCs w:val="16"/>
                <w:lang w:val="en-US"/>
              </w:rPr>
              <w:t xml:space="preserve"> (Film 500 </w:t>
            </w:r>
            <w:r>
              <w:rPr>
                <w:rFonts w:cs="Arial" w:ascii="Arial" w:hAnsi="Arial"/>
                <w:sz w:val="16"/>
                <w:szCs w:val="16"/>
              </w:rPr>
              <w:t>μ</w:t>
            </w:r>
            <w:r>
              <w:rPr>
                <w:rFonts w:cs="Arial" w:ascii="Arial" w:hAnsi="Arial"/>
                <w:sz w:val="16"/>
                <w:szCs w:val="16"/>
                <w:lang w:val="en-US"/>
              </w:rPr>
              <w:t xml:space="preserve">m APET). </w:t>
            </w:r>
            <w:r>
              <w:rPr>
                <w:rFonts w:cs="Arial" w:ascii="Arial" w:hAnsi="Arial"/>
                <w:sz w:val="16"/>
                <w:szCs w:val="16"/>
              </w:rPr>
              <w:t>Діюча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w:t>
            </w:r>
          </w:p>
          <w:p>
            <w:pPr>
              <w:pStyle w:val="Normal"/>
              <w:jc w:val="center"/>
              <w:rPr>
                <w:rFonts w:ascii="Arial" w:hAnsi="Arial" w:cs="Arial"/>
                <w:sz w:val="16"/>
                <w:szCs w:val="16"/>
                <w:lang w:val="en-US"/>
              </w:rPr>
            </w:pPr>
            <w:r>
              <w:rPr>
                <w:rFonts w:cs="Arial" w:ascii="Arial" w:hAnsi="Arial"/>
                <w:sz w:val="16"/>
                <w:szCs w:val="16"/>
                <w:lang w:val="en-US"/>
              </w:rPr>
              <w:t>Forming Film</w:t>
            </w:r>
          </w:p>
          <w:p>
            <w:pPr>
              <w:pStyle w:val="Normal"/>
              <w:jc w:val="center"/>
              <w:rPr>
                <w:rFonts w:ascii="Arial" w:hAnsi="Arial" w:cs="Arial"/>
                <w:sz w:val="16"/>
                <w:szCs w:val="16"/>
                <w:lang w:val="en-US"/>
              </w:rPr>
            </w:pPr>
            <w:r>
              <w:rPr>
                <w:rFonts w:cs="Arial" w:ascii="Arial" w:hAnsi="Arial"/>
                <w:sz w:val="16"/>
                <w:szCs w:val="16"/>
                <w:lang w:val="en-US"/>
              </w:rPr>
              <w:t>Film 500 µm APET (4433)</w:t>
            </w:r>
          </w:p>
          <w:p>
            <w:pPr>
              <w:pStyle w:val="Normal"/>
              <w:jc w:val="center"/>
              <w:rPr>
                <w:rFonts w:ascii="Arial" w:hAnsi="Arial" w:cs="Arial"/>
                <w:sz w:val="16"/>
                <w:szCs w:val="16"/>
                <w:lang w:val="en-US"/>
              </w:rPr>
            </w:pPr>
            <w:r>
              <w:rPr>
                <w:rFonts w:cs="Arial" w:ascii="Arial" w:hAnsi="Arial"/>
                <w:sz w:val="16"/>
                <w:szCs w:val="16"/>
                <w:lang w:val="en-US"/>
              </w:rPr>
              <w:t>sealed with</w:t>
            </w:r>
          </w:p>
          <w:p>
            <w:pPr>
              <w:pStyle w:val="Normal"/>
              <w:jc w:val="center"/>
              <w:rPr>
                <w:rFonts w:ascii="Arial" w:hAnsi="Arial" w:cs="Arial"/>
                <w:sz w:val="16"/>
                <w:szCs w:val="16"/>
                <w:lang w:val="en-US"/>
              </w:rPr>
            </w:pPr>
            <w:r>
              <w:rPr>
                <w:rFonts w:cs="Arial" w:ascii="Arial" w:hAnsi="Arial"/>
                <w:sz w:val="16"/>
                <w:szCs w:val="16"/>
                <w:lang w:val="en-US"/>
              </w:rPr>
              <w:t>Film PE nonwoven white adhesive coated (4435)</w:t>
            </w:r>
          </w:p>
          <w:p>
            <w:pPr>
              <w:pStyle w:val="Normal"/>
              <w:jc w:val="center"/>
              <w:rPr>
                <w:rFonts w:ascii="Arial" w:hAnsi="Arial" w:cs="Arial"/>
                <w:sz w:val="16"/>
                <w:szCs w:val="16"/>
                <w:lang w:val="en-US"/>
              </w:rPr>
            </w:pPr>
            <w:r>
              <w:rPr>
                <w:rFonts w:cs="Arial" w:ascii="Arial" w:hAnsi="Arial"/>
                <w:sz w:val="16"/>
                <w:szCs w:val="16"/>
                <w:lang w:val="en-US"/>
              </w:rPr>
              <w:t>or</w:t>
            </w:r>
          </w:p>
          <w:p>
            <w:pPr>
              <w:pStyle w:val="Normal"/>
              <w:jc w:val="center"/>
              <w:rPr>
                <w:rFonts w:ascii="Arial" w:hAnsi="Arial" w:cs="Arial"/>
                <w:sz w:val="16"/>
                <w:szCs w:val="16"/>
                <w:lang w:val="en-US"/>
              </w:rPr>
            </w:pPr>
            <w:r>
              <w:rPr>
                <w:rFonts w:cs="Arial" w:ascii="Arial" w:hAnsi="Arial"/>
                <w:sz w:val="16"/>
                <w:szCs w:val="16"/>
                <w:lang w:val="en-US"/>
              </w:rPr>
              <w:t>Film 500 µm PETG (4434)</w:t>
            </w:r>
          </w:p>
          <w:p>
            <w:pPr>
              <w:pStyle w:val="Normal"/>
              <w:jc w:val="center"/>
              <w:rPr>
                <w:rFonts w:ascii="Arial" w:hAnsi="Arial" w:cs="Arial"/>
                <w:sz w:val="16"/>
                <w:szCs w:val="16"/>
                <w:lang w:val="en-US"/>
              </w:rPr>
            </w:pPr>
            <w:r>
              <w:rPr>
                <w:rFonts w:cs="Arial" w:ascii="Arial" w:hAnsi="Arial"/>
                <w:sz w:val="16"/>
                <w:szCs w:val="16"/>
                <w:lang w:val="en-US"/>
              </w:rPr>
              <w:t>sealed with</w:t>
            </w:r>
          </w:p>
          <w:p>
            <w:pPr>
              <w:pStyle w:val="Normal"/>
              <w:jc w:val="center"/>
              <w:rPr>
                <w:rFonts w:ascii="Arial" w:hAnsi="Arial" w:cs="Arial"/>
                <w:sz w:val="16"/>
                <w:szCs w:val="16"/>
                <w:lang w:val="en-US"/>
              </w:rPr>
            </w:pPr>
            <w:r>
              <w:rPr>
                <w:rFonts w:cs="Arial" w:ascii="Arial" w:hAnsi="Arial"/>
                <w:sz w:val="16"/>
                <w:szCs w:val="16"/>
                <w:lang w:val="en-US"/>
              </w:rPr>
              <w:t>Film PE nonwoven white adhesive coated (4435)</w:t>
            </w:r>
          </w:p>
          <w:p>
            <w:pPr>
              <w:pStyle w:val="Normal"/>
              <w:jc w:val="center"/>
              <w:rPr/>
            </w:pPr>
            <w:r>
              <w:rPr>
                <w:rFonts w:cs="Arial" w:ascii="Arial" w:hAnsi="Arial"/>
                <w:sz w:val="16"/>
                <w:szCs w:val="16"/>
              </w:rPr>
              <w:t>Пропонована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w:t>
            </w:r>
          </w:p>
          <w:p>
            <w:pPr>
              <w:pStyle w:val="Normal"/>
              <w:jc w:val="center"/>
              <w:rPr>
                <w:rFonts w:ascii="Arial" w:hAnsi="Arial" w:cs="Arial"/>
                <w:sz w:val="16"/>
                <w:szCs w:val="16"/>
                <w:lang w:val="en-US"/>
              </w:rPr>
            </w:pPr>
            <w:r>
              <w:rPr>
                <w:rFonts w:cs="Arial" w:ascii="Arial" w:hAnsi="Arial"/>
                <w:sz w:val="16"/>
                <w:szCs w:val="16"/>
                <w:lang w:val="en-US"/>
              </w:rPr>
              <w:t>Forming Film</w:t>
            </w:r>
          </w:p>
          <w:p>
            <w:pPr>
              <w:pStyle w:val="Normal"/>
              <w:jc w:val="center"/>
              <w:rPr>
                <w:rFonts w:ascii="Arial" w:hAnsi="Arial" w:cs="Arial"/>
                <w:sz w:val="16"/>
                <w:szCs w:val="16"/>
                <w:lang w:val="en-US"/>
              </w:rPr>
            </w:pPr>
            <w:r>
              <w:rPr>
                <w:rFonts w:cs="Arial" w:ascii="Arial" w:hAnsi="Arial"/>
                <w:sz w:val="16"/>
                <w:szCs w:val="16"/>
                <w:lang w:val="en-US"/>
              </w:rPr>
              <w:t>Film 500 µm PETG (4434)</w:t>
            </w:r>
          </w:p>
          <w:p>
            <w:pPr>
              <w:pStyle w:val="Normal"/>
              <w:jc w:val="center"/>
              <w:rPr>
                <w:rFonts w:ascii="Arial" w:hAnsi="Arial" w:cs="Arial"/>
                <w:sz w:val="16"/>
                <w:szCs w:val="16"/>
                <w:lang w:val="en-US"/>
              </w:rPr>
            </w:pPr>
            <w:r>
              <w:rPr>
                <w:rFonts w:cs="Arial" w:ascii="Arial" w:hAnsi="Arial"/>
                <w:sz w:val="16"/>
                <w:szCs w:val="16"/>
                <w:lang w:val="en-US"/>
              </w:rPr>
              <w:t>sealed with</w:t>
            </w:r>
          </w:p>
          <w:p>
            <w:pPr>
              <w:pStyle w:val="Normal"/>
              <w:jc w:val="center"/>
              <w:rPr>
                <w:rFonts w:ascii="Arial" w:hAnsi="Arial" w:cs="Arial"/>
                <w:sz w:val="16"/>
                <w:szCs w:val="16"/>
                <w:lang w:val="en-US"/>
              </w:rPr>
            </w:pPr>
            <w:r>
              <w:rPr>
                <w:rFonts w:cs="Arial" w:ascii="Arial" w:hAnsi="Arial"/>
                <w:sz w:val="16"/>
                <w:szCs w:val="16"/>
                <w:lang w:val="en-US"/>
              </w:rPr>
              <w:t>Film PE nonwoven white adhesive coated (4435)</w:t>
            </w:r>
          </w:p>
          <w:p>
            <w:pPr>
              <w:pStyle w:val="Normal"/>
              <w:jc w:val="center"/>
              <w:rPr>
                <w:rFonts w:ascii="Arial" w:hAnsi="Arial" w:cs="Arial"/>
                <w:sz w:val="16"/>
                <w:szCs w:val="16"/>
              </w:rPr>
            </w:pPr>
            <w:r>
              <w:rPr>
                <w:rFonts w:cs="Arial" w:ascii="Arial" w:hAnsi="Arial"/>
                <w:sz w:val="16"/>
                <w:szCs w:val="16"/>
              </w:rPr>
              <w:t>Введення змін протягом 5-ти місяців після затвердження</w:t>
            </w:r>
          </w:p>
          <w:p>
            <w:pPr>
              <w:pStyle w:val="Normal"/>
              <w:jc w:val="center"/>
              <w:rPr>
                <w:rFonts w:ascii="Arial" w:hAnsi="Arial" w:cs="Arial"/>
                <w:color w:val="000000"/>
                <w:sz w:val="16"/>
                <w:szCs w:val="16"/>
              </w:rPr>
            </w:pPr>
            <w:r>
              <w:rPr>
                <w:rFonts w:cs="Arial" w:ascii="Arial" w:hAnsi="Arial"/>
                <w:sz w:val="16"/>
                <w:szCs w:val="16"/>
              </w:rPr>
              <w:t xml:space="preserve">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Заміна методу випробування для готового лікарського засобу за показником «Ідентифікація левоноргестрелу». На заміну затвердженому методу на основі тонкошарової хроматографії (ТШХ) впроваджується метод на основі високоефективної рідинної хроматографії (ВЕРХ).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Заміна методу випробування для визначення вмісту домішок в готовому лікарському засобі. На заміну затвердженому методу «Чистота» (“Sum of all impurities (TLC)”) на основі тонкошарової хроматографії (ТШХ) впроваджується метод «Домішки (продукти деградації)» (“Impurities (Levonorgestrel related degradation products)”) на основі високоефективної рідинної хроматографії (ВЕРХ).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до методики випробування готового лікарського засобу за показником «Кількісне визначення левоноргестрелу» (“Assay of system”). Оновлена методика включає: додавання альтернативного методу з використанням системи UPLC; доповнення умов придатності системи критеріями, що застосовні при використанні системи UPLC.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Зміни до методики випробування готового лікарського засобу за показником «Однорідність дозованих одиниць» (“Uniformity of Dosage Units”). Оновлена методика включає: додавання альтернативного методу з використанням системи UPLC; доповнення умов придатності системи критеріями, що застосовні при використанні системи UPLC.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до методики випробування готового лікарського засобу за показником «Швидкість вивільнення левоноргестрелу» (“Release Rate”). Оновлена методика включає: додавання альтернативного методу з використанням системи UPLC; доповнення умов придатності системи критеріями, що застосовні при використанні системи UPLC.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до методики випробування готового лікарського засобу за показником «Стерильність» (“Sterility”). Оновлена методика включає: зміни до приготування випробовуваного зразка.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до методики випробування готового лікарського засобу за показником «Кількісне визначення левоноргестрелу» (“Assay of system”). Оновлена методика включає: оптимізовані параметри хроматографічної системи HPLC; перегляд приготування розчинів; зміни до умов придатності системи; новий підхід до обчислення і звітування результатів; інші редакційні уточнення.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Зміни до методики випробування готового лікарського засобу за показником «Однорідність дозованих одиниць» (“Uniformity of Dosage Units”). Оновлена методика включає: оптимізовані параметри хроматографічної системи HPLC; перегляд приготування розчинів; зміни до умов придатності системи; новий підхід до обчислення і звітування результатів; інші редакційні уточнення.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методики випробування готового лікарського засобу за показником «Сила розриву» (“Breaking force”). Оновлена методика включає: додавання посилання на стандарт виконання випробування EN ISO 7439; доповнення інформацією про обладнання і параметри; уточнення для стадій проведення випробування; уточнення до процедури виконання; інші редакційні уточнення.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 Зміни до методики випробування готового лікарського засобу за показником «Залишковий етиленоксид» (“Ethylene oxide”). Оновлена оптимізована і ревалідована методика включає: можливість використання комерційно доступного зразка порівняння етиленоксиду; додано альтернативну HS-GC систему для аналізу; уточнення до опису обладнання та параметрів; перегляд приготування розчинів; включено оновлені типові хроматограми; видозмінений підхід до обчислення результатів; інші редакційні уточнення.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 Зміни до методики випробування готового лікарського засобу за показником «Залишковий Етиленхлоргідрин» (“Ethylene chlorohydrin”). Оновлена оптимізована і ревалідована методика включає: новий тип колонки; перегляд приготування розчинів; уточнення до опису обладнання та параметрів; оновлене випробування на придатність системи; видозмінений підхід до обчислення результатів; включено оновлені типові хроматограми; інші редакційні уточнення.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 Зміни до методики випробування готового лікарського засобу за показником «Швидкість вивільнення левоноргестрелу» (“Release Rate”). Оновлена методика включає: оптимізовані параметри хроматографічної системи HPLC; перегляд приготування розчинів; збільшення кількості точок відбору зразків; зміни та доповнення умов придатності системи; новий підхід до обчислення і звітування результатів; інші редакційні уточнення, включаючи найменування випробування англійською мовою (попередня назва – “Release rate during 24 h”).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випробування за показником «Чистота» (метод ТШХ) із специфікації, що застосовується на момент випуску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випробування за показником «Ідентифікація левоноргестрелу» (метод ТШХ) із специфікації, що застосовується для дослідження стабільності лікарського засобу. Введення змін протягом 5-ти місяців після затвердження. </w:t>
              <w:tab/>
              <w:t xml:space="preserve">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випробування за показником «Залишковий етиленоксид» із специфікації, що застосовується для дослідження стабільності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випробування за показником «Залишковий етиленхлоргідрин» із специфікації, що застосовується для дослідження стабільності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випробування за показником «Однорідність дозування» (“Uniformity of content”) із специфікації, що застосовується для дослідження стабільності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випробування за показником «Ідентифікація левоноргестрелу ІЧ» (“Identity (IR)”) до специфікації, що застосовується при випуску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випробування за показником «Заряджання внутрішньоматкової системи» (“Loading of IUS”) до специфікації, що застосовується при випуску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випробування за показником «Сила від’єднання» (“Detachment force”) до специфікації, що застосовується при випуску лікарського засобу.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параметру контролю «Будь-яка окрема домішка – не більше 1,0 %» (“Any individual impurity max. 1.0%”) для показника специфікації «Домішки (продукти деградації)» (“Impurities (Levonorgestrel related degradation products)”). Параметр додається для специфікації, що застосовується для дослідження стабільності лікарського засобу. Пропонована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 xml:space="preserve">: Shelf Life Specification Any individual impurity: max. 1.0% (LC (UV).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протягом</w:t>
            </w:r>
            <w:r>
              <w:rPr>
                <w:rFonts w:cs="Arial" w:ascii="Arial" w:hAnsi="Arial"/>
                <w:sz w:val="16"/>
                <w:szCs w:val="16"/>
                <w:lang w:val="en-US"/>
              </w:rPr>
              <w:t xml:space="preserve"> 5-</w:t>
            </w:r>
            <w:r>
              <w:rPr>
                <w:rFonts w:cs="Arial" w:ascii="Arial" w:hAnsi="Arial"/>
                <w:sz w:val="16"/>
                <w:szCs w:val="16"/>
              </w:rPr>
              <w:t>ти</w:t>
            </w:r>
            <w:r>
              <w:rPr>
                <w:rFonts w:cs="Arial" w:ascii="Arial" w:hAnsi="Arial"/>
                <w:sz w:val="16"/>
                <w:szCs w:val="16"/>
                <w:lang w:val="en-US"/>
              </w:rPr>
              <w:t xml:space="preserve"> </w:t>
            </w:r>
            <w:r>
              <w:rPr>
                <w:rFonts w:cs="Arial" w:ascii="Arial" w:hAnsi="Arial"/>
                <w:sz w:val="16"/>
                <w:szCs w:val="16"/>
              </w:rPr>
              <w:t>місяців</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затвердження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Готовий</w:t>
            </w:r>
            <w:r>
              <w:rPr>
                <w:rFonts w:cs="Arial" w:ascii="Arial" w:hAnsi="Arial"/>
                <w:sz w:val="16"/>
                <w:szCs w:val="16"/>
                <w:lang w:val="en-US"/>
              </w:rPr>
              <w:t xml:space="preserve"> </w:t>
            </w:r>
            <w:r>
              <w:rPr>
                <w:rFonts w:cs="Arial" w:ascii="Arial" w:hAnsi="Arial"/>
                <w:sz w:val="16"/>
                <w:szCs w:val="16"/>
              </w:rPr>
              <w:t>лікарський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Контроль</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параметрів</w:t>
            </w:r>
            <w:r>
              <w:rPr>
                <w:rFonts w:cs="Arial" w:ascii="Arial" w:hAnsi="Arial"/>
                <w:sz w:val="16"/>
                <w:szCs w:val="16"/>
                <w:lang w:val="en-US"/>
              </w:rPr>
              <w:t xml:space="preserve"> </w:t>
            </w:r>
            <w:r>
              <w:rPr>
                <w:rFonts w:cs="Arial" w:ascii="Arial" w:hAnsi="Arial"/>
                <w:sz w:val="16"/>
                <w:szCs w:val="16"/>
              </w:rPr>
              <w:t>специфікацій</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доповнення</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новим</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відповідним</w:t>
            </w:r>
            <w:r>
              <w:rPr>
                <w:rFonts w:cs="Arial" w:ascii="Arial" w:hAnsi="Arial"/>
                <w:sz w:val="16"/>
                <w:szCs w:val="16"/>
                <w:lang w:val="en-US"/>
              </w:rPr>
              <w:t xml:space="preserve"> </w:t>
            </w:r>
            <w:r>
              <w:rPr>
                <w:rFonts w:cs="Arial" w:ascii="Arial" w:hAnsi="Arial"/>
                <w:sz w:val="16"/>
                <w:szCs w:val="16"/>
              </w:rPr>
              <w:t>методом</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Відновлення</w:t>
            </w:r>
            <w:r>
              <w:rPr>
                <w:rFonts w:cs="Arial" w:ascii="Arial" w:hAnsi="Arial"/>
                <w:sz w:val="16"/>
                <w:szCs w:val="16"/>
                <w:lang w:val="en-US"/>
              </w:rPr>
              <w:t xml:space="preserve"> </w:t>
            </w:r>
            <w:r>
              <w:rPr>
                <w:rFonts w:cs="Arial" w:ascii="Arial" w:hAnsi="Arial"/>
                <w:sz w:val="16"/>
                <w:szCs w:val="16"/>
              </w:rPr>
              <w:t>горизонтальних</w:t>
            </w:r>
            <w:r>
              <w:rPr>
                <w:rFonts w:cs="Arial" w:ascii="Arial" w:hAnsi="Arial"/>
                <w:sz w:val="16"/>
                <w:szCs w:val="16"/>
                <w:lang w:val="en-US"/>
              </w:rPr>
              <w:t xml:space="preserve"> </w:t>
            </w:r>
            <w:r>
              <w:rPr>
                <w:rFonts w:cs="Arial" w:ascii="Arial" w:hAnsi="Arial"/>
                <w:sz w:val="16"/>
                <w:szCs w:val="16"/>
              </w:rPr>
              <w:t>плічок</w:t>
            </w:r>
            <w:r>
              <w:rPr>
                <w:rFonts w:cs="Arial" w:ascii="Arial" w:hAnsi="Arial"/>
                <w:sz w:val="16"/>
                <w:szCs w:val="16"/>
                <w:lang w:val="en-US"/>
              </w:rPr>
              <w:t xml:space="preserve">» (“Recovery of horizontal arms”)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застосовується</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дослідження</w:t>
            </w:r>
            <w:r>
              <w:rPr>
                <w:rFonts w:cs="Arial" w:ascii="Arial" w:hAnsi="Arial"/>
                <w:sz w:val="16"/>
                <w:szCs w:val="16"/>
                <w:lang w:val="en-US"/>
              </w:rPr>
              <w:t xml:space="preserve"> </w:t>
            </w:r>
            <w:r>
              <w:rPr>
                <w:rFonts w:cs="Arial" w:ascii="Arial" w:hAnsi="Arial"/>
                <w:sz w:val="16"/>
                <w:szCs w:val="16"/>
              </w:rPr>
              <w:t>стабільності</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Пропонована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 xml:space="preserve">: Shelf Life Specification Recovery of horizontal arms: max. 5 mm (memory device ISO 7439).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протягом</w:t>
            </w:r>
            <w:r>
              <w:rPr>
                <w:rFonts w:cs="Arial" w:ascii="Arial" w:hAnsi="Arial"/>
                <w:sz w:val="16"/>
                <w:szCs w:val="16"/>
                <w:lang w:val="en-US"/>
              </w:rPr>
              <w:t xml:space="preserve"> 5-</w:t>
            </w:r>
            <w:r>
              <w:rPr>
                <w:rFonts w:cs="Arial" w:ascii="Arial" w:hAnsi="Arial"/>
                <w:sz w:val="16"/>
                <w:szCs w:val="16"/>
              </w:rPr>
              <w:t>ти</w:t>
            </w:r>
            <w:r>
              <w:rPr>
                <w:rFonts w:cs="Arial" w:ascii="Arial" w:hAnsi="Arial"/>
                <w:sz w:val="16"/>
                <w:szCs w:val="16"/>
                <w:lang w:val="en-US"/>
              </w:rPr>
              <w:t xml:space="preserve"> </w:t>
            </w:r>
            <w:r>
              <w:rPr>
                <w:rFonts w:cs="Arial" w:ascii="Arial" w:hAnsi="Arial"/>
                <w:sz w:val="16"/>
                <w:szCs w:val="16"/>
              </w:rPr>
              <w:t>місяців</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затвердження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Готовий</w:t>
            </w:r>
            <w:r>
              <w:rPr>
                <w:rFonts w:cs="Arial" w:ascii="Arial" w:hAnsi="Arial"/>
                <w:sz w:val="16"/>
                <w:szCs w:val="16"/>
                <w:lang w:val="en-US"/>
              </w:rPr>
              <w:t xml:space="preserve"> </w:t>
            </w:r>
            <w:r>
              <w:rPr>
                <w:rFonts w:cs="Arial" w:ascii="Arial" w:hAnsi="Arial"/>
                <w:sz w:val="16"/>
                <w:szCs w:val="16"/>
              </w:rPr>
              <w:t>лікарський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Контроль</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параметрів</w:t>
            </w:r>
            <w:r>
              <w:rPr>
                <w:rFonts w:cs="Arial" w:ascii="Arial" w:hAnsi="Arial"/>
                <w:sz w:val="16"/>
                <w:szCs w:val="16"/>
                <w:lang w:val="en-US"/>
              </w:rPr>
              <w:t xml:space="preserve"> </w:t>
            </w:r>
            <w:r>
              <w:rPr>
                <w:rFonts w:cs="Arial" w:ascii="Arial" w:hAnsi="Arial"/>
                <w:sz w:val="16"/>
                <w:szCs w:val="16"/>
              </w:rPr>
              <w:t>специфікацій</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доповнення</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новим</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відповідним</w:t>
            </w:r>
            <w:r>
              <w:rPr>
                <w:rFonts w:cs="Arial" w:ascii="Arial" w:hAnsi="Arial"/>
                <w:sz w:val="16"/>
                <w:szCs w:val="16"/>
                <w:lang w:val="en-US"/>
              </w:rPr>
              <w:t xml:space="preserve"> </w:t>
            </w:r>
            <w:r>
              <w:rPr>
                <w:rFonts w:cs="Arial" w:ascii="Arial" w:hAnsi="Arial"/>
                <w:sz w:val="16"/>
                <w:szCs w:val="16"/>
              </w:rPr>
              <w:t>методом</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Цілісність</w:t>
            </w:r>
            <w:r>
              <w:rPr>
                <w:rFonts w:cs="Arial" w:ascii="Arial" w:hAnsi="Arial"/>
                <w:sz w:val="16"/>
                <w:szCs w:val="16"/>
                <w:lang w:val="en-US"/>
              </w:rPr>
              <w:t xml:space="preserve"> </w:t>
            </w:r>
            <w:r>
              <w:rPr>
                <w:rFonts w:cs="Arial" w:ascii="Arial" w:hAnsi="Arial"/>
                <w:sz w:val="16"/>
                <w:szCs w:val="16"/>
              </w:rPr>
              <w:t>первинної</w:t>
            </w:r>
            <w:r>
              <w:rPr>
                <w:rFonts w:cs="Arial" w:ascii="Arial" w:hAnsi="Arial"/>
                <w:sz w:val="16"/>
                <w:szCs w:val="16"/>
                <w:lang w:val="en-US"/>
              </w:rPr>
              <w:t xml:space="preserve"> </w:t>
            </w:r>
            <w:r>
              <w:rPr>
                <w:rFonts w:cs="Arial" w:ascii="Arial" w:hAnsi="Arial"/>
                <w:sz w:val="16"/>
                <w:szCs w:val="16"/>
              </w:rPr>
              <w:t>упаковки</w:t>
            </w:r>
            <w:r>
              <w:rPr>
                <w:rFonts w:cs="Arial" w:ascii="Arial" w:hAnsi="Arial"/>
                <w:sz w:val="16"/>
                <w:szCs w:val="16"/>
                <w:lang w:val="en-US"/>
              </w:rPr>
              <w:t xml:space="preserve"> (</w:t>
            </w:r>
            <w:r>
              <w:rPr>
                <w:rFonts w:cs="Arial" w:ascii="Arial" w:hAnsi="Arial"/>
                <w:sz w:val="16"/>
                <w:szCs w:val="16"/>
              </w:rPr>
              <w:t>відшарування</w:t>
            </w:r>
            <w:r>
              <w:rPr>
                <w:rFonts w:cs="Arial" w:ascii="Arial" w:hAnsi="Arial"/>
                <w:sz w:val="16"/>
                <w:szCs w:val="16"/>
                <w:lang w:val="en-US"/>
              </w:rPr>
              <w:t xml:space="preserve"> </w:t>
            </w:r>
            <w:r>
              <w:rPr>
                <w:rFonts w:cs="Arial" w:ascii="Arial" w:hAnsi="Arial"/>
                <w:sz w:val="16"/>
                <w:szCs w:val="16"/>
              </w:rPr>
              <w:t>на</w:t>
            </w:r>
            <w:r>
              <w:rPr>
                <w:rFonts w:cs="Arial" w:ascii="Arial" w:hAnsi="Arial"/>
                <w:sz w:val="16"/>
                <w:szCs w:val="16"/>
                <w:lang w:val="en-US"/>
              </w:rPr>
              <w:t xml:space="preserve"> 180°)» (“Container closure integrity (Strip 180º)”)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застосовується</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дослідження</w:t>
            </w:r>
            <w:r>
              <w:rPr>
                <w:rFonts w:cs="Arial" w:ascii="Arial" w:hAnsi="Arial"/>
                <w:sz w:val="16"/>
                <w:szCs w:val="16"/>
                <w:lang w:val="en-US"/>
              </w:rPr>
              <w:t xml:space="preserve"> </w:t>
            </w:r>
            <w:r>
              <w:rPr>
                <w:rFonts w:cs="Arial" w:ascii="Arial" w:hAnsi="Arial"/>
                <w:sz w:val="16"/>
                <w:szCs w:val="16"/>
              </w:rPr>
              <w:t>стабільності</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Пропонована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 xml:space="preserve">: Shelf Life Specification Container closure integrity (Strip 180º)b: min. 1.2 N (tensile testing EN 868-5 / ASTM F88/F88M).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протягом</w:t>
            </w:r>
            <w:r>
              <w:rPr>
                <w:rFonts w:cs="Arial" w:ascii="Arial" w:hAnsi="Arial"/>
                <w:sz w:val="16"/>
                <w:szCs w:val="16"/>
                <w:lang w:val="en-US"/>
              </w:rPr>
              <w:t xml:space="preserve"> 5-</w:t>
            </w:r>
            <w:r>
              <w:rPr>
                <w:rFonts w:cs="Arial" w:ascii="Arial" w:hAnsi="Arial"/>
                <w:sz w:val="16"/>
                <w:szCs w:val="16"/>
              </w:rPr>
              <w:t>ти</w:t>
            </w:r>
            <w:r>
              <w:rPr>
                <w:rFonts w:cs="Arial" w:ascii="Arial" w:hAnsi="Arial"/>
                <w:sz w:val="16"/>
                <w:szCs w:val="16"/>
                <w:lang w:val="en-US"/>
              </w:rPr>
              <w:t xml:space="preserve"> </w:t>
            </w:r>
            <w:r>
              <w:rPr>
                <w:rFonts w:cs="Arial" w:ascii="Arial" w:hAnsi="Arial"/>
                <w:sz w:val="16"/>
                <w:szCs w:val="16"/>
              </w:rPr>
              <w:t>місяців</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затвердження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Готовий</w:t>
            </w:r>
            <w:r>
              <w:rPr>
                <w:rFonts w:cs="Arial" w:ascii="Arial" w:hAnsi="Arial"/>
                <w:sz w:val="16"/>
                <w:szCs w:val="16"/>
                <w:lang w:val="en-US"/>
              </w:rPr>
              <w:t xml:space="preserve"> </w:t>
            </w:r>
            <w:r>
              <w:rPr>
                <w:rFonts w:cs="Arial" w:ascii="Arial" w:hAnsi="Arial"/>
                <w:sz w:val="16"/>
                <w:szCs w:val="16"/>
              </w:rPr>
              <w:t>лікарський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Контроль</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параметрів</w:t>
            </w:r>
            <w:r>
              <w:rPr>
                <w:rFonts w:cs="Arial" w:ascii="Arial" w:hAnsi="Arial"/>
                <w:sz w:val="16"/>
                <w:szCs w:val="16"/>
                <w:lang w:val="en-US"/>
              </w:rPr>
              <w:t xml:space="preserve"> </w:t>
            </w:r>
            <w:r>
              <w:rPr>
                <w:rFonts w:cs="Arial" w:ascii="Arial" w:hAnsi="Arial"/>
                <w:sz w:val="16"/>
                <w:szCs w:val="16"/>
              </w:rPr>
              <w:t>специфікацій</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доповнення</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новим</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відповідним</w:t>
            </w:r>
            <w:r>
              <w:rPr>
                <w:rFonts w:cs="Arial" w:ascii="Arial" w:hAnsi="Arial"/>
                <w:sz w:val="16"/>
                <w:szCs w:val="16"/>
                <w:lang w:val="en-US"/>
              </w:rPr>
              <w:t xml:space="preserve"> </w:t>
            </w:r>
            <w:r>
              <w:rPr>
                <w:rFonts w:cs="Arial" w:ascii="Arial" w:hAnsi="Arial"/>
                <w:sz w:val="16"/>
                <w:szCs w:val="16"/>
              </w:rPr>
              <w:t>методом</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 </w:t>
            </w:r>
            <w:r>
              <w:rPr>
                <w:rFonts w:cs="Arial" w:ascii="Arial" w:hAnsi="Arial"/>
                <w:sz w:val="16"/>
                <w:szCs w:val="16"/>
              </w:rPr>
              <w:t>Додавання</w:t>
            </w:r>
            <w:r>
              <w:rPr>
                <w:rFonts w:cs="Arial" w:ascii="Arial" w:hAnsi="Arial"/>
                <w:sz w:val="16"/>
                <w:szCs w:val="16"/>
                <w:lang w:val="en-US"/>
              </w:rPr>
              <w:t xml:space="preserve"> </w:t>
            </w:r>
            <w:r>
              <w:rPr>
                <w:rFonts w:cs="Arial" w:ascii="Arial" w:hAnsi="Arial"/>
                <w:sz w:val="16"/>
                <w:szCs w:val="16"/>
              </w:rPr>
              <w:t>випробування</w:t>
            </w:r>
            <w:r>
              <w:rPr>
                <w:rFonts w:cs="Arial" w:ascii="Arial" w:hAnsi="Arial"/>
                <w:sz w:val="16"/>
                <w:szCs w:val="16"/>
                <w:lang w:val="en-US"/>
              </w:rPr>
              <w:t xml:space="preserve"> </w:t>
            </w:r>
            <w:r>
              <w:rPr>
                <w:rFonts w:cs="Arial" w:ascii="Arial" w:hAnsi="Arial"/>
                <w:sz w:val="16"/>
                <w:szCs w:val="16"/>
              </w:rPr>
              <w:t>за</w:t>
            </w:r>
            <w:r>
              <w:rPr>
                <w:rFonts w:cs="Arial" w:ascii="Arial" w:hAnsi="Arial"/>
                <w:sz w:val="16"/>
                <w:szCs w:val="16"/>
                <w:lang w:val="en-US"/>
              </w:rPr>
              <w:t xml:space="preserve"> </w:t>
            </w:r>
            <w:r>
              <w:rPr>
                <w:rFonts w:cs="Arial" w:ascii="Arial" w:hAnsi="Arial"/>
                <w:sz w:val="16"/>
                <w:szCs w:val="16"/>
              </w:rPr>
              <w:t>показником</w:t>
            </w:r>
            <w:r>
              <w:rPr>
                <w:rFonts w:cs="Arial" w:ascii="Arial" w:hAnsi="Arial"/>
                <w:sz w:val="16"/>
                <w:szCs w:val="16"/>
                <w:lang w:val="en-US"/>
              </w:rPr>
              <w:t xml:space="preserve"> «</w:t>
            </w:r>
            <w:r>
              <w:rPr>
                <w:rFonts w:cs="Arial" w:ascii="Arial" w:hAnsi="Arial"/>
                <w:sz w:val="16"/>
                <w:szCs w:val="16"/>
              </w:rPr>
              <w:t>Цілісність</w:t>
            </w:r>
            <w:r>
              <w:rPr>
                <w:rFonts w:cs="Arial" w:ascii="Arial" w:hAnsi="Arial"/>
                <w:sz w:val="16"/>
                <w:szCs w:val="16"/>
                <w:lang w:val="en-US"/>
              </w:rPr>
              <w:t xml:space="preserve"> </w:t>
            </w:r>
            <w:r>
              <w:rPr>
                <w:rFonts w:cs="Arial" w:ascii="Arial" w:hAnsi="Arial"/>
                <w:sz w:val="16"/>
                <w:szCs w:val="16"/>
              </w:rPr>
              <w:t>первинної</w:t>
            </w:r>
            <w:r>
              <w:rPr>
                <w:rFonts w:cs="Arial" w:ascii="Arial" w:hAnsi="Arial"/>
                <w:sz w:val="16"/>
                <w:szCs w:val="16"/>
                <w:lang w:val="en-US"/>
              </w:rPr>
              <w:t xml:space="preserve"> </w:t>
            </w:r>
            <w:r>
              <w:rPr>
                <w:rFonts w:cs="Arial" w:ascii="Arial" w:hAnsi="Arial"/>
                <w:sz w:val="16"/>
                <w:szCs w:val="16"/>
              </w:rPr>
              <w:t>упаковки</w:t>
            </w:r>
            <w:r>
              <w:rPr>
                <w:rFonts w:cs="Arial" w:ascii="Arial" w:hAnsi="Arial"/>
                <w:sz w:val="16"/>
                <w:szCs w:val="16"/>
                <w:lang w:val="en-US"/>
              </w:rPr>
              <w:t xml:space="preserve"> (</w:t>
            </w:r>
            <w:r>
              <w:rPr>
                <w:rFonts w:cs="Arial" w:ascii="Arial" w:hAnsi="Arial"/>
                <w:sz w:val="16"/>
                <w:szCs w:val="16"/>
              </w:rPr>
              <w:t>бульбашковий</w:t>
            </w:r>
            <w:r>
              <w:rPr>
                <w:rFonts w:cs="Arial" w:ascii="Arial" w:hAnsi="Arial"/>
                <w:sz w:val="16"/>
                <w:szCs w:val="16"/>
                <w:lang w:val="en-US"/>
              </w:rPr>
              <w:t xml:space="preserve"> </w:t>
            </w:r>
            <w:r>
              <w:rPr>
                <w:rFonts w:cs="Arial" w:ascii="Arial" w:hAnsi="Arial"/>
                <w:sz w:val="16"/>
                <w:szCs w:val="16"/>
              </w:rPr>
              <w:t>тест</w:t>
            </w:r>
            <w:r>
              <w:rPr>
                <w:rFonts w:cs="Arial" w:ascii="Arial" w:hAnsi="Arial"/>
                <w:sz w:val="16"/>
                <w:szCs w:val="16"/>
                <w:lang w:val="en-US"/>
              </w:rPr>
              <w:t xml:space="preserve">)» (“Container closure integrity (Bubble)”) </w:t>
            </w:r>
            <w:r>
              <w:rPr>
                <w:rFonts w:cs="Arial" w:ascii="Arial" w:hAnsi="Arial"/>
                <w:sz w:val="16"/>
                <w:szCs w:val="16"/>
              </w:rPr>
              <w:t>до</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що</w:t>
            </w:r>
            <w:r>
              <w:rPr>
                <w:rFonts w:cs="Arial" w:ascii="Arial" w:hAnsi="Arial"/>
                <w:sz w:val="16"/>
                <w:szCs w:val="16"/>
                <w:lang w:val="en-US"/>
              </w:rPr>
              <w:t xml:space="preserve"> </w:t>
            </w:r>
            <w:r>
              <w:rPr>
                <w:rFonts w:cs="Arial" w:ascii="Arial" w:hAnsi="Arial"/>
                <w:sz w:val="16"/>
                <w:szCs w:val="16"/>
              </w:rPr>
              <w:t>застосовується</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дослідження</w:t>
            </w:r>
            <w:r>
              <w:rPr>
                <w:rFonts w:cs="Arial" w:ascii="Arial" w:hAnsi="Arial"/>
                <w:sz w:val="16"/>
                <w:szCs w:val="16"/>
                <w:lang w:val="en-US"/>
              </w:rPr>
              <w:t xml:space="preserve"> </w:t>
            </w:r>
            <w:r>
              <w:rPr>
                <w:rFonts w:cs="Arial" w:ascii="Arial" w:hAnsi="Arial"/>
                <w:sz w:val="16"/>
                <w:szCs w:val="16"/>
              </w:rPr>
              <w:t>стабільності</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Пропонована</w:t>
            </w:r>
            <w:r>
              <w:rPr>
                <w:rFonts w:cs="Arial" w:ascii="Arial" w:hAnsi="Arial"/>
                <w:sz w:val="16"/>
                <w:szCs w:val="16"/>
                <w:lang w:val="en-US"/>
              </w:rPr>
              <w:t xml:space="preserve"> </w:t>
            </w:r>
            <w:r>
              <w:rPr>
                <w:rFonts w:cs="Arial" w:ascii="Arial" w:hAnsi="Arial"/>
                <w:sz w:val="16"/>
                <w:szCs w:val="16"/>
              </w:rPr>
              <w:t>редакція</w:t>
            </w:r>
            <w:r>
              <w:rPr>
                <w:rFonts w:cs="Arial" w:ascii="Arial" w:hAnsi="Arial"/>
                <w:sz w:val="16"/>
                <w:szCs w:val="16"/>
                <w:lang w:val="en-US"/>
              </w:rPr>
              <w:t xml:space="preserve">: Shelf Life Specification Container closure integrity (Bubble)b: intact package (bubble testing ASTM F2096). </w:t>
            </w:r>
            <w:r>
              <w:rPr>
                <w:rFonts w:cs="Arial" w:ascii="Arial" w:hAnsi="Arial"/>
                <w:sz w:val="16"/>
                <w:szCs w:val="16"/>
              </w:rPr>
              <w:t>Введення</w:t>
            </w:r>
            <w:r>
              <w:rPr>
                <w:rFonts w:cs="Arial" w:ascii="Arial" w:hAnsi="Arial"/>
                <w:sz w:val="16"/>
                <w:szCs w:val="16"/>
                <w:lang w:val="en-US"/>
              </w:rPr>
              <w:t xml:space="preserve"> </w:t>
            </w:r>
            <w:r>
              <w:rPr>
                <w:rFonts w:cs="Arial" w:ascii="Arial" w:hAnsi="Arial"/>
                <w:sz w:val="16"/>
                <w:szCs w:val="16"/>
              </w:rPr>
              <w:t>змін</w:t>
            </w:r>
            <w:r>
              <w:rPr>
                <w:rFonts w:cs="Arial" w:ascii="Arial" w:hAnsi="Arial"/>
                <w:sz w:val="16"/>
                <w:szCs w:val="16"/>
                <w:lang w:val="en-US"/>
              </w:rPr>
              <w:t xml:space="preserve"> </w:t>
            </w:r>
            <w:r>
              <w:rPr>
                <w:rFonts w:cs="Arial" w:ascii="Arial" w:hAnsi="Arial"/>
                <w:sz w:val="16"/>
                <w:szCs w:val="16"/>
              </w:rPr>
              <w:t>протягом</w:t>
            </w:r>
            <w:r>
              <w:rPr>
                <w:rFonts w:cs="Arial" w:ascii="Arial" w:hAnsi="Arial"/>
                <w:sz w:val="16"/>
                <w:szCs w:val="16"/>
                <w:lang w:val="en-US"/>
              </w:rPr>
              <w:t xml:space="preserve"> 5-</w:t>
            </w:r>
            <w:r>
              <w:rPr>
                <w:rFonts w:cs="Arial" w:ascii="Arial" w:hAnsi="Arial"/>
                <w:sz w:val="16"/>
                <w:szCs w:val="16"/>
              </w:rPr>
              <w:t>ти</w:t>
            </w:r>
            <w:r>
              <w:rPr>
                <w:rFonts w:cs="Arial" w:ascii="Arial" w:hAnsi="Arial"/>
                <w:sz w:val="16"/>
                <w:szCs w:val="16"/>
                <w:lang w:val="en-US"/>
              </w:rPr>
              <w:t xml:space="preserve"> </w:t>
            </w:r>
            <w:r>
              <w:rPr>
                <w:rFonts w:cs="Arial" w:ascii="Arial" w:hAnsi="Arial"/>
                <w:sz w:val="16"/>
                <w:szCs w:val="16"/>
              </w:rPr>
              <w:t>місяців</w:t>
            </w:r>
            <w:r>
              <w:rPr>
                <w:rFonts w:cs="Arial" w:ascii="Arial" w:hAnsi="Arial"/>
                <w:sz w:val="16"/>
                <w:szCs w:val="16"/>
                <w:lang w:val="en-US"/>
              </w:rPr>
              <w:t xml:space="preserve"> </w:t>
            </w:r>
            <w:r>
              <w:rPr>
                <w:rFonts w:cs="Arial" w:ascii="Arial" w:hAnsi="Arial"/>
                <w:sz w:val="16"/>
                <w:szCs w:val="16"/>
              </w:rPr>
              <w:t>після</w:t>
            </w:r>
            <w:r>
              <w:rPr>
                <w:rFonts w:cs="Arial" w:ascii="Arial" w:hAnsi="Arial"/>
                <w:sz w:val="16"/>
                <w:szCs w:val="16"/>
                <w:lang w:val="en-US"/>
              </w:rPr>
              <w:t xml:space="preserve"> </w:t>
            </w:r>
            <w:r>
              <w:rPr>
                <w:rFonts w:cs="Arial" w:ascii="Arial" w:hAnsi="Arial"/>
                <w:sz w:val="16"/>
                <w:szCs w:val="16"/>
              </w:rPr>
              <w:t>затвердження</w:t>
            </w:r>
            <w:r>
              <w:rPr>
                <w:rFonts w:cs="Arial" w:ascii="Arial" w:hAnsi="Arial"/>
                <w:sz w:val="16"/>
                <w:szCs w:val="16"/>
                <w:lang w:val="en-US"/>
              </w:rPr>
              <w:t xml:space="preserve">.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І</w:t>
            </w:r>
            <w:r>
              <w:rPr>
                <w:rFonts w:cs="Arial" w:ascii="Arial" w:hAnsi="Arial"/>
                <w:sz w:val="16"/>
                <w:szCs w:val="16"/>
                <w:lang w:val="en-US"/>
              </w:rPr>
              <w:t xml:space="preserve"> </w:t>
            </w:r>
            <w:r>
              <w:rPr>
                <w:rFonts w:cs="Arial" w:ascii="Arial" w:hAnsi="Arial"/>
                <w:sz w:val="16"/>
                <w:szCs w:val="16"/>
              </w:rPr>
              <w:t>типу</w:t>
            </w:r>
            <w:r>
              <w:rPr>
                <w:rFonts w:cs="Arial" w:ascii="Arial" w:hAnsi="Arial"/>
                <w:sz w:val="16"/>
                <w:szCs w:val="16"/>
                <w:lang w:val="en-US"/>
              </w:rPr>
              <w:t xml:space="preserve"> - </w:t>
            </w:r>
            <w:r>
              <w:rPr>
                <w:rFonts w:cs="Arial" w:ascii="Arial" w:hAnsi="Arial"/>
                <w:sz w:val="16"/>
                <w:szCs w:val="16"/>
              </w:rPr>
              <w:t>Зміни</w:t>
            </w:r>
            <w:r>
              <w:rPr>
                <w:rFonts w:cs="Arial" w:ascii="Arial" w:hAnsi="Arial"/>
                <w:sz w:val="16"/>
                <w:szCs w:val="16"/>
                <w:lang w:val="en-US"/>
              </w:rPr>
              <w:t xml:space="preserve"> </w:t>
            </w:r>
            <w:r>
              <w:rPr>
                <w:rFonts w:cs="Arial" w:ascii="Arial" w:hAnsi="Arial"/>
                <w:sz w:val="16"/>
                <w:szCs w:val="16"/>
              </w:rPr>
              <w:t>з</w:t>
            </w:r>
            <w:r>
              <w:rPr>
                <w:rFonts w:cs="Arial" w:ascii="Arial" w:hAnsi="Arial"/>
                <w:sz w:val="16"/>
                <w:szCs w:val="16"/>
                <w:lang w:val="en-US"/>
              </w:rPr>
              <w:t xml:space="preserve"> </w:t>
            </w:r>
            <w:r>
              <w:rPr>
                <w:rFonts w:cs="Arial" w:ascii="Arial" w:hAnsi="Arial"/>
                <w:sz w:val="16"/>
                <w:szCs w:val="16"/>
              </w:rPr>
              <w:t>якості</w:t>
            </w:r>
            <w:r>
              <w:rPr>
                <w:rFonts w:cs="Arial" w:ascii="Arial" w:hAnsi="Arial"/>
                <w:sz w:val="16"/>
                <w:szCs w:val="16"/>
                <w:lang w:val="en-US"/>
              </w:rPr>
              <w:t xml:space="preserve">. </w:t>
            </w:r>
            <w:r>
              <w:rPr>
                <w:rFonts w:cs="Arial" w:ascii="Arial" w:hAnsi="Arial"/>
                <w:sz w:val="16"/>
                <w:szCs w:val="16"/>
              </w:rPr>
              <w:t>Готовий</w:t>
            </w:r>
            <w:r>
              <w:rPr>
                <w:rFonts w:cs="Arial" w:ascii="Arial" w:hAnsi="Arial"/>
                <w:sz w:val="16"/>
                <w:szCs w:val="16"/>
                <w:lang w:val="en-US"/>
              </w:rPr>
              <w:t xml:space="preserve"> </w:t>
            </w:r>
            <w:r>
              <w:rPr>
                <w:rFonts w:cs="Arial" w:ascii="Arial" w:hAnsi="Arial"/>
                <w:sz w:val="16"/>
                <w:szCs w:val="16"/>
              </w:rPr>
              <w:t>лікарський</w:t>
            </w:r>
            <w:r>
              <w:rPr>
                <w:rFonts w:cs="Arial" w:ascii="Arial" w:hAnsi="Arial"/>
                <w:sz w:val="16"/>
                <w:szCs w:val="16"/>
                <w:lang w:val="en-US"/>
              </w:rPr>
              <w:t xml:space="preserve"> </w:t>
            </w:r>
            <w:r>
              <w:rPr>
                <w:rFonts w:cs="Arial" w:ascii="Arial" w:hAnsi="Arial"/>
                <w:sz w:val="16"/>
                <w:szCs w:val="16"/>
              </w:rPr>
              <w:t>засіб</w:t>
            </w:r>
            <w:r>
              <w:rPr>
                <w:rFonts w:cs="Arial" w:ascii="Arial" w:hAnsi="Arial"/>
                <w:sz w:val="16"/>
                <w:szCs w:val="16"/>
                <w:lang w:val="en-US"/>
              </w:rPr>
              <w:t xml:space="preserve">. </w:t>
            </w:r>
            <w:r>
              <w:rPr>
                <w:rFonts w:cs="Arial" w:ascii="Arial" w:hAnsi="Arial"/>
                <w:sz w:val="16"/>
                <w:szCs w:val="16"/>
              </w:rPr>
              <w:t>Контроль</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Зміна</w:t>
            </w:r>
            <w:r>
              <w:rPr>
                <w:rFonts w:cs="Arial" w:ascii="Arial" w:hAnsi="Arial"/>
                <w:sz w:val="16"/>
                <w:szCs w:val="16"/>
                <w:lang w:val="en-US"/>
              </w:rPr>
              <w:t xml:space="preserve"> </w:t>
            </w:r>
            <w:r>
              <w:rPr>
                <w:rFonts w:cs="Arial" w:ascii="Arial" w:hAnsi="Arial"/>
                <w:sz w:val="16"/>
                <w:szCs w:val="16"/>
              </w:rPr>
              <w:t>параметрів</w:t>
            </w:r>
            <w:r>
              <w:rPr>
                <w:rFonts w:cs="Arial" w:ascii="Arial" w:hAnsi="Arial"/>
                <w:sz w:val="16"/>
                <w:szCs w:val="16"/>
                <w:lang w:val="en-US"/>
              </w:rPr>
              <w:t xml:space="preserve"> </w:t>
            </w:r>
            <w:r>
              <w:rPr>
                <w:rFonts w:cs="Arial" w:ascii="Arial" w:hAnsi="Arial"/>
                <w:sz w:val="16"/>
                <w:szCs w:val="16"/>
              </w:rPr>
              <w:t>специфікацій</w:t>
            </w:r>
            <w:r>
              <w:rPr>
                <w:rFonts w:cs="Arial" w:ascii="Arial" w:hAnsi="Arial"/>
                <w:sz w:val="16"/>
                <w:szCs w:val="16"/>
                <w:lang w:val="en-US"/>
              </w:rPr>
              <w:t xml:space="preserve"> </w:t>
            </w:r>
            <w:r>
              <w:rPr>
                <w:rFonts w:cs="Arial" w:ascii="Arial" w:hAnsi="Arial"/>
                <w:sz w:val="16"/>
                <w:szCs w:val="16"/>
              </w:rPr>
              <w:t>та</w:t>
            </w:r>
            <w:r>
              <w:rPr>
                <w:rFonts w:cs="Arial" w:ascii="Arial" w:hAnsi="Arial"/>
                <w:sz w:val="16"/>
                <w:szCs w:val="16"/>
                <w:lang w:val="en-US"/>
              </w:rPr>
              <w:t>/</w:t>
            </w:r>
            <w:r>
              <w:rPr>
                <w:rFonts w:cs="Arial" w:ascii="Arial" w:hAnsi="Arial"/>
                <w:sz w:val="16"/>
                <w:szCs w:val="16"/>
              </w:rPr>
              <w:t>або</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звуження</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 </w:t>
            </w:r>
            <w:r>
              <w:rPr>
                <w:rFonts w:cs="Arial" w:ascii="Arial" w:hAnsi="Arial"/>
                <w:sz w:val="16"/>
                <w:szCs w:val="16"/>
              </w:rPr>
              <w:t>Звуження</w:t>
            </w:r>
            <w:r>
              <w:rPr>
                <w:rFonts w:cs="Arial" w:ascii="Arial" w:hAnsi="Arial"/>
                <w:sz w:val="16"/>
                <w:szCs w:val="16"/>
                <w:lang w:val="en-US"/>
              </w:rPr>
              <w:t xml:space="preserve"> </w:t>
            </w:r>
            <w:r>
              <w:rPr>
                <w:rFonts w:cs="Arial" w:ascii="Arial" w:hAnsi="Arial"/>
                <w:sz w:val="16"/>
                <w:szCs w:val="16"/>
              </w:rPr>
              <w:t>допустимих</w:t>
            </w:r>
            <w:r>
              <w:rPr>
                <w:rFonts w:cs="Arial" w:ascii="Arial" w:hAnsi="Arial"/>
                <w:sz w:val="16"/>
                <w:szCs w:val="16"/>
                <w:lang w:val="en-US"/>
              </w:rPr>
              <w:t xml:space="preserve"> </w:t>
            </w:r>
            <w:r>
              <w:rPr>
                <w:rFonts w:cs="Arial" w:ascii="Arial" w:hAnsi="Arial"/>
                <w:sz w:val="16"/>
                <w:szCs w:val="16"/>
              </w:rPr>
              <w:t>меж</w:t>
            </w:r>
            <w:r>
              <w:rPr>
                <w:rFonts w:cs="Arial" w:ascii="Arial" w:hAnsi="Arial"/>
                <w:sz w:val="16"/>
                <w:szCs w:val="16"/>
                <w:lang w:val="en-US"/>
              </w:rPr>
              <w:t xml:space="preserve"> </w:t>
            </w:r>
            <w:r>
              <w:rPr>
                <w:rFonts w:cs="Arial" w:ascii="Arial" w:hAnsi="Arial"/>
                <w:sz w:val="16"/>
                <w:szCs w:val="16"/>
              </w:rPr>
              <w:t>для</w:t>
            </w:r>
            <w:r>
              <w:rPr>
                <w:rFonts w:cs="Arial" w:ascii="Arial" w:hAnsi="Arial"/>
                <w:sz w:val="16"/>
                <w:szCs w:val="16"/>
                <w:lang w:val="en-US"/>
              </w:rPr>
              <w:t xml:space="preserve"> </w:t>
            </w:r>
            <w:r>
              <w:rPr>
                <w:rFonts w:cs="Arial" w:ascii="Arial" w:hAnsi="Arial"/>
                <w:sz w:val="16"/>
                <w:szCs w:val="16"/>
              </w:rPr>
              <w:t>показника</w:t>
            </w:r>
            <w:r>
              <w:rPr>
                <w:rFonts w:cs="Arial" w:ascii="Arial" w:hAnsi="Arial"/>
                <w:sz w:val="16"/>
                <w:szCs w:val="16"/>
                <w:lang w:val="en-US"/>
              </w:rPr>
              <w:t xml:space="preserve"> </w:t>
            </w:r>
            <w:r>
              <w:rPr>
                <w:rFonts w:cs="Arial" w:ascii="Arial" w:hAnsi="Arial"/>
                <w:sz w:val="16"/>
                <w:szCs w:val="16"/>
              </w:rPr>
              <w:t>специфікації</w:t>
            </w:r>
            <w:r>
              <w:rPr>
                <w:rFonts w:cs="Arial" w:ascii="Arial" w:hAnsi="Arial"/>
                <w:sz w:val="16"/>
                <w:szCs w:val="16"/>
                <w:lang w:val="en-US"/>
              </w:rPr>
              <w:t xml:space="preserve"> </w:t>
            </w:r>
            <w:r>
              <w:rPr>
                <w:rFonts w:cs="Arial" w:ascii="Arial" w:hAnsi="Arial"/>
                <w:sz w:val="16"/>
                <w:szCs w:val="16"/>
              </w:rPr>
              <w:t>готового</w:t>
            </w:r>
            <w:r>
              <w:rPr>
                <w:rFonts w:cs="Arial" w:ascii="Arial" w:hAnsi="Arial"/>
                <w:sz w:val="16"/>
                <w:szCs w:val="16"/>
                <w:lang w:val="en-US"/>
              </w:rPr>
              <w:t xml:space="preserve"> </w:t>
            </w:r>
            <w:r>
              <w:rPr>
                <w:rFonts w:cs="Arial" w:ascii="Arial" w:hAnsi="Arial"/>
                <w:sz w:val="16"/>
                <w:szCs w:val="16"/>
              </w:rPr>
              <w:t>лікарського</w:t>
            </w:r>
            <w:r>
              <w:rPr>
                <w:rFonts w:cs="Arial" w:ascii="Arial" w:hAnsi="Arial"/>
                <w:sz w:val="16"/>
                <w:szCs w:val="16"/>
                <w:lang w:val="en-US"/>
              </w:rPr>
              <w:t xml:space="preserve"> </w:t>
            </w:r>
            <w:r>
              <w:rPr>
                <w:rFonts w:cs="Arial" w:ascii="Arial" w:hAnsi="Arial"/>
                <w:sz w:val="16"/>
                <w:szCs w:val="16"/>
              </w:rPr>
              <w:t>засобу</w:t>
            </w:r>
            <w:r>
              <w:rPr>
                <w:rFonts w:cs="Arial" w:ascii="Arial" w:hAnsi="Arial"/>
                <w:sz w:val="16"/>
                <w:szCs w:val="16"/>
                <w:lang w:val="en-US"/>
              </w:rPr>
              <w:t xml:space="preserve"> «</w:t>
            </w:r>
            <w:r>
              <w:rPr>
                <w:rFonts w:cs="Arial" w:ascii="Arial" w:hAnsi="Arial"/>
                <w:sz w:val="16"/>
                <w:szCs w:val="16"/>
              </w:rPr>
              <w:t>Кількісне</w:t>
            </w:r>
            <w:r>
              <w:rPr>
                <w:rFonts w:cs="Arial" w:ascii="Arial" w:hAnsi="Arial"/>
                <w:sz w:val="16"/>
                <w:szCs w:val="16"/>
                <w:lang w:val="en-US"/>
              </w:rPr>
              <w:t xml:space="preserve"> </w:t>
            </w:r>
            <w:r>
              <w:rPr>
                <w:rFonts w:cs="Arial" w:ascii="Arial" w:hAnsi="Arial"/>
                <w:sz w:val="16"/>
                <w:szCs w:val="16"/>
              </w:rPr>
              <w:t>визначення</w:t>
            </w:r>
            <w:r>
              <w:rPr>
                <w:rFonts w:cs="Arial" w:ascii="Arial" w:hAnsi="Arial"/>
                <w:sz w:val="16"/>
                <w:szCs w:val="16"/>
                <w:lang w:val="en-US"/>
              </w:rPr>
              <w:t xml:space="preserve"> </w:t>
            </w:r>
            <w:r>
              <w:rPr>
                <w:rFonts w:cs="Arial" w:ascii="Arial" w:hAnsi="Arial"/>
                <w:sz w:val="16"/>
                <w:szCs w:val="16"/>
              </w:rPr>
              <w:t>левоноргестрелу</w:t>
            </w:r>
            <w:r>
              <w:rPr>
                <w:rFonts w:cs="Arial" w:ascii="Arial" w:hAnsi="Arial"/>
                <w:sz w:val="16"/>
                <w:szCs w:val="16"/>
                <w:lang w:val="en-US"/>
              </w:rPr>
              <w:t xml:space="preserve">» (“Assay of system”). </w:t>
            </w:r>
            <w:r>
              <w:rPr>
                <w:rFonts w:cs="Arial" w:ascii="Arial" w:hAnsi="Arial"/>
                <w:sz w:val="16"/>
                <w:szCs w:val="16"/>
              </w:rPr>
              <w:t>Затверджено: 47-58 мг/систему; запропоновано: 47-57 мг/систему.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 Звуження допустимих меж для показника специфікації готового лікарського засобу «Сила розриву» (“Breaking force”). Затверджене допустиме значення величини сили розриву для індивідуальної системи: 9 Н; запропоновано: 9,5 Н. Вилучення критерію середнього значення величини сили розриву, що в межах заявленої зміни є звуженням допустимих меж.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Перегляд формулювання допустимих меж для показника специфікації готового лікарського засобу «Опис» (“Appearance”). Пропоновані зміни є редакційним коригуванням задля більш точного опису критеріїв прийнятності для вказаного показника.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Нові критерії прийнятності для показника специфікації готового лікарського засобу «Ідентифікація левоноргестрелу». Затверджено: головна пляма на хроматограмі випробовуваного розчину повинна відповідати плямі на хроматограмі розчину порівняння за розмірами, кольором та значенням Rf (Метод ТШХ); Запропоновано: значення часу утримування основного піку із хроматограми випробовуваного розчину знаходиться в межах 2,5 % від значення часу утримування основного піку із хроматограми розчину порівняння (Метод ВЕРХ (УФ)).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Нові критерії прийнятності для показника специфікації готового лікарського засобу «Однорідність дозованих одиниць». Затверджено: «Якщо вміст левоноргестрелу не більше, ніж однієї з 10 систем знаходиться поза межами 47-58 мг/систему, і якщо для жодної з 10 систем не виходить за межі 45-60 мг/систему, проводять кількісне визначення для 10 нових систем. Вміст левоноргестрелу додаткових 10 систем повинен знаходитися у межах 47-58 мг/систему.»; Запропоновано: «Приймальне число для 10 систем становить не більше 15,0 % і вміст левоноргестрелу в кожній системі знаходиться в межах 86,0 % - 114,0 %. Приймальне число для 30 систем становить не більше 15,0 % і вміст левоноргестрелу в кожній системі знаходиться в межах 86,0 % - 114,0 %.».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Нові критерії прийнятності для показника специфікації готового лікарського засобу «Швидкість вивільнення левоноргестрелу», які спричинені оновленою методикою проведення випробування (збільшення часових точок відбору зразків із 1-ї до 3-х). Введення змін протягом 5-ти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Заявленою процедурою для показника специфікації «Домішки (продукти деградації)» (“Impurities (Levonorgestrel related degradation products)”) змінюються допустимі межі для допустимого сумарного вмісту домішок. Затверджений вміст: «2,0 %»; Запропоновано: «1,0 %». Вказаний параметр змінюється для специфікації, що застосовується для дослідження стабільності лікарського засобу. Введення змін протягом 5-ти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 Додавання параметру контролю виробничого процесу для стадії приготування суміші гормон-еластомеру (Preparation of hormone-elastomer mixture) – кінцевий час змішування (Final mixing time). Введення змін протягом 5-ти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Додавання параметру контролю виробничого процесу для стадії механічного складання ВМС (Mechanical assembly of IUS units) – довжина гормон-вмісного ядра ВМС (Length of hormone core). Введення змін протягом 5-ти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Вилучення параметру контролю виробничого процесу для стадії приготування суміші гормон-еластомеру (Preparation of hormone-elastomer mixture) – «Концентрація левоноргестрелу» (“Concentration of levonorgestrel”). Введення змін протягом 5-ти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Вилучення параметру контролю виробничого процесу для стадії приготування суміші гормон-еластомеру (Preparation of hormone-elastomer mixture) – «Гомогенність» (“Homogeneity”). Введення змін протягом 5-ти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Вилучення опису методики визначення мікробіологічного навантаження (Pre-sterilization bioburden) для стадії первинного пакування (Packaging of the drug product with inserter into primary package and sealing) і додавання посилання на відповідний фармакопейний метод. Введення змін протягом 5-ти місяців після затвердження.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 Вилучення розміру серії готового лікарського засобу 4700 одиниць. Діючим розміром серії залишається розмір 28846 одиниць. Введення змін протягом 5-ти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Зміни до виробничого процесу готового лікарського засобу для стадії, на якій виконується складання внутрішньоматкової системи (ВМС) (assembly of IUS units). Пропонується вилучити ручний спосіб складання ВМС (Manual Assembly) і залишити тільки механічне складання ВМС (“Mechanical assembly of the IUS units”). Введення змін протягом 5-ти місяців після затвердження.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Внесення незначних змін до виробничого процесу та до опису виробничого процесу готового лікарського засобу. Зміни до виробничого процесу. Вилучення виробничих стерилізаційних ліній для дільниці Байєр Оу, Турку, Фінляндія та дільниці Стерідженікс Белджіум (Петі-Решен), Бельгія. Незначні зміни до опису виробничого процесу. Оновлення розділу реєстраційного досьє 3.2.P.3.3. Опис виробничого процесу та контролю процесу внесенням редакційних коригувань, уточнень та доповнень, які відповідають виробничому процесу. Введення змін протягом 5-ти місяців після затвердження.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показника, який може мати істотний вплив на якість готового лікарського засобу) - Вилучення випробування за показником «Стерильність» із специфікації, що застосовується для дослідження стабільності лікарського засобу. На заміну показнику «Стерильність» додаються випробування для перевірки цілісності первинної упаковки. Введення змін протягом 5-ти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50 мг; по 7 капсул в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Атлантік Фарма Продукос Фармасьютікас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прегабалін, а саме Changzhou Pharmaceutical Factory, China та його виробничої дільниці Nantong Chanyoo Pharmatech Co., Ltd., China (No.2 Tonghai Si Road, Yangkou Chemical Industrial Park, Rudong Coastal Economic Development Zone, China - 226 407 Nantong, Jingsu Province). Виробник, що залишається (Zhejiang Huahai Pharmaceutical Co., Ltd. China) виконує ті ж функції що й вилучений.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7 капсул в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Атлантік Фарма Продукос Фармасьютікас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прегабалін, а саме Changzhou Pharmaceutical Factory, China та його виробничої дільниці Nantong Chanyoo Pharmatech Co., Ltd., China (No.2 Tonghai Si Road, Yangkou Chemical Industrial Park, Rudong Coastal Economic Development Zone, China - 226 407 Nantong, Jingsu Province). Виробник, що залишається (Zhejiang Huahai Pharmaceutical Co., Ltd. China) виконує ті ж функції що й вилучений.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МОВІРИКА®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7 капсул в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Атлантік Фарма Продукос Фармасьютікас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Португалія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прегабалін, а саме Changzhou Pharmaceutical Factory, China та його виробничої дільниці Nantong Chanyoo Pharmatech Co., Ltd., China (No.2 Tonghai Si Road, Yangkou Chemical Industrial Park, Rudong Coastal Economic Development Zone, China - 226 407 Nantong, Jingsu Province). Виробник, що залишається (Zhejiang Huahai Pharmaceutical Co., Ltd. China) виконує ті ж функції що й вилучений.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МУКОТЕК®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сальбутамолу сульфат, бромгексину гідрохлорид, гвайфенезин, ментол (левоментол)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Сироп, по 100 мл або по 200 мл у флаконі; по 1 флакону разом з мірним стаканчиком у коробці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r>
              <w:rPr>
                <w:rFonts w:cs="Arial" w:ascii="Arial" w:hAnsi="Arial"/>
                <w:color w:val="000000"/>
                <w:sz w:val="16"/>
                <w:szCs w:val="16"/>
              </w:rPr>
              <w:t>Юнік Фармасьютикал Лабораторіз” (відділення фірми “Дж. Б. Кемікалз енд Фармасьютикалз Лтд.”)</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Юнік Фармасьютикал Лабораторіз (відділення фірми Дж. Б. Кемікалз енд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(інші зміни)</w:t>
              <w:br/>
              <w:t>Оновлення тексту маркування упаковки лікарського засобу, зокрема вилучення інформації, зазначеної англійською мовою, та внесення редакційних правок по тексту. Термін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UA/11169/01/01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МУЦИТУС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erdosteine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ердостеїн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6 капсул у стрипі; по 2 або по 5 стрипів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вводиться додатковий виробник АФІ ердостеїну Aurore Life Sciences Private Limited для Муцитус 300 мг. оновлений МКЯ ЛЗ (eCTD 0003)</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UA/5589/01/02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МУЦИТУС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erdosteine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ердостеїн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6 капсул у стрипі; по 2 або по 5 стрипів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Маклеодс Фармасьютикалс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вводиться додатковий виробник АФІ ердостеїну Aurore Life Sciences Private Limited для Муцитус 300 мг. оновлений МКЯ ЛЗ (eCTD 0003)</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НАВІРЕЛ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vinorelbine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вінорелбін (у вигляді вінорелбіну тартрату)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10 мг/мл; по 1 мл (10 мг) або 5 мл (50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контроль серій: oнкомед меньюфекчерінг а.с., Чеська Республiка; Пакування, маркування та випуск серії:</w:t>
              <w:br/>
              <w:t>Медак Гезельшафт фюр клініше Шпеціальпрепарате 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Чеська Республiка</w:t>
            </w:r>
            <w:r>
              <w:rPr>
                <w:rFonts w:cs="Arial" w:ascii="Arial" w:hAnsi="Arial"/>
                <w:color w:val="000000"/>
                <w:sz w:val="16"/>
                <w:szCs w:val="16"/>
                <w:lang w:val="en-US"/>
              </w:rPr>
              <w:t>/</w:t>
            </w:r>
            <w:r>
              <w:rPr>
                <w:rFonts w:cs="Arial" w:ascii="Arial" w:hAnsi="Arial"/>
                <w:color w:val="000000"/>
                <w:sz w:val="16"/>
                <w:szCs w:val="16"/>
              </w:rPr>
              <w:t xml:space="preserve"> 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внесення</w:t>
            </w:r>
            <w:r>
              <w:rPr>
                <w:rFonts w:cs="Arial" w:ascii="Arial" w:hAnsi="Arial"/>
                <w:color w:val="000000"/>
                <w:sz w:val="16"/>
                <w:szCs w:val="16"/>
                <w:lang w:val="en-US"/>
              </w:rPr>
              <w:t xml:space="preserve"> </w:t>
            </w:r>
            <w:r>
              <w:rPr>
                <w:rFonts w:cs="Arial" w:ascii="Arial" w:hAnsi="Arial"/>
                <w:color w:val="000000"/>
                <w:sz w:val="16"/>
                <w:szCs w:val="16"/>
              </w:rPr>
              <w:t>змін</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реєстраційних</w:t>
            </w:r>
            <w:r>
              <w:rPr>
                <w:rFonts w:cs="Arial" w:ascii="Arial" w:hAnsi="Arial"/>
                <w:color w:val="000000"/>
                <w:sz w:val="16"/>
                <w:szCs w:val="16"/>
                <w:lang w:val="en-US"/>
              </w:rPr>
              <w:t xml:space="preserve"> </w:t>
            </w:r>
            <w:r>
              <w:rPr>
                <w:rFonts w:cs="Arial" w:ascii="Arial" w:hAnsi="Arial"/>
                <w:color w:val="000000"/>
                <w:sz w:val="16"/>
                <w:szCs w:val="16"/>
              </w:rPr>
              <w:t>матеріалів</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І</w:t>
            </w:r>
            <w:r>
              <w:rPr>
                <w:rFonts w:cs="Arial" w:ascii="Arial" w:hAnsi="Arial"/>
                <w:color w:val="000000"/>
                <w:sz w:val="16"/>
                <w:szCs w:val="16"/>
                <w:lang w:val="en-US"/>
              </w:rPr>
              <w:t xml:space="preserve"> </w:t>
            </w:r>
            <w:r>
              <w:rPr>
                <w:rFonts w:cs="Arial" w:ascii="Arial" w:hAnsi="Arial"/>
                <w:color w:val="000000"/>
                <w:sz w:val="16"/>
                <w:szCs w:val="16"/>
              </w:rPr>
              <w:t>типу</w:t>
            </w:r>
            <w:r>
              <w:rPr>
                <w:rFonts w:cs="Arial" w:ascii="Arial" w:hAnsi="Arial"/>
                <w:color w:val="000000"/>
                <w:sz w:val="16"/>
                <w:szCs w:val="16"/>
                <w:lang w:val="en-US"/>
              </w:rPr>
              <w:t xml:space="preserve"> -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щодо</w:t>
            </w:r>
            <w:r>
              <w:rPr>
                <w:rFonts w:cs="Arial" w:ascii="Arial" w:hAnsi="Arial"/>
                <w:color w:val="000000"/>
                <w:sz w:val="16"/>
                <w:szCs w:val="16"/>
                <w:lang w:val="en-US"/>
              </w:rPr>
              <w:t xml:space="preserve"> </w:t>
            </w:r>
            <w:r>
              <w:rPr>
                <w:rFonts w:cs="Arial" w:ascii="Arial" w:hAnsi="Arial"/>
                <w:color w:val="000000"/>
                <w:sz w:val="16"/>
                <w:szCs w:val="16"/>
              </w:rPr>
              <w:t>безпеки</w:t>
            </w:r>
            <w:r>
              <w:rPr>
                <w:rFonts w:cs="Arial" w:ascii="Arial" w:hAnsi="Arial"/>
                <w:color w:val="000000"/>
                <w:sz w:val="16"/>
                <w:szCs w:val="16"/>
                <w:lang w:val="en-US"/>
              </w:rPr>
              <w:t>/</w:t>
            </w:r>
            <w:r>
              <w:rPr>
                <w:rFonts w:cs="Arial" w:ascii="Arial" w:hAnsi="Arial"/>
                <w:color w:val="000000"/>
                <w:sz w:val="16"/>
                <w:szCs w:val="16"/>
              </w:rPr>
              <w:t>ефективності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до</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введення</w:t>
            </w:r>
            <w:r>
              <w:rPr>
                <w:rFonts w:cs="Arial" w:ascii="Arial" w:hAnsi="Arial"/>
                <w:color w:val="000000"/>
                <w:sz w:val="16"/>
                <w:szCs w:val="16"/>
                <w:lang w:val="en-US"/>
              </w:rPr>
              <w:t xml:space="preserve"> </w:t>
            </w:r>
            <w:r>
              <w:rPr>
                <w:rFonts w:cs="Arial" w:ascii="Arial" w:hAnsi="Arial"/>
                <w:color w:val="000000"/>
                <w:sz w:val="16"/>
                <w:szCs w:val="16"/>
              </w:rPr>
              <w:t>узагальнених</w:t>
            </w:r>
            <w:r>
              <w:rPr>
                <w:rFonts w:cs="Arial" w:ascii="Arial" w:hAnsi="Arial"/>
                <w:color w:val="000000"/>
                <w:sz w:val="16"/>
                <w:szCs w:val="16"/>
                <w:lang w:val="en-US"/>
              </w:rPr>
              <w:t xml:space="preserve"> </w:t>
            </w:r>
            <w:r>
              <w:rPr>
                <w:rFonts w:cs="Arial" w:ascii="Arial" w:hAnsi="Arial"/>
                <w:color w:val="000000"/>
                <w:sz w:val="16"/>
                <w:szCs w:val="16"/>
              </w:rPr>
              <w:t>даних</w:t>
            </w:r>
            <w:r>
              <w:rPr>
                <w:rFonts w:cs="Arial" w:ascii="Arial" w:hAnsi="Arial"/>
                <w:color w:val="000000"/>
                <w:sz w:val="16"/>
                <w:szCs w:val="16"/>
                <w:lang w:val="en-US"/>
              </w:rPr>
              <w:t xml:space="preserve"> </w:t>
            </w:r>
            <w:r>
              <w:rPr>
                <w:rFonts w:cs="Arial" w:ascii="Arial" w:hAnsi="Arial"/>
                <w:color w:val="000000"/>
                <w:sz w:val="16"/>
                <w:szCs w:val="16"/>
              </w:rPr>
              <w:t>про</w:t>
            </w:r>
            <w:r>
              <w:rPr>
                <w:rFonts w:cs="Arial" w:ascii="Arial" w:hAnsi="Arial"/>
                <w:color w:val="000000"/>
                <w:sz w:val="16"/>
                <w:szCs w:val="16"/>
                <w:lang w:val="en-US"/>
              </w:rPr>
              <w:t xml:space="preserve"> </w:t>
            </w:r>
            <w:r>
              <w:rPr>
                <w:rFonts w:cs="Arial" w:ascii="Arial" w:hAnsi="Arial"/>
                <w:color w:val="000000"/>
                <w:sz w:val="16"/>
                <w:szCs w:val="16"/>
              </w:rPr>
              <w:t>систему</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контактної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з</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заявника</w:t>
            </w:r>
            <w:r>
              <w:rPr>
                <w:rFonts w:cs="Arial" w:ascii="Arial" w:hAnsi="Arial"/>
                <w:color w:val="000000"/>
                <w:sz w:val="16"/>
                <w:szCs w:val="16"/>
                <w:lang w:val="en-US"/>
              </w:rPr>
              <w:t xml:space="preserve"> </w:t>
            </w:r>
            <w:r>
              <w:rPr>
                <w:rFonts w:cs="Arial" w:ascii="Arial" w:hAnsi="Arial"/>
                <w:color w:val="000000"/>
                <w:sz w:val="16"/>
                <w:szCs w:val="16"/>
              </w:rPr>
              <w:t>для</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w:t>
            </w:r>
            <w:r>
              <w:rPr>
                <w:rFonts w:cs="Arial" w:ascii="Arial" w:hAnsi="Arial"/>
                <w:color w:val="000000"/>
                <w:sz w:val="16"/>
                <w:szCs w:val="16"/>
                <w:lang w:val="en-US"/>
              </w:rPr>
              <w:t xml:space="preserve"> </w:t>
            </w:r>
            <w:r>
              <w:rPr>
                <w:rFonts w:cs="Arial" w:ascii="Arial" w:hAnsi="Arial"/>
                <w:color w:val="000000"/>
                <w:sz w:val="16"/>
                <w:szCs w:val="16"/>
              </w:rPr>
              <w:t>Україні</w:t>
            </w:r>
            <w:r>
              <w:rPr>
                <w:rFonts w:cs="Arial" w:ascii="Arial" w:hAnsi="Arial"/>
                <w:color w:val="000000"/>
                <w:sz w:val="16"/>
                <w:szCs w:val="16"/>
                <w:lang w:val="en-US"/>
              </w:rPr>
              <w:t xml:space="preserve">, </w:t>
            </w:r>
            <w:r>
              <w:rPr>
                <w:rFonts w:cs="Arial" w:ascii="Arial" w:hAnsi="Arial"/>
                <w:color w:val="000000"/>
                <w:sz w:val="16"/>
                <w:szCs w:val="16"/>
              </w:rPr>
              <w:t>якщо</w:t>
            </w:r>
            <w:r>
              <w:rPr>
                <w:rFonts w:cs="Arial" w:ascii="Arial" w:hAnsi="Arial"/>
                <w:color w:val="000000"/>
                <w:sz w:val="16"/>
                <w:szCs w:val="16"/>
                <w:lang w:val="en-US"/>
              </w:rPr>
              <w:t xml:space="preserve"> </w:t>
            </w:r>
            <w:r>
              <w:rPr>
                <w:rFonts w:cs="Arial" w:ascii="Arial" w:hAnsi="Arial"/>
                <w:color w:val="000000"/>
                <w:sz w:val="16"/>
                <w:szCs w:val="16"/>
              </w:rPr>
              <w:t>вона</w:t>
            </w:r>
            <w:r>
              <w:rPr>
                <w:rFonts w:cs="Arial" w:ascii="Arial" w:hAnsi="Arial"/>
                <w:color w:val="000000"/>
                <w:sz w:val="16"/>
                <w:szCs w:val="16"/>
                <w:lang w:val="en-US"/>
              </w:rPr>
              <w:t xml:space="preserve"> </w:t>
            </w:r>
            <w:r>
              <w:rPr>
                <w:rFonts w:cs="Arial" w:ascii="Arial" w:hAnsi="Arial"/>
                <w:color w:val="000000"/>
                <w:sz w:val="16"/>
                <w:szCs w:val="16"/>
              </w:rPr>
              <w:t>відмінна</w:t>
            </w:r>
            <w:r>
              <w:rPr>
                <w:rFonts w:cs="Arial" w:ascii="Arial" w:hAnsi="Arial"/>
                <w:color w:val="000000"/>
                <w:sz w:val="16"/>
                <w:szCs w:val="16"/>
                <w:lang w:val="en-US"/>
              </w:rPr>
              <w:t xml:space="preserve"> </w:t>
            </w:r>
            <w:r>
              <w:rPr>
                <w:rFonts w:cs="Arial" w:ascii="Arial" w:hAnsi="Arial"/>
                <w:color w:val="000000"/>
                <w:sz w:val="16"/>
                <w:szCs w:val="16"/>
              </w:rPr>
              <w:t>від</w:t>
            </w:r>
            <w:r>
              <w:rPr>
                <w:rFonts w:cs="Arial" w:ascii="Arial" w:hAnsi="Arial"/>
                <w:color w:val="000000"/>
                <w:sz w:val="16"/>
                <w:szCs w:val="16"/>
                <w:lang w:val="en-US"/>
              </w:rPr>
              <w:t xml:space="preserve"> </w:t>
            </w:r>
            <w:r>
              <w:rPr>
                <w:rFonts w:cs="Arial" w:ascii="Arial" w:hAnsi="Arial"/>
                <w:color w:val="000000"/>
                <w:sz w:val="16"/>
                <w:szCs w:val="16"/>
              </w:rPr>
              <w:t>уповноваженої</w:t>
            </w:r>
            <w:r>
              <w:rPr>
                <w:rFonts w:cs="Arial" w:ascii="Arial" w:hAnsi="Arial"/>
                <w:color w:val="000000"/>
                <w:sz w:val="16"/>
                <w:szCs w:val="16"/>
                <w:lang w:val="en-US"/>
              </w:rPr>
              <w:t xml:space="preserve"> </w:t>
            </w:r>
            <w:r>
              <w:rPr>
                <w:rFonts w:cs="Arial" w:ascii="Arial" w:hAnsi="Arial"/>
                <w:color w:val="000000"/>
                <w:sz w:val="16"/>
                <w:szCs w:val="16"/>
              </w:rPr>
              <w:t>особи</w:t>
            </w:r>
            <w:r>
              <w:rPr>
                <w:rFonts w:cs="Arial" w:ascii="Arial" w:hAnsi="Arial"/>
                <w:color w:val="000000"/>
                <w:sz w:val="16"/>
                <w:szCs w:val="16"/>
                <w:lang w:val="en-US"/>
              </w:rPr>
              <w:t xml:space="preserve">, </w:t>
            </w:r>
            <w:r>
              <w:rPr>
                <w:rFonts w:cs="Arial" w:ascii="Arial" w:hAnsi="Arial"/>
                <w:color w:val="000000"/>
                <w:sz w:val="16"/>
                <w:szCs w:val="16"/>
              </w:rPr>
              <w:t>відповідальної</w:t>
            </w:r>
            <w:r>
              <w:rPr>
                <w:rFonts w:cs="Arial" w:ascii="Arial" w:hAnsi="Arial"/>
                <w:color w:val="000000"/>
                <w:sz w:val="16"/>
                <w:szCs w:val="16"/>
                <w:lang w:val="en-US"/>
              </w:rPr>
              <w:t xml:space="preserve"> </w:t>
            </w:r>
            <w:r>
              <w:rPr>
                <w:rFonts w:cs="Arial" w:ascii="Arial" w:hAnsi="Arial"/>
                <w:color w:val="000000"/>
                <w:sz w:val="16"/>
                <w:szCs w:val="16"/>
              </w:rPr>
              <w:t>за</w:t>
            </w:r>
            <w:r>
              <w:rPr>
                <w:rFonts w:cs="Arial" w:ascii="Arial" w:hAnsi="Arial"/>
                <w:color w:val="000000"/>
                <w:sz w:val="16"/>
                <w:szCs w:val="16"/>
                <w:lang w:val="en-US"/>
              </w:rPr>
              <w:t xml:space="preserve"> </w:t>
            </w:r>
            <w:r>
              <w:rPr>
                <w:rFonts w:cs="Arial" w:ascii="Arial" w:hAnsi="Arial"/>
                <w:color w:val="000000"/>
                <w:sz w:val="16"/>
                <w:szCs w:val="16"/>
              </w:rPr>
              <w:t>здійснення</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включаючи</w:t>
            </w:r>
            <w:r>
              <w:rPr>
                <w:rFonts w:cs="Arial" w:ascii="Arial" w:hAnsi="Arial"/>
                <w:color w:val="000000"/>
                <w:sz w:val="16"/>
                <w:szCs w:val="16"/>
                <w:lang w:val="en-US"/>
              </w:rPr>
              <w:t xml:space="preserve"> </w:t>
            </w:r>
            <w:r>
              <w:rPr>
                <w:rFonts w:cs="Arial" w:ascii="Arial" w:hAnsi="Arial"/>
                <w:color w:val="000000"/>
                <w:sz w:val="16"/>
                <w:szCs w:val="16"/>
              </w:rPr>
              <w:t>контактні</w:t>
            </w:r>
            <w:r>
              <w:rPr>
                <w:rFonts w:cs="Arial" w:ascii="Arial" w:hAnsi="Arial"/>
                <w:color w:val="000000"/>
                <w:sz w:val="16"/>
                <w:szCs w:val="16"/>
                <w:lang w:val="en-US"/>
              </w:rPr>
              <w:t xml:space="preserve"> </w:t>
            </w:r>
            <w:r>
              <w:rPr>
                <w:rFonts w:cs="Arial" w:ascii="Arial" w:hAnsi="Arial"/>
                <w:color w:val="000000"/>
                <w:sz w:val="16"/>
                <w:szCs w:val="16"/>
              </w:rPr>
              <w:t>дані</w:t>
            </w:r>
            <w:r>
              <w:rPr>
                <w:rFonts w:cs="Arial" w:ascii="Arial" w:hAnsi="Arial"/>
                <w:color w:val="000000"/>
                <w:sz w:val="16"/>
                <w:szCs w:val="16"/>
                <w:lang w:val="en-US"/>
              </w:rPr>
              <w:t xml:space="preserve">) </w:t>
            </w:r>
            <w:r>
              <w:rPr>
                <w:rFonts w:cs="Arial" w:ascii="Arial" w:hAnsi="Arial"/>
                <w:color w:val="000000"/>
                <w:sz w:val="16"/>
                <w:szCs w:val="16"/>
              </w:rPr>
              <w:t>та</w:t>
            </w:r>
            <w:r>
              <w:rPr>
                <w:rFonts w:cs="Arial" w:ascii="Arial" w:hAnsi="Arial"/>
                <w:color w:val="000000"/>
                <w:sz w:val="16"/>
                <w:szCs w:val="16"/>
                <w:lang w:val="en-US"/>
              </w:rPr>
              <w:t>/</w:t>
            </w:r>
            <w:r>
              <w:rPr>
                <w:rFonts w:cs="Arial" w:ascii="Arial" w:hAnsi="Arial"/>
                <w:color w:val="000000"/>
                <w:sz w:val="16"/>
                <w:szCs w:val="16"/>
              </w:rPr>
              <w:t>або</w:t>
            </w:r>
            <w:r>
              <w:rPr>
                <w:rFonts w:cs="Arial" w:ascii="Arial" w:hAnsi="Arial"/>
                <w:color w:val="000000"/>
                <w:sz w:val="16"/>
                <w:szCs w:val="16"/>
                <w:lang w:val="en-US"/>
              </w:rPr>
              <w:t xml:space="preserve"> </w:t>
            </w:r>
            <w:r>
              <w:rPr>
                <w:rFonts w:cs="Arial" w:ascii="Arial" w:hAnsi="Arial"/>
                <w:color w:val="000000"/>
                <w:sz w:val="16"/>
                <w:szCs w:val="16"/>
              </w:rPr>
              <w:t>зміни</w:t>
            </w:r>
            <w:r>
              <w:rPr>
                <w:rFonts w:cs="Arial" w:ascii="Arial" w:hAnsi="Arial"/>
                <w:color w:val="000000"/>
                <w:sz w:val="16"/>
                <w:szCs w:val="16"/>
                <w:lang w:val="en-US"/>
              </w:rPr>
              <w:t xml:space="preserve"> </w:t>
            </w:r>
            <w:r>
              <w:rPr>
                <w:rFonts w:cs="Arial" w:ascii="Arial" w:hAnsi="Arial"/>
                <w:color w:val="000000"/>
                <w:sz w:val="16"/>
                <w:szCs w:val="16"/>
              </w:rPr>
              <w:t>у</w:t>
            </w:r>
            <w:r>
              <w:rPr>
                <w:rFonts w:cs="Arial" w:ascii="Arial" w:hAnsi="Arial"/>
                <w:color w:val="000000"/>
                <w:sz w:val="16"/>
                <w:szCs w:val="16"/>
                <w:lang w:val="en-US"/>
              </w:rPr>
              <w:t xml:space="preserve"> </w:t>
            </w:r>
            <w:r>
              <w:rPr>
                <w:rFonts w:cs="Arial" w:ascii="Arial" w:hAnsi="Arial"/>
                <w:color w:val="000000"/>
                <w:sz w:val="16"/>
                <w:szCs w:val="16"/>
              </w:rPr>
              <w:t>розміщенні</w:t>
            </w:r>
            <w:r>
              <w:rPr>
                <w:rFonts w:cs="Arial" w:ascii="Arial" w:hAnsi="Arial"/>
                <w:color w:val="000000"/>
                <w:sz w:val="16"/>
                <w:szCs w:val="16"/>
                <w:lang w:val="en-US"/>
              </w:rPr>
              <w:t xml:space="preserve"> </w:t>
            </w:r>
            <w:r>
              <w:rPr>
                <w:rFonts w:cs="Arial" w:ascii="Arial" w:hAnsi="Arial"/>
                <w:color w:val="000000"/>
                <w:sz w:val="16"/>
                <w:szCs w:val="16"/>
              </w:rPr>
              <w:t>мастер</w:t>
            </w:r>
            <w:r>
              <w:rPr>
                <w:rFonts w:cs="Arial" w:ascii="Arial" w:hAnsi="Arial"/>
                <w:color w:val="000000"/>
                <w:sz w:val="16"/>
                <w:szCs w:val="16"/>
                <w:lang w:val="en-US"/>
              </w:rPr>
              <w:t>-</w:t>
            </w:r>
            <w:r>
              <w:rPr>
                <w:rFonts w:cs="Arial" w:ascii="Arial" w:hAnsi="Arial"/>
                <w:color w:val="000000"/>
                <w:sz w:val="16"/>
                <w:szCs w:val="16"/>
              </w:rPr>
              <w:t>файла</w:t>
            </w:r>
            <w:r>
              <w:rPr>
                <w:rFonts w:cs="Arial" w:ascii="Arial" w:hAnsi="Arial"/>
                <w:color w:val="000000"/>
                <w:sz w:val="16"/>
                <w:szCs w:val="16"/>
                <w:lang w:val="en-US"/>
              </w:rPr>
              <w:t xml:space="preserve"> </w:t>
            </w:r>
            <w:r>
              <w:rPr>
                <w:rFonts w:cs="Arial" w:ascii="Arial" w:hAnsi="Arial"/>
                <w:color w:val="000000"/>
                <w:sz w:val="16"/>
                <w:szCs w:val="16"/>
              </w:rPr>
              <w:t>системи</w:t>
            </w:r>
            <w:r>
              <w:rPr>
                <w:rFonts w:cs="Arial" w:ascii="Arial" w:hAnsi="Arial"/>
                <w:color w:val="000000"/>
                <w:sz w:val="16"/>
                <w:szCs w:val="16"/>
                <w:lang w:val="en-US"/>
              </w:rPr>
              <w:t xml:space="preserve"> </w:t>
            </w:r>
            <w:r>
              <w:rPr>
                <w:rFonts w:cs="Arial" w:ascii="Arial" w:hAnsi="Arial"/>
                <w:color w:val="000000"/>
                <w:sz w:val="16"/>
                <w:szCs w:val="16"/>
              </w:rPr>
              <w:t>фармаконагляду</w:t>
            </w:r>
            <w:r>
              <w:rPr>
                <w:rFonts w:cs="Arial" w:ascii="Arial" w:hAnsi="Arial"/>
                <w:color w:val="000000"/>
                <w:sz w:val="16"/>
                <w:szCs w:val="16"/>
                <w:lang w:val="en-US"/>
              </w:rPr>
              <w:t xml:space="preserve">). </w:t>
            </w:r>
            <w:r>
              <w:rPr>
                <w:rFonts w:cs="Arial" w:ascii="Arial" w:hAnsi="Arial"/>
                <w:color w:val="000000"/>
                <w:sz w:val="16"/>
                <w:szCs w:val="16"/>
              </w:rPr>
              <w:t>Зміна контактної особи заявника, відповідальної за фармаконагляд в Україні.</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UA/4711/01/01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НАЛБУФІН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nalbuphine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налбуфіну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N02AF02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1 мл в ампулі, по 5 ампул у контурній упаковці, по 1 контурній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НЕЙРОКОБАЛ®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mecobalamin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метилкобаламін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мкг; по 10 таблеток у блістері; по 3 або по 10 блістерів у картонній упаковці; по 30 таблеток у блістері; по 3 блістера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UA/14887/01/01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НЕЙРОКОБАЛ®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mecobalamin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метилкобаламін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мкг; in bulk: № 18000 (10х1800): по 10 таблеток у блістері, по 1800 блістерів у картонній коробці; № 30000 (30х1000): по 30 таблеток у блістері, по 1000 блістерів у картонній коробці</w:t>
              <w:br/>
              <w:t>(для КУСУМ ХЕЛТХКЕР ПВТ ЛТД (СП-289 (A), РІІКО Індастріал ареа, Чопанкі, Бхіваді, Діст. Алвар (Раджастан), Індія))</w:t>
              <w:br/>
              <w:t>in bulk: № 25200 (30х840): по 30 таблеток у блістері, по 840 блістерів у картонній коробці</w:t>
              <w:br/>
              <w:t>(для КУСУМ ХЕЛТХКЕР ПВТ ЛТД (Плот № М-3, Індор Спешел Ікономік Зоун, Фейз-ІІ, Пітампур, Діст. Дхар, Мадхья Прадеш, Пін 454774, Індія))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з ТОВ "ГЛЕДФАРМ ЛТД", Україна на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НЕЙРОЦИТИН®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lang w:val="en-US"/>
              </w:rPr>
              <w:t>Electrolytes in combination with other drugs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lang w:val="en-US"/>
              </w:rPr>
            </w:pPr>
            <w:r>
              <w:rPr>
                <w:rFonts w:cs="Arial" w:ascii="Arial" w:hAnsi="Arial"/>
                <w:color w:val="000000"/>
                <w:sz w:val="16"/>
                <w:szCs w:val="16"/>
              </w:rPr>
              <w:t>цитиколін</w:t>
            </w:r>
            <w:r>
              <w:rPr>
                <w:rFonts w:cs="Arial" w:ascii="Arial" w:hAnsi="Arial"/>
                <w:color w:val="000000"/>
                <w:sz w:val="16"/>
                <w:szCs w:val="16"/>
                <w:lang w:val="en-US"/>
              </w:rPr>
              <w:t xml:space="preserve"> </w:t>
            </w:r>
            <w:r>
              <w:rPr>
                <w:rFonts w:cs="Arial" w:ascii="Arial" w:hAnsi="Arial"/>
                <w:color w:val="000000"/>
                <w:sz w:val="16"/>
                <w:szCs w:val="16"/>
              </w:rPr>
              <w:t>натрію</w:t>
            </w:r>
            <w:r>
              <w:rPr>
                <w:rFonts w:cs="Arial" w:ascii="Arial" w:hAnsi="Arial"/>
                <w:color w:val="000000"/>
                <w:sz w:val="16"/>
                <w:szCs w:val="16"/>
                <w:lang w:val="en-US"/>
              </w:rPr>
              <w:t xml:space="preserve">, </w:t>
            </w:r>
            <w:r>
              <w:rPr>
                <w:rFonts w:cs="Arial" w:ascii="Arial" w:hAnsi="Arial"/>
                <w:color w:val="000000"/>
                <w:sz w:val="16"/>
                <w:szCs w:val="16"/>
              </w:rPr>
              <w:t>натрію</w:t>
            </w:r>
            <w:r>
              <w:rPr>
                <w:rFonts w:cs="Arial" w:ascii="Arial" w:hAnsi="Arial"/>
                <w:color w:val="000000"/>
                <w:sz w:val="16"/>
                <w:szCs w:val="16"/>
                <w:lang w:val="en-US"/>
              </w:rPr>
              <w:t xml:space="preserve"> </w:t>
            </w:r>
            <w:r>
              <w:rPr>
                <w:rFonts w:cs="Arial" w:ascii="Arial" w:hAnsi="Arial"/>
                <w:color w:val="000000"/>
                <w:sz w:val="16"/>
                <w:szCs w:val="16"/>
              </w:rPr>
              <w:t>хлорид</w:t>
            </w:r>
            <w:r>
              <w:rPr>
                <w:rFonts w:cs="Arial" w:ascii="Arial" w:hAnsi="Arial"/>
                <w:color w:val="000000"/>
                <w:sz w:val="16"/>
                <w:szCs w:val="16"/>
                <w:lang w:val="en-US"/>
              </w:rPr>
              <w:t xml:space="preserve">, </w:t>
            </w:r>
            <w:r>
              <w:rPr>
                <w:rFonts w:cs="Arial" w:ascii="Arial" w:hAnsi="Arial"/>
                <w:color w:val="000000"/>
                <w:sz w:val="16"/>
                <w:szCs w:val="16"/>
              </w:rPr>
              <w:t>калію</w:t>
            </w:r>
            <w:r>
              <w:rPr>
                <w:rFonts w:cs="Arial" w:ascii="Arial" w:hAnsi="Arial"/>
                <w:color w:val="000000"/>
                <w:sz w:val="16"/>
                <w:szCs w:val="16"/>
                <w:lang w:val="en-US"/>
              </w:rPr>
              <w:t xml:space="preserve"> </w:t>
            </w:r>
            <w:r>
              <w:rPr>
                <w:rFonts w:cs="Arial" w:ascii="Arial" w:hAnsi="Arial"/>
                <w:color w:val="000000"/>
                <w:sz w:val="16"/>
                <w:szCs w:val="16"/>
              </w:rPr>
              <w:t>хлорид</w:t>
            </w:r>
            <w:r>
              <w:rPr>
                <w:rFonts w:cs="Arial" w:ascii="Arial" w:hAnsi="Arial"/>
                <w:color w:val="000000"/>
                <w:sz w:val="16"/>
                <w:szCs w:val="16"/>
                <w:lang w:val="en-US"/>
              </w:rPr>
              <w:t xml:space="preserve">, </w:t>
            </w:r>
            <w:r>
              <w:rPr>
                <w:rFonts w:cs="Arial" w:ascii="Arial" w:hAnsi="Arial"/>
                <w:color w:val="000000"/>
                <w:sz w:val="16"/>
                <w:szCs w:val="16"/>
              </w:rPr>
              <w:t>кальцію</w:t>
            </w:r>
            <w:r>
              <w:rPr>
                <w:rFonts w:cs="Arial" w:ascii="Arial" w:hAnsi="Arial"/>
                <w:color w:val="000000"/>
                <w:sz w:val="16"/>
                <w:szCs w:val="16"/>
                <w:lang w:val="en-US"/>
              </w:rPr>
              <w:t xml:space="preserve"> </w:t>
            </w:r>
            <w:r>
              <w:rPr>
                <w:rFonts w:cs="Arial" w:ascii="Arial" w:hAnsi="Arial"/>
                <w:color w:val="000000"/>
                <w:sz w:val="16"/>
                <w:szCs w:val="16"/>
              </w:rPr>
              <w:t>хлорид</w:t>
            </w:r>
            <w:r>
              <w:rPr>
                <w:rFonts w:cs="Arial" w:ascii="Arial" w:hAnsi="Arial"/>
                <w:color w:val="000000"/>
                <w:sz w:val="16"/>
                <w:szCs w:val="16"/>
                <w:lang w:val="en-US"/>
              </w:rPr>
              <w:t xml:space="preserve"> </w:t>
            </w:r>
            <w:r>
              <w:rPr>
                <w:rFonts w:cs="Arial" w:ascii="Arial" w:hAnsi="Arial"/>
                <w:color w:val="000000"/>
                <w:sz w:val="16"/>
                <w:szCs w:val="16"/>
              </w:rPr>
              <w:t>дигідрат</w:t>
            </w:r>
            <w:r>
              <w:rPr>
                <w:rFonts w:cs="Arial" w:ascii="Arial" w:hAnsi="Arial"/>
                <w:color w:val="000000"/>
                <w:sz w:val="16"/>
                <w:szCs w:val="16"/>
                <w:lang w:val="en-US"/>
              </w:rPr>
              <w:t xml:space="preserve">, </w:t>
            </w:r>
            <w:r>
              <w:rPr>
                <w:rFonts w:cs="Arial" w:ascii="Arial" w:hAnsi="Arial"/>
                <w:color w:val="000000"/>
                <w:sz w:val="16"/>
                <w:szCs w:val="16"/>
              </w:rPr>
              <w:t>натрію</w:t>
            </w:r>
            <w:r>
              <w:rPr>
                <w:rFonts w:cs="Arial" w:ascii="Arial" w:hAnsi="Arial"/>
                <w:color w:val="000000"/>
                <w:sz w:val="16"/>
                <w:szCs w:val="16"/>
                <w:lang w:val="en-US"/>
              </w:rPr>
              <w:t xml:space="preserve"> </w:t>
            </w:r>
            <w:r>
              <w:rPr>
                <w:rFonts w:cs="Arial" w:ascii="Arial" w:hAnsi="Arial"/>
                <w:color w:val="000000"/>
                <w:sz w:val="16"/>
                <w:szCs w:val="16"/>
              </w:rPr>
              <w:t>лактат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B05BB04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по 50 мл, 100 мл, 200 мл у пляшці; по 1 пляшці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CEP 2018-159-Rev 01 від виробника АФІ Калію хлорид «Macco Organiques, s.r.o.», Чеська Республіка. Затверджено: DMF version 10/2011. Запропоновано: CEP 2018-159-Rev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R1-CEP 2006-263-Rev 01 від виробника АФІ Кальцію хлорид дигідрат «Macco Organiques, s.r.o.», Чеська Республіка. Затверджено: DMF version 1/2008. Запропоновано: СЕР № R1-CEP 2006-263-Rev 01.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сертифікату відповідності Європейській фармакопеї № R1-CEP 2004-315-Rev 02 від виробника АФІ Натрію хлорид «Salinen Austria AG», Австрія. </w:t>
              <w:br/>
              <w:t>Затверджено: DMF F 20.QM.330.01. Запропоновано: СЕР № R1-CEP 2004-315-Rev 02.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додавання альтернативного методу контролю об'єму ВДІ та розчину проміжної продукції у реакторі, а саме вагового методу на основі показників тензометричних датчиків, інтегрованих у технологічні ємності.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НЕОТРИЗОЛ®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орнідазол, неоміцину сульфат, міконазолу нітрат, преднізолон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G01BF</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вагінальні; по 4 таблетки у стрипі; по 2 стрипи в картонній коробці, у комплекті з аплікатором; по 8 таблеток у блістері; по 1 блістеру в картонній коробці, у комплекті з аплікатором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ОРГАНОСИН ЛАЙФСАЄНСИЗ (ЕФ ЗЕТ 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ОАЕ</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Приведення методу контролю «Розпадання» до вимог загальної статті Європейської фармакопеї 2.9.2. PROCEDURE FOR VAGINAL TABLETS. </w:t>
              <w:br/>
              <w:t>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Приведення критеріїв специфікації тесту «Розпадання» до вимог зальної статті Європейської фармакопеї 2.9.2. PROCEDURE FOR VAGINAL TABLETS.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Розділення розділу МКЯ «СПЕЦИФІКАЦІЯ» на два розділи «СПЕЦИФІКАЦІЯ ГОТОВОГО ЛІКАРСЬКОГО ЗАСОБУ НА МОМЕНТ ВИПУСКУ» та «СПЕЦИФІКАЦІЯ ГОТОВОГО ЛІКАРСЬКОГО ЗАСОБУ НА ТЕРМІН ПРИДАТНОСТІ». Розділення специфікацій дозволяє чітко контролювати якість лікарського засобу на різних етапах його «життєвого циклу». Тести включені до специфікації на момент випуску мають більш жорсткі критерії прийнятності та характеризують стабільність та відтворюваність процесу виробництва лікарського засобу. Специфікація на термін придатності включає ті параметри, які можуть зазнавати змін в процесі зберігання готового лікарського засобу та підтверджують його ефективність і безпечність протягом терміну придатності.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(внесення змін у досьє для приведення у відповідність до загальної статті 2.9.40 «Однорідність дозованих одиниць» ДФУ/Європейської фармакопеї замість затверджених загальних статей 2.9.5 «Однорідність маси» та/або 2.9.6 «Однорідність дози») Вилучення показника «Однорідність маси», оскільки затверджений показник «Однорідність дозованих одиниць».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UA/10674/01/01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НЕФАМ®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nefopam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 мг; по 10 таблеток у блістері; по 2 або 6 блістерів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розділів «Особливості застосування» та «Побічні реакції» відповідно до інформації з безпеки застосування діючої речовини згідно рекомендацій PRAC.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UA/18031/02/01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nitrendipine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нітрендипін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2 або 3,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ПРО.МЕД.ЦС Прага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ПРО.МЕД.ЦС Прага а.с., Чеська Республіка; первинне та вторинне пакування: Санека Фармасьютикалз а.с., Словацька Республіка; контроль якості: АЛС Чеська Республіка, с.р.о., Чеська Республіка; контроль якості: ПРО.МЕД.ЦС Прага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 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вхідного контролю якості АФІ Нітрендипін у відповідність оновленій монографії Ph. Eur. 12.1 (№ 1246 — чинне видання, включаючи доповнення).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UA/13146/01/02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НІТРЕСАН®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nitrendipine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нітрендипін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C08CA08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або 3,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ПРО.МЕД.ЦС Прага 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ПРО.МЕД.ЦС Прага а.с., Чеська Республіка; первинне та вторинне пакування:</w:t>
              <w:br/>
              <w:t>Санека Фармасьютикалз а.с., Словацька Республіка; контроль якості: АЛС Чеська Республіка, с.р.о., Чеська Республіка; контроль якості:</w:t>
              <w:br/>
              <w:t>ПРО.МЕД.ЦС Прага а.с., Чеська Республіка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Республіка/ 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специфікації вхідного контролю якості АФІ Нітрендипін у відповідність оновленій монографії Ph. Eur. 12.1 (№ 1246 — чинне видання, включаючи доповнення).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НОРДІКСИН®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etifoxine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етифоксину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50 мг; по 15 капсул у блістері, по 4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"ЗДРАВО"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Атгена ІПС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готового лікарського засобу, без зміни місця виробництва. Зміни внесені в інструкцію для медичного застосування у розділ «Виробник» та як наслідок – у текст маркування упаковки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UA/19973/01/01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НУРОФЄН® ДЛЯ ДІТЕЙ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полуничним смаком, 100 мг/5 мл, по 100 мл або 200 мл у флаконі; по 1 флакону в комплекті зі шприцом-дозатором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(первинне та вторинне), контроль якості, випуск серії: 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UA/7914/01/01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з апельсиновим смаком, 100 мг/5 мл; по 100 мл або 200 мл у флаконі; по 1 флакону в комплекті зі шприцом-дозатором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пакування, контроль якості, випуск серії: Реккітт Бенкізер Хелскер (Юкей)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сертифікату відповідності Європейській фармакопеї № R1-СЕР 2000-087-Rev 02 (попередня версія СЕР R1-СЕР 2000-087-Rev 01) для діючої речовини Ibuprofen від вже затвердженого виробника BASF CORPORATION, USA.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2000-087-Rev 03 для діючої речовини Ibuprofen від вже затвердженого виробника BASF CORPORATION, USA.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12 (затверджено: № R1-CEP 1996-061-Rev 06) для діючої речовини Ibuprofen від вже затвердженого виробника, зі зміною назви виробника (затверджено: Shasun Chemscals &amp; Drugs Ltd; запропоновано: STRIDES SHASUN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14 для діючої речовини Ibuprofen від вже затвердженого виробника, зі зміною назви виробника (затверджено: Strides Shasun Limited, India; запропоновано: SOLARA ACTIVE PHARMA 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R1-CEP 1996-061-Rev 15 для діючої речовини Ibuprofen від вже затвердженого виробника SOLARA ACTIVE PHARMA 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Подання нового сертифікату відповідності Європейській фармакопеї № R1-СЕР 2008-316-Rev 01 від нового виробника діючої речовини Ibuprofen IOL CHEMICALS AND PHARMACEUTICALS LTD,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2008-316-Rev 03 від виробника діючої речовини Ibuprofen IOL CHEMICALS AND PHARMACEUTICALS LTD, Індія.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 R1-СЕР 2008-316-Rev 05 від виробника діючої речовини Ibuprofen IOL CHEMICALS AND PHARMACEUTICALS LTD, Індія.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НУРОФЄН®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ibuprofen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400 мг; по 12 таблеток у блістері; по 1 або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UA/6313/02/01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ОМЕЗ 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омепразол,</w:t>
              <w:br/>
              <w:t>домперидон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капсули тверді по 10 капсул у стрипі; по 3 стрипи в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Торрент Фармасьютікалс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введення періодичності контролю за показником «Мікробіологічна чистота» в Специфікації МКЯ ЛЗ (на момент випуску), а саме: «випробування проводиться для перших трьох комерційних серій, валідаційних серій, а потім з періодичністю 1 серія на кожні 10 серій або принаймні 1 серія на рік». Введення змін протягом 6-ти місяців після затвердження. Зміни І типу - Зміни з якості. Готовий лікарський засіб. Контроль готового лікарського засобу (інші зміни) - оновлення вже затверджених методів контролю якості ГЛЗ, а саме викладення тексту державною мовою згідно сучасних вимог. Також вносяться незначні уточнення, виправлення згідно матеріалів реєстраційного досьє виробника.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 оновлення параметрів специфікації та методів контролю ГЛЗ за показником «Зовнішній вигляд» для приведення до оригінальних матеріалів виробника.</w:t>
              <w:br/>
              <w:t xml:space="preserve">Затверджено: Зміни внесено в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ОРНІЗОЛ®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ornidazole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орнідазол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J01XD03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5 мг/мл; по 100 мл у пляшці; по 1 пляшці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ПАТ "Галичфарм"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(інші зміни) - внесення інформації щодо коригування рН при необхідності 0,1 М розчином хлористоводневої кислоти. зазначення вноситься у вигляді примітки.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UA/12227/01/01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ПАНКАЛОР®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200 мг; по 1 г гранул у саше, по 10 або по 30 саше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внесення змін за показником "Однорідність дозованих одиниць", а саме в специфікації та тексті методів контролю зазначено одиниці розмірності до AV (%) у відповідності до ЄФ, 2.9.40. А також додано формули розрахунку відповідно до монографії в рамках покращення якості.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аналітичної методики "Супровідні домішки", а саме уточнення до розділу Умови хроматографування, без змін в колонці (зазначається фірма та каталожний номер використовуваної колонки) та видаляється можливість використання аналогічної колонки. Дані зміни дозволять уникнути розбіжностей при перевірці придатності системи та гарантувати відтврюваніть результатів. А також внесено правки до таблиці із зазнеченням фактору відгуку домішок у відповідності до Звіту з валідації.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Затверджено: ТОВ «ГЛЕДФАРМ ЛТД» Україна, 02092, м. Київ, вулиця Алма-Атинська, будинок 58 Запропоновано: ТОВ «КУСУМ» Україна, 02092, м. Київ, вулиця Алма-Атинська, будинок 58.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зміни за показником "Ідентифікація", а саме до критеріїв прийнятності в специфікацію та тексту методів контролю для кращої інтерпритації результарів. З тексту методів контролю видалено холостий розчин у зв'язку з не використанням його підчас проведення аналізу.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UA/20432/02/01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ПАНКАЛОР®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200 мг; in bulk: № 960 (1х960) саше; по 1 г гранул у саше, по 960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внесення змін за показником "Однорідність дозованих одиниць", а саме в специфікації та тексті методів контролю зазначено одиниці розмірності до AV (%) у відповідності до ЄФ, 2.9.40. А також додано формули розрахунку відповідно до монографії в рамках покращення якості.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до аналітичної методики "Супровідні домішки", а саме уточнення до розділу Умови хроматографування, без змін в колонці (зазначається фірма та каталожний номер використовуваної колонки) та видаляється можливість використання аналогічної колонки. Дані зміни дозволять уникнути розбіжностей при перевірці придатності системи та гарантувати відтврюваніть результатів. А також внесено правки до таблиці із зазнеченням фактору відгуку домішок у відповідності до Звіту з валідації.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Затверджено: ТОВ «ГЛЕДФАРМ ЛТД» Україна, 02092, м. Київ, вулиця Алма-Атинська, будинок 58 Запропоновано: ТОВ «КУСУМ» Україна, 02092, м. Київ, вулиця Алма-Атинська, будинок 58.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w:t>
              <w:br/>
              <w:t xml:space="preserve">зміни за показником "Ідентифікація", а саме до критеріїв прийнятності в специфікацію та тексту методів контролю для кращої інтерпритації результарів. З тексту методів контролю видалено холостий розчин у зв'язку з не використанням його підчас проведення аналізу.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ПАНКАЛОР®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600 мг; по 3 г гранул у саше, по 10 або по 30 саше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br/>
              <w:t>зміна вноситься до методу випробування за показником "Ідентифікація", а саме: до критеріїв прийнятності в специфікацію та тексті методів контролю для кращої інтерпретації результатів. З тексту методів контролю видалено холостий розчин у зв'язку з не використанням його підчас проведення аналізу.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вноситься до методу випробування за показником "Супровідні домішки", а саме: уточнення до розділу Умови хроматографування, без змін в колонці (зазначається фірма та каталожний номер використовуваної колонки) та видаляється можливість використання аналогічної колонки. Внесено правки до таблиці із зазначенням фактору відгуку домішок у відповідності до Звіту з валідації.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Супутня зміна</w:t>
              <w:br/>
              <w:t>-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Специфікації/Методів випробування ГЛЗ за показником «Однорідність дозованих одиниць» зокрема: зазначення одиниць розмірності до AV (%) у відповідності до ЄФ, 2.9.40.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ПАНКАЛОР® ФОРТЕ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по 600 мг; in bulk: № 800 (1х800) саше; по 3 г гранул у саше, по 800 саше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Супутня зміна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w:t>
              <w:br/>
              <w:t>зміна вноситься до методу випробування за показником "Ідентифікація", а саме: до критеріїв прийнятності в специфікацію та тексті методів контролю для кращої інтерпретації результатів. З тексту методів контролю видалено холостий розчин у зв'язку з не використанням його підчас проведення аналізу.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зміна вноситься до методу випробування за показником "Супровідні домішки", а саме: уточнення до розділу Умови хроматографування, без змін в колонці (зазначається фірма та каталожний номер використовуваної колонки) та видаляється можливість використання аналогічної колонки. Внесено правки до таблиці із зазначенням фактору відгуку домішок у відповідності до Звіту з валідації.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Супутня зміна</w:t>
              <w:br/>
              <w:t>-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змін до Специфікації/Методів випробування ГЛЗ за показником «Однорідність дозованих одиниць» зокрема: зазначення одиниць розмірності до AV (%) у відповідності до ЄФ, 2.9.40.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UA/21157/02/01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ПАНТЕНОЛ СПРЕЙ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декспантенол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D03AX03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піна нашкірна, 4,63 г/100 г; по 130 г у контейнері під тиском;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Др. Герхард Манн Хем.-фарм. Фабрик ГмбХ, Німеччина; Відповідальний за випуск серій:</w:t>
              <w:br/>
              <w:t xml:space="preserve">Бауш + Ломб Ірланд Лімітед, Ірландія; Виробництво bulk, пакування, контроль якості: АСМ Аеросол-Сервіс АГ,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Ірландія/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Зміна місця здійснення основної діяльності з фармаконагляду.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ПАНТЕНОЛ-ЗДОРОВ'Я АЕРОЗОЛЬ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декспантенол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D03AX03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 xml:space="preserve">піна нашкірна, 50 мг/г; по 58,5 г або по 117,0 г у балоні з клапаном-насосом, насадкою-розпилювачем та захисним ковпачком; по 1 балону у коробці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умов відпуску в наказі МОЗ України № 1454 від 30.09.2026 в процесі перереєстрації.</w:t>
            </w:r>
            <w:r>
              <w:rPr>
                <w:rFonts w:cs="Arial" w:ascii="Arial" w:hAnsi="Arial"/>
                <w:color w:val="000000"/>
                <w:sz w:val="16"/>
                <w:szCs w:val="16"/>
              </w:rPr>
              <w:t xml:space="preserve"> Редакція в наказі - за рецептом. </w:t>
            </w:r>
            <w:r>
              <w:rPr>
                <w:rFonts w:cs="Arial" w:ascii="Arial" w:hAnsi="Arial"/>
                <w:b/>
                <w:color w:val="000000"/>
                <w:sz w:val="16"/>
                <w:szCs w:val="16"/>
              </w:rPr>
              <w:t>Вірна редакція - без рецепта.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b/>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UA/19009/02/01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ПАРАЦЕТАМОЛ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Гранулез Індія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Діюча редакція: ТОВ «ГЛЕДФАРМ ЛТД», Україна. Пропонована редакція: ТОВ «КУСУМ», Україна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ПАРАЦЕТАМОЛ С.А.Л.Ф.</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10 мг/мл; по 100 мл у флаконі №1; по 100 мл у флаконі, по 30 флаконів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С.А.Л.Ф. С.п.А. Лабораторіо Фармаколоджико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мг/5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2004-284-Rev 02 для АФІ Периндоприлу трет-бутиламін від вже затвердженого виробника Rolabo Outsourcing, S. L., Spain. Затверджено: CEP № R1- CEP 2004-284-Rev 01. Запропоновано: </w:t>
              <w:br/>
              <w:t>CEP 2004-284-Rev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4 мг/1,25 мг/10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2004-284-Rev 02 для АФІ Периндоприлу трет-бутиламін від вже затвердженого виробника Rolabo Outsourcing, S. L., Spain. Затверджено: CEP № R1- CEP 2004-284-Rev 01. Запропоновано: </w:t>
              <w:br/>
              <w:t>CEP 2004-284-Rev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мг/5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2004-284-Rev 02 для АФІ Периндоприлу трет-бутиламін від вже затвердженого виробника Rolabo Outsourcing, S. L., Spain. Затверджено: CEP № R1- CEP 2004-284-Rev 01. Запропоновано: </w:t>
              <w:br/>
              <w:t>CEP 2004-284-Rev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ПЕРІНДОПРЕС® ТРІО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perindopril, amlodipine and indapamide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периндоприлу трет-бутиламін, індапамід, 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C09BX01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8 мг/2,5 мг/10 мг; по 10 таблеток у блістері, по 3 або 9 блістерів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2004-284-Rev 02 для АФІ Периндоприлу трет-бутиламін від вже затвердженого виробника Rolabo Outsourcing, S. L., Spain. Затверджено: CEP № R1- CEP 2004-284-Rev 01. Запропоновано: </w:t>
              <w:br/>
              <w:t>CEP 2004-284-Rev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UA/19239/01/04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ПЛАВІКС®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clopidogrel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клопідогрелю гідросульфат у вигляді основи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75 мг; №28 (14х2): по 14 таблеток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ТОВ "Санофі-Авентіс Україна", Україна оновлено план управління ризиками (далі – ПУР) до версії 2.7 лікарського засобу ПЛАВІКС®, таблетки, вкриті плівковою оболонкою, по 75 мг; №28 (14х2): по 14 таблеток у блістері; по 2 блістери у картонній коробці з метою актуалізації питань подальшого спостереження (FUQ) у Додатку 4 до ПУР та оновлення Частини I відповідно до затвердженої процедури EMEA/H/C/WS/2150. Зміни внесено до частин: І «Загальна інформація», VII «Додатки». ПУР версія 2.7 погоджено (eCTD послідовність № 0000).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ПЛАВІКС®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clopidogrel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клопідогрелю гідросульфат у вигляді основи</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300 мг; № 10 (10х1): по 10 таблеток у блістері; по 1 блістеру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Заявником ТОВ "Санофі-Авентіс Україна", Україна оновлено план управління ризиками (далі – ПУР) до версії 2.7 лікарського засобу ПЛАВІКС®, таблетки, вкриті плівковою оболонкою, по 300 мг; № 10 (10х1): по 10 таблеток у блістері; по 1 блістеру в картонній коробці з метою актуалізації питань подальшого спостереження (FUQ) у Додатку 4 до ПУР та оновлення Частини I відповідно до затвердженої процедури EMEA/H/C/WS/2150. Зміни внесено до частин: І «Загальна інформація», VII «Додатки». ПУР версія 2.7 погоджено (eCTD послідовність № 0000).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150 мг, по 10 капсул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UA/21033/01/03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ПРЕГАБАЛІН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по 75 мг, по 10 капсул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Стерил-Джен Лайф Сайєнсиз (П)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ПРІОРИКС-ТЕТРА КОМБІНОВАНА ВАКЦИНА ДЛЯ ПРОФІЛАКТИКИ КОРУ, ЕПІДЕМІЧНОГО ПАРОТИТУ, КРАСНУХИ ТА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Measles, combinations with mumps, rubella and varicella, live attenuated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живий атенуйований вірус кору</w:t>
            </w:r>
            <w:r>
              <w:rPr>
                <w:rFonts w:cs="Arial" w:ascii="Arial" w:hAnsi="Arial"/>
                <w:sz w:val="16"/>
                <w:szCs w:val="16"/>
                <w:vertAlign w:val="superscript"/>
              </w:rPr>
              <w:t>1</w:t>
            </w:r>
            <w:r>
              <w:rPr>
                <w:rFonts w:cs="Arial" w:ascii="Arial" w:hAnsi="Arial"/>
                <w:sz w:val="16"/>
                <w:szCs w:val="16"/>
              </w:rPr>
              <w:t xml:space="preserve"> (штам Schwarz); живий атенуйований вірус епідемічного паротиту</w:t>
            </w:r>
            <w:r>
              <w:rPr>
                <w:rFonts w:cs="Arial" w:ascii="Arial" w:hAnsi="Arial"/>
                <w:sz w:val="16"/>
                <w:szCs w:val="16"/>
                <w:vertAlign w:val="superscript"/>
              </w:rPr>
              <w:t>1</w:t>
            </w:r>
            <w:r>
              <w:rPr>
                <w:rFonts w:cs="Arial" w:ascii="Arial" w:hAnsi="Arial"/>
                <w:sz w:val="16"/>
                <w:szCs w:val="16"/>
              </w:rPr>
              <w:t xml:space="preserve"> (штам RIT 4385, що походить від штаму Jeryl Lynn); живий атенуйований вірус краснухи</w:t>
            </w:r>
            <w:r>
              <w:rPr>
                <w:rFonts w:cs="Arial" w:ascii="Arial" w:hAnsi="Arial"/>
                <w:sz w:val="16"/>
                <w:szCs w:val="16"/>
                <w:vertAlign w:val="superscript"/>
              </w:rPr>
              <w:t>2</w:t>
            </w:r>
            <w:r>
              <w:rPr>
                <w:rFonts w:cs="Arial" w:ascii="Arial" w:hAnsi="Arial"/>
                <w:sz w:val="16"/>
                <w:szCs w:val="16"/>
              </w:rPr>
              <w:t xml:space="preserve"> (штам Wistar RA 27/3); живий атенуйований вірус вітряної віспи</w:t>
            </w:r>
            <w:r>
              <w:rPr>
                <w:rFonts w:cs="Arial" w:ascii="Arial" w:hAnsi="Arial"/>
                <w:sz w:val="16"/>
                <w:szCs w:val="16"/>
                <w:vertAlign w:val="superscript"/>
              </w:rPr>
              <w:t>2</w:t>
            </w:r>
            <w:r>
              <w:rPr>
                <w:rFonts w:cs="Arial" w:ascii="Arial" w:hAnsi="Arial"/>
                <w:sz w:val="16"/>
                <w:szCs w:val="16"/>
              </w:rPr>
              <w:t xml:space="preserve"> (штам ОКА) </w:t>
              <w:br/>
            </w:r>
            <w:r>
              <w:rPr>
                <w:rFonts w:cs="Arial" w:ascii="Arial" w:hAnsi="Arial"/>
                <w:i/>
                <w:sz w:val="16"/>
                <w:szCs w:val="16"/>
                <w:vertAlign w:val="superscript"/>
              </w:rPr>
              <w:t xml:space="preserve">1 </w:t>
            </w:r>
            <w:r>
              <w:rPr>
                <w:rFonts w:cs="Arial" w:ascii="Arial" w:hAnsi="Arial"/>
                <w:i/>
                <w:sz w:val="16"/>
                <w:szCs w:val="16"/>
              </w:rPr>
              <w:t xml:space="preserve">отриманий шляхом розмноження в культурі клітин курячих ембріонів; </w:t>
              <w:br/>
            </w:r>
            <w:r>
              <w:rPr>
                <w:rFonts w:cs="Arial" w:ascii="Arial" w:hAnsi="Arial"/>
                <w:i/>
                <w:sz w:val="16"/>
                <w:szCs w:val="16"/>
                <w:vertAlign w:val="superscript"/>
              </w:rPr>
              <w:t xml:space="preserve">2 </w:t>
            </w:r>
            <w:r>
              <w:rPr>
                <w:rFonts w:cs="Arial" w:ascii="Arial" w:hAnsi="Arial"/>
                <w:i/>
                <w:sz w:val="16"/>
                <w:szCs w:val="16"/>
              </w:rPr>
              <w:t>отриманий шляхом розмноження в диплоїдних клітинах людини (MRC-5)</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J07BD54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w:t>
              <w:br/>
              <w:t>ГлаксоСмітКляйн Біолоджікалз С.А., Бельгія (Формування, наповнення та ліофілізація вакцини. Маркування та пакування готового продукту. Контроль якості готового продукту. Маркування та пакування розчинника в шприцах та ампулах. Контроль якості розчинника в шприцах та ампулах);</w:t>
              <w:br/>
              <w:t>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тестів Розчинність та Ідентифікація натрію))</w:t>
              <w:br/>
              <w:t>Делфарм Тур, Франція (Виробництво розчинника в ампулах, маркування та пакування розчинника в ампулах, контроль якості розчинника в ампулах);</w:t>
              <w:br/>
              <w:t>Каталент Белджіум, Бельгія (Виробництво розчинника в шприцах, контроль якості розчинника в шприцах)</w:t>
              <w:br/>
              <w:t>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Франція/ Бельгія/ Італія/ </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2000-155 Rev 06 (затверджено: R1-CEP 2000-155-Rev 05) для фетальної бичачої сироватки (Foetal Bovine Serum (FBS)) від вже затвердженого виробника LIFE TECHNOLOGIES CORPORATION.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15 капсул м’яких у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контроль якості: Хемо Індія Формюлейшн Прайвет Лімітед Індія; вторинне пакування: АТДІС ФАРМА, С.Л. Іспанія; вторинне пакування: 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зміна у первинному пакуванні лікарського засобу, а саме додавання виробником готового лікарського засобу до поточного пакування PVC/PE/PVDC Aluminium blister додатково PVC/PVDC Aluminium blister.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ГЕСТА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ЛАБОРАТОРІОС ЛЕОН ФАРМА С.А., Іспанія; контроль якості: Хемо Індія Формюлейшн Прайвет Лімітед Індія; вторинне пакування: АТДІС ФАРМА, С.Л. Іспанія; вторинне пакування: 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зміна у первинному пакуванні лікарського засобу, а саме додавання виробником готового лікарського засобу до поточного пакування PVC/PE/PVDC Aluminium blister додатково PVC/PVDC Aluminium blister.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ОВО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100 мг; по 15 капсул м’яких у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t>контроль якості:</w:t>
              <w:br/>
              <w:t>Хемо Індія Формюлейшн Прайвет Лімітед, Індія;</w:t>
              <w:br/>
              <w:t>вторинне пакування:</w:t>
              <w:br/>
              <w:t>АТДІС ФАРМА, С.Л., Іспанія;</w:t>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внесення змін до складу блістера, а саме додано до поточної фольги PVC 250-PE 25-PVDC 180-Alu blister, яка використовується для первинного пакування, додатково фольгу - PVC 250 -PVDC 80 -Alu blister.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ПРОГИНОРМ ОВО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progesterone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прогестерон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G03DA04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м’які по 200 мг; по 15 капсул м’яких у блістері; по 2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ЗАТ «Фармліга»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Литовська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w:t>
              <w:br/>
              <w:t xml:space="preserve">ЛАБОРАТОРІОС ЛЕОН ФАРМА С.А., Іспанія; </w:t>
              <w:br/>
              <w:t>контроль якості:</w:t>
              <w:br/>
              <w:t>Хемо Індія Формюлейшн Прайвет Лімітед, Індія;</w:t>
              <w:br/>
              <w:t>вторинне пакування:</w:t>
              <w:br/>
              <w:t>АТДІС ФАРМА, С.Л., Іспанія;</w:t>
              <w:br/>
              <w:t>вторинне пакування:</w:t>
              <w:br/>
              <w:t>MAНАНТІАЛЬ ІНТЕГРА, С.Л.У.,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Іспанія</w:t>
            </w:r>
            <w:r>
              <w:rPr>
                <w:rFonts w:cs="Arial" w:ascii="Arial" w:hAnsi="Arial"/>
                <w:color w:val="000000"/>
                <w:sz w:val="16"/>
                <w:szCs w:val="16"/>
                <w:lang w:val="en-US"/>
              </w:rPr>
              <w:t>/</w:t>
            </w:r>
            <w:r>
              <w:rPr>
                <w:rFonts w:cs="Arial" w:ascii="Arial" w:hAnsi="Arial"/>
                <w:color w:val="000000"/>
                <w:sz w:val="16"/>
                <w:szCs w:val="16"/>
              </w:rPr>
              <w:t xml:space="preserve"> 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внесення змін до складу блістера, а саме додано до поточної фольги PVC 250-PE 25-PVDC 180-Alu blister, яка використовується для первинного пакування, додатково фольгу - PVC 250 -PVDC 80 -Alu blister.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ПРОЛАТАН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latanoprost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латанопрост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0,005 %; по 2,5 мл у флаконі з крапельницею; по 1 або по 3 флакони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СЕНТІСС ФАРМА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СЕНТІСС ФАРМА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АФІ, а саме Чірогате Інтернатіонал Інк., Тайвань (Chirogate International Inc., Taiwan). Виробник, що залишається ЄВРОАПІ Хангері Лтд., Угорщина (EUROAPI Hungary Ltd., Hungary) виконує ті ж функції що й вилучений.</w:t>
              <w:br/>
              <w:t xml:space="preserve">Оновлені МКЯ ЛЗ eCTD (eCTD 0000).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UA/13705/01/01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ПУЛЬМОБРІЗ®</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ацетилцистеїн, амброксолу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R05CB10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по 2 г порошку в саше; по 10 або 20 саше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 Медітоп Фармасьютікал Лтд.,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Зміна. Заявником надано оновлений План управління ризиками версія 2.0. </w:t>
              <w:br/>
              <w:t xml:space="preserve">Зміни внесено до частин: </w:t>
              <w:br/>
              <w:t xml:space="preserve">І «Загальна інформація» </w:t>
              <w:br/>
              <w:t xml:space="preserve">ІІ «Специфікація з безпеки» </w:t>
              <w:br/>
              <w:t xml:space="preserve">V «Заходи з мінімізації ризиків» </w:t>
              <w:br/>
              <w:t xml:space="preserve">VI «Резюме плану управління ризиками» </w:t>
              <w:br/>
              <w:t xml:space="preserve">VII «Додатки» (додатки 1-8) </w:t>
              <w:br/>
              <w:t xml:space="preserve">у зв’язку з видаленням важливих ідентифікованих ризиків, важливих потенційних ризиків, а також видалення відсутньої інформації відповідно до відповідно до HaRP Assessment Report for acetylcysteine, аmbroxol hydrochloride,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w:t>
              <w:br/>
              <w:t>Резюме плану управління ризиками 2.0 додається.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UA/10212/02/01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РАЛІНА®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sertraline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сертраліну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орального розчину 20 мг/мл; по 60 мл у флаконі скляному брунатного кольору; по 1 флакону в комплекті зі шприцом-дозатором або ложкою дозуючою у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зміни)-виправлення критеріїв прийнятності за показником «Кількісне визначення» в розділі 3.2.Р.3.4 реєстраційного досьє з метою приведення його у відповідність до затвердженого МКЯ та розділу 3.2.Р.5.1 реєстраційного досьє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РАЛІНА®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sertraline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сертраліну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орального розчину 20 мг/мл; по 60 мл у флаконі скляному брунатного кольору; по 1 флакону в комплекті зі шприцом-дозатором або ложкою дозуючою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зміни за показником в «Густина» в специфікації та методах контролю. МКЯ ЛЗ (версія eCTD 0010).</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РАМІЗЕС® 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Ramipril and diuretics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раміприл, гідрохлоротіазид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C09BA05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10 мг/12,5 мг по 10 таблеток у блістері; по 3 блістери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Раміприл- Neuland Laboratories Limited, Індія. Затверджено: Neuland Laboratories Limited, Індія </w:t>
              <w:br/>
              <w:t>AARTI Pharmalabs Limited, India. Запропоновано: AARTI Pharmalabs Limited, India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rPr>
            </w:pPr>
            <w:r>
              <w:rPr>
                <w:rFonts w:cs="Arial" w:ascii="Arial" w:hAnsi="Arial"/>
                <w:b/>
                <w:sz w:val="16"/>
                <w:szCs w:val="16"/>
              </w:rPr>
              <w:t>РАПАМУН / RAPAMUNE®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color w:val="000000"/>
                <w:sz w:val="16"/>
                <w:szCs w:val="16"/>
              </w:rPr>
              <w:t>Sirolimus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color w:val="000000"/>
                <w:sz w:val="16"/>
                <w:szCs w:val="16"/>
              </w:rPr>
              <w:t>сиролімус</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b/>
                <w:color w:val="000000"/>
                <w:sz w:val="16"/>
                <w:szCs w:val="16"/>
              </w:rPr>
              <w:t>L04AН01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lang w:val="ru-RU"/>
              </w:rPr>
            </w:pPr>
            <w:r>
              <w:rPr>
                <w:rFonts w:cs="Arial" w:ascii="Arial" w:hAnsi="Arial"/>
                <w:color w:val="000000"/>
                <w:sz w:val="16"/>
                <w:szCs w:val="16"/>
              </w:rPr>
              <w:t>таблетки, вкриті оболонкою по 1 мг</w:t>
            </w:r>
            <w:r>
              <w:rPr>
                <w:rFonts w:cs="Arial" w:ascii="Arial" w:hAnsi="Arial"/>
                <w:color w:val="000000"/>
                <w:sz w:val="16"/>
                <w:szCs w:val="16"/>
                <w:lang w:val="ru-RU"/>
              </w:rPr>
              <w:t>;</w:t>
            </w:r>
            <w:r>
              <w:rPr>
                <w:rFonts w:cs="Arial" w:ascii="Arial" w:hAnsi="Arial"/>
                <w:color w:val="000000"/>
                <w:sz w:val="16"/>
                <w:szCs w:val="16"/>
              </w:rPr>
              <w:t xml:space="preserve"> по 10 таблеток у блістері; по 10 блістерів у картонній упаковці з маркуванням іспанською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Пфайзер Ейч. Сі. Пі. Корпорейшн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lang w:val="ru-RU"/>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первинне та вторинне пакування, тестування при випуску та випробування стабільності, випуск серії: Пфайзер Менюфекчуринг Дойчленд ГмбХ, Німеччина; виробництво та тестування при випуску проміжного продукту сиролімус наносистеми дисперсної: Ново Нордіск Продакшн Ірландія Лімітед, Ірландія; тестування сиролімус наносистеми дисперсної, виробництво in bulk; первинне та вторинне пакування, тестування при випуску та випуск серії: Пфайзер Ірландія Фармасьютікалз Анлімітед Компані, Ірландія; випробування стабільності: Пфайзер Інк.,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ind w:left="-110" w:right="-105" w:hanging="0"/>
              <w:jc w:val="center"/>
              <w:rPr>
                <w:rFonts w:ascii="Arial" w:hAnsi="Arial" w:cs="Arial"/>
                <w:color w:val="000000"/>
                <w:sz w:val="16"/>
                <w:szCs w:val="16"/>
              </w:rPr>
            </w:pPr>
            <w:r>
              <w:rPr>
                <w:rFonts w:cs="Arial" w:ascii="Arial" w:hAnsi="Arial"/>
                <w:color w:val="000000"/>
                <w:sz w:val="16"/>
                <w:szCs w:val="16"/>
              </w:rPr>
              <w:t>Німеччина/ Ірландія/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коду АТХ в наказі МОЗ України № 1505 від 06.10.2026 в процесі внесення змін</w:t>
            </w:r>
            <w:r>
              <w:rPr>
                <w:rFonts w:cs="Arial" w:ascii="Arial" w:hAnsi="Arial"/>
                <w:color w:val="000000"/>
                <w:sz w:val="16"/>
                <w:szCs w:val="16"/>
              </w:rPr>
              <w:t xml:space="preserve"> (IA A6. Зміна коду АТС для сиролімусу відповідно до переглянутої класифікації імуносупресантів, заствердженої ВООЗ та опублікованої 26 січня 2024 року, а саме заміна коду L04AA10 на L04AH01. IB C.I.z Оновлення до розділів "4.4 особливості застосування" та "4.5 Взаємодія з іншими лікарськими засобами й інші види взаємодій" короткої характеристики лікарського засобу з метою включення інформації про лікарську взаємодію з канабіолом відповідно до оцінки сигналу щодо системного підвищення рівнів у сироватці крові та токсичності інгібіторів кальциневрину та інгібіторів mTOR (EPITT №19614), згідно з рекомендацією PRAC, прийнятою на засіданні у березні 2022 року. Відповідні оновлення також було внесено до розділу "Прийом препарату Рапамун з іншими лікарськими засобами" інструкції про застосування лікарського засобу (листок-вкладиш: інформація для пацієнта). Зазначені зміни не впливають негативно на якість, безпеку та ефективність лікарського засобу. Оновлення до розділу 4.5 "взаємодія з іншими лікарськими засобами й інші види взаємодій" пункту "Інші можливі взаємодії" Короткої характеристики лікарського засобу (SmPC) шляхом включення інформації провзаємодію між сиролімусом та летермовіром, відповідно до рекомендації PRAC на підставі наявних даних щодо лікарської взаємодії, отриманих у результаті кумулятивного аналізу, включаючи два випадки, зареєстровані в глобальній базі даних безпеки власника реєстраційного посвідчення, а також результати одного дослідження фармакокінетики у людини. Відповідні оновлення також було внесено до розділу "Прийом препарату Рапамун з іншими лікарськими засобами" інструкції про застосування лікарського засобу (листок-вкладиш: інформація для пацієнта). Зазначені зміни не впливають негативно на якість, безпеку та ефективність лікарського засобу). Редакція в наказі - L04AA10. </w:t>
            </w:r>
            <w:r>
              <w:rPr>
                <w:rFonts w:cs="Arial" w:ascii="Arial" w:hAnsi="Arial"/>
                <w:b/>
                <w:color w:val="000000"/>
                <w:sz w:val="16"/>
                <w:szCs w:val="16"/>
              </w:rPr>
              <w:t>Вірна редакція - L04AН01.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UA/19100/01/01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РАПІМАКС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w:t>
              <w:br/>
              <w:t>кофеїн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блістеру у картонній упаковці; по 10 таблеток у блістері; по 10 блістерів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ДЖІВДХАРА ФАРМА ПРАЙВІТ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Бафна Фармасьютікалс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розділи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Термін введення змін протягом 6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r>
              <w:rPr>
                <w:rFonts w:eastAsia="Arial" w:cs="Arial" w:ascii="Arial" w:hAnsi="Arial"/>
                <w:i/>
                <w:sz w:val="16"/>
                <w:szCs w:val="16"/>
              </w:rPr>
              <w:t xml:space="preserve"> </w:t>
            </w:r>
            <w:r>
              <w:rPr>
                <w:rFonts w:cs="Arial" w:ascii="Arial" w:hAnsi="Arial"/>
                <w:i/>
                <w:sz w:val="16"/>
                <w:szCs w:val="16"/>
              </w:rPr>
              <w:t>10 – без рецепта; № 100 – 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UA/10268/01/01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РАПТЕН 75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diclofenac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диклофенак натрію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25 мг/мл; по 3 мл (75 мг) в ампулі; по 5 ампул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"Хемофарм" АД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"Хемофарм" АД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Сербія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органом)-Зміни внесено в інструкцію для медичного застосування лікарського засобу в розділ "Застосування у період вагітності або годування груддю", відповідно до оновленої інформації з безпеки діючої речовини згідно з рекомендаціями PRAC.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згідно з рекомендаціями PRAC.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в інструкцію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згідно з рекомендаціями PRAC.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 Зміни внесено в інструкцію для медичного застосування лікарського засобу в розділи "Взаємодія з іншими лікарськими засобами та інші види взаємодій", "Особливості застосування", "Спосіб застосування та дози", "Передозування", "Побічні реакції" відповідно до оновленої інформації щодо безпеки застосування лікарського засобу, а також в розділ "Побічні реакції" внесено інформацію щодо важливості звітування про підозрювані побічні реакції.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РЕВАЦИО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15 таблеток у блістері; по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уповноваженої особи заявника, відповідальної за фармаконагляд. </w:t>
              <w:br/>
              <w:t>Діюча редакція: Dr Eiko Soehlke. Пропонована редакція: Andrea Oliva. Зміна контактних даних уповноваженої особи заявника, відповідальної за фармаконагляд.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РЕЗІСТОЛ®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пеларгонії коренів екстракт рідкийо (Pelargonii radix extractum liquidum)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in bulk: по 20 мл у флаконі; по 88 флаконів у коробі картонному; in bulk: по 50 мл у флаконі; по 80 флаконів у коробі картонному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у специфікацію лікарської рослинної сировини Пеларгонії корінь для приведення до вимог монографії ЕР 11.3 «Pelargonium root» з врахуванням можливості використання у виробництві різаної сировини. </w:t>
              <w:br/>
              <w:t xml:space="preserve">- Зміни внесено у показники «Опис» та «Ідентифікація» та «Кількісне визначення». </w:t>
              <w:br/>
              <w:t xml:space="preserve">- Вилучено показники, які не описані у монографії ЕР: «Сторонні домішки», «Ситовий аналіз». та супутня зміна, відповідні зміни вносяться в методи контролю. </w:t>
              <w:br/>
              <w:t>- Внесено відповідні уточнення до викладення методів контролю згідно вимог монографії ЕР для АФІ пеларгонії коренів екстракт рідкий за показником «Ідентифікація».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внесено інформацію, що показники «Важкі метали», «Залишкові кількості пестицидів», «Радіоактивне забруднення», «Афлатоксини» контролюються з періодичністю контролю – кожна перша партія з п’яти, але не рідше 1 партія в рік.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UA/14765/01/01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РЕЗІСТОЛ®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пеларгонії коренів екстракт рідкийо (Pelargonii radix extractum liquidum)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оральні, по 20 мл або по 50 мл у флаконі з пробкою-крапельницею; по 1 флакону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w:t>
              <w:br/>
              <w:t xml:space="preserve">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внесення змін у специфікацію лікарської рослинної сировини Пеларгонії корінь для приведення до вимог монографії ЕР 11.3 «Pelargonium root» з врахуванням можливості використання у виробництві різаної сировини. </w:t>
              <w:br/>
              <w:t xml:space="preserve">- Зміни внесено у показники «Опис» та «Ідентифікація» та «Кількісне визначення». </w:t>
              <w:br/>
              <w:t xml:space="preserve">- Вилучено показники, які не описані у монографії ЕР: «Сторонні домішки», «Ситовий аналіз». та супутня зміна, відповідні зміни вносяться в методи контролю. </w:t>
              <w:br/>
              <w:t>- Внесено відповідні уточнення до викладення методів контролю згідно вимог монографії ЕР для АФІ пеларгонії коренів екстракт рідкий за показником «Ідентифікація».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внесено інформацію, що показники «Важкі метали», «Залишкові кількості пестицидів», «Радіоактивне забруднення», «Афлатоксини» контролюються з періодичністю контролю – кожна перша партія з п’яти, але не рідше 1 партія в рік.</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UA/13789/01/01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РЕЗОГЛОБІН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anti-D (rh) immunoglobulin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специфічні антитіла до анти-Rh0(D) (імуноглобулін)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J06BB01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1500 МО (300 мкг імуноглобуліну); по 1 мл в ампулі, по 1 або 3, або 5 ампул в пачці; по 1 мл у попередньо наповненому шприці, по 1 шприцу в пачці; по 2 мл в ампулі, по 1 або 3, або 5 ампул в пачці; по 2 мл у попередньо наповненому шприці, по 1 шприцу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методах випробування первинної упаковки готового лікарського засобу (інші зміни у методах випробувань (включаючи заміну або додавання))</w:t>
              <w:br/>
              <w:t>Запропоновано заміну показника «Пірогени» на «Пірогенність» із застосуванням валідованого методу визначення бактеріальних ендотоксинів (ДФУ/Ph. Eur. 2.6.14/USP ) для стерильних голок. Встановлено критерій прийнятності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UA/13033/01/02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РЕЛАМІО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thiocolchicoside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тіоколхікозид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 мг/2 мл; по 2 мл в ампулі; по 6 ампул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ВЕМ Ілач Сан. ве Тік. 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уточнення вимоги (заміна терміну «прозорість» на термін «каламутність») до тесту Прозорість у затверджених специфікаціях на вимогу лабораторії з контролю лікарських засобів.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РЕТРОВІР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zidovudine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зидовудин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10 мг/мл; по 20 мл у флаконі; по 5 флаконів у картонній коробці з маркуванням англійською мовою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ВііВ Хелскер ЮК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 Оперейшнс ЮК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Готовий лікарський засіб. Система контейнер/закупорювальний засіб. Зміна у первинній упаковці готового лікарського засобу (тип контейнера або додавання нового контейнера) - Стерильні лікарські засоби та лікарські засоби біологічного/імунологічного походження - Зміна у первинній упаковці стерильного лікарського засобу, а саме заміна хлорбутилової та натуральної гумової пробки з інертним неорганічним наповнювачем (West 890ВР Red) на бромбутилову силіконізовану гумову пробку з інертним неорганічним наповнювачем (West 4023/50). Зміни внесено до інструкції для медичного застосування лікарського засобу у розділ "Особливості застосування", а саме: вилучено застереження щодо впливу латексу у зв'язку із зміною складу гумової пробки, яка є складовою частиною первинної упаковки (флакон з темного скла з гумовою пробкою).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UA/0232/01/01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РИСПОЛЕПТ КОНСТА®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суспензії для ін'єкцій пролонгованої дії по 37,5 мг; один комплект містить: один флакон з порошком, один шприц з 2 мл розчинника, один безголковий пристрій West для приготування суспензії та дві голки довжиною 25 мм та 51 мм (із захисними пристроями) для внутрішньом’язових ін’єкцій; по 1 комплекту у картонній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«Джонсон і Джонсон Україна II»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 первинна упаковка розчинника: Сілаг АГ, Швейцарія; Виробництво та первинна упаковка порошку: Алкермес Інк., США; Вторинна упаковка та випуск серії: Сілаг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Швейцарія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а також до розділів "Особливості застосування", "Спосіб застосування та дози", "Діти", "Побічні реакції", "Місцезнаходження виробника та адреса місця провадження його діяльності" (уточнення назви розділу), "Несумісність" внесено редакторські уточнення тексту.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РИСПОЛЕПТ КОНСТА®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порошок та розчинник для суспензії для ін'єкцій пролонгованої дії по 25 мг; один комплект містить: один флакон з порошком, один шприц з 2 мл розчинника, один безголковий пристрій West для приготування суспензії та дві голки довжиною 25 мм та 51 мм (із захисними пристроями) для внутрішньом’язових ін’єкцій; по 1 комплекту у картонній пачці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 «Джонсон і Джонсон Україна II»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та первинна упаковка розчинника: Сілаг АГ, Швейцарія; Виробництво та первинна упаковка порошку: Алкермес Інк., США; Вторинна упаковка та випуск серії: Сілаг АГ,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Швейцарія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розділу "Побічні реакції", а також до розділів "Особливості застосування", "Спосіб застосування та дози", "Діти", "Побічні реакції", "Місцезнаходження виробника та адреса місця провадження його діяльності" (уточнення назви розділу), "Несумісність" внесено редакторські уточнення тексту.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 75 МГ ТА ІЗОНІАЗИД 50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rifampicin and isoniazid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рифампіцин та ізоніазид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дисперговані по 75 мг/50 мг, по 28 таблеток у стрипі; по 3 стрипи у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"Побічні реакції" щодо безпеки застосування діючої речовини рифампіцин відповідно до рекомендацій PRAC. Інструкція для медичного застосування лікарського засобу (eCTD версія 0009)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 75 МГ/ІЗОНІАЗИД 50 МГ/ПІРАЗИНАМІД 150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rifampicin, pyrazinamide and isoniazid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рифампіцин, ізоніазид, піразинамід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дисперговані, по 75 мг/50 мг/150 мг; № 84 (28х3): по 28 таблеток у стрипі; по 3 стрипи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"Протипоказання", "Взаємодія з іншими лікарськими засобами та інші види взаємодій" щодо безпеки застосування діючої речовини рифампіцин відповідно до рекомендацій PRAC. Інструкція для медичного застосування лікарського засобу (eCTD версія 0005).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 ІЗОНІАЗИД, ПІРАЗИНАМІД ТА ЕТАМБУТОЛУ ГІДРОХЛОРИД ТАБЛЕТКИ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rifampicin, pyrazinamide, ethambutol and isoniazid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рифампіцин, ізоніазид, піразинамід, етамбутолу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мг/75 мг/400 мг/275 мг по 28 таблеток у блістері; по 24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органом)-Зміни внесено до інструкції для медичного застосування лікарського засобу в розділи "Протипоказання",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рифампіцин.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РИФАМПІЦИН+ІЗОНІАЗИД+ЕТАМБУТОЛУ ГІДРОХЛОРИД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рифампін, ізоніазид, етамбутолу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J04AM</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28 таблеток у блістері; по 24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Люпін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w:t>
              <w:br/>
              <w:t>Зміни внесено до інструкції для медичного застосування лікарського засобу в розділи "Протипоказання", "Взаємодія з іншими лікарськими засобами та інші види взаємодій", "Особливості застосування", "Побічні реакції" відповідно до оновленої інформації з безпеки діючої речовини рифампіцин.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РІАЛТРІС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mometasone, combinations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олопатадину гідрохлорид та мометазону фуроату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R01AD59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суспензія по 56,120 або 240 доз у поліетиленовому флаконі; по 1 флакону з дозуючим насосом- розпилювачем, закритим ковпачком,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Спешіалті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«ГЛЕНМАРК УКРАЇНА» 04070, місто Київ, вулиця Іллінська, будинок 8, корпус 11.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РІАЛТРІС МОНО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mometasone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мометазону фуроату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R01AD09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спрей назальний, дозований, суспензія, 50 мкг/дозу по 60 або 120 доз у поліетиленовому флаконі, по 1 флакону з дозуючим насосом- розпилювачем, закритим ковпачком, у картонній коробці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Спешіалті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адреси заявника Затверджено: Портова площа 2. Невшатель 2000 Place du Port 2, 2000 Neuchatel Запропоновано: вул. Пюї-Годе 8, Невшатель 2000 Rue du Puits-Godet 8, 2000 Neuchatel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14 таблеток 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до процесу виробництва лікарського засобу, в оновленому р. 3.2.P.3.3 Опис виробничого процесу та контролю процесу, в Схемі технологічного процесу на Стадії 5 Пакування таблеток, на етапі операції 5.2 Пакування блістерів з таблетками в пачку, пропонується до картонуючої машини додати ручне пакування (пакувальний стіл), як альтернативний вид пакування. При цьому технологія виробництва лікарського засобу, розмір серії лікарського засобу та всі критичні параметри якості продукту залишаються незмінними.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до процесу виробництва лікарського засобу, в оновленому р. 3.2.P.3.3 Опис виробничого процесу та контролю процесу, в Схемі технологічного процесу на Стадії 5 Пакування таблеток, на етапі операції 5.2 Пакування блістерів з таблетками в пачку, пропонується до картонуючої машини додати ручне пакування (пакувальний стіл), як альтернативний вид пакування. При цьому технологія виробництва лікарського засобу, розмір серії лікарського засобу та всі критичні параметри якості продукту залишаються незмінними.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14 таблеток 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до процесу виробництва лікарського засобу, в оновленому р. 3.2.P.3.3 Опис виробничого процесу та контролю процесу, в Схемі технологічного процесу на Стадії 5 Пакування таблеток, на етапі операції 5.2 Пакування блістерів з таблетками в пачку, пропонується до картонуючої машини додати ручне пакування (пакувальний стіл), як альтернативний вид пакування. При цьому технологія виробництва лікарського засобу, розмір серії лікарського засобу та всі критичні параметри якості продукту залишаються незмінними.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РІВАБАН®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rivaroxaban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ривароксабан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B01AF01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до процесу виробництва лікарського засобу, в оновленому р. 3.2.P.3.3 Опис виробничого процесу та контролю процесу, в Схемі технологічного процесу на Стадії 5 Пакування таблеток, на етапі операції 5.2 Пакування блістерів з таблетками в пачку, пропонується до картонуючої машини додати ручне пакування (пакувальний стіл), як альтернативний вид пакування. При цьому технологія виробництва лікарського засобу, розмір серії лікарського засобу та всі критичні параметри якості продукту залишаються незмінними.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UA/21320/01/04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РІТРАЗА 10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rizatriptan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ризатриптану бензоат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N02CC04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3 таблетки у блістері, по 1 або 3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РІТРАЗА 5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rizatriptan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ризатриптану бензоат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N02CC04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5 мг; по 3 таблетки у блістері; по 1 або 3 блістери у картонній упаковці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РОСЕМІД®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оральний, 1 мг/мл по 30 мл або по 100 мл у скляному флаконі з кришкою з контролем першого відкриття; по 30 мл або по 100 мл у скляному флаконі з кришкою недоступною для відкриття дітьми; кожен флакон у картонній упаковці разом з шприцем-дозатором об'ємом 3 мл та адаптером для шприца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 xml:space="preserve">або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та адреси заявника (власника реєстраційного посвідчення), без зміни юридичної особи. Введення змін протягом 12-ти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САНГЕРА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або по 10 мл в ампулі; по 5 ампул у контурній чарунковій упаковці; по 1 контурній чарунковій упаковці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1.4 Зміни внесено до частин: І «Загальна інформація», ІІ «Специфікація з безпеки», III «План з фармаконагляду», V «Заходи з мінімізації ризиків», VI «Резюме плану управління ризиками» VII «Додатки» у зв’язку з оновленням специфікації з безпеки діючої речовини транексамової кислоти, а саме - додаванням нового важливого ідентифікованого ризику "Помилки при лікуванні, що призводять до ненавмисної інтратекальної ін'єкції" та впровадженням для нього додаткового заходу з мінімізації ризику (DHPC), а також рутинного заходу з мінімізації ризиків (посилення інформації щодо внутрішньовенного шляху введення на зовнішній упаковці), відповідно до рекомендацій PRAC.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САНГЕРА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або по 10 мл в ампулі; по 5 ампул у контурній чарунковій упаковці; по 1 контурній чарунковій упаковці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внесені до розділів "Протипоказання", "Особливості застосування", "Побічні реакції" інструкції для медичного застосування лікарського засобу та до розділів "4.4. Протипоказання", "4.5. Особливі застереження та запобіжні заходи при застосуванні", "4.9. Побічні реакції" короткої характеристики лікарського засобу щодо безпеки застосування діючої речовини за рекомендацією PRAC EMA. Введення змін протягом 6-ти місяців після затвердження. Зміни І типу - Зміни щодо безпеки/ефективності та фармаконагляду (інші зміни) Зміни внесені до розділу "Спосіб застосування та дози" інструкції для медичного застосування лікарського засобу, до розділу "4.2. Дози та спосіб застосування" короткої характеристики лікарського засобу, а також відповідні зміни до тексту маркування вторинної упаковки лікарського засобу.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UA/14282/01/01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САНФУР - 750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cefuroxime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цефуроксим натрію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750 мг; 1 флакон з порошком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Cенс Лабораторіc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Cенс Лабораторіc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(інші зміни)- Введення додаткового розміру серії ГЛЗ 50 кг (61443 флаконів) в доповнення до вже затвердженого розміру серії 10 кг (12288 флакон).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досьє)(введення нового виробника АФІ з наданням мастер-файла на АФІ)- Введення додаткового виробника АФІ цефуроксиму натрію Shenzhen Salubris Pharmaceuticals Co., Ltd., China (No.1, Fenghuanggang Huabao Industrial District, Xixiang Town, Baoan District, Shenzhen City, Guangdong Province, China).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СЕВЕЛАМЕР-ВІСТА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sevelamer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севеламеру карбонат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V03AE02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800 мг, по 180 таблеток у контейнерах (баночках) з кришечкою; по 1 контейнеру (баночці)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включаючи первинне, вторинне пакування та випуск серії:</w:t>
              <w:br/>
              <w:t xml:space="preserve">Сінтон Хіспанія, С.Л., Іспанія; </w:t>
              <w:br/>
              <w:t>виробництво нерозфасованої продукції:</w:t>
              <w:br/>
              <w:t>Фармас'ютікал Уоркс ПОЛЬФАРМА С.А., Польща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Іспанія/ Польща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відповідальної за первинне та вторинне пакування Роттендорф Фарма ГмбХ, Німеччина. Виробник що залишається виконує ті ж функції що й вилучений.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СЕВІКАР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Olmesartan medoxomil and amlodipine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олмесартану медоксоміл, </w:t>
              <w:br/>
              <w:t>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мг/5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2013-105 - Rev 04 (затверджено: CEP 2013-105 - Rev 03) для АФІ олмесартану медоксоміл від вже затвердженого виробника EUROAPI HUNGARY Ltd., Угорщина.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2013-268 - Rev 03 (затверджено: R1-CEP 2013-268-Rev 02) для АФІ олмесартану медоксомілу від виробника ZHEJIANG TIANYU PHARMACEUTICAL Co., Ltd.,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СЕВІКАР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Olmesartan medoxomil and amlodipine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олмесартану медоксоміл, </w:t>
              <w:br/>
              <w:t>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мг/5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2013-105 - Rev 04 (затверджено: CEP 2013-105 - Rev 03) для АФІ олмесартану медоксоміл від вже затвердженого виробника EUROAPI HUNGARY Ltd., Угорщина.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2013-268 - Rev 03 (затверджено: R1-CEP 2013-268-Rev 02) для АФІ олмесартану медоксомілу від виробника ZHEJIANG TIANYU PHARMACEUTICAL Co., Ltd.,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СЕВІКАР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Olmesartan medoxomil and amlodipine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олмесартану медоксоміл, </w:t>
              <w:br/>
              <w:t>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C09DB02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 мг/10 мг; по 14 таблеток у блістері; по 2 блістера у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Даічі Санкіо Юроуп ГмбХ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2013-105 - Rev 04 (затверджено: CEP 2013-105 - Rev 03) для АФІ олмесартану медоксоміл від вже затвердженого виробника EUROAPI HUNGARY Ltd., Угорщина.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2013-268 - Rev 03 (затверджено: R1-CEP 2013-268-Rev 02) для АФІ олмесартану медоксомілу від виробника ZHEJIANG TIANYU PHARMACEUTICAL Co., Ltd.,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UA/17647/01/03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СЕЛЬТАВІР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30 мг; по 10 капсул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СЕЛЬТАВІР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10 капсул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СЕЛЬТАВІР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oseltamivir</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озельтамівіру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45 мг; по 10 капсул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UA/17704/01/02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СІНЕГРА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силденафілу цитрат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таблетці у блістері; по 1 блістеру в картонній упаковці; по 4 таблетки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Приведення розділу "Супровідні домішки" до вимог монографії sildenafil tablets ВР, ЕР sildenafil citrate, оновлених документів виробника з відповідним оновленням методу випробування. </w:t>
              <w:br/>
              <w:t xml:space="preserve">Затверджено: піперазину домішка не більше 0,2 % </w:t>
              <w:br/>
              <w:t xml:space="preserve">гідрокси домішка не більше 0,2 % </w:t>
              <w:br/>
              <w:t xml:space="preserve">5-(2-етоксифеніл)-1-метил-3-n- пропіл-1,6 дигідро-7Н-пірозол (4,3-d)піримідин-7-он- не більше 0,2%; </w:t>
              <w:br/>
              <w:t xml:space="preserve">неідентифіковані домішки - не більше 0,2 % </w:t>
              <w:br/>
              <w:t xml:space="preserve">сума домішок - не більше 1,0 %; </w:t>
              <w:br/>
              <w:t xml:space="preserve">Запропоновано: </w:t>
              <w:br/>
              <w:t xml:space="preserve">Домішка D не більше 0,2 % </w:t>
              <w:br/>
              <w:t xml:space="preserve">Домішка А не більше 0,15 %: </w:t>
              <w:br/>
              <w:t xml:space="preserve">Кожної неідентифікованої домішки не більше 0,2 % </w:t>
              <w:br/>
              <w:t xml:space="preserve">Сума домішок - не більше 0,5 %. </w:t>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до розділів "Однорідність дозованих одиниць", "Кількісне визначення. Силденафіл " змінено умови хроматографування, деталізовано приготування розчинів та умови придатності хроматографічної системи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UA/15696/01/02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СІНЕГРА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sildenafil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силденафілу цитрат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таблетці у блістері; по 1 блістеру в картонній упаковці; по 4 таблетки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Приведення розділу "Супровідні домішки" до вимог монографії sildenafil tablets ВР, ЕР sildenafil citrate, оновлених документів виробника з відповідним оновленням методу випробування. </w:t>
              <w:br/>
              <w:t xml:space="preserve">Затверджено: піперазину домішка не більше 0,2 % </w:t>
              <w:br/>
              <w:t xml:space="preserve">гідрокси домішка не більше 0,2 % </w:t>
              <w:br/>
              <w:t xml:space="preserve">5-(2-етоксифеніл)-1-метил-3-n- пропіл-1,6 дигідро-7Н-пірозол (4,3-d)піримідин-7-он- не більше 0,2%; </w:t>
              <w:br/>
              <w:t xml:space="preserve">неідентифіковані домішки - не більше 0,2 % </w:t>
              <w:br/>
              <w:t xml:space="preserve">сума домішок - не більше 1,0 %; </w:t>
              <w:br/>
              <w:t xml:space="preserve">Запропоновано: </w:t>
              <w:br/>
              <w:t xml:space="preserve">Домішка D не більше 0,2 % </w:t>
              <w:br/>
              <w:t xml:space="preserve">Домішка А не більше 0,15 %: </w:t>
              <w:br/>
              <w:t xml:space="preserve">Кожної неідентифікованої домішки не більше 0,2 % </w:t>
              <w:br/>
              <w:t xml:space="preserve">Сума домішок - не більше 0,5 %. </w:t>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Зміни до розділів "Однорідність дозованих одиниць", "Кількісне визначення. Силденафіл " змінено умови хроматографування, деталізовано приготування розчинів та умови придатності хроматографічної системи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UA/15696/01/03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СІОФОР® 850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metformin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метформіну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15 таблеток у блістері; по 4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Первинне та вторинне пакування, контроль та випуск серії: </w:t>
              <w:br/>
              <w:t>БЕРЛІН-ХЕМІ АГ, Нiмеччина;</w:t>
              <w:br/>
              <w:t xml:space="preserve">Виробництво "in bulk" та контроль серій: </w:t>
              <w:br/>
              <w:t>БЕРЛІН-ХЕМІ АГ, Нiмеччина;</w:t>
              <w:br/>
              <w:t>виробництво "in bulk", первинне та вторинне пакування, контроль серій та випуск серій:</w:t>
              <w:br/>
              <w:t>Менаріні-Фон Хейден ГмбХ, Німеччина;</w:t>
              <w:br/>
              <w:br/>
              <w:t>Контроль серій:</w:t>
              <w:br/>
              <w:t>АЛС Чеська Республіка с.р.о., Чеська Республiка;</w:t>
              <w:br/>
              <w:t>АЛС Чеська Республіка с.р.о., Чеська Республiка;</w:t>
              <w:br/>
              <w:t>А. Менаріні Мануфактурінг Логістікс енд Сервісес С.р.Л.,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 Чеська Республiка/ Італія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1998-079-Rev 12 (затверджено: R1-CEP 1998-079-Rev 11) для діючої речовини метформіну гідрохлориду від вже затвердженого виробника Wanbury Limited.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 CEP 2000-059-Rev 13 (затверджено: R1-CEP 2000-059-Rev 12) для діючої речовини метформіну гідрохлориду від вже затвердженого виробника Harman Finochem Limited. </w:t>
              <w:br/>
              <w:t>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введення додаткового методу РХ-МС/МС для визначення N-Нітрозодиметиламіну (метод Б) як альтернативний до вже затвердженого методу РХ-МС/МС, що відтепер зазначений як метод А. Також, внесені редакційні правки: за показником «Втрата в масі при висушуванні» опис методу приведено у відповідність до чинної монографії Ph.Eur. 2.2.32. Метод залишається незмінним; виправлення друкарської помилки в описі методу за показником «Розчинення».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відповідального за виробництво «in bulk» та контроль серій Драгенофарм Апотекер Пюшл ГмбХ, Німеччина Гьольштрасе 1, 84523 Титмонінг, Німеччина/ Dragenopharm Apotheker Puschl GmbH, Germany Gollstrasse 1, 84529 Tittmoning, Germany.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UA/3734/01/03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СОЛАНТРА®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ivermectin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івермектин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D11AX22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крем, 10 мг/г; по 30 г у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Галдерма СА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 маркування, випробування контролю якості, випробування стабільності та випуск серій:</w:t>
              <w:br/>
              <w:t xml:space="preserve">ЛАБОРАТОРІЇ ГАЛДЕРМА, Францiя; Випробування стабільності: АЛЬБЕД ПРОВАНС, Франція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1999-176 Rev 06 на івермектин від виробника Zhejiang Hisun Pharmaceutical Co., Ltd., Китай (затверджено: R1-CEP 1999-176 Rev 05; запропоновано: CEP 1999-176 Rev 06).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для домішки з відносним часом утримування (RRT) 1.7 у специфікації на активну речовину для виробника Zhejiang Hisun Pharmaceutical Со. , Ltd, Китай — з не більше (NMT) 0,5% до не більше (NMT)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СПЕКТРІЛА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asparaginase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аспарагіназа*</w:t>
              <w:br/>
              <w:t>* Виробляється клітинами Escherichia coli методом рекомбінантних ДНК</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L01XX02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концентрату для розчину для інфузій, по 10 000 ОД; 1 або 5 флаконів з порошком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маркування, вторинне пакування та за випуск серії: Медак Гезельшафт фюр клініше Шпеціальпрепарате мбХ, Німеччина; Виробник, що відповідає за виробництво готової лікарської форми, первинне пакування, випробування/контроль якості: Ліоконтракт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контактної особи заявника, відповідальної за фармаконагляд в Україні. </w:t>
              <w:br/>
              <w:t>Діюча редакція: Агапов Владислав Олегович. Пропонована редакція: Дорошенко Анна Ігорівна. Зміна контактних даних контактної особи заявника, відповідальної за фармаконагляд в Україні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СТЕРКСАМІК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контурній упаковці; по 1 контурній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у розділи "Протипоказання", "Особливості застосування", "Спосіб застосування та дози", "Побічні реакції" та до тексту маркування упаковки лікарського засобу відповідно до оновленої інформації з безпеки діючої речовини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СТЕРКСАМІК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контурній упаковці; по 1 контурній упаковці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«Аміла Хелс Кеа»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ІНТЕНСИВ З МЕДОМ ТА ЛИМОНОМ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flurbiprofen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флурбіпрофен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8,75 мг по 8 льодяників у блістері; по 2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СТРЕПСІЛС®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лідокаїну гідрохлорид; амілметакрезол; 2,4-дихлорбензиловий спирт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R02AA03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льодяники; по 8 льодяників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До матеріалів реєстраційного досьє вноситься інформація про імпортера Товариство з обмеженою відповідальністю «Реккітт Бенкізер Хаусхолд Енд Хелс Кер Україна». Зміни вносяться згідно вимог постанови Кабінету міністрів України № 287 від 14.03.2025 р. Про затвердження Порядку ввезення на територію України лікарських засобів.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СУЛЬФОКАЇН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DL-сульфокамфорна кислота,</w:t>
              <w:br/>
              <w:t>новокаїну основа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C01EB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2 мл в ампулі; по 10 ампул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«ФАРМАСЕЛ»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«ФАРМАСЕЛ»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Зміна пропонується у зв’язку із оптимізацією процесу виробництва ЛЗ Сульфокаїн з урахуванням розміру пакування АФІ та мінімального об’єму серії, регламентованого наявним технологічним обладнанням, а саме ведення додаткових об’ємів серій - 150 л та 190 л. Затверджено: 280 л та 560 л. Запропоновано: </w:t>
              <w:br/>
              <w:t xml:space="preserve">150 л (71429 амп.), 190 л (90476 амп.), 280 л (133333 амп.), 560 л (266667 амп.).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зміна пропонується у зв’язку із оптимізацією процесу виробництва ЛЗ, що здійснюється на Дільниці №1 «Виробництво рідких лікарських засобів в асептичних умовах».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UA/20409/01/01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ТАВІН-ЕМ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tenofovir disoproxil and emtricitabine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тенофовіру дизопроксилу фумарат, емтрицитабін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J05AR03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300 мг/200 мг, по 30 таблеток у пластиковому флаконі, що містить контейнер з силікагелем; по 1 пластиковому флакону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Eмкур Фармасьютікалс Лтд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Eмкур Фармасьютікалс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Зміни вносяться у зв’язку зі зміною юридичної адреси компанії.</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UA/18111/01/01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ТАДАЛАФІЛ ГЕНЕЙМ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tadalafil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тадалафіл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G04BE08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2 таблетки у блістері; по 1 блістеру у пачці; по 4 таблетки у блістері; по 1 або 2 блістери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w:t>
              <w:br/>
              <w:t>АККОРД ХЕЛСКЕА ЛІМІТЕД, Bелика Британія</w:t>
              <w:br/>
              <w:br/>
              <w:t>контроль якості:</w:t>
              <w:br/>
              <w:t>АСТРОН РЕСЬОРЧ ЛІМІТЕД, Bелика Британія;</w:t>
              <w:br/>
              <w:t>контроль якості:</w:t>
              <w:br/>
              <w:t xml:space="preserve">Єврофінс Аналітікал Сервісез Хангері Кфт., Угорщина </w:t>
              <w:br/>
              <w:br/>
              <w:t>вторинне пакування:</w:t>
              <w:br/>
              <w:t xml:space="preserve">ДіЕйчЕль СЕПЛАЙ ЧЕЙН (Італія) СПА, Італія </w:t>
              <w:br/>
              <w:t>виробництво лікарського засобу, первинне та вторинне пакування, контроль якості серії, експорт на дільницю випуску серії:</w:t>
              <w:br/>
              <w:t>Інтас Фармасьютікалс Лімітед, Індія</w:t>
              <w:br/>
              <w:t>контроль якості:</w:t>
              <w:br/>
              <w:t>ФАРМАВАЛІД Лтд. Мікробіологічна лабораторія, Угорщина</w:t>
              <w:br/>
              <w:br/>
              <w:t>контроль якості:</w:t>
              <w:br/>
              <w:t>Фармадокс Хелскеа Лтд., Мальта</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Bелика Британія/ Угорщина/ Італія/ Індія/ Мальта/ Польща/ Греція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виробника відповідального за вторинне пакування: Аккорд Хелскеа Сінгл Мембер С.А. (64-й км Національної дороги Афіни, Ламія, Шиматарі, 32009, Греція) / Accord Healthcare Single Member S.A. (64th Km National Road Athens, Lamia, Schimatari, 32009,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серій: Аккорд Хелскеа Сінгл Мембер С.А. (64-й км Національної дороги Афіни, Ламія, Шиматарі, 32009, Греція) / Accord Healthcare Single Member S.A. (64th Km National Road Athens, Lamia, Schimatari, 32009, Greece)</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ТАЛФАТРЕКС-Е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Emtricitabine and tenofovir alafenamide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емтрицитабін; тенофовіру алафенаміду фумарат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J05AR17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мг/25 мг, по 30 таблеток у флаконі; по 1 флакону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UA/20839/01/01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ТАМОКСИФЕН-ЗДОРОВ'Я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tamoxifen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тамоксифен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6 блістерів у картонній коробці; по 60 таблеток у контейнері пластмасовому;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«Передозування», «Побічні реакції» відповідно інформації з безпеки застосування діючої речовини згідно рекомендацій PRAC.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ТАМОКСИФЕН-ЗДОРОВ'Я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tamoxifen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тамоксифен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3 або 6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«Передозування», «Побічні реакції» відповідно інформації з безпеки застосування діючої речовини згідно рекомендацій PRAC.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UA/5528/01/02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ТАФЛОТАН® МУЛЬТІ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tafluprost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тафлупрост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S01EE05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по 15 мкг/мл; по 3 мл у флаконі з дозатором та кришкою з контролем першого відкриття;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Сантен 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Фiнляндiя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відповідальний за випуск серії: Сантен АТ, Фінляндія; Виробник, відповідальний за виробництво in-bulk, первинну та вторинну упаковку, випробування щодо якості: Тубілюкс Фарма С.П.А., Італiя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Фінляндія/ Італiя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введення додаткового виробника, що проводить стерилізацію компонентів первинного пакування (Ophthalmic Squeeze Dipenser) за допомогою гамма-опромінення, а саме Gammatom Srl, Italy. Зміни вносяться в розділ 3.2.Р.7. Система контейнер/закупорювальні засоби.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UA/18212/01/01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ТВІНРИКС ВАКЦИНА ДЛЯ ПРОФІЛАКТИКИ ГЕПАТИТІВ А (ІНАКТИВОВАНА) І В (АДСОРБОВАНА)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pPr>
            <w:r>
              <w:rPr>
                <w:rFonts w:cs="Arial" w:ascii="Arial" w:hAnsi="Arial"/>
                <w:sz w:val="16"/>
                <w:szCs w:val="16"/>
              </w:rPr>
              <w:t>вірус гепатиту А (інактивований)</w:t>
            </w:r>
            <w:r>
              <w:rPr>
                <w:rFonts w:cs="Arial" w:ascii="Arial" w:hAnsi="Arial"/>
                <w:sz w:val="16"/>
                <w:szCs w:val="16"/>
                <w:vertAlign w:val="superscript"/>
              </w:rPr>
              <w:t>(1,2)</w:t>
            </w:r>
            <w:r>
              <w:rPr>
                <w:rFonts w:cs="Arial" w:ascii="Arial" w:hAnsi="Arial"/>
                <w:sz w:val="16"/>
                <w:szCs w:val="16"/>
              </w:rPr>
              <w:t xml:space="preserve">; поверхневий антиген вірусу гепатиту В </w:t>
            </w:r>
            <w:r>
              <w:rPr>
                <w:rFonts w:cs="Arial" w:ascii="Arial" w:hAnsi="Arial"/>
                <w:sz w:val="16"/>
                <w:szCs w:val="16"/>
                <w:vertAlign w:val="superscript"/>
              </w:rPr>
              <w:t>(3,4)</w:t>
            </w:r>
            <w:r>
              <w:rPr>
                <w:rFonts w:cs="Arial" w:ascii="Arial" w:hAnsi="Arial"/>
                <w:sz w:val="16"/>
                <w:szCs w:val="16"/>
              </w:rPr>
              <w:t xml:space="preserve"> </w:t>
              <w:br/>
            </w:r>
            <w:r>
              <w:rPr>
                <w:rFonts w:cs="Arial" w:ascii="Arial" w:hAnsi="Arial"/>
                <w:sz w:val="16"/>
                <w:szCs w:val="16"/>
                <w:vertAlign w:val="superscript"/>
              </w:rPr>
              <w:t>(1)</w:t>
            </w:r>
            <w:r>
              <w:rPr>
                <w:rFonts w:cs="Arial" w:ascii="Arial" w:hAnsi="Arial"/>
                <w:sz w:val="16"/>
                <w:szCs w:val="16"/>
              </w:rPr>
              <w:t xml:space="preserve"> вироблено на диплоїдних клітинах людини MRC-5</w:t>
              <w:br/>
            </w:r>
            <w:r>
              <w:rPr>
                <w:rFonts w:cs="Arial" w:ascii="Arial" w:hAnsi="Arial"/>
                <w:sz w:val="16"/>
                <w:szCs w:val="16"/>
                <w:vertAlign w:val="superscript"/>
              </w:rPr>
              <w:t>(2)</w:t>
            </w:r>
            <w:r>
              <w:rPr>
                <w:rFonts w:cs="Arial" w:ascii="Arial" w:hAnsi="Arial"/>
                <w:sz w:val="16"/>
                <w:szCs w:val="16"/>
              </w:rPr>
              <w:t xml:space="preserve"> адсорбований на алюмінію гідроксиді, гідратованому 0,05 мг Al3+</w:t>
              <w:br/>
            </w:r>
            <w:r>
              <w:rPr>
                <w:rFonts w:cs="Arial" w:ascii="Arial" w:hAnsi="Arial"/>
                <w:sz w:val="16"/>
                <w:szCs w:val="16"/>
                <w:vertAlign w:val="superscript"/>
              </w:rPr>
              <w:t>(3)</w:t>
            </w:r>
            <w:r>
              <w:rPr>
                <w:rFonts w:cs="Arial" w:ascii="Arial" w:hAnsi="Arial"/>
                <w:sz w:val="16"/>
                <w:szCs w:val="16"/>
              </w:rPr>
              <w:t xml:space="preserve"> вироблено у клітинах дріжджової культури Saccharomyces cerevisiae за технологією рекомбінантної ДНК</w:t>
              <w:br/>
            </w:r>
            <w:r>
              <w:rPr>
                <w:rFonts w:cs="Arial" w:ascii="Arial" w:hAnsi="Arial"/>
                <w:sz w:val="16"/>
                <w:szCs w:val="16"/>
                <w:vertAlign w:val="superscript"/>
              </w:rPr>
              <w:t>(4)</w:t>
            </w:r>
            <w:r>
              <w:rPr>
                <w:rFonts w:cs="Arial" w:ascii="Arial" w:hAnsi="Arial"/>
                <w:sz w:val="16"/>
                <w:szCs w:val="16"/>
              </w:rPr>
              <w:t xml:space="preserve"> адсорбований на алюмінію фосфаті</w:t>
            </w:r>
          </w:p>
          <w:p>
            <w:pPr>
              <w:pStyle w:val="Normal"/>
              <w:tabs>
                <w:tab w:val="left" w:pos="12600" w:leader="none"/>
              </w:tabs>
              <w:rPr>
                <w:rFonts w:ascii="Arial" w:hAnsi="Arial" w:cs="Arial"/>
                <w:sz w:val="16"/>
                <w:szCs w:val="16"/>
              </w:rPr>
            </w:pPr>
            <w:r>
              <w:rPr>
                <w:rFonts w:cs="Arial" w:ascii="Arial" w:hAnsi="Arial"/>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J07BC20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дозі (1 мл/дозу) у попередньо наповненому шприці № 1 у комплекті з голкою з маркуванням українською мовою або зі стикером українською мовою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Маркування та пакування готового продукту: ГлаксоСмітКляйн Біолоджікалз, Франція; Формування вакцини, наповнення в шприці, проведення контролю якості, маркування і пакування готового продукту: ГлаксоСмітКляйн Біолоджікалз С.А., Бельгія;</w:t>
              <w:br/>
              <w:t>Формування вакцини, наповнення в шприці, проведення контролю якості: СмітКляйн Бічем Фарма ГмбХ унд Ко. КГ, Німеччина;</w:t>
              <w:br/>
              <w:t>Випуск серії готового продукту: ГлаксоСмітКляйн Біолоджікалз С.А., Бельгія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 Заміна внутрішньої серії референтної вакцини SWN0568А12 (що відповідає вихідній серії АНАВВ457А) на нову серію рефрентної вакцини (Twinrix FC) SWN0568А14 (що відповідає комерційній вихідній серії АНАВВ486А), з метою забезпечення наявності кваліфікованої серії референтної вакцини Twinrix для проведення випробувань.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ТЕНОЧЕК®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Atenolol and other antihypertensives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атенолол, амлодипіну бесилат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C07FB03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14 таблеток в блістері; по 2 блістери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Іпка Лабораторіз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"Передозування" відповідно до оновленої інформації щодо безпеки застосування діючої речовини згідно з рекомендацією PRAC.</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ТЕРОНРЕД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abiraterone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абіратерону ацетат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L02BX03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250 мг; по 120 таблеток у контейнері з ПЕ високої щільності з кришкою, недоступною для відкриття дітьми. Всередину контейнера поміщено пакет з адсорбентом кисню з попереджувальним написом. По 1 контейнеру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Редді’с Лабораторіс Лтд, ФТО-7</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Введення змін протягом 3-х місяців після затвердження. Зміни І типу - Зміни з якості. Готовий лікарський засіб. Контроль готового лікарського засобу (інші зміни) зміни до Специфікації МКЯ ЛЗ для приведення до оригінальної специфікації виробника, а саме додавання посилань на чинні розділи USP, додавання до тестів зірочки, які проводяться під час досліджень стабільності. Також у розділі «Склад» МКЯ ЛЗ склад плівкової оболонки Opadry White OY-58900, що наданий під позначкою зірочка, переміщено в дужки безпосередньо до плівкової оболонки Opadry White OY-58900 для уникнення невірного тлумачення зірочки, що надане після розділу Розшифрування домішок. Затверджено: Допоміжні речовини: лактоза, моногідрат; целюлоза мікрокристалічна; натрію кроскармелоза; повідон; натрію лаурилсульфат; кремнію діоксид колоїдний безводний; магнію стеарат; плівкова оболонка Opadry White OY-58900* *- склад плівкової оболонки Opadry White OY-58900: гіпромелоза, титану діоксид (Е 171), поліетиленгліколь). Запропоновано: Допоміжні речовини: лактоза, моногідрат; целюлоза мікрокристалічна; натрію кроскармелоза; повідон; натрію лаурилсульфат; кремнію діоксид колоїдний безводний; магнію стеарат; плівкова оболонка Opadry White OY-58900 (Склад плівкової оболонки: гіпромелоза, титану діоксид (Е 171), поліетиленгліколь). Введення змін протягом 3-х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ТЕТРАКСИМ®/TETRAXIM ВАКЦИНА ДЛЯ ПРОФІЛАКТИКИ ДИФТЕРІЇ, ПРАВЦЯ, КАШЛЮКУ (АЦЕЛЮЛЯРНИЙ КОМПОНЕНТ) ТА ПОЛІОМІЄЛІТУ АДСОРБОВАНА, ІНАКТИВОВАНА, РІДКА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Diphtheria-pertussis-poliomyelitis-tetanus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both"/>
              <w:rPr/>
            </w:pPr>
            <w:r>
              <w:rPr>
                <w:rFonts w:cs="Arial" w:ascii="Arial" w:hAnsi="Arial"/>
                <w:color w:val="000000"/>
                <w:sz w:val="16"/>
                <w:szCs w:val="16"/>
              </w:rPr>
              <w:t>дифтерійний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pPr>
            <w:r>
              <w:rPr>
                <w:rFonts w:cs="Arial" w:ascii="Arial" w:hAnsi="Arial"/>
                <w:color w:val="000000"/>
                <w:sz w:val="16"/>
                <w:szCs w:val="16"/>
              </w:rPr>
              <w:t>правцевий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pPr>
            <w:r>
              <w:rPr>
                <w:rFonts w:cs="Arial" w:ascii="Arial" w:hAnsi="Arial"/>
                <w:color w:val="000000"/>
                <w:sz w:val="16"/>
                <w:szCs w:val="16"/>
              </w:rPr>
              <w:t>антигени </w:t>
            </w:r>
            <w:r>
              <w:rPr>
                <w:rFonts w:cs="Arial" w:ascii="Arial" w:hAnsi="Arial"/>
                <w:i/>
                <w:iCs/>
                <w:color w:val="000000"/>
                <w:sz w:val="16"/>
                <w:szCs w:val="16"/>
              </w:rPr>
              <w:t>Bordetella pertussis</w:t>
            </w:r>
            <w:r>
              <w:rPr>
                <w:rFonts w:cs="Arial" w:ascii="Arial" w:hAnsi="Arial"/>
                <w:color w:val="000000"/>
                <w:sz w:val="16"/>
                <w:szCs w:val="16"/>
              </w:rPr>
              <w:t>:</w:t>
            </w:r>
          </w:p>
          <w:p>
            <w:pPr>
              <w:pStyle w:val="Normal"/>
              <w:jc w:val="both"/>
              <w:rPr/>
            </w:pPr>
            <w:r>
              <w:rPr>
                <w:rFonts w:cs="Arial" w:ascii="Arial" w:hAnsi="Arial"/>
                <w:color w:val="000000"/>
                <w:sz w:val="16"/>
                <w:szCs w:val="16"/>
              </w:rPr>
              <w:t>- кашлюковий анатоксин</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pPr>
            <w:r>
              <w:rPr>
                <w:rFonts w:cs="Arial" w:ascii="Arial" w:hAnsi="Arial"/>
                <w:color w:val="000000"/>
                <w:sz w:val="16"/>
                <w:szCs w:val="16"/>
              </w:rPr>
              <w:t>- філаментний гемаглютинін (ФГА)</w:t>
            </w:r>
            <w:r>
              <w:rPr>
                <w:rFonts w:cs="Arial" w:ascii="Arial" w:hAnsi="Arial"/>
                <w:color w:val="000000"/>
                <w:sz w:val="16"/>
                <w:szCs w:val="16"/>
                <w:vertAlign w:val="superscript"/>
              </w:rPr>
              <w:t>1</w:t>
            </w:r>
            <w:r>
              <w:rPr>
                <w:rFonts w:cs="Arial" w:ascii="Arial" w:hAnsi="Arial"/>
                <w:color w:val="000000"/>
                <w:sz w:val="16"/>
                <w:szCs w:val="16"/>
              </w:rPr>
              <w:t>;</w:t>
            </w:r>
          </w:p>
          <w:p>
            <w:pPr>
              <w:pStyle w:val="Normal"/>
              <w:jc w:val="both"/>
              <w:rPr>
                <w:rFonts w:ascii="Arial" w:hAnsi="Arial" w:cs="Arial"/>
                <w:color w:val="000000"/>
                <w:sz w:val="16"/>
                <w:szCs w:val="16"/>
              </w:rPr>
            </w:pPr>
            <w:r>
              <w:rPr>
                <w:rFonts w:cs="Arial" w:ascii="Arial" w:hAnsi="Arial"/>
                <w:color w:val="000000"/>
                <w:sz w:val="16"/>
                <w:szCs w:val="16"/>
              </w:rPr>
              <w:t>інактивований вірус поліомієліту</w:t>
            </w:r>
            <w:r>
              <w:rPr>
                <w:rFonts w:cs="Arial" w:ascii="Arial" w:hAnsi="Arial"/>
                <w:color w:val="000000"/>
                <w:sz w:val="16"/>
                <w:szCs w:val="16"/>
                <w:vertAlign w:val="superscript"/>
              </w:rPr>
              <w:t>5</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1 (Mahoney);</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2 (MEF-1);</w:t>
            </w:r>
          </w:p>
          <w:p>
            <w:pPr>
              <w:pStyle w:val="Normal"/>
              <w:jc w:val="both"/>
              <w:rPr>
                <w:rFonts w:ascii="Arial" w:hAnsi="Arial" w:cs="Arial"/>
                <w:color w:val="000000"/>
                <w:sz w:val="16"/>
                <w:szCs w:val="16"/>
              </w:rPr>
            </w:pPr>
            <w:r>
              <w:rPr>
                <w:rFonts w:cs="Arial" w:ascii="Arial" w:hAnsi="Arial"/>
                <w:color w:val="000000"/>
                <w:sz w:val="16"/>
                <w:szCs w:val="16"/>
              </w:rPr>
              <w:t> </w:t>
            </w:r>
            <w:r>
              <w:rPr>
                <w:rFonts w:cs="Arial" w:ascii="Arial" w:hAnsi="Arial"/>
                <w:color w:val="000000"/>
                <w:sz w:val="16"/>
                <w:szCs w:val="16"/>
              </w:rPr>
              <w:t>типу 3 (Saukett);</w:t>
            </w:r>
          </w:p>
          <w:p>
            <w:pPr>
              <w:pStyle w:val="Normal"/>
              <w:jc w:val="both"/>
              <w:rPr/>
            </w:pPr>
            <w:r>
              <w:rPr>
                <w:rFonts w:cs="Arial" w:ascii="Arial" w:hAnsi="Arial"/>
                <w:color w:val="000000"/>
                <w:sz w:val="16"/>
                <w:szCs w:val="16"/>
                <w:vertAlign w:val="superscript"/>
              </w:rPr>
              <w:t>1</w:t>
            </w:r>
            <w:r>
              <w:rPr>
                <w:rFonts w:cs="Arial" w:ascii="Arial" w:hAnsi="Arial"/>
                <w:color w:val="000000"/>
                <w:sz w:val="16"/>
                <w:szCs w:val="16"/>
              </w:rPr>
              <w:t> адсорбовані на гідратованому алюмінію гідроксиді</w:t>
            </w:r>
          </w:p>
          <w:p>
            <w:pPr>
              <w:pStyle w:val="Normal"/>
              <w:jc w:val="both"/>
              <w:rPr>
                <w:rFonts w:ascii="Arial" w:hAnsi="Arial" w:cs="Arial"/>
                <w:color w:val="000000"/>
                <w:sz w:val="16"/>
                <w:szCs w:val="16"/>
              </w:rPr>
            </w:pPr>
            <w:r>
              <w:rPr>
                <w:rFonts w:cs="Arial" w:ascii="Arial" w:hAnsi="Arial"/>
                <w:color w:val="000000"/>
                <w:sz w:val="16"/>
                <w:szCs w:val="16"/>
                <w:vertAlign w:val="superscript"/>
              </w:rPr>
              <w:t>5 </w:t>
            </w:r>
            <w:r>
              <w:rPr>
                <w:rFonts w:cs="Arial" w:ascii="Arial" w:hAnsi="Arial"/>
                <w:color w:val="000000"/>
                <w:sz w:val="16"/>
                <w:szCs w:val="16"/>
              </w:rPr>
              <w:t>культивовані на клітинах </w:t>
            </w:r>
            <w:r>
              <w:rPr>
                <w:rStyle w:val="Spelle"/>
                <w:rFonts w:cs="Arial" w:ascii="Arial" w:hAnsi="Arial"/>
                <w:i/>
                <w:iCs/>
                <w:color w:val="000000"/>
                <w:sz w:val="16"/>
                <w:szCs w:val="16"/>
              </w:rPr>
              <w:t>Vero</w:t>
            </w:r>
          </w:p>
          <w:p>
            <w:pPr>
              <w:pStyle w:val="111"/>
              <w:tabs>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J07CA02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по 1 попередньо заповненому шприцу по 0,5 мл (1 доза) з прикріпленою голкою (або 2-ма окремими голками), що містить суспензію для ін’єкцій, в картонній коробці з маркуванням українською або англійською, або іншими іноземними мовами; по 1 попередньо заповненому шприцу по 0,5 мл (1 доза) з прикріпленою голкою (або 2-ма окремими голками), що містить суспензію для ін’єкцій в картонній коробці, в якій міститься стандартно-експортна упаковка та інструкція для медичного застосування з маркуванням українською або англійською, або іншими іноземними мовами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Вінтроп Індастрі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нерозфасованого продукту, контроль якості, вторинне пакування, випуск серії: Санофі Вінтроп Індастрі, Франція; повний цикл виробництва, контроль якості, вторинне пакування, випуск серії: Санофі Вінтроп Індастрі, Франція; випуск серії: Санофі-Авентіс Зрт., Угорщина; вторинне пакування: Кюне + Нагель Кфт.,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 Угорщина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Зміни в процесі виробництва АФІ (зміна стосується активної речовини біологічного/імунологічного походження або використання хімічних АФІ у виробництві лікарського засобу біологічного/імунологічного походження, яка може мати значний вплив на якість, безпеку та ефективність лікарського засобу, і не стосується протоколу). Перегляд критичного параметра процесу (цільові діапазони концентрацій), що використовується під час приготування концентрованої тривалентної активної речовини ІПВ. Редакційні уточнення до розділу 3.2.S.2.2 (оновлення посилань на воду для ін’єкцій (замість води очищеної)). Термін введення змін - вересень 2027.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Зміна критеріїв прийнятності визначення вмісту D-антигену при випуску та стабільності для концентрованої тривалентної активної речовини ІПВ із відповідними змінами до затвердженого протоколу стабільності для врахування запропонованого оновлення. Термін введення змін- вересень 2027.</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UA/13069/01/01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ТІВОРЕЛЬ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аргініну гідрохлорид, левокарнітин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B05XB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інфузій, По 100 мл у пляшках скляних. По 100 мл у пляшках полімерних. По 1 пляшці у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2019-293-Rev 02 для АФІ Левокарнітину виробника «Chengda Pharmaceuticals Co., Ltd.», Китай (затверджено: CEP 2019-293-Rev 01; запропоновано: CEP 2019-293-Rev 02).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 збільшення періоду переконтролю з 2 років до 3 років АФІ Левокарнітин виробника «Northeast Pharmaceutical Group Co., Ltd.»,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UA/15067/01/01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ТІОКТАЦИД® 600 HR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thioctic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тіоктова (α-ліпоєва)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A16AX01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30 або по 100 таблеток, вкритих плівковою оболонкою, у флаконі; по 1 флакону в коробці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Віатріс Хелскеа ГмбХ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виробник, відповідальний за виробництво нерозфасованої продукції, первинне та вторинне пакування, контроль якості та випуск серії:</w:t>
              <w:br/>
              <w:t>Роттафарм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ЛЗ Тіоктацид® 600 HR, відповідального за виробництво нерозфасованої продукції, первинне та вторинне пакування, контроль якості МЕДА Меньюфекчеринг ГмбХ, Німеччина (Нойратер Рінг 1, 51063 Кельн, Німеччина)/MEDA Manufacturing GmbH (Neurather Ring 1, 51063 Cologne, Germany). Введення змін протягом 12-ти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ЛЗ Тіоктацид® 600 HR, відповідального за випуск серії МЕДА Фарма ГмбХ енд Ко. КГ, Німеччина (Бенцштрассе 1, 61352 Бад Хомбург, Німеччина)/MEDA Pharma GmbH &amp; Co. KG (Benzstrasse 1, 61352 Bad Homburg, Germany). Альтернативним виробником після всіх змін залишається Роттафарм Лтд., Ірландія/Rottapharm Ltd., Ireland, який буде виконувати повний цикл вирбництва, а саме: відповідальний за виробництво нерозфасованої продукції, первинне та вторинне пакування, контроль якості та випуск серії. Зміни внесено в розділи "Виробник" та "Місцезнаходження виробника та його адреса місця провадження діяльності" в інструкцію для медичного застосування у зв'язку з вилученням одного з виробників та як наслідок - вилучення тексту маркування упаковки лікарського засобу для цього виробника. Введення змін протягом 12-ти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UA/6616/01/01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ТІОРОКС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thiocolchicoside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тіоколхікозид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4 мг/2 мл; по 2 мл в ампулі, по 5 ампул у блістері та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Лабораторіз Прайвет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2020-066 - Rev 02 від затвердженого виробника АФІ India Glycols Limited, India у зв’язку зі збільшенням періоду переконтролю. Затверджено: CEP 2020-066 - Rev 01 Запропоновано: CEP 2020-066 - Rev 02</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ТОПОТЕКАН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topotecan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топотекану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L01CE01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 мг/мл; по 1 мл або по 4 мл концентрату у скляному флаконі; по 1 флакону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готового лікарського засобу, первинне, вторинне пакування, контроль якості серії: Інтас Фармасьютікалз Лімітед, Індія; </w:t>
              <w:br/>
              <w:t xml:space="preserve">Вторинне пакування: Аккорд Хелскеа Лімітед, Велика Британія; Контроль якості: Єврофінс Аналітікал Сервісез Хангері Кфт., Угорщина; </w:t>
              <w:br/>
              <w:t>Контроль якості: ФАРМАВАЛІД Лтд. Мікробіологічна лабораторія, Угорщина; Відповідальний за випуск серії: Аккорд Хелскеа Полска Сп. з о.о. Склад Імпортера, Польща; вторинне пакування, контроль якості серії: 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 Польща/ Греція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UA/17720/01/01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ТОРГАБАЛІН 150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150 мг: по 4 капсули у блістері; по 3 блістери у картонній упаковці; по 10 капсул у блістері; по 3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Торрент Фармасьютікалс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Торрент Фармасьютікалс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переклад МКЯ з російської мови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UA/15969/01/02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ТОРГАБАЛІН 75</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pregabalin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капсули тверді по 75 мг: по 10 капсул у блістері; по 3 блістери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Торрент Фармасьютікалс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Торрент Фармасьютікалс Лтд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 переклад МКЯ з російської мови на українську мову для приведення у відповідність із вимогами чинної редакції Наказу МОЗ України № 426 від 26.08.2005.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ТОРО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ketorolac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кеторолаку трометамін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M01AB15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30 мг/мл по 1 мл у флаконі; по 5 або по 10 флаконів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Аспіро Фарма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 - Зміни з якості. АФІ. Виробництво (інші зміни) - подання оновленого мастер-файла на діючу речовину Кеторолак трометамін виробника Dr. Reddy’s Laboratories Limited, India. Затверджено: KETOROLAC TROMETHAMINE USP 2017 Запропоновано: KETOROLAC TROMETHAMINE USP Version: ROW/JULY-2025/V00/AP-DMF</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UA/18182/01/01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 xml:space="preserve">ТРАНЕКСАМОВА КИСЛОТА-ЗДОРОВ`Я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транексамова кислота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5 мл в ампулі; по 5 ампул у блістері; по 1 або 2 блістери у коробці з картону; по 5 мл в ампулі; по 5 або 10 ампул у картонній коробці з перегородками</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в розділах «Протипоказання», «Особливості застосування», «Спосіб застосування та дози» та «Побічні реакції» відповідно до інформації щодо безпеки застосування діючої речовини згідно з рекомендаціями PRAC. Також до тексту маркування вторинної упаковки лікарського засобу (п. 7) внесено відповідну застережливу інформацію.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ТРАНКВІЛАР® ІС 300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temgicoluril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темгіколурил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0,3 г по 10 таблеток у блістері; по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w:t>
              <w:br/>
              <w:t>Зміна назви лікарського засобу. Затверджено: МЕБІКАР ІС. Запропоновано: ТРАНКВІЛАР® ІС 300. Введення змін протягом 3-х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UA/8823/01/01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ТРАНКВІЛАР® ІС 500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temgicoluril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темгіколурил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N06BX21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0,5 г по 10 таблеток у блістері; по 1 або 2 блістери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назви лікарського засобу</w:t>
            </w:r>
          </w:p>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Зміна назви лікарського засобу. Затверджено: МЕБІКАР ІС. Запропоновано: ТРАНКВІЛАР® ІС 500. Введення змін протягом 3-х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UA/8823/01/02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ТРАХІСАН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тиротрицин, лідокаїну гідрохлориду моногідрат, хлоргексидину диглюконат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для смоктання; по 10 таблеток у блістері; по 2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Альпен Фарма АГ </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Енгельгард Арцнайміттель ГмбХ &amp; Ко.КГ, Нiмеччина;</w:t>
              <w:br/>
              <w:br/>
              <w:t>виробник, що відповідає за ввезення, контроль та випуск серії:</w:t>
              <w:br/>
              <w:t>ТОВ "ПІК-ФАРМ", Україна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Нiмеччина/ 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(зменшення терміну придатності готового лікарського засобу) - Для торгової упаковки. Зменшення затвердженого терміну придатності лікарського засобу Трахісан, таблетки для смоктання, у торговій упаковці з 5 років до 3 років. Зміни внесені в інструкцію для медичного застосування лікарського засобу у розділ «Термін придатності», а саме: переформатування викладеного тексту в розділі та зменшення терміну придатності готового лікарського засобу.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UA/6121/01/01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ТРЕЛЕДЖИ ЕЛЛІПТА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Vilanterol, umeclidinium bromide and fluticasone furoate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флютиказону фуроат, умеклідиніум (у формі броміду) і вілантерол (у формі трифенатату)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R03AL08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інгаляцій, дозований, по 92 мкг/55 мкг/22 мкг/дозу; по 14 або 30 доз в порошковому інгаляторі; по 1 інгалятору в лотку з фольги; по 1 лотку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Глаксо Оперейшнс ЮК Лімітед, що веде діяльність як Глаксо Веллком Оперейшнс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(згідно наказу МОЗ від 23.07.2015 № 460), Виправлення технічної помилки допущеної в МКЯ ЛЗ (затверджені Наказом МОЗ №322 від 16.03.2026). </w:t>
              <w:br/>
              <w:t>Затверджена редакція:</w:t>
              <w:br/>
              <w:t>МЕТОДИ КОНТРОЛЮ ЯКОСТІ ЛІКАРСЬКОГО ЗАСОБУ</w:t>
              <w:br/>
              <w:t>СПЕЦИФІКАЦІЯ ПРИ ВИПУСКУ</w:t>
              <w:br/>
              <w:t>(…)</w:t>
              <w:br/>
              <w:t>5 Рівень 1: …≤ (X1 – K1 – S1) ≤ (X1 + K1 – S1) ≤ …</w:t>
              <w:br/>
              <w:t>Рівень 2: … ≤ (X2 – K2 – S2) ≤ (X2 + K2 – S2) ≤ …</w:t>
              <w:br/>
              <w:t>(…)</w:t>
              <w:br/>
              <w:t>Пропонована редакція:</w:t>
              <w:br/>
              <w:t>МЕТОДИ КОНТРОЛЮ ЯКОСТІ ЛІКАРСЬКОГО ЗАСОБУ</w:t>
              <w:br/>
              <w:t>СПЕЦИФІКАЦІЯ ПРИ ВИПУСКУ</w:t>
              <w:br/>
              <w:t>(…)</w:t>
              <w:br/>
              <w:t>5 Рівень 1: …≤ (X1 – K1 · S1) ≤ (X1 + K1 · S1) ≤ …</w:t>
              <w:br/>
              <w:t>Рівень 2: … ≤ (X2 – K2 · S2) ≤ (X2 + K2 · S2) ≤…</w:t>
              <w:br/>
              <w:t>(…)</w:t>
              <w:br/>
              <w:t>Виправлення технічної помилки відповідає матеріалам Реєстраційного досьє які знаходяться в архіві.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UA/21194/01/01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b/>
                <w:b/>
                <w:i/>
                <w:i/>
                <w:color w:val="000000"/>
                <w:sz w:val="16"/>
                <w:szCs w:val="16"/>
                <w:lang w:val="en-US"/>
              </w:rPr>
            </w:pPr>
            <w:r>
              <w:rPr>
                <w:rFonts w:cs="Arial" w:ascii="Arial" w:hAnsi="Arial"/>
                <w:b/>
                <w:sz w:val="16"/>
                <w:szCs w:val="16"/>
              </w:rPr>
              <w:t>ТРЕСІБА® ФЛЕКСТАЧ®</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insulin degludec</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 xml:space="preserve">інсулін деглюдек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b/>
                <w:color w:val="000000"/>
                <w:sz w:val="16"/>
                <w:szCs w:val="16"/>
              </w:rPr>
              <w:t>A10AE06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100 ОД/мл; по 3 мл у картриджі, який міститься у багатодозовій одноразовій шприц-ручці; по 1 або по 5 шприц-ручок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А/Т Ново Нордіск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Данiя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наповнення в первинну упаковку та контроль балку. Відповідальний за випуск: А/Т Ново Нордіск, Данія; </w:t>
              <w:br/>
              <w:t>Комплектування, маркування та вторинне пакування готового продукту. Контроль якості балку готового продукту та кінцевого готового продукту: А/Т Ново Нордіск, Данія; Виробник нерозфасованого продукту, наповнення в первинну упаковку та перевірка якості продукції балку. Контроль якості зразків в процесі виробництва та продукції bulk. Контроль якості готового продукту. Комплектування, маркування та вторинне пакування готового продукту. Відповідальний за випуск серії: Ново Нордіск Продюксьон САС,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Данія/</w:t>
            </w:r>
          </w:p>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коду АТХ в наказі МОЗ України № 1454 від 30.09.2026 в процесі внесення змін</w:t>
            </w:r>
            <w:r>
              <w:rPr>
                <w:rFonts w:cs="Arial" w:ascii="Arial" w:hAnsi="Arial"/>
                <w:color w:val="000000"/>
                <w:sz w:val="16"/>
                <w:szCs w:val="16"/>
              </w:rPr>
              <w:t xml:space="preserve">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Внесення змін до р. 3.2.Р.7. Система контейнер/закупорювальний засіб, а саме додавання Вест Фармасьютікалз Продактс Айрленд, Лтд., Каррікферіш Роуд, Вотерфорд, X91 R9V6, Ірландія (West Pharmaceutical Products Ireland, Ltd. Carrickpherish Road, Waterford, X91 R9V6 Ireland), як додаткового постачальника RTU червоного поршня ((RTU) Rubber red plunger). Матеріал з якого виготовляється поршень залишається без змін, специфікація буде без змін та процес стерилізації буде також еквівалентний.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незначного параметру, а саме екстрагованих важких металів (Extractable heavy metals) зі специфікацій для первинної упаковки (ламінована гумова прокладка, гумовий поршень). Також вносяться незначні редакторські правки в розділ 3.2.Р.7.</w:t>
              <w:br/>
              <w:t xml:space="preserve">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Вилучення незначного параметру, а саме загальної золи (Total ash) зі специфікацій для первинної упаковки (ламінована гумова прокладка, гумовий поршень). Також вносяться незначні редакторські правки в розділ 3.2.Р.7). Редакція в наказі - A10AE05. </w:t>
            </w:r>
            <w:r>
              <w:rPr>
                <w:rFonts w:cs="Arial" w:ascii="Arial" w:hAnsi="Arial"/>
                <w:b/>
                <w:color w:val="000000"/>
                <w:sz w:val="16"/>
                <w:szCs w:val="16"/>
              </w:rPr>
              <w:t>Вірна редакція - A10AE06.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1"/>
              <w:tabs>
                <w:tab w:val="left" w:pos="12600" w:leader="none"/>
              </w:tabs>
              <w:jc w:val="center"/>
              <w:rPr>
                <w:rFonts w:ascii="Arial" w:hAnsi="Arial" w:cs="Arial"/>
                <w:sz w:val="16"/>
                <w:szCs w:val="16"/>
              </w:rPr>
            </w:pPr>
            <w:r>
              <w:rPr>
                <w:rFonts w:cs="Arial" w:ascii="Arial" w:hAnsi="Arial"/>
                <w:sz w:val="16"/>
                <w:szCs w:val="16"/>
              </w:rPr>
              <w:t>UA/14264/01/01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УЛСЕПАН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pantoprazole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пантопразол (у формі пантопразолу натрію сесквігідрату)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40 мг; 1 флакон у контурній чарунковій упаковці, по 1 контурній чарунковій упаковці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«УОРЛД МЕДИЦИН»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Мефар Ілач Сан.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 Заявником надано оновлений план управління ризиками версія 3.0 Зміни внесено до частин:</w:t>
              <w:br/>
              <w:t xml:space="preserve">І «Загальна інформація», </w:t>
              <w:br/>
              <w:t xml:space="preserve">II «Специфікація з безпеки», </w:t>
              <w:br/>
              <w:t xml:space="preserve">III «План з фармаконагляду», </w:t>
              <w:br/>
              <w:t xml:space="preserve">IV»Плани щодо післяреєстраційних досліджень ефективності», </w:t>
              <w:br/>
              <w:t xml:space="preserve">V «Заходи з мінімізації ризиків», VI «Резюме плану управління ризиками» </w:t>
              <w:br/>
              <w:t xml:space="preserve">VII «Додатки» </w:t>
              <w:br/>
              <w:t xml:space="preserve">у зв’язку з додаванням нового виробника з метою уніфікації інформації щодо системи управління ризиками для лікарських засобів, що містять діючу речовину пантопразол, обох виробників в одному плані управління ризиками. </w:t>
              <w:br/>
              <w:t xml:space="preserve">Резюме плану управління ризиками версія 3.0 додається.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UA/16671/01/01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УНІФЛОКС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S03AA</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очні/вушні, розчин 0,3 % по 5 мл або 10 мл у пластиковому контейнері-крапельниці; по 1 контейнеру-крапельниці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"УНІМЕД 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(інші зміни) </w:t>
              <w:br/>
              <w:t xml:space="preserve">зміна стосується подання оновлених сертифікатів якості від виробника первинного пакувального матеріалу - компанії Bormioli Pharma, а також оновленої заяви виробника щодо сировини, включаючи інформацію про її регуляторний статус.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стосується оновлення специфікації на пакувальний елемент (контейнер) з метою приведення у відповідність до чинних вимог Європейської фармакопеї, а також додавання посилання на відповідний фармакопейний аналітичний метод.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зміна стосується оновлення специфікації на пакувальний елемент – закупорювальний засіб (гвинтова кришка із запобіжним кільцем) з метою приведення у відповідність до чинних вимог Європейської фармакопеї, а також додавання посилання на відповідний фармакопейний аналітичний метод.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запропонована зміна стосується оновлення специфікації на пакувальний елемент – дозуючий пристрій (крапельниця) з метою приведення у відповідність до чинних вимог Європейської фармакопеї. Оновлення включає гармонізацію вимог специфікації із відповідною монографією Європейської фармакопеї, а також додавання посилання на відповідний фармакопейний аналітичний метод.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UA/12837/01/01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УРОЛЕСАН®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G04BX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по 90 мл у банці; по 1 банці у пачці; по 90 мл або по 180 мл у флаконі; по 1 флакону в пачці; по 5 мл в саше, по 15 або 16 саше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усі стадії виробництва, за винятком первинного пакування в саше:</w:t>
              <w:br/>
              <w:t>ПАТ "Галичфарм",</w:t>
              <w:br/>
              <w:t>Україна;</w:t>
              <w:br/>
              <w:t>первинне пакування в саше:</w:t>
              <w:br/>
              <w:t>ТОВ "КОРПОРАЦІЯ "ЗДОРОВ'Я",</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відповідального за первинне пакування, а саме Запропоновано: ТОВ "Фармацевтична компанія "Здоров'я", Україна </w:t>
              <w:br/>
              <w:t>Затверджено: ТОВ "КОРПОРАЦІЯ "ЗДОРОВ'Я", Україна. Місцезнаходження виробничої дільниці не змінилось.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UA/2727/01/01 </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УРОЛЕСАН®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rPr>
                <w:rFonts w:ascii="Arial" w:hAnsi="Arial" w:cs="Arial"/>
                <w:color w:val="000000"/>
                <w:sz w:val="16"/>
                <w:szCs w:val="16"/>
              </w:rPr>
            </w:pPr>
            <w:r>
              <w:rPr>
                <w:rFonts w:cs="Arial" w:ascii="Arial" w:hAnsi="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tabs>
                <w:tab w:val="left" w:pos="12600" w:leader="none"/>
              </w:tabs>
              <w:jc w:val="center"/>
              <w:rPr>
                <w:rFonts w:ascii="Arial" w:hAnsi="Arial" w:cs="Arial"/>
                <w:color w:val="000000"/>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сироп in bulk: по 90 мл у банці; по 48 банок у коробах картонних; in bulk: по 180 мл у флаконі; по 30 флаконів у коробах картонних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виробника відповідального за первинне пакування, а саме Запропоновано: ТОВ "Фармацевтична компанія "Здоров'я", Україна. Затверджено: ТОВ "КОРПОРАЦІЯ "ЗДОРОВ'Я", Україна. Місцезнаходження виробничої дільниці не змінилось.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UA/9518/01/01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УРСОФАЛЬК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урсодезоксихолева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A05AA02, A05B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суспензія оральна, 250 мг/5 мл; по 250 мл у скляній пляшці; по 1 пляшці разом з 1 мірним стаканчиком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Фальк Фарма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кінцевого продукту:</w:t>
              <w:br/>
              <w:t>Др. Фальк Фарма ГмбХ, Німеччина;</w:t>
              <w:br/>
              <w:t>Виробник дозованої форми, первинне, вторинне пакування та контроль якості:</w:t>
              <w:br/>
              <w:t xml:space="preserve">Корден Фарма Фрібург АГ Цвайнідерлассунг Еттінген, Швейцарія; </w:t>
              <w:br/>
              <w:t>Лозан Фарма ГмбХ, Німеччина;</w:t>
              <w:br/>
              <w:t>Виробник, відповідальний за контроль якості:</w:t>
              <w:br/>
              <w:t>Біоекзам АГ, Швейцарія;</w:t>
              <w:br/>
              <w:t>Лозан Фарма ГмбХ, Німеччина;</w:t>
              <w:br/>
              <w:t>Приватний Науково-дослідний інститут Хеппелер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1999-047-Rev 10 для АФІ урсодезоксихолева кислота від вже затвердженого виробника ICE S.P.A., Італія.( затверджено: R1-CEP 1999-047-Rev 09, запропоновано: CEP 1999-047-Rev 10).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для проміжного продукту: SHILPA MEDICARE LIMITED.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UA/3746/01/01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УРСОФАЛЬК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ursodeoxycholic acid</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урсодезоксихолева кислота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A05AA02, A05B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25 таблеток у блістері; по 1, 2, або по 4 блістери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Фальк Фарма ГмбХ</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кінцевого продукту: Др. Фальк Фарма ГмбХ, Німеччина; Виробник дозованої форми, первинне, вторинне пакування та контроль якості: Лозан Фарма ГмбХ, Німеччина; Виробник, відповідальний за первинне, вторинне пакування та контроль якості: Лозан Фарма ГмбХ, Німеччина; Виробник, відповідальний за контроль якості: Приватний науково-дослідний інститут Хеппелер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CEP 1999-047-Rev 10 для АФІ урсодезоксихолева кислота від вже затвердженого виробника ICE S.P.A., Італія.( затверджено: R1-CEP 1999-047-Rev 09, запропоновано: CEP 1999-047-Rev 10).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виробничої дільниці для проміжного продукту: SHILPA MEDICARE LIMITED</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UA/3746/03/01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ФАБРАЗИМ®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agalsidase beta</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агалсидаза бета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A16AB04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приготування концентрату (5 мг/мл) для розчину для інфузій; по 5 мг або по 35 мг у флаконі; по 1 флакону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Санофі Б.В.</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Нідерланди</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кінцевого продукту (fill/finish), контроль серії/випробування, первинна та вторинна упаковка, дозвіл на випуск серії:</w:t>
              <w:br/>
              <w:t>Джензайм Ірланд Лімітед, Ірландія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змін(и), які(а) вимагають(є) подальшого обґрунтування новими додатковим даними, що мають надаватися компетентним органом, оскільки вимагається суттєва оцінка компетентним органом) Заявником Sanofi B.V., Нідерланди оновлено план управління ризиками (далі – ПУР) до версії 3.0 лікарського засобу ФАБРАЗИМ®, порошок для приготування концентрату (5 мг/мл) для розчину для інфузій; по 5 мг або по 35 мг у флаконі; по 1 флакону в картонній коробці з метою видалення дослідження категорії PASS 3 з плану фармаконагляду в ПУР та заміни його рутинним моніторингом фармаконагляду з поданням оцінки безпеки в PSUR, а також внесення інших оновлень до ПУР, погоджених у ході попередніх процедур ЕМА. Зміни внесено до частин: І «Загальна інформація», II «Специфікація з безпеки», III «План з фармаконагляду», V «Заходи з мінімізації ризиків», VI «Резюме плану управління ризиками», VII «Додатки». </w:t>
              <w:br/>
              <w:t>ПУР версія 3.0 погоджено (eCTD послідовність № 0001).</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UA/10306/01/01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ФЕРВЕКС ДЛЯ ДОРОСЛИХ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парацетамол, кислота аскорбінова (вітамін С), феніраміну малеат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8 саше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приведення Специфікації МКЯ ЛЗ у відповідність до матеріалів виробника (розділ 3.2.Р.5.1. Специфікація), а саме за показником «Ідентифікація діючих речовин: Парацетамол. Аскорбінова кислота. Феніраміну малеат.» додається посилання на Євр. Фарм. 2.2.25 до вже затвердженого методу Євр. Фарм. 2.2.29.</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UA/7741/01/01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ФЛАМІФІКС 200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цефіксиму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Cенс Лабораторіс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 (згідно наказу МОЗ від 23.07.2015 № 460). Виправлення технічної помилки в МКЯ ЛЗ, яка пов’язана із приведенням критерію прийнятності за показником «Однорідність маси» на момент випуску у Специфікації ЛЗ у відповідність до критерію прийнятності за показником «Однорідність маси» зазначеного у Методах контролю ЛЗ у МКЯ ЛЗ. Пропонована редакція технічної помилки відповідає матеріалам реєстраційного досьє.</w:t>
              <w:br/>
              <w:t>Діюча редакція</w:t>
              <w:br/>
              <w:t>Специфікація</w:t>
              <w:br/>
              <w:t>Однорідність маси</w:t>
              <w:br/>
              <w:t>-На момент випуску</w:t>
              <w:br/>
              <w:t>±5 % від середньої маси</w:t>
              <w:br/>
              <w:t>У процесі зберігання</w:t>
              <w:br/>
              <w:t>±5 % від середньої маси</w:t>
              <w:br/>
              <w:t>Брит. Ф., XII G., Євр. Ф. 2.9.5</w:t>
              <w:br/>
              <w:t>Пропонована редакція</w:t>
              <w:br/>
              <w:t>Специфікація</w:t>
              <w:br/>
              <w:t>Однорідність маси</w:t>
              <w:br/>
              <w:t>-На момент випуску</w:t>
              <w:br/>
              <w:t>±3 % від середньої маси</w:t>
              <w:br/>
              <w:t>У процесі зберігання</w:t>
              <w:br/>
              <w:t>±5 % від середньої маси</w:t>
              <w:br/>
              <w:t>Брит. Ф., XII G., Євр. Ф. 2.9.5</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UA/11911/01/02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мазь очна 0,3 % по 3 г у ламінованій тубі; по 1 тубі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UA/8528/02/01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офлоксацин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0,3 %; по 5 мл у флаконі з крапельницею; по 1 флакону з крапельницею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«БАУШ ХЕЛС»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Др. Герхард Манн Хем.-фарм. Фабрик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місцезнаходження мастер-файла системи фармаконагляду. Зміна місця здійснення основної діяльності з фармаконагляду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UA/8528/01/01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ФЛОКСАНЕКСТ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офлоксацин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S01AE01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краплі очні, розчин, 3 мг/мл; по 10 мл у флаконі-крапельниці; по 1 флакону-крапельниці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БІОСАЙНС ГРУП ЛАБОРАТОРІЗ с.р.о.</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Словацька Республіка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готової продукції, контроль якості, первинне та вторинне пакування, випуск серії:</w:t>
              <w:br/>
              <w:t>ФАРМІГЕА С.П.А., Італiя;</w:t>
              <w:br/>
              <w:t>альтернативне вторинне пакування:</w:t>
              <w:br/>
              <w:t>Фарма Партнерс С.Р.Л., Італiя;</w:t>
              <w:br/>
              <w:t>місце стерилізації первинної упаковки (за допомогою гамма-випромінення):</w:t>
              <w:br/>
              <w:t>Стерігенікс Італія С.П.А., Італiя;</w:t>
              <w:br/>
              <w:t xml:space="preserve">додаткове вторинне пакування: </w:t>
              <w:br/>
              <w:t>ФАЛОРНІ С.Р.Л., Італія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 (згідно наказу МОЗ від 23.07.2015 № 460): Зміни внесено в текст маркування упаковок лікарського засобу щодо найменування та місцезнаходження заявника. Введення змін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ФЛОКСІУМ®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левофлоксацину гемігідрат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J01MA12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5 або по 10 таблеток у блістері; по 1 блістеру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"Передозування", "Побічні реакції" згідно з інформацією щодо медичного застосування референтного лікарського засобу (Tavanic 500 mg film-coated tablets (Sanofi-Aventis, Ireland LTD)).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в розділ "Побічні реакції" відповідно до оновленої інформації з безпеки діючої речовини. </w:t>
              <w:br/>
              <w:t>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ФЛОРАЗІД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ceftazidime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цефтазидим (у формі цефтазидиму пентагідрату)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введення додаткового розміру серії ГЛЗ 38 610 флаконів в доповнення до вже затвердженого розміру серії 50 000 флаконів для порошку для розчину для ін’єкцій по 1 г.</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ФЛУДАРАБІН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fludarabine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флударабіну фосфат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L01BB05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ін'єкцій або інфузій, 25 мг/мл, по 2 мл (50 мг/2 мл) у флаконі; по 1 флакону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 о.о.</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додаткове вторинне пакування:</w:t>
              <w:br/>
              <w:t>Аккорд Хелскеа Лімітед, Велика Британiя;</w:t>
              <w:br/>
              <w:t>випуск серії:</w:t>
              <w:br/>
              <w:t>Аккорд Хелскеа Полска Сп. з о.о. Склад Імпортера, Польща;</w:t>
              <w:br/>
              <w:t>контроль якості:</w:t>
              <w:br/>
              <w:t>Єврофінс Аналітікал Сервісез Хангері Кфт., Угорщина;</w:t>
              <w:br/>
              <w:t>виробництво лікарського засобу, первинне та вторинне пакування, контроль якості:</w:t>
              <w:br/>
              <w:t>Інтас Фармасьютікалc Лімітед, Індія;</w:t>
              <w:br/>
              <w:t>додаткове вторинне пакування:</w:t>
              <w:br/>
              <w:t xml:space="preserve">Лабораторі Фундасіо Дау, Іспанія; </w:t>
              <w:br/>
              <w:t>мікробіологічний контроль:</w:t>
              <w:br/>
              <w:t xml:space="preserve">Фармавалід Кфт., Угорщина; </w:t>
              <w:br/>
              <w:t>вторинне пакування:</w:t>
              <w:br/>
              <w:t>Аккорд Хелскеа Сінгл Мембер С.А., Греція;</w:t>
              <w:br/>
              <w:t>контроль якості серії:</w:t>
              <w:br/>
              <w:t>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Польща/ Угорщина/ Індія/ Іспанія/ Греція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br/>
              <w:t>Діюча редакція: Арлетта Веринська / Arletta Werynska. Пропонована редакція: Агата Гейсевич / Agata Gesiewicz. Зміна контактних даних уповноваженої особи, відповідальної за фармаконагляд.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UA/20471/01/01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ФЛУКОНАЗОЛ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кристалічний (субстанція) у подвійних поліетиленових пакетах (зовнішній чорний) для фармацевтичного застосування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Алівус Лайф Сайенсіз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No. R1-CEP 2009-226-Rev 04, який містить зміну назви виробника з Glenmark Life Sciences Limited, India на Alivus Life Sciences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No. CEP 2009-226- Rev 05. Зміни у розділах «Специфікація» та «Методи контролю»: зміни до «Супровідні домішки», «Сульфатна зола», «Мікробіологічна чистота»; зміни у розділах «Упаковка» та «Термін переконтролю». Оновлені МКЯ (eCTD 0001). </w:t>
              <w:br/>
              <w:t>Діюча редакція</w:t>
              <w:br/>
              <w:t xml:space="preserve">«Упаковка» </w:t>
              <w:br/>
              <w:t>Упаковка відповідно до нормативної документації фірми-виробника: у подвійних поліетиленових пакетах (зовнішній чорний), вкладених у барабани картонні або поліетиленові.</w:t>
              <w:br/>
              <w:t>«Термін переконтролю»</w:t>
              <w:br/>
              <w:t>4 роки.</w:t>
              <w:br/>
              <w:t>Пропонована редакція</w:t>
              <w:br/>
              <w:t>«Упаковка»</w:t>
              <w:br/>
              <w:t>Упаковка відповідно до нормативної документації фірми-виробника: у подвійних поліетиленових пакетах (зовнішній чорний), вкладених у поліетиленовий барабан.</w:t>
              <w:br/>
              <w:t>«Термін переконтролю»</w:t>
              <w:br/>
              <w:t>48 місяці.</w:t>
              <w:b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No. R1-CEP 2009-226-Rev 03 (затверджено: No. R1-CEP 2009-226-Rev 02; запропоновано: R1-CEP 2009-226-Rev 03).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No. CEP 2009-226-Rev 06.</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ФОРКСІГА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dapagliflozin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дапагліфлозину пропандіолу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та випуск серії: АстраЗенека ЮК Лімітед, Велика Британія; Випробування лікарського засобу:</w:t>
              <w:br/>
              <w:t>АстраЗенека АБ, Швеція; Випробування лікарського засобу: АстраЗенека АБ, Швеція; Виробник нерозфасованого продукту:</w:t>
              <w:br/>
              <w:t xml:space="preserve">АстраЗенека Фармасьютикалс ЛП,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 xml:space="preserve">Велика Британія </w:t>
            </w:r>
            <w:r>
              <w:rPr>
                <w:rFonts w:cs="Arial" w:ascii="Arial" w:hAnsi="Arial"/>
                <w:color w:val="000000"/>
                <w:sz w:val="16"/>
                <w:szCs w:val="16"/>
                <w:lang w:val="en-US"/>
              </w:rPr>
              <w:t>/</w:t>
            </w:r>
            <w:r>
              <w:rPr>
                <w:rFonts w:cs="Arial" w:ascii="Arial" w:hAnsi="Arial"/>
                <w:color w:val="000000"/>
                <w:sz w:val="16"/>
                <w:szCs w:val="16"/>
              </w:rPr>
              <w:t>Швеція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у розділ "Особливості застосування"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UA/13302/01/01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ФОРКСІГА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dapagliflozin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дапагліфлозину пропандіолу моногідрат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A10BK01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у блістері; по 3 блістери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АСТРАЗЕНЕКА 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Швеція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Первинне та вторинне пакування та випуск серії: АстраЗенека ЮК Лімітед, Велика Британія; Випробування лікарського засобу:</w:t>
              <w:br/>
              <w:t>АстраЗенека АБ, Швеція; Випробування лікарського засобу: АстраЗенека АБ, Швеція; Виробник нерозфасованого продукту:</w:t>
              <w:br/>
              <w:t xml:space="preserve">АстраЗенека Фармасьютикалс ЛП,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Велика Британія</w:t>
            </w:r>
            <w:r>
              <w:rPr>
                <w:rFonts w:cs="Arial" w:ascii="Arial" w:hAnsi="Arial"/>
                <w:color w:val="000000"/>
                <w:sz w:val="16"/>
                <w:szCs w:val="16"/>
                <w:lang w:val="en-US"/>
              </w:rPr>
              <w:t>/</w:t>
            </w:r>
            <w:r>
              <w:rPr>
                <w:rFonts w:cs="Arial" w:ascii="Arial" w:hAnsi="Arial"/>
                <w:color w:val="000000"/>
                <w:sz w:val="16"/>
                <w:szCs w:val="16"/>
              </w:rPr>
              <w:t xml:space="preserve"> Швеція</w:t>
            </w:r>
            <w:r>
              <w:rPr>
                <w:rFonts w:cs="Arial" w:ascii="Arial" w:hAnsi="Arial"/>
                <w:color w:val="000000"/>
                <w:sz w:val="16"/>
                <w:szCs w:val="16"/>
                <w:lang w:val="en-US"/>
              </w:rPr>
              <w:t>/</w:t>
            </w:r>
            <w:r>
              <w:rPr>
                <w:rFonts w:cs="Arial" w:ascii="Arial" w:hAnsi="Arial"/>
                <w:color w:val="000000"/>
                <w:sz w:val="16"/>
                <w:szCs w:val="16"/>
              </w:rPr>
              <w:t xml:space="preserve"> США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у розділ "Особливості застосування" відповідно до оновленої інформації з безпеки діючої речовини.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UA/13302/01/02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ФУЦИС®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J02AC01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 мг/г по 30 г гелю у тубі; по 1 тубі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UA/7617/03/01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ФУЦИС®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fluconazole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флуконазол</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гель, 5 мг/г in bulk: по 30 г гелю у тубі; по 144 туби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UA/19806/03/01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спрей; по 15 мл у контейнері зі скла або пластмаси; по 1 контейнеру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«Дослідний завод «ГНЦЛС», Україна (контроль якості, випуск серії); </w:t>
              <w:br/>
              <w:t>ТОВАРИСТВО З ОБМЕЖЕНОЮ ВІДПОВІДАЛЬНІСТЮ «КОРПОРАЦІЯ «ЗДОРОВ'Я», Україна (всі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Сума хлорофілів, у перерахунку на хлорофіл А». Пропонована редакція: Кількісне визначення. Сума хлорофілів, у перерахунку на хлорофіл А Має бути від 0,70 % За п. 8.1 ДФУ*, 2.2.25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Етанол». </w:t>
              <w:br/>
              <w:t xml:space="preserve">Пропонована редакція: Кількісне визначення. Етанол Не більше 10,0% За п. 8.2 ДФУ*, 2.2.28 Метод парофазної хроматографії *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(Б.I.б.2. (ґ) ІБ)</w:t>
              <w:br/>
              <w:t>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додається показник «Кількісне визначення. Сума хлорофілів, у перерахунку на хлорофіл А» з відповідним методом контролю (запропоновано: Вміст суми хлорофілів в 1 мл препарату, у перерахунку на хлорофіл А, має бути не меншим ніж 0,014 мг. За п. 10.3 МКЯ, ДФУ*, 2.2.25).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«Антибактеріальна активність» з МКЯ ГЛЗ.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Зміна методу випробування для показника «Ідентифікація. Хлорофіли» у методах контролю ГЛЗ (запропоновано проводити ідентифікацію хлорофілів методом якісної реакції).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в олії, 20 мг/мл, по 20 мл у флаконі; по 1 флакону в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w:t>
              <w:br/>
              <w:t>Товариство з обмеженою відповідальністю "Дослідний завод "ГНЦЛС", Україна;</w:t>
              <w:b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окрім контролю якості та випуску серії:</w:t>
              <w:br/>
              <w:t>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Сума хлорофілів, у перерахунку на хлорофіл А». </w:t>
              <w:br/>
              <w:t xml:space="preserve">Пропонована редакція: </w:t>
              <w:br/>
              <w:t xml:space="preserve">Кількісне визначення. </w:t>
              <w:br/>
              <w:t xml:space="preserve">Сума хлорофілів, у перерахунку на хлорофіл А </w:t>
              <w:br/>
              <w:t xml:space="preserve">Має бути від 0,70 % </w:t>
              <w:br/>
              <w:t xml:space="preserve">За п. 8.1 </w:t>
              <w:br/>
              <w:t xml:space="preserve">ДФУ*, 2.2.25 </w:t>
              <w:br/>
              <w:t xml:space="preserve">* діюче видання </w:t>
              <w:br/>
              <w:t xml:space="preserve">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Етанол». </w:t>
              <w:br/>
              <w:t xml:space="preserve">Пропонована редакція: </w:t>
              <w:br/>
              <w:t xml:space="preserve">Кількісне визначення. </w:t>
              <w:br/>
              <w:t xml:space="preserve">Етанол </w:t>
              <w:br/>
              <w:t xml:space="preserve">Не більше 10,0% </w:t>
              <w:br/>
              <w:t xml:space="preserve">За п. 8.2 </w:t>
              <w:br/>
              <w:t xml:space="preserve">ДФУ*, 2.2.28 </w:t>
              <w:br/>
              <w:t xml:space="preserve">Метод парофазної хроматографії </w:t>
              <w:br/>
              <w:t xml:space="preserve">* - діюче видання </w:t>
              <w:br/>
              <w:t xml:space="preserve">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(Б.I.б.2. (ґ) ІБ)</w:t>
              <w:br/>
              <w:t xml:space="preserve">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додається показник «Кількісне визначення. Сума хлорофілів, у перерахунку на хлорофіл А» з відповідним методом контролю (запропоновано: Вміст суми хлорофілів в 1 мл препарату, у перерахунку на хлорофіл А, має бути не меншим ніж 0,14 мг. За п. 7 МКЯ, ДФУ*, 2.2.25).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методу випробування для показника «Ідентифікація. Хлорофіли» у методах контролю ГЛЗ (запропоновано проводити ідентифікацію хлорофілів методом якісної реакції).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«Антибактеріальна активність» з МКЯ ГЛЗ.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в олії, 20 мг/мл, in bulk: по 50 л у бочках пластмасових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"Дослідний завод "ГНЦЛС", Україна</w:t>
              <w:b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окрім контролю якості та випуску серії:</w:t>
              <w:br/>
              <w:t>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Сума хлорофілів, у перерахунку на хлорофіл А». </w:t>
              <w:br/>
              <w:t xml:space="preserve">Пропонована редакція: </w:t>
              <w:br/>
              <w:t xml:space="preserve">Кількісне визначення. </w:t>
              <w:br/>
              <w:t xml:space="preserve">Сума хлорофілів, у перерахунку на хлорофіл А </w:t>
              <w:br/>
              <w:t xml:space="preserve">Має бути від 0,70 % </w:t>
              <w:br/>
              <w:t xml:space="preserve">За п. 8.1 </w:t>
              <w:br/>
              <w:t xml:space="preserve">ДФУ*, 2.2.25 </w:t>
              <w:br/>
              <w:t xml:space="preserve">* діюче видання </w:t>
              <w:br/>
              <w:t xml:space="preserve">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Етанол». </w:t>
              <w:br/>
              <w:t xml:space="preserve">Пропонована редакція: </w:t>
              <w:br/>
              <w:t xml:space="preserve">Кількісне визначення. </w:t>
              <w:br/>
              <w:t xml:space="preserve">Етанол </w:t>
              <w:br/>
              <w:t xml:space="preserve">Не більше 10,0% </w:t>
              <w:br/>
              <w:t xml:space="preserve">За п. 8.2 </w:t>
              <w:br/>
              <w:t xml:space="preserve">ДФУ*, 2.2.28 </w:t>
              <w:br/>
              <w:t xml:space="preserve">Метод парофазної хроматографії </w:t>
              <w:br/>
              <w:t xml:space="preserve">* - діюче видання </w:t>
              <w:br/>
              <w:t xml:space="preserve">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(Б.I.б.2. (ґ) ІБ)</w:t>
              <w:br/>
              <w:t xml:space="preserve">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додається показник «Кількісне визначення. Сума хлорофілів, у перерахунку на хлорофіл А» з відповідним методом контролю (запропоновано: Вміст суми хлорофілів в 1 мл препарату, у перерахунку на хлорофіл А, має бути не меншим ніж 0,14 мг. За п. 7 МКЯ, ДФУ*, 2.2.25).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методу випробування для показника «Ідентифікація. Хлорофіли» у методах контролю ГЛЗ (запропоновано проводити ідентифікацію хлорофілів методом якісної реакції).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«Антибактеріальна активність» з МКЯ ГЛЗ. Введення змін протягом 6-ти місяців після затвердження.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UA/11848/02/01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J01XX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ін’єкцій, спиртовий, 2,5 мг/мл по 2 мл в ампулах; по 10 ампул у пачці з картону; по 2 мл в ампулі; по 10 ампул у блістері; по 1 блістеру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Сума хлорофілів, у перерахунку на хлорофіл А». Пропонована редакція: Кількісне визначення. Сума хлорофілів, у перерахунку на хлорофіл А Має бути від 0,70 % За п. 8.1 ДФУ*, 2.2.25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Етанол». Пропонована редакція: Кількісне визначення. Етанол Не більше 10,0% За п. 8.2 ДФУ*, 2.2.28 Метод парофазної хроматографії *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«Антибактеріальна активність» зі специфікації АФІ Хлорофіліпту екстракт густий.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 -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додається показник «Кількісне визначення. Сума хлорофілів, у перерахунку на хлорофіл А» з відповідним методом контролю (запропоновано: Вміст суми хлорофілів в 1 мл розчину спиртового, у перерахунку на хлорофіл А, має бути не меншим ніж 0,0175 мг. За п. 11 МКЯ, ДФУ*, 2.2.25).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«Антибактеріальна активність» з МКЯ ГЛЗ.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UA/1556/04/01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таблетки по 25 мг; по 40 таблеток у контейнерах пластмасових; по 10 таблеток у блістері; по 2 блістери у пачці з картону; по 20 таблеток у блістері; по 1 блістеру у пачці з картону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Сума хлорофілів, у перерахунку на хлорофіл А» та відповідним методом випробування. Пропонована редакція: Кількісне визначення. Сума хлорофілів, у перерахунку на хлорофіл А </w:t>
              <w:br/>
              <w:t>Має бути від 0,70 % За п. 8.1 ДФУ*, 2.2.25 * діюче видання. Введення змін протягом 6-ти місяців після затвердження.</w:t>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Етанол» та відповідним методом випробування. </w:t>
              <w:br/>
              <w:t xml:space="preserve">Пропонована редакція: Кількісне визначення. Етанол Не більше 10,0% За п. 8.2 ДФУ*, 2.2.28 Метод парофазної хроматографії </w:t>
              <w:br/>
              <w:t xml:space="preserve">*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w:t>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Доповнення специфікації МКЯ ГЛЗ новим показником «Кількісне визначення» та відповідним методом випробування (запропоновано: Вміст суми хлорофілів в 1 таблетці, у перерахунку на хлорофіл А, має бути не меншим ніж 0,0875 мг. За п. 6 МКЯ, ДФУ*, 2.2.25 (для дозування 12,5 мг); Вміст суми хлорофілів в 1 таблетці, у перерахунку на хлорофіл А, має бути не меншим ніж 0,175 мг. За п. 6 МКЯ, ДФУ*, 2.2.25 (для дозування 25 мг)).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«Антибактеріальна активність» з МКЯ ГЛЗ.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Зміна методу випробування для показника «Ідентифікація. Хлорофіли» у методах контролю ГЛЗ (затверджено: Випробування А, ДФУ*, 2.2.27; запропоновано: Випробування А, якісна реакція).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R02AA20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по 12,5 мг; по 10 таблеток у блістері; по 2 блістери у пачці з картону; по 20 таблеток у блістері; по 1 блістеру у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 Товариство з обмеженою відповідальністю "Дослідний завод "ГНЦЛС", Україна</w:t>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Сума хлорофілів, у перерахунку на хлорофіл А» та відповідним методом випробування. Пропонована редакція: Кількісне визначення. Сума хлорофілів, у перерахунку на хлорофіл А </w:t>
              <w:br/>
              <w:t>Має бути від 0,70 % За п. 8.1 ДФУ*, 2.2.25 * діюче видання. Введення змін протягом 6-ти місяців після затвердження.</w:t>
              <w:br/>
              <w:t xml:space="preserve">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 Доповнення специфікації АФІ Хлорофіліпту екстракт густий новим показником «Кількісне визначення. Етанол» та відповідним методом випробування. </w:t>
              <w:br/>
              <w:t xml:space="preserve">Пропонована редакція: Кількісне визначення. Етанол Не більше 10,0% За п. 8.2 ДФУ*, 2.2.28 Метод парофазної хроматографії </w:t>
              <w:br/>
              <w:t xml:space="preserve">*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w:t>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Доповнення специфікації МКЯ ГЛЗ новим показником «Кількісне визначення» та відповідним методом випробування (запропоновано: Вміст суми хлорофілів в 1 таблетці, у перерахунку на хлорофіл А, має бути не меншим ніж 0,0875 мг. За п. 6 МКЯ, ДФУ*, 2.2.25 (для дозування 12,5 мг); Вміст суми хлорофілів в 1 таблетці, у перерахунку на хлорофіл А, має бути не меншим ніж 0,175 мг. За п. 6 МКЯ, ДФУ*, 2.2.25 (для дозування 25 мг)).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показника «Антибактеріальна активність» з МКЯ ГЛЗ.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 Зміна методу випробування для показника «Ідентифікація. Хлорофіли» у методах контролю ГЛЗ (затверджено: Випробування А, ДФУ*, 2.2.27; запропоновано: Випробування А, якісна реакція).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спиртовий, 10 мг/мл in bulk: по 50 л у бочках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"Дослідний завод "ГНЦЛС"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Сума хлорофілів, у перерахунку на хлорофіл А». Пропонована редакція: Кількісне визначення. Сума хлорофілів, у перерахунку на хлорофіл А Має бути від 0,70 % За п. 8.1 ДФУ*, 2.2.25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Етанол». </w:t>
              <w:br/>
              <w:t xml:space="preserve">Пропонована редакція: Кількісне визначення. Етанол Не більше 10,0% За п. 8.2 ДФУ*, 2.2.28 Метод парофазної хроматографії *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w:t>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додається показник «Кількісне визначення. Сума хлорофілів, у перерахунку на хлорофіл А» з відповідним методом контролю (запропоновано: Вміст суми хлорофілів в 1 мл препарату, у перерахунку на хлорофіл А, має бути не меншим ніж 0,014 мг. За п. 10.3 МКЯ, ДФУ*, 2.2.25).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«Антибактеріальна активність» з МКЯ ГЛЗ.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методу випробування для показника «Ідентифікація. Хлорофіли» у методах контролю ГЛЗ (запропоновано проводити ідентифікацію хлорофілів методом якісної реакції).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UA/11848/01/01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хлорофіліпту екстракт густий</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спиртовий, 10 мг/мл по 100 мл у флаконах; по 1 флакону в пачці з картону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 Україна</w:t>
              <w:br/>
              <w:t>контроль якості, випуск серії:</w:t>
              <w:br/>
              <w:t>Товариство з обмеженою відповідальністю "Дослідний завод "ГНЦЛС,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Сума хлорофілів, у перерахунку на хлорофіл А». Пропонована редакція: Кількісне визначення. Сума хлорофілів, у перерахунку на хлорофіл А Має бути від 0,70 % За п. 8.1 ДФУ*, 2.2.25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Хлорофіліпту екстракт густий новим показником «Кількісне визначення. Етанол». </w:t>
              <w:br/>
              <w:t xml:space="preserve">Пропонована редакція: Кількісне визначення. Етанол Не більше 10,0% За п. 8.2 ДФУ*, 2.2.28 Метод парофазної хроматографії * - діюче видання.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«Антибактеріальна активність» зі специфікації АФІ Хлорофіліпту екстракт густий. </w:t>
              <w:br/>
              <w:t>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Зміни у специфікації та методі визначення залишкової кількості органічних розчинників в АФІ Хлорофіліпту екстракт густий. Вимоги специфікації щодо кількості метиленхлориду в АФІ залишено без змін. Введення змін протягом 6-ти місяців після затвердження.</w:t>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методу випробування для показника «Ідентифікація. Хлорофіли» у методах контролю АФІ Хлорофіліпту екстракт густий (затверджено: Випробування А, ДФУ*, 2.2.25; запропоновано: Випробування А, якісна реакція).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додається показник «Кількісне визначення. Сума хлорофілів, у перерахунку на хлорофіл А» з відповідним методом контролю (запропоновано: Вміст суми хлорофілів в 1 мл препарату, у перерахунку на хлорофіл А, має бути не меншим ніж 0,014 мг. За п. 10.3 МКЯ, ДФУ*, 2.2.25).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показника «Антибактеріальна активність» з МКЯ ГЛЗ.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Зміна методу випробування для показника «Ідентифікація. Хлорофіли» у методах контролю ГЛЗ (запропоновано проводити ідентифікацію хлорофілів методом якісної реакції).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UA/1556/05/01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ХЛОРОФІЛІПТ®АРТЕРІУМ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екстракт з листя евкаліпту густий (extractum ex folii eucalypti spissum)</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D08AX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олійний, 20 мг/мл; по 25 мл або 30 мл у флаконі; по 1 флакону у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 оновлення специфікації на засоби закупорювальні для ГЛЗ ХЛОРОФІЛІПТ® Артеріум, розчин олійний, 20 мг/мл, а саме оновлюється показник "Маса" (вилучено посилання на конкретні марки, всі інші характеристики пакувальних матеріалів залишаються без змін), уточнюється посилання на метод контролю у показнику "Мікробіологічна чистота". Зазначені зміни мають редакційний характер.</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без рецепта</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UA/4551/01/01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ЦЕТРОТІД® 0,25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cetrorelix</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цетрорелікс (у вигляді цетрореліксу ацетату)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H01CC02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0,25 мг 1 флакон з порошком у комплекті з 1 попередньо заповненим шприцом з розчинником (вода для ін'єкцій) по 1 мл, 1 голкою для розчинення та 1 голкою для ін'єкцій у контурній чарунковій упаковці; по 7 контурних чарункових упаковок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Арес Трейдінг С.А.</w:t>
              <w:b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виробник нерозфасованої продукції, первинне пакування та контроль якості: </w:t>
              <w:br/>
              <w:t>Сімтра Дойчланд ГмбХ, Німеччина</w:t>
              <w:br/>
              <w:br/>
              <w:t>ФАРЕВА ПАУ 1, Франція</w:t>
              <w:br/>
              <w:br/>
              <w:t>виробник нерозфасованої продукції, первинне пакування та контроль якості (візуальний контроль):</w:t>
              <w:br/>
              <w:t>ФАРЕВА ПАУ 2, Франція</w:t>
              <w:br/>
              <w:br/>
              <w:t>вторинне пакування:</w:t>
              <w:br/>
              <w:t>Абботт Біолоджікалз Б.В., Нідерланди</w:t>
              <w:br/>
              <w:br/>
              <w:t>відповідальний за випуск серії:</w:t>
              <w:br/>
              <w:t xml:space="preserve">Мерк Хелскеа KГаА, Німеччина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lang w:val="en-US"/>
              </w:rPr>
            </w:pPr>
            <w:r>
              <w:rPr>
                <w:rFonts w:cs="Arial" w:ascii="Arial" w:hAnsi="Arial"/>
                <w:color w:val="000000"/>
                <w:sz w:val="16"/>
                <w:szCs w:val="16"/>
              </w:rPr>
              <w:t>Німеччина</w:t>
            </w:r>
            <w:r>
              <w:rPr>
                <w:rFonts w:cs="Arial" w:ascii="Arial" w:hAnsi="Arial"/>
                <w:color w:val="000000"/>
                <w:sz w:val="16"/>
                <w:szCs w:val="16"/>
                <w:lang w:val="en-US"/>
              </w:rPr>
              <w:t>/</w:t>
            </w:r>
            <w:r>
              <w:rPr>
                <w:rFonts w:cs="Arial" w:ascii="Arial" w:hAnsi="Arial"/>
                <w:color w:val="000000"/>
                <w:sz w:val="16"/>
                <w:szCs w:val="16"/>
              </w:rPr>
              <w:t xml:space="preserve"> Франція</w:t>
            </w:r>
            <w:r>
              <w:rPr>
                <w:rFonts w:cs="Arial" w:ascii="Arial" w:hAnsi="Arial"/>
                <w:color w:val="000000"/>
                <w:sz w:val="16"/>
                <w:szCs w:val="16"/>
                <w:lang w:val="en-US"/>
              </w:rPr>
              <w:t>/</w:t>
            </w:r>
            <w:r>
              <w:rPr>
                <w:rFonts w:cs="Arial" w:ascii="Arial" w:hAnsi="Arial"/>
                <w:color w:val="000000"/>
                <w:sz w:val="16"/>
                <w:szCs w:val="16"/>
              </w:rPr>
              <w:t xml:space="preserve"> Нідерланди</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color w:val="000000"/>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виробничої дільниці, відповідальної за виробництво нерозфасованої продукції, первинне пакування та контроль якості готового лікарського засобу, з Baxter Oncology GmbH, Німеччина, на Simtra Deutschland GmbH. Адреса залишається незмінною. Зміни внесено в інструкцію для медичного застосування лікарського засобу у розділ "Виробники" з відповідними змінами в тексті маркування упаковок.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виробничої дільниці, відповідальної за контроль якості та дослідження стабільності активної речовини цетрореліксу ацетату, з Baxter Oncology GmbH, Німеччина, на Simtra Deutschland GmbH. Адреса залишається незмінною. Зміни І типу - Зміни з якості. АФІ. Стабільність. Зміна періоду повторних випробувань/періоду зберігання або умов зберігання АФІ (за відсутності у затвердженому досьє сертифіката відповідності Європейській фармакопеї, що включає період повторного випробування) (період повторного випробування/період зберігання) - Збільшення або введення періоду повторного випробування/періоду зберігання на основі результатів досліджень у реальному часі. Збільшення періоду повторного тестування субстанції активної речовини цетрореліксу ацетату, виробленого компанією BCN Peptides S.A., Іспанія, з 24 місяців до 36 місяців при зберіганні при температурі - 20 </w:t>
            </w:r>
            <w:r>
              <w:rPr>
                <w:rFonts w:cs="Arial" w:ascii="Arial" w:hAnsi="Arial"/>
                <w:color w:val="000000"/>
                <w:sz w:val="16"/>
                <w:szCs w:val="16"/>
                <w:vertAlign w:val="superscript"/>
              </w:rPr>
              <w:t>0</w:t>
            </w:r>
            <w:r>
              <w:rPr>
                <w:rFonts w:cs="Arial" w:ascii="Arial" w:hAnsi="Arial"/>
                <w:color w:val="000000"/>
                <w:sz w:val="16"/>
                <w:szCs w:val="16"/>
              </w:rPr>
              <w:t xml:space="preserve">C ± 5 </w:t>
            </w:r>
            <w:r>
              <w:rPr>
                <w:rFonts w:cs="Arial" w:ascii="Arial" w:hAnsi="Arial"/>
                <w:color w:val="000000"/>
                <w:sz w:val="16"/>
                <w:szCs w:val="16"/>
                <w:vertAlign w:val="superscript"/>
              </w:rPr>
              <w:t>0</w:t>
            </w:r>
            <w:r>
              <w:rPr>
                <w:rFonts w:cs="Arial" w:ascii="Arial" w:hAnsi="Arial"/>
                <w:color w:val="000000"/>
                <w:sz w:val="16"/>
                <w:szCs w:val="16"/>
              </w:rPr>
              <w:t xml:space="preserve">C.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Заміна виробників вихідних матеріалів - однокомпонентних захищених амінокислот, які використовуються в процесі виробництва субстанції активної речовини цетрореліксу ацетату, що здійснюється виробником BCN Peptides S.A., Іспанія. </w:t>
              <w:br/>
              <w:t>Пропонується замінити компанії Advance Chemtech та Reanal на компанію Shenzhen Readline/Chengdu ZYbiochemical Technology, розташовану за адресою: 6th floor, Wanhe Medicine Park, No. 8, Gaoxin C. 1st Ave., Nanshan, Shenzhen, GD, 518057, Китай.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цефазоліну натрієва сіль</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0,5 г; 1 флакон з порошком в пачці; 5 флаконів з порошком в контурній чарунковій упаковці; по 1 контурній чарунковій упаковці в пачці; 1 флакон з порошком у комплекті з 1 ампулою розчинника (Вода для ін'єкцій-Дарниця) по 5 мл в контурній чарунковій упаковці; по 1 контурній чарунковій упаковці в пачці; 40 флаконів з порошком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цефазолін відповідно до рекомендацій PRAC.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ЦЕФАЗОЛІН-ДАРНИЦЯ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cefazolin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цефазоліну натрієва сіль</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 г, 1 флакон з порошком в пачці; 5 флаконів з порошком в контурній чарунковій упаковці; по 1 контурній чарунковій упаковці в пачці; 1 флакон з порошком у комплекті з 1 ампулою розчинника (Вода для ін'єкцій-Дарниця) по 10 мл в контурній чарунковій упаковці; по 1 контурній чарунковій упаковці в пачці; 40 флаконів з порошком у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цефазолін відповідно до рекомендацій PRAC. Введення змін протягом 6-ти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UA/6216/01/02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ЦЕФАЛЕКСИН АЛКАЛОЇД®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cefalexin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цефалексин (у формі цефалексину моногідрату)</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250 мг/5 мл (для 100 мл), по 65,4 г порошку у флаконі; по 1 флакону у комплекті з пластмасовою мірною ложкою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та "Побічні реакції". Інструкція для медичного застосування лікарського засобу (eCTD версія 0005).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UA/0264/01/01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ЦЕФИНАК®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цефіксиму тригідрат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10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Нектар Лайфсайнсіз Лімітед-Юніт VI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"Особливості застосування" щодо безпеки застосування діючої речовини «цефіксим» відповідно до рекомендацій PRAC.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ЦЕФИНАК®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cefixime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 xml:space="preserve">цефіксиму тригідрат </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J01DD08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в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Абрил Формулейшнз Пвт.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Нектар Лайфсайнсіз Лімітед-Юніт VI</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br/>
              <w:t>Зміни внесено в інструкцію для медичного застосування лікарського засобу до розділу "Особливості застосування" щодо безпеки застосування діючої речовини «цефіксим» відповідно до рекомендацій PRAC. Термін введення змін - протягом 6 місяців після затвердження.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UA/16758/01/02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ЦЕФОТРИН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cefepime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цефепіму гідрохлорид</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J01DE01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1 флакон з порошком в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Ананта Медікеар Лтд.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Ананта Медікеар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розміру серії ГЛЗ 90 кг (46219 флаконів) в доповнення до вже затвердженого розміру серії 40 кг (20161 флакон).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UA/12006/01/01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ЦИКЛОКС®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есциталопраму оксалат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14 таблеток у блістері, по 2 або по 4 блістера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провадження діяльності виробника АФІ Есциталопраму оксалат,без зміни місця виробництва. Затверджено: (виробник- Shodhana Laboratories Ltd., India) Адреса: Plot No. 24,25 &amp; 26, Phase-1, IDA, Jeedimetla, Hyderabad- 500 055, Telangana, INDIA. Запропоновано: виробник – Shodhana Laboratories Private Limited, India) Адреса: Plot No. 24,25 &amp; 26, Phase-1, IDA, Jeedimetla, Quthbullapur (Mandal), Medchal-Malkajgiri District-500 055, Telangana State, INDIA.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UA/19243/01/01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ЦИКЛОКС®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есциталопраму оксалат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14 таблеток у блістері, по 2 або по 4 блістера у картонній упаковці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провадження діяльності виробника АФІ Есциталопраму оксалат,без зміни місця виробництва. Затверджено: (виробник- Shodhana Laboratories Ltd., India) Адреса: Plot No. 24,25 &amp; 26, Phase-1, IDA, Jeedimetla, Hyderabad- 500 055, Telangana, INDIA. Запропоновано: виробник – Shodhana Laboratories Private Limited, India) Адреса: Plot No. 24,25 &amp; 26, Phase-1, IDA, Jeedimetla, Quthbullapur (Mandal), Medchal-Malkajgiri District-500 055, Telangana State, INDIA.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UA/19243/01/02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ЦИКЛОКС®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есциталопраму оксалат</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in bulk: № 7560 (14х540) таблеток: 14 таблеток у блістері; по 540 блістерів у картонній коробці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провадження діяльності виробника АФІ Есциталопраму оксалат,без зміни місця виробництва. Затверджено: (виробник- Shodhana Laboratories Ltd., India) Адреса: Plot No. 24,25 &amp; 26, Phase-1, IDA, Jeedimetla, Hyderabad- 500 055, Telangana, INDIA. Запропоновано: виробник – Shodhana Laboratories Private Limited, India) Адреса: Plot No. 24,25 &amp; 26, Phase-1, IDA, Jeedimetla, Quthbullapur (Mandal), Medchal-Malkajgiri District-500 055, Telangana State, INDIA.</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ЦІАНОКОБАЛАМІН-ДАРНИЦЯ (ВІТАМІН В12-ДАРНИЦЯ)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cyanocobalamin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ціанокобаламін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0,5 мг/мл, по 1 мл в ампулі; по 5 ампул у контурній чарунковій упаковці; по 2 контурні чарункові упаковки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специфікації допоміжної речовини Натрію ацетат тригідрат у відповідність до вимог монографії ЄФ «Sodium acetate trihydrate», відповідно вилучено показники «Арсен» та «Важкі метали».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зміни).Супутня зміна-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приведення нормування показника «Мікробіологічна чистота» у специфікації допоміжної речовини Натрію ацетат тригідрат у відповідність до вимог ЄФ, 2.6.12, 5.1.4 ДФУ.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UA/3471/01/02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ЦІАНОКОБАЛАМІН-ДАРНИЦЯ (ВІТАМІН В12-ДАРНИЦЯ)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cyanocobalamin</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ціанокобаламін</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B03BA01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розчин для ін'єкцій, 0,2 мг/мл, по 1 мл в ампулі; по 5 ампул у контурній чарунковій упаковці; по 2 контурні чарункові упаковки в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фірма "Дарниця"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специфікації допоміжної речовини Натрію ацетат тригідрат у відповідність до вимог монографії ЄФ «Sodium acetate trihydrate», відповідно вилучено показники «Арсен» та «Важкі метали». Зміни І типу - Зміни з якості. Готовий лікарський засіб. Контроль допоміжних речовин. Зміна параметрів специфікацій та/або допустимих меж для допоміжної речовини (інші зміни).Супутня зміна-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приведення нормування показника «Мікробіологічна чистота» у специфікації допоміжної речовини Натрію ацетат тригідрат у відповідність до вимог ЄФ, 2.6.12, 5.1.4 ДФУ.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1"/>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27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color w:val="000000"/>
                <w:sz w:val="16"/>
                <w:szCs w:val="16"/>
              </w:rPr>
            </w:pPr>
            <w:r>
              <w:rPr>
                <w:rFonts w:cs="Arial" w:ascii="Arial" w:hAnsi="Arial"/>
                <w:b/>
                <w:sz w:val="16"/>
                <w:szCs w:val="16"/>
              </w:rPr>
              <w:t>ЯРИНА® ПЛЮС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drospirenone and ethinylestradiol</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sz w:val="16"/>
                <w:szCs w:val="16"/>
              </w:rPr>
              <w:t>1 таблетка оранжевого кольору містить етинілестрадіол, дроспіренон та левомефолат кальцію; 1 таблетка світло-оранжевого кольору містить левомефолат кальцію</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G03AA12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 28: по 21 таблетці оранжевого кольору і по 7 таблеток світло-оранжевого кольору в блістері; по 1 блістеру в картонній пачці; №84: по 21 таблетці оранжевого кольору і по 7 таблеток світло-оранжевого кольору в блістері; по 3 блістери в картонній пачці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55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Первинна та вторинна упаковка, дозвіл на випуск серії:</w:t>
              <w:br/>
              <w:t xml:space="preserve">Байєр АГ, Німеччина </w:t>
              <w:br/>
              <w:t>Виробництво нерозфасованої продукції:</w:t>
              <w:br/>
              <w:t>Байєр Ваймар ГмбХ і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55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Зміна частоти подання регулярно оновлюваного звіту з безпеки. </w:t>
              <w:br/>
              <w:t>Діюча редакція: Частота подання регулярно оновлюваного звіту з безпеки 3 роки. Кінцева дата для включення даних до РОЗБ - 06.09.2019 р. Дата подання - 05.12.2019 р. Пропонована редакція: Частота подання регулярно оновлюваного звіту з безпеки 5 років. Кінцева дата для включення даних до РОЗБ - 06.09.2030 р. Дата подання - 05.12.2030 р. Рекомендовано до затвердження відповідно до періодичності подання регулярно оновлюваних звітів з безпеки лікарських засобів у ЄС</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color w:val="000000"/>
                <w:sz w:val="16"/>
                <w:szCs w:val="16"/>
              </w:rPr>
            </w:pPr>
            <w:r>
              <w:rPr>
                <w:rFonts w:cs="Arial" w:ascii="Arial" w:hAnsi="Arial"/>
                <w:i/>
                <w:sz w:val="16"/>
                <w:szCs w:val="16"/>
              </w:rPr>
              <w:t>за рецептом</w:t>
            </w:r>
          </w:p>
        </w:tc>
        <w:tc>
          <w:tcPr>
            <w:tcW w:w="709"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color w:val="000000"/>
                <w:sz w:val="16"/>
                <w:szCs w:val="16"/>
              </w:rPr>
            </w:pPr>
            <w:r>
              <w:rPr>
                <w:rFonts w:cs="Arial" w:ascii="Arial" w:hAnsi="Arial"/>
                <w:b/>
                <w:i/>
                <w:color w:val="000000"/>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UA/12155/01/01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9">
        <w:r>
          <w:rPr>
            <w:rStyle w:val="InternetLink"/>
            <w:i/>
            <w:color w:val="000000"/>
            <w:szCs w:val="16"/>
          </w:rPr>
          <w:t>https://www.whocc.no/atc_ddd_index/</w:t>
        </w:r>
      </w:hyperlink>
      <w:r>
        <w:rPr>
          <w:rStyle w:val="InternetLink"/>
          <w:i/>
          <w:color w:val="000000"/>
          <w:szCs w:val="16"/>
        </w:rPr>
        <w:t>)</w:t>
      </w:r>
    </w:p>
    <w:p>
      <w:pPr>
        <w:pStyle w:val="Normal"/>
        <w:ind w:right="20" w:hanging="0"/>
        <w:rPr>
          <w:rFonts w:ascii="Arial" w:hAnsi="Arial" w:cs="Arial"/>
          <w:i/>
          <w:i/>
          <w:sz w:val="16"/>
          <w:szCs w:val="16"/>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b/>
          <w:b/>
          <w:iCs/>
          <w:sz w:val="28"/>
          <w:szCs w:val="28"/>
        </w:rPr>
      </w:pPr>
      <w:r>
        <w:rPr>
          <w:b/>
          <w:iCs/>
          <w:sz w:val="28"/>
          <w:szCs w:val="28"/>
        </w:rPr>
        <w:t>Начальник</w:t>
      </w:r>
    </w:p>
    <w:p>
      <w:pPr>
        <w:pStyle w:val="Normal"/>
        <w:ind w:right="20" w:hanging="0"/>
        <w:rPr>
          <w:b/>
          <w:b/>
          <w:iCs/>
          <w:sz w:val="28"/>
          <w:szCs w:val="28"/>
        </w:rPr>
      </w:pPr>
      <w:r>
        <w:rPr>
          <w:b/>
          <w:iCs/>
          <w:sz w:val="28"/>
          <w:szCs w:val="28"/>
        </w:rPr>
        <w:t>Фармацевтичного управління                                                                                                              Олександр ГРІЦЕНКО</w:t>
      </w:r>
      <w:r>
        <w:br w:type="page"/>
      </w:r>
    </w:p>
    <w:p>
      <w:pPr>
        <w:pStyle w:val="Normal"/>
        <w:tabs>
          <w:tab w:val="left" w:pos="1985" w:leader="none"/>
        </w:tabs>
        <w:rPr>
          <w:rFonts w:ascii="Arial" w:hAnsi="Arial" w:cs="Arial"/>
          <w:b/>
          <w:b/>
          <w:iCs/>
          <w:sz w:val="28"/>
          <w:szCs w:val="28"/>
          <w:lang w:val="uk-UA"/>
        </w:rPr>
      </w:pPr>
      <w:r>
        <w:rPr>
          <w:rFonts w:cs="Arial" w:ascii="Arial" w:hAnsi="Arial"/>
          <w:b/>
          <w:iCs/>
          <w:sz w:val="28"/>
          <w:szCs w:val="28"/>
          <w:lang w:val="uk-UA"/>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spacing w:before="0" w:after="0"/>
              <w:jc w:val="both"/>
              <w:rPr>
                <w:sz w:val="18"/>
                <w:szCs w:val="18"/>
              </w:rPr>
            </w:pPr>
            <w:r>
              <w:rPr>
                <w:sz w:val="18"/>
                <w:szCs w:val="18"/>
              </w:rPr>
              <w:t>Додаток 4</w:t>
            </w:r>
          </w:p>
          <w:p>
            <w:pPr>
              <w:pStyle w:val="Heading4"/>
              <w:numPr>
                <w:ilvl w:val="3"/>
                <w:numId w:val="1"/>
              </w:numPr>
              <w:tabs>
                <w:tab w:val="left" w:pos="12600" w:leader="none"/>
              </w:tabs>
              <w:spacing w:before="0" w:after="0"/>
              <w:jc w:val="both"/>
              <w:rPr>
                <w:sz w:val="18"/>
                <w:szCs w:val="18"/>
              </w:rPr>
            </w:pPr>
            <w:r>
              <w:rPr>
                <w:sz w:val="18"/>
                <w:szCs w:val="18"/>
              </w:rPr>
              <w:t>до наказу Міністерства охорони</w:t>
            </w:r>
          </w:p>
          <w:p>
            <w:pPr>
              <w:pStyle w:val="Heading4"/>
              <w:numPr>
                <w:ilvl w:val="3"/>
                <w:numId w:val="1"/>
              </w:numPr>
              <w:tabs>
                <w:tab w:val="left" w:pos="12600" w:leader="none"/>
              </w:tabs>
              <w:spacing w:before="0" w:after="0"/>
              <w:jc w:val="both"/>
              <w:rPr/>
            </w:pPr>
            <w:r>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pPr>
              <w:pStyle w:val="Normal"/>
              <w:tabs>
                <w:tab w:val="left" w:pos="12600" w:leader="none"/>
              </w:tabs>
              <w:spacing w:lineRule="auto" w:line="254"/>
              <w:jc w:val="both"/>
              <w:rPr>
                <w:rFonts w:ascii="Arial" w:hAnsi="Arial" w:cs="Arial"/>
                <w:b/>
                <w:b/>
                <w:sz w:val="18"/>
                <w:szCs w:val="18"/>
                <w:lang w:eastAsia="en-US"/>
              </w:rPr>
            </w:pPr>
            <w:r>
              <w:rPr>
                <w:b/>
                <w:iCs/>
                <w:sz w:val="18"/>
                <w:szCs w:val="18"/>
                <w:u w:val="single"/>
              </w:rPr>
              <w:t>від_14 жовтня 2026 року № 1583</w:t>
            </w:r>
          </w:p>
        </w:tc>
      </w:tr>
    </w:tbl>
    <w:p>
      <w:pPr>
        <w:pStyle w:val="Normal"/>
        <w:tabs>
          <w:tab w:val="left" w:pos="12600" w:leader="none"/>
        </w:tabs>
        <w:rPr>
          <w:rFonts w:ascii="Arial" w:hAnsi="Arial" w:cs="Arial"/>
          <w:sz w:val="18"/>
          <w:szCs w:val="18"/>
        </w:rPr>
      </w:pPr>
      <w:r>
        <w:rPr>
          <w:rFonts w:cs="Arial" w:ascii="Arial" w:hAnsi="Arial"/>
          <w:sz w:val="18"/>
          <w:szCs w:val="18"/>
        </w:rPr>
      </w:r>
    </w:p>
    <w:p>
      <w:pPr>
        <w:pStyle w:val="Normal"/>
        <w:jc w:val="center"/>
        <w:rPr>
          <w:b/>
          <w:b/>
          <w:sz w:val="28"/>
          <w:szCs w:val="28"/>
        </w:rPr>
      </w:pPr>
      <w:r>
        <w:rPr>
          <w:b/>
          <w:sz w:val="28"/>
          <w:szCs w:val="28"/>
        </w:rPr>
        <w:t>ПЕРЕЛІК</w:t>
      </w:r>
    </w:p>
    <w:p>
      <w:pPr>
        <w:pStyle w:val="Normal"/>
        <w:jc w:val="center"/>
        <w:rPr>
          <w:rFonts w:ascii="Arial" w:hAnsi="Arial" w:cs="Arial"/>
        </w:rPr>
      </w:pPr>
      <w:r>
        <w:rPr>
          <w:b/>
          <w:sz w:val="28"/>
          <w:szCs w:val="28"/>
        </w:rPr>
        <w:t>ЛІКАРСЬКИХ ЗАСОБІВ, ЯКИМ ВІДМОВЛЕНО В ДЕРЖАВНІЙ РЕЄСТРАЦІЇ, ПЕРЕРЕЄСТРАЦІЇ АБО У ВНЕСЕННІ ЗМІН ДО РЕЄСТРАЦІЙНИХ МАТЕРІАЛІВ</w:t>
      </w:r>
    </w:p>
    <w:p>
      <w:pPr>
        <w:pStyle w:val="Normal"/>
        <w:jc w:val="center"/>
        <w:rPr>
          <w:rFonts w:ascii="Arial" w:hAnsi="Arial" w:cs="Arial"/>
        </w:rPr>
      </w:pPr>
      <w:r>
        <w:rPr>
          <w:rFonts w:cs="Arial" w:ascii="Arial" w:hAnsi="Arial"/>
        </w:rPr>
      </w:r>
    </w:p>
    <w:tbl>
      <w:tblPr>
        <w:tblW w:w="16033"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47"/>
        <w:gridCol w:w="1580"/>
        <w:gridCol w:w="1559"/>
        <w:gridCol w:w="1134"/>
        <w:gridCol w:w="1134"/>
        <w:gridCol w:w="2551"/>
        <w:gridCol w:w="708"/>
        <w:gridCol w:w="1418"/>
        <w:gridCol w:w="5397"/>
        <w:gridCol w:w="5"/>
      </w:tblGrid>
      <w:tr>
        <w:trPr>
          <w:tblHeader w:val="true"/>
        </w:trPr>
        <w:tc>
          <w:tcPr>
            <w:tcW w:w="547"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580"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Назва лікарського засобу</w:t>
            </w:r>
          </w:p>
        </w:tc>
        <w:tc>
          <w:tcPr>
            <w:tcW w:w="1559"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Форма випуску</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Заявник</w:t>
            </w:r>
          </w:p>
        </w:tc>
        <w:tc>
          <w:tcPr>
            <w:tcW w:w="113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2551"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Виробник</w:t>
            </w:r>
          </w:p>
        </w:tc>
        <w:tc>
          <w:tcPr>
            <w:tcW w:w="708"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Країна</w:t>
            </w:r>
          </w:p>
        </w:tc>
        <w:tc>
          <w:tcPr>
            <w:tcW w:w="1418"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Підстава</w:t>
            </w:r>
          </w:p>
        </w:tc>
        <w:tc>
          <w:tcPr>
            <w:tcW w:w="5402"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E5E5E5" w:val="clear"/>
            <w:tcMar>
              <w:left w:w="100" w:type="dxa"/>
            </w:tcMar>
          </w:tcPr>
          <w:p>
            <w:pPr>
              <w:pStyle w:val="Normal"/>
              <w:spacing w:lineRule="auto" w:line="254"/>
              <w:jc w:val="center"/>
              <w:rPr>
                <w:rFonts w:ascii="Arial" w:hAnsi="Arial" w:cs="Arial"/>
                <w:b/>
                <w:b/>
                <w:i/>
                <w:i/>
                <w:sz w:val="16"/>
                <w:szCs w:val="16"/>
                <w:lang w:eastAsia="en-US"/>
              </w:rPr>
            </w:pPr>
            <w:r>
              <w:rPr>
                <w:rFonts w:cs="Arial" w:ascii="Arial" w:hAnsi="Arial"/>
                <w:b/>
                <w:i/>
                <w:sz w:val="16"/>
                <w:szCs w:val="16"/>
                <w:lang w:eastAsia="en-US"/>
              </w:rPr>
              <w:t>Процедура</w:t>
            </w:r>
          </w:p>
        </w:tc>
      </w:tr>
      <w:tr>
        <w:trPr>
          <w:trHeight w:val="1413"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6"/>
              </w:numPr>
              <w:snapToGrid w:val="false"/>
              <w:spacing w:lineRule="auto" w:line="254"/>
              <w:rPr>
                <w:rFonts w:ascii="Arial" w:hAnsi="Arial" w:cs="Arial"/>
                <w:b/>
                <w:b/>
                <w:i/>
                <w:i/>
                <w:sz w:val="16"/>
                <w:szCs w:val="16"/>
                <w:lang w:eastAsia="en-US"/>
              </w:rPr>
            </w:pPr>
            <w:r>
              <w:rPr>
                <w:rFonts w:cs="Arial" w:ascii="Arial" w:hAnsi="Arial"/>
                <w:b/>
                <w:i/>
                <w:sz w:val="16"/>
                <w:szCs w:val="16"/>
                <w:lang w:eastAsia="en-US"/>
              </w:rPr>
            </w:r>
          </w:p>
        </w:tc>
        <w:tc>
          <w:tcPr>
            <w:tcW w:w="158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b/>
                <w:b/>
                <w:sz w:val="16"/>
                <w:szCs w:val="16"/>
                <w:lang w:eastAsia="en-US"/>
              </w:rPr>
            </w:pPr>
            <w:r>
              <w:rPr>
                <w:rFonts w:cs="Arial" w:ascii="Arial" w:hAnsi="Arial"/>
                <w:b/>
                <w:sz w:val="16"/>
                <w:szCs w:val="16"/>
                <w:lang w:eastAsia="en-US"/>
              </w:rPr>
              <w:t xml:space="preserve">АКНЕТРЕКС 10, АКНЕТРЕКС 20 </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sz w:val="16"/>
                <w:szCs w:val="16"/>
                <w:lang w:eastAsia="en-US"/>
              </w:rPr>
            </w:pPr>
            <w:r>
              <w:rPr>
                <w:rFonts w:cs="Arial" w:ascii="Arial" w:hAnsi="Arial"/>
                <w:sz w:val="16"/>
                <w:szCs w:val="16"/>
                <w:lang w:eastAsia="en-US"/>
              </w:rPr>
              <w:t>капсули м'які по 10 мг; по 20 мг; по 10 капсул у блістері, по 3 блістери в картонній коробці</w:t>
            </w:r>
          </w:p>
          <w:p>
            <w:pPr>
              <w:pStyle w:val="Normal"/>
              <w:spacing w:lineRule="auto" w:line="254"/>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МЕГА ЛАЙФСАЙЕНСІЗ Паблік Компані Лімітед</w:t>
            </w:r>
          </w:p>
          <w:p>
            <w:pPr>
              <w:pStyle w:val="Normal"/>
              <w:spacing w:lineRule="auto" w:line="254"/>
              <w:jc w:val="center"/>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Таїланд</w:t>
            </w:r>
          </w:p>
        </w:tc>
        <w:tc>
          <w:tcPr>
            <w:tcW w:w="25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center"/>
              <w:rPr>
                <w:rFonts w:cs="Arial"/>
                <w:b w:val="false"/>
                <w:b w:val="false"/>
                <w:iCs/>
                <w:sz w:val="16"/>
                <w:szCs w:val="16"/>
                <w:lang w:val="uk-UA"/>
              </w:rPr>
            </w:pPr>
            <w:r>
              <w:rPr>
                <w:rFonts w:cs="Arial"/>
                <w:b w:val="false"/>
                <w:sz w:val="16"/>
                <w:szCs w:val="16"/>
                <w:lang w:val="uk-UA"/>
              </w:rPr>
              <w:t>Мега Лайфсайенсіз Паблік Компані Лімітед</w:t>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54" w:before="0" w:after="120"/>
              <w:ind w:left="0" w:hanging="0"/>
              <w:rPr>
                <w:rFonts w:ascii="Arial" w:hAnsi="Arial" w:cs="Arial"/>
                <w:sz w:val="16"/>
                <w:szCs w:val="16"/>
                <w:lang w:val="uk-UA" w:eastAsia="en-US"/>
              </w:rPr>
            </w:pPr>
            <w:r>
              <w:rPr>
                <w:rFonts w:cs="Arial" w:ascii="Arial" w:hAnsi="Arial"/>
                <w:sz w:val="16"/>
                <w:szCs w:val="16"/>
                <w:lang w:eastAsia="en-US"/>
              </w:rPr>
              <w:t>Таїланд</w:t>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left"/>
              <w:rPr>
                <w:rFonts w:cs="Arial"/>
                <w:b w:val="false"/>
                <w:b w:val="false"/>
                <w:iCs/>
                <w:sz w:val="16"/>
                <w:szCs w:val="16"/>
              </w:rPr>
            </w:pPr>
            <w:r>
              <w:rPr>
                <w:rFonts w:cs="Arial"/>
                <w:b w:val="false"/>
                <w:iCs/>
                <w:sz w:val="16"/>
                <w:szCs w:val="16"/>
              </w:rPr>
              <w:t>засідання НТР № 38 від 24.09.2026</w:t>
            </w:r>
          </w:p>
        </w:tc>
        <w:tc>
          <w:tcPr>
            <w:tcW w:w="5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54" w:before="0" w:after="120"/>
              <w:ind w:left="0" w:hanging="0"/>
              <w:jc w:val="both"/>
              <w:rPr>
                <w:rFonts w:ascii="Arial" w:hAnsi="Arial" w:cs="Arial"/>
                <w:b/>
                <w:b/>
                <w:sz w:val="16"/>
                <w:szCs w:val="16"/>
                <w:lang w:eastAsia="en-US"/>
              </w:rPr>
            </w:pPr>
            <w:r>
              <w:rPr>
                <w:rFonts w:cs="Arial" w:ascii="Arial" w:hAnsi="Arial"/>
                <w:b/>
                <w:sz w:val="16"/>
                <w:szCs w:val="16"/>
                <w:lang w:val="uk-UA"/>
              </w:rPr>
              <w:t>Відмовити у затвердженні</w:t>
            </w:r>
            <w:r>
              <w:rPr>
                <w:rFonts w:cs="Arial" w:ascii="Arial" w:hAnsi="Arial"/>
                <w:b/>
                <w:sz w:val="16"/>
                <w:szCs w:val="16"/>
                <w:lang w:val="en-US" w:eastAsia="en-US"/>
              </w:rPr>
              <w:t xml:space="preserve"> -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І</w:t>
            </w:r>
            <w:r>
              <w:rPr>
                <w:rFonts w:cs="Arial" w:ascii="Arial" w:hAnsi="Arial"/>
                <w:sz w:val="16"/>
                <w:szCs w:val="16"/>
                <w:lang w:val="en-US" w:eastAsia="en-US"/>
              </w:rPr>
              <w:t xml:space="preserve"> </w:t>
            </w:r>
            <w:r>
              <w:rPr>
                <w:rFonts w:cs="Arial" w:ascii="Arial" w:hAnsi="Arial"/>
                <w:sz w:val="16"/>
                <w:szCs w:val="16"/>
                <w:lang w:eastAsia="en-US"/>
              </w:rPr>
              <w:t>типу</w:t>
            </w:r>
            <w:r>
              <w:rPr>
                <w:rFonts w:cs="Arial" w:ascii="Arial" w:hAnsi="Arial"/>
                <w:sz w:val="16"/>
                <w:szCs w:val="16"/>
                <w:lang w:val="en-US" w:eastAsia="en-US"/>
              </w:rPr>
              <w:t xml:space="preserve"> -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щодо</w:t>
            </w:r>
            <w:r>
              <w:rPr>
                <w:rFonts w:cs="Arial" w:ascii="Arial" w:hAnsi="Arial"/>
                <w:sz w:val="16"/>
                <w:szCs w:val="16"/>
                <w:lang w:val="en-US" w:eastAsia="en-US"/>
              </w:rPr>
              <w:t xml:space="preserve"> </w:t>
            </w:r>
            <w:r>
              <w:rPr>
                <w:rFonts w:cs="Arial" w:ascii="Arial" w:hAnsi="Arial"/>
                <w:sz w:val="16"/>
                <w:szCs w:val="16"/>
                <w:lang w:eastAsia="en-US"/>
              </w:rPr>
              <w:t>безпеки</w:t>
            </w:r>
            <w:r>
              <w:rPr>
                <w:rFonts w:cs="Arial" w:ascii="Arial" w:hAnsi="Arial"/>
                <w:sz w:val="16"/>
                <w:szCs w:val="16"/>
                <w:lang w:val="en-US" w:eastAsia="en-US"/>
              </w:rPr>
              <w:t>/</w:t>
            </w:r>
            <w:r>
              <w:rPr>
                <w:rFonts w:cs="Arial" w:ascii="Arial" w:hAnsi="Arial"/>
                <w:sz w:val="16"/>
                <w:szCs w:val="16"/>
                <w:lang w:eastAsia="en-US"/>
              </w:rPr>
              <w:t>ефективності</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Внесення</w:t>
            </w:r>
            <w:r>
              <w:rPr>
                <w:rFonts w:cs="Arial" w:ascii="Arial" w:hAnsi="Arial"/>
                <w:sz w:val="16"/>
                <w:szCs w:val="16"/>
                <w:lang w:val="en-US" w:eastAsia="en-US"/>
              </w:rPr>
              <w:t xml:space="preserve"> </w:t>
            </w:r>
            <w:r>
              <w:rPr>
                <w:rFonts w:cs="Arial" w:ascii="Arial" w:hAnsi="Arial"/>
                <w:sz w:val="16"/>
                <w:szCs w:val="16"/>
                <w:lang w:eastAsia="en-US"/>
              </w:rPr>
              <w:t>або</w:t>
            </w:r>
            <w:r>
              <w:rPr>
                <w:rFonts w:cs="Arial" w:ascii="Arial" w:hAnsi="Arial"/>
                <w:sz w:val="16"/>
                <w:szCs w:val="16"/>
                <w:lang w:val="en-US" w:eastAsia="en-US"/>
              </w:rPr>
              <w:t xml:space="preserve"> </w:t>
            </w:r>
            <w:r>
              <w:rPr>
                <w:rFonts w:cs="Arial" w:ascii="Arial" w:hAnsi="Arial"/>
                <w:sz w:val="16"/>
                <w:szCs w:val="16"/>
                <w:lang w:eastAsia="en-US"/>
              </w:rPr>
              <w:t>зміна</w:t>
            </w:r>
            <w:r>
              <w:rPr>
                <w:rFonts w:cs="Arial" w:ascii="Arial" w:hAnsi="Arial"/>
                <w:sz w:val="16"/>
                <w:szCs w:val="16"/>
                <w:lang w:val="en-US" w:eastAsia="en-US"/>
              </w:rPr>
              <w:t>(</w:t>
            </w:r>
            <w:r>
              <w:rPr>
                <w:rFonts w:cs="Arial" w:ascii="Arial" w:hAnsi="Arial"/>
                <w:sz w:val="16"/>
                <w:szCs w:val="16"/>
                <w:lang w:eastAsia="en-US"/>
              </w:rPr>
              <w:t>и</w:t>
            </w:r>
            <w:r>
              <w:rPr>
                <w:rFonts w:cs="Arial" w:ascii="Arial" w:hAnsi="Arial"/>
                <w:sz w:val="16"/>
                <w:szCs w:val="16"/>
                <w:lang w:val="en-US" w:eastAsia="en-US"/>
              </w:rPr>
              <w:t xml:space="preserve">) </w:t>
            </w:r>
            <w:r>
              <w:rPr>
                <w:rFonts w:cs="Arial" w:ascii="Arial" w:hAnsi="Arial"/>
                <w:sz w:val="16"/>
                <w:szCs w:val="16"/>
                <w:lang w:eastAsia="en-US"/>
              </w:rPr>
              <w:t>до</w:t>
            </w:r>
            <w:r>
              <w:rPr>
                <w:rFonts w:cs="Arial" w:ascii="Arial" w:hAnsi="Arial"/>
                <w:sz w:val="16"/>
                <w:szCs w:val="16"/>
                <w:lang w:val="en-US" w:eastAsia="en-US"/>
              </w:rPr>
              <w:t xml:space="preserve"> </w:t>
            </w:r>
            <w:r>
              <w:rPr>
                <w:rFonts w:cs="Arial" w:ascii="Arial" w:hAnsi="Arial"/>
                <w:sz w:val="16"/>
                <w:szCs w:val="16"/>
                <w:lang w:eastAsia="en-US"/>
              </w:rPr>
              <w:t>зобов</w:t>
            </w:r>
            <w:r>
              <w:rPr>
                <w:rFonts w:cs="Arial" w:ascii="Arial" w:hAnsi="Arial"/>
                <w:sz w:val="16"/>
                <w:szCs w:val="16"/>
                <w:lang w:val="en-US" w:eastAsia="en-US"/>
              </w:rPr>
              <w:t>'</w:t>
            </w:r>
            <w:r>
              <w:rPr>
                <w:rFonts w:cs="Arial" w:ascii="Arial" w:hAnsi="Arial"/>
                <w:sz w:val="16"/>
                <w:szCs w:val="16"/>
                <w:lang w:eastAsia="en-US"/>
              </w:rPr>
              <w:t>язань</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умов</w:t>
            </w:r>
            <w:r>
              <w:rPr>
                <w:rFonts w:cs="Arial" w:ascii="Arial" w:hAnsi="Arial"/>
                <w:sz w:val="16"/>
                <w:szCs w:val="16"/>
                <w:lang w:val="en-US" w:eastAsia="en-US"/>
              </w:rPr>
              <w:t xml:space="preserve"> </w:t>
            </w:r>
            <w:r>
              <w:rPr>
                <w:rFonts w:cs="Arial" w:ascii="Arial" w:hAnsi="Arial"/>
                <w:sz w:val="16"/>
                <w:szCs w:val="16"/>
                <w:lang w:eastAsia="en-US"/>
              </w:rPr>
              <w:t>видачі</w:t>
            </w:r>
            <w:r>
              <w:rPr>
                <w:rFonts w:cs="Arial" w:ascii="Arial" w:hAnsi="Arial"/>
                <w:sz w:val="16"/>
                <w:szCs w:val="16"/>
                <w:lang w:val="en-US" w:eastAsia="en-US"/>
              </w:rPr>
              <w:t xml:space="preserve"> </w:t>
            </w:r>
            <w:r>
              <w:rPr>
                <w:rFonts w:cs="Arial" w:ascii="Arial" w:hAnsi="Arial"/>
                <w:sz w:val="16"/>
                <w:szCs w:val="16"/>
                <w:lang w:eastAsia="en-US"/>
              </w:rPr>
              <w:t>реєстраційного</w:t>
            </w:r>
            <w:r>
              <w:rPr>
                <w:rFonts w:cs="Arial" w:ascii="Arial" w:hAnsi="Arial"/>
                <w:sz w:val="16"/>
                <w:szCs w:val="16"/>
                <w:lang w:val="en-US" w:eastAsia="en-US"/>
              </w:rPr>
              <w:t xml:space="preserve"> </w:t>
            </w:r>
            <w:r>
              <w:rPr>
                <w:rFonts w:cs="Arial" w:ascii="Arial" w:hAnsi="Arial"/>
                <w:sz w:val="16"/>
                <w:szCs w:val="16"/>
                <w:lang w:eastAsia="en-US"/>
              </w:rPr>
              <w:t>посвідчення</w:t>
            </w:r>
            <w:r>
              <w:rPr>
                <w:rFonts w:cs="Arial" w:ascii="Arial" w:hAnsi="Arial"/>
                <w:sz w:val="16"/>
                <w:szCs w:val="16"/>
                <w:lang w:val="en-US" w:eastAsia="en-US"/>
              </w:rPr>
              <w:t xml:space="preserve">, </w:t>
            </w:r>
            <w:r>
              <w:rPr>
                <w:rFonts w:cs="Arial" w:ascii="Arial" w:hAnsi="Arial"/>
                <w:sz w:val="16"/>
                <w:szCs w:val="16"/>
                <w:lang w:eastAsia="en-US"/>
              </w:rPr>
              <w:t>включаючи</w:t>
            </w:r>
            <w:r>
              <w:rPr>
                <w:rFonts w:cs="Arial" w:ascii="Arial" w:hAnsi="Arial"/>
                <w:sz w:val="16"/>
                <w:szCs w:val="16"/>
                <w:lang w:val="en-US" w:eastAsia="en-US"/>
              </w:rPr>
              <w:t xml:space="preserve"> </w:t>
            </w:r>
            <w:r>
              <w:rPr>
                <w:rFonts w:cs="Arial" w:ascii="Arial" w:hAnsi="Arial"/>
                <w:sz w:val="16"/>
                <w:szCs w:val="16"/>
                <w:lang w:eastAsia="en-US"/>
              </w:rPr>
              <w:t>План</w:t>
            </w:r>
            <w:r>
              <w:rPr>
                <w:rFonts w:cs="Arial" w:ascii="Arial" w:hAnsi="Arial"/>
                <w:sz w:val="16"/>
                <w:szCs w:val="16"/>
                <w:lang w:val="en-US" w:eastAsia="en-US"/>
              </w:rPr>
              <w:t xml:space="preserve"> </w:t>
            </w:r>
            <w:r>
              <w:rPr>
                <w:rFonts w:cs="Arial" w:ascii="Arial" w:hAnsi="Arial"/>
                <w:sz w:val="16"/>
                <w:szCs w:val="16"/>
                <w:lang w:eastAsia="en-US"/>
              </w:rPr>
              <w:t>управління</w:t>
            </w:r>
            <w:r>
              <w:rPr>
                <w:rFonts w:cs="Arial" w:ascii="Arial" w:hAnsi="Arial"/>
                <w:sz w:val="16"/>
                <w:szCs w:val="16"/>
                <w:lang w:val="en-US" w:eastAsia="en-US"/>
              </w:rPr>
              <w:t xml:space="preserve"> </w:t>
            </w:r>
            <w:r>
              <w:rPr>
                <w:rFonts w:cs="Arial" w:ascii="Arial" w:hAnsi="Arial"/>
                <w:sz w:val="16"/>
                <w:szCs w:val="16"/>
                <w:lang w:eastAsia="en-US"/>
              </w:rPr>
              <w:t>ризиками</w:t>
            </w:r>
            <w:r>
              <w:rPr>
                <w:rFonts w:cs="Arial" w:ascii="Arial" w:hAnsi="Arial"/>
                <w:sz w:val="16"/>
                <w:szCs w:val="16"/>
                <w:lang w:val="en-US" w:eastAsia="en-US"/>
              </w:rPr>
              <w:t xml:space="preserve"> (</w:t>
            </w:r>
            <w:r>
              <w:rPr>
                <w:rFonts w:cs="Arial" w:ascii="Arial" w:hAnsi="Arial"/>
                <w:sz w:val="16"/>
                <w:szCs w:val="16"/>
                <w:lang w:eastAsia="en-US"/>
              </w:rPr>
              <w:t>інші</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w:t>
            </w:r>
            <w:r>
              <w:rPr>
                <w:rFonts w:cs="Arial" w:ascii="Arial" w:hAnsi="Arial"/>
                <w:sz w:val="16"/>
                <w:szCs w:val="16"/>
                <w:lang w:eastAsia="en-US"/>
              </w:rPr>
              <w:t>В</w:t>
            </w:r>
            <w:r>
              <w:rPr>
                <w:rFonts w:cs="Arial" w:ascii="Arial" w:hAnsi="Arial"/>
                <w:sz w:val="16"/>
                <w:szCs w:val="16"/>
                <w:lang w:val="en-US" w:eastAsia="en-US"/>
              </w:rPr>
              <w:t xml:space="preserve">.I.11. </w:t>
            </w:r>
            <w:r>
              <w:rPr>
                <w:rFonts w:cs="Arial" w:ascii="Arial" w:hAnsi="Arial"/>
                <w:sz w:val="16"/>
                <w:szCs w:val="16"/>
                <w:lang w:eastAsia="en-US"/>
              </w:rPr>
              <w:t>(х) ІА), оскільки матеріали не відповідають обраному типу змін</w:t>
            </w:r>
          </w:p>
        </w:tc>
      </w:tr>
      <w:tr>
        <w:trPr>
          <w:trHeight w:val="31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b/>
                <w:b/>
                <w:sz w:val="16"/>
                <w:szCs w:val="16"/>
                <w:lang w:eastAsia="en-US"/>
              </w:rPr>
            </w:pPr>
            <w:r>
              <w:rPr>
                <w:rFonts w:cs="Arial" w:ascii="Arial" w:hAnsi="Arial"/>
                <w:b/>
                <w:sz w:val="16"/>
                <w:szCs w:val="16"/>
                <w:lang w:eastAsia="en-US"/>
              </w:rPr>
              <w:t>2.</w:t>
            </w:r>
          </w:p>
          <w:p>
            <w:pPr>
              <w:pStyle w:val="Normal"/>
              <w:spacing w:lineRule="auto" w:line="254"/>
              <w:rPr>
                <w:rFonts w:ascii="Arial" w:hAnsi="Arial" w:cs="Arial"/>
                <w:b/>
                <w:b/>
                <w:sz w:val="16"/>
                <w:szCs w:val="16"/>
                <w:lang w:eastAsia="en-US"/>
              </w:rPr>
            </w:pPr>
            <w:r>
              <w:rPr>
                <w:rFonts w:cs="Arial" w:ascii="Arial" w:hAnsi="Arial"/>
                <w:b/>
                <w:sz w:val="16"/>
                <w:szCs w:val="16"/>
                <w:lang w:eastAsia="en-US"/>
              </w:rPr>
            </w:r>
          </w:p>
        </w:tc>
        <w:tc>
          <w:tcPr>
            <w:tcW w:w="1580"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b/>
                <w:b/>
                <w:sz w:val="16"/>
                <w:szCs w:val="16"/>
                <w:lang w:eastAsia="en-US"/>
              </w:rPr>
            </w:pPr>
            <w:r>
              <w:rPr>
                <w:rFonts w:cs="Arial" w:ascii="Arial" w:hAnsi="Arial"/>
                <w:b/>
                <w:sz w:val="16"/>
                <w:szCs w:val="16"/>
                <w:lang w:eastAsia="en-US"/>
              </w:rPr>
              <w:t xml:space="preserve">ФЛОКСАНЕКСТ </w:t>
            </w:r>
          </w:p>
        </w:tc>
        <w:tc>
          <w:tcPr>
            <w:tcW w:w="15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rPr>
                <w:rFonts w:ascii="Arial" w:hAnsi="Arial" w:cs="Arial"/>
                <w:sz w:val="16"/>
                <w:szCs w:val="16"/>
                <w:lang w:eastAsia="en-US"/>
              </w:rPr>
            </w:pPr>
            <w:r>
              <w:rPr>
                <w:rFonts w:cs="Arial" w:ascii="Arial" w:hAnsi="Arial"/>
                <w:sz w:val="16"/>
                <w:szCs w:val="16"/>
                <w:lang w:eastAsia="en-US"/>
              </w:rPr>
              <w:t>краплі очні, розчин, 3 мг/мл; по 10 мл у флаконі-крапельниці; по 1 флакону-крапельниці в пачці</w:t>
            </w:r>
          </w:p>
          <w:p>
            <w:pPr>
              <w:pStyle w:val="Normal"/>
              <w:spacing w:lineRule="auto" w:line="254"/>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БІОСАЙНС ГРУП ЛАБОРАТОРІЗ с.р.о.</w:t>
            </w:r>
          </w:p>
          <w:p>
            <w:pPr>
              <w:pStyle w:val="Normal"/>
              <w:spacing w:lineRule="auto" w:line="254"/>
              <w:jc w:val="center"/>
              <w:rPr>
                <w:rFonts w:ascii="Arial" w:hAnsi="Arial" w:cs="Arial"/>
                <w:sz w:val="16"/>
                <w:szCs w:val="16"/>
                <w:lang w:eastAsia="en-US"/>
              </w:rPr>
            </w:pPr>
            <w:r>
              <w:rPr>
                <w:rFonts w:cs="Arial" w:ascii="Arial" w:hAnsi="Arial"/>
                <w:sz w:val="16"/>
                <w:szCs w:val="16"/>
                <w:lang w:eastAsia="en-US"/>
              </w:rPr>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54"/>
              <w:jc w:val="center"/>
              <w:rPr>
                <w:rFonts w:ascii="Arial" w:hAnsi="Arial" w:cs="Arial"/>
                <w:sz w:val="16"/>
                <w:szCs w:val="16"/>
                <w:lang w:eastAsia="en-US"/>
              </w:rPr>
            </w:pPr>
            <w:r>
              <w:rPr>
                <w:rFonts w:cs="Arial" w:ascii="Arial" w:hAnsi="Arial"/>
                <w:sz w:val="16"/>
                <w:szCs w:val="16"/>
                <w:lang w:eastAsia="en-US"/>
              </w:rPr>
              <w:t>Словацька Республіка</w:t>
            </w:r>
          </w:p>
        </w:tc>
        <w:tc>
          <w:tcPr>
            <w:tcW w:w="255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center"/>
              <w:rPr>
                <w:rFonts w:cs="Arial"/>
                <w:b w:val="false"/>
                <w:b w:val="false"/>
                <w:iCs/>
                <w:sz w:val="16"/>
                <w:szCs w:val="16"/>
                <w:lang w:val="uk-UA"/>
              </w:rPr>
            </w:pPr>
            <w:r>
              <w:rPr>
                <w:rFonts w:cs="Arial"/>
                <w:b w:val="false"/>
                <w:sz w:val="16"/>
                <w:szCs w:val="16"/>
                <w:lang w:val="uk-UA"/>
              </w:rPr>
              <w:t>Стерігенікс Італія С.П.А., Італ</w:t>
            </w:r>
            <w:r>
              <w:rPr>
                <w:rFonts w:cs="Arial"/>
                <w:b w:val="false"/>
                <w:sz w:val="16"/>
                <w:szCs w:val="16"/>
              </w:rPr>
              <w:t>i</w:t>
            </w:r>
            <w:r>
              <w:rPr>
                <w:rFonts w:cs="Arial"/>
                <w:b w:val="false"/>
                <w:sz w:val="16"/>
                <w:szCs w:val="16"/>
                <w:lang w:val="uk-UA"/>
              </w:rPr>
              <w:t>я (місце стерилізації первинної упаковки (за допомогою гамма-випромінення)); ФАЛОРНІ С.Р.Л., Італ</w:t>
            </w:r>
            <w:r>
              <w:rPr>
                <w:rFonts w:cs="Arial"/>
                <w:b w:val="false"/>
                <w:sz w:val="16"/>
                <w:szCs w:val="16"/>
              </w:rPr>
              <w:t>i</w:t>
            </w:r>
            <w:r>
              <w:rPr>
                <w:rFonts w:cs="Arial"/>
                <w:b w:val="false"/>
                <w:sz w:val="16"/>
                <w:szCs w:val="16"/>
                <w:lang w:val="uk-UA"/>
              </w:rPr>
              <w:t>я (додаткове вторинне пакування ); Фарма Партнерс С.Р.Л., Італ</w:t>
            </w:r>
            <w:r>
              <w:rPr>
                <w:rFonts w:cs="Arial"/>
                <w:b w:val="false"/>
                <w:sz w:val="16"/>
                <w:szCs w:val="16"/>
              </w:rPr>
              <w:t>i</w:t>
            </w:r>
            <w:r>
              <w:rPr>
                <w:rFonts w:cs="Arial"/>
                <w:b w:val="false"/>
                <w:sz w:val="16"/>
                <w:szCs w:val="16"/>
                <w:lang w:val="uk-UA"/>
              </w:rPr>
              <w:t>я (альтернативне вторинне пакування); ФАРМІГЕА С.П.А., Італ</w:t>
            </w:r>
            <w:r>
              <w:rPr>
                <w:rFonts w:cs="Arial"/>
                <w:b w:val="false"/>
                <w:sz w:val="16"/>
                <w:szCs w:val="16"/>
              </w:rPr>
              <w:t>i</w:t>
            </w:r>
            <w:r>
              <w:rPr>
                <w:rFonts w:cs="Arial"/>
                <w:b w:val="false"/>
                <w:sz w:val="16"/>
                <w:szCs w:val="16"/>
                <w:lang w:val="uk-UA"/>
              </w:rPr>
              <w:t>я (виробництво готової продукції, контроль якості, первинне та вторинне пакування, випуск серії)</w:t>
            </w:r>
          </w:p>
        </w:tc>
        <w:tc>
          <w:tcPr>
            <w:tcW w:w="70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54" w:before="0" w:after="120"/>
              <w:ind w:left="0" w:hanging="0"/>
              <w:rPr>
                <w:rFonts w:ascii="Arial" w:hAnsi="Arial" w:cs="Arial"/>
                <w:sz w:val="16"/>
                <w:szCs w:val="16"/>
                <w:lang w:val="uk-UA" w:eastAsia="en-US"/>
              </w:rPr>
            </w:pPr>
            <w:r>
              <w:rPr>
                <w:rFonts w:cs="Arial" w:ascii="Arial" w:hAnsi="Arial"/>
                <w:sz w:val="16"/>
                <w:szCs w:val="16"/>
                <w:lang w:eastAsia="en-US"/>
              </w:rPr>
              <w:t>Італiя</w:t>
            </w:r>
          </w:p>
        </w:tc>
        <w:tc>
          <w:tcPr>
            <w:tcW w:w="141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410"/>
              <w:spacing w:lineRule="auto" w:line="254"/>
              <w:ind w:hanging="0"/>
              <w:jc w:val="left"/>
              <w:rPr>
                <w:rFonts w:cs="Arial"/>
                <w:b w:val="false"/>
                <w:b w:val="false"/>
                <w:iCs/>
                <w:sz w:val="16"/>
                <w:szCs w:val="16"/>
              </w:rPr>
            </w:pPr>
            <w:r>
              <w:rPr>
                <w:rFonts w:cs="Arial"/>
                <w:b w:val="false"/>
                <w:iCs/>
                <w:sz w:val="16"/>
                <w:szCs w:val="16"/>
              </w:rPr>
              <w:t>засідання НТР № 38 від 24.09.2026</w:t>
            </w:r>
          </w:p>
        </w:tc>
        <w:tc>
          <w:tcPr>
            <w:tcW w:w="539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54" w:before="0" w:after="120"/>
              <w:ind w:left="2" w:hanging="0"/>
              <w:jc w:val="both"/>
              <w:rPr>
                <w:rFonts w:ascii="Arial" w:hAnsi="Arial" w:cs="Arial"/>
                <w:b/>
                <w:b/>
                <w:sz w:val="16"/>
                <w:szCs w:val="16"/>
                <w:lang w:val="en-US" w:eastAsia="en-US"/>
              </w:rPr>
            </w:pPr>
            <w:r>
              <w:rPr>
                <w:rFonts w:cs="Arial" w:ascii="Arial" w:hAnsi="Arial"/>
                <w:b/>
                <w:sz w:val="16"/>
                <w:szCs w:val="16"/>
                <w:lang w:val="uk-UA"/>
              </w:rPr>
              <w:t xml:space="preserve">Відмовити у затвердженні </w:t>
            </w:r>
            <w:r>
              <w:rPr>
                <w:rFonts w:cs="Arial" w:ascii="Arial" w:hAnsi="Arial"/>
                <w:b/>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І</w:t>
            </w:r>
            <w:r>
              <w:rPr>
                <w:rFonts w:cs="Arial" w:ascii="Arial" w:hAnsi="Arial"/>
                <w:sz w:val="16"/>
                <w:szCs w:val="16"/>
                <w:lang w:val="en-US" w:eastAsia="en-US"/>
              </w:rPr>
              <w:t xml:space="preserve"> </w:t>
            </w:r>
            <w:r>
              <w:rPr>
                <w:rFonts w:cs="Arial" w:ascii="Arial" w:hAnsi="Arial"/>
                <w:sz w:val="16"/>
                <w:szCs w:val="16"/>
                <w:lang w:eastAsia="en-US"/>
              </w:rPr>
              <w:t>типу</w:t>
            </w:r>
            <w:r>
              <w:rPr>
                <w:rFonts w:cs="Arial" w:ascii="Arial" w:hAnsi="Arial"/>
                <w:sz w:val="16"/>
                <w:szCs w:val="16"/>
                <w:lang w:val="en-US" w:eastAsia="en-US"/>
              </w:rPr>
              <w:t xml:space="preserve"> -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щодо</w:t>
            </w:r>
            <w:r>
              <w:rPr>
                <w:rFonts w:cs="Arial" w:ascii="Arial" w:hAnsi="Arial"/>
                <w:sz w:val="16"/>
                <w:szCs w:val="16"/>
                <w:lang w:val="en-US" w:eastAsia="en-US"/>
              </w:rPr>
              <w:t xml:space="preserve"> </w:t>
            </w:r>
            <w:r>
              <w:rPr>
                <w:rFonts w:cs="Arial" w:ascii="Arial" w:hAnsi="Arial"/>
                <w:sz w:val="16"/>
                <w:szCs w:val="16"/>
                <w:lang w:eastAsia="en-US"/>
              </w:rPr>
              <w:t>безпеки</w:t>
            </w:r>
            <w:r>
              <w:rPr>
                <w:rFonts w:cs="Arial" w:ascii="Arial" w:hAnsi="Arial"/>
                <w:sz w:val="16"/>
                <w:szCs w:val="16"/>
                <w:lang w:val="en-US" w:eastAsia="en-US"/>
              </w:rPr>
              <w:t>/</w:t>
            </w:r>
            <w:r>
              <w:rPr>
                <w:rFonts w:cs="Arial" w:ascii="Arial" w:hAnsi="Arial"/>
                <w:sz w:val="16"/>
                <w:szCs w:val="16"/>
                <w:lang w:eastAsia="en-US"/>
              </w:rPr>
              <w:t>ефективності</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Введення</w:t>
            </w:r>
            <w:r>
              <w:rPr>
                <w:rFonts w:cs="Arial" w:ascii="Arial" w:hAnsi="Arial"/>
                <w:sz w:val="16"/>
                <w:szCs w:val="16"/>
                <w:lang w:val="en-US" w:eastAsia="en-US"/>
              </w:rPr>
              <w:t xml:space="preserve"> </w:t>
            </w:r>
            <w:r>
              <w:rPr>
                <w:rFonts w:cs="Arial" w:ascii="Arial" w:hAnsi="Arial"/>
                <w:sz w:val="16"/>
                <w:szCs w:val="16"/>
                <w:lang w:eastAsia="en-US"/>
              </w:rPr>
              <w:t>або</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до</w:t>
            </w:r>
            <w:r>
              <w:rPr>
                <w:rFonts w:cs="Arial" w:ascii="Arial" w:hAnsi="Arial"/>
                <w:sz w:val="16"/>
                <w:szCs w:val="16"/>
                <w:lang w:val="en-US" w:eastAsia="en-US"/>
              </w:rPr>
              <w:t xml:space="preserve"> </w:t>
            </w:r>
            <w:r>
              <w:rPr>
                <w:rFonts w:cs="Arial" w:ascii="Arial" w:hAnsi="Arial"/>
                <w:sz w:val="16"/>
                <w:szCs w:val="16"/>
                <w:lang w:eastAsia="en-US"/>
              </w:rPr>
              <w:t>узагальнених</w:t>
            </w:r>
            <w:r>
              <w:rPr>
                <w:rFonts w:cs="Arial" w:ascii="Arial" w:hAnsi="Arial"/>
                <w:sz w:val="16"/>
                <w:szCs w:val="16"/>
                <w:lang w:val="en-US" w:eastAsia="en-US"/>
              </w:rPr>
              <w:t xml:space="preserve"> </w:t>
            </w:r>
            <w:r>
              <w:rPr>
                <w:rFonts w:cs="Arial" w:ascii="Arial" w:hAnsi="Arial"/>
                <w:sz w:val="16"/>
                <w:szCs w:val="16"/>
                <w:lang w:eastAsia="en-US"/>
              </w:rPr>
              <w:t>даних</w:t>
            </w:r>
            <w:r>
              <w:rPr>
                <w:rFonts w:cs="Arial" w:ascii="Arial" w:hAnsi="Arial"/>
                <w:sz w:val="16"/>
                <w:szCs w:val="16"/>
                <w:lang w:val="en-US" w:eastAsia="en-US"/>
              </w:rPr>
              <w:t xml:space="preserve"> </w:t>
            </w:r>
            <w:r>
              <w:rPr>
                <w:rFonts w:cs="Arial" w:ascii="Arial" w:hAnsi="Arial"/>
                <w:sz w:val="16"/>
                <w:szCs w:val="16"/>
                <w:lang w:eastAsia="en-US"/>
              </w:rPr>
              <w:t>про</w:t>
            </w:r>
            <w:r>
              <w:rPr>
                <w:rFonts w:cs="Arial" w:ascii="Arial" w:hAnsi="Arial"/>
                <w:sz w:val="16"/>
                <w:szCs w:val="16"/>
                <w:lang w:val="en-US" w:eastAsia="en-US"/>
              </w:rPr>
              <w:t xml:space="preserve"> </w:t>
            </w:r>
            <w:r>
              <w:rPr>
                <w:rFonts w:cs="Arial" w:ascii="Arial" w:hAnsi="Arial"/>
                <w:sz w:val="16"/>
                <w:szCs w:val="16"/>
                <w:lang w:eastAsia="en-US"/>
              </w:rPr>
              <w:t>систему</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введення</w:t>
            </w:r>
            <w:r>
              <w:rPr>
                <w:rFonts w:cs="Arial" w:ascii="Arial" w:hAnsi="Arial"/>
                <w:sz w:val="16"/>
                <w:szCs w:val="16"/>
                <w:lang w:val="en-US" w:eastAsia="en-US"/>
              </w:rPr>
              <w:t xml:space="preserve"> </w:t>
            </w:r>
            <w:r>
              <w:rPr>
                <w:rFonts w:cs="Arial" w:ascii="Arial" w:hAnsi="Arial"/>
                <w:sz w:val="16"/>
                <w:szCs w:val="16"/>
                <w:lang w:eastAsia="en-US"/>
              </w:rPr>
              <w:t>узагальнених</w:t>
            </w:r>
            <w:r>
              <w:rPr>
                <w:rFonts w:cs="Arial" w:ascii="Arial" w:hAnsi="Arial"/>
                <w:sz w:val="16"/>
                <w:szCs w:val="16"/>
                <w:lang w:val="en-US" w:eastAsia="en-US"/>
              </w:rPr>
              <w:t xml:space="preserve"> </w:t>
            </w:r>
            <w:r>
              <w:rPr>
                <w:rFonts w:cs="Arial" w:ascii="Arial" w:hAnsi="Arial"/>
                <w:sz w:val="16"/>
                <w:szCs w:val="16"/>
                <w:lang w:eastAsia="en-US"/>
              </w:rPr>
              <w:t>даних</w:t>
            </w:r>
            <w:r>
              <w:rPr>
                <w:rFonts w:cs="Arial" w:ascii="Arial" w:hAnsi="Arial"/>
                <w:sz w:val="16"/>
                <w:szCs w:val="16"/>
                <w:lang w:val="en-US" w:eastAsia="en-US"/>
              </w:rPr>
              <w:t xml:space="preserve"> </w:t>
            </w:r>
            <w:r>
              <w:rPr>
                <w:rFonts w:cs="Arial" w:ascii="Arial" w:hAnsi="Arial"/>
                <w:sz w:val="16"/>
                <w:szCs w:val="16"/>
                <w:lang w:eastAsia="en-US"/>
              </w:rPr>
              <w:t>про</w:t>
            </w:r>
            <w:r>
              <w:rPr>
                <w:rFonts w:cs="Arial" w:ascii="Arial" w:hAnsi="Arial"/>
                <w:sz w:val="16"/>
                <w:szCs w:val="16"/>
                <w:lang w:val="en-US" w:eastAsia="en-US"/>
              </w:rPr>
              <w:t xml:space="preserve"> </w:t>
            </w:r>
            <w:r>
              <w:rPr>
                <w:rFonts w:cs="Arial" w:ascii="Arial" w:hAnsi="Arial"/>
                <w:sz w:val="16"/>
                <w:szCs w:val="16"/>
                <w:lang w:eastAsia="en-US"/>
              </w:rPr>
              <w:t>систему</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зміна</w:t>
            </w:r>
            <w:r>
              <w:rPr>
                <w:rFonts w:cs="Arial" w:ascii="Arial" w:hAnsi="Arial"/>
                <w:sz w:val="16"/>
                <w:szCs w:val="16"/>
                <w:lang w:val="en-US" w:eastAsia="en-US"/>
              </w:rPr>
              <w:t xml:space="preserve"> </w:t>
            </w:r>
            <w:r>
              <w:rPr>
                <w:rFonts w:cs="Arial" w:ascii="Arial" w:hAnsi="Arial"/>
                <w:sz w:val="16"/>
                <w:szCs w:val="16"/>
                <w:lang w:eastAsia="en-US"/>
              </w:rPr>
              <w:t>уповноваженої</w:t>
            </w:r>
            <w:r>
              <w:rPr>
                <w:rFonts w:cs="Arial" w:ascii="Arial" w:hAnsi="Arial"/>
                <w:sz w:val="16"/>
                <w:szCs w:val="16"/>
                <w:lang w:val="en-US" w:eastAsia="en-US"/>
              </w:rPr>
              <w:t xml:space="preserve"> </w:t>
            </w:r>
            <w:r>
              <w:rPr>
                <w:rFonts w:cs="Arial" w:ascii="Arial" w:hAnsi="Arial"/>
                <w:sz w:val="16"/>
                <w:szCs w:val="16"/>
                <w:lang w:eastAsia="en-US"/>
              </w:rPr>
              <w:t>особи</w:t>
            </w:r>
            <w:r>
              <w:rPr>
                <w:rFonts w:cs="Arial" w:ascii="Arial" w:hAnsi="Arial"/>
                <w:sz w:val="16"/>
                <w:szCs w:val="16"/>
                <w:lang w:val="en-US" w:eastAsia="en-US"/>
              </w:rPr>
              <w:t xml:space="preserve">, </w:t>
            </w:r>
            <w:r>
              <w:rPr>
                <w:rFonts w:cs="Arial" w:ascii="Arial" w:hAnsi="Arial"/>
                <w:sz w:val="16"/>
                <w:szCs w:val="16"/>
                <w:lang w:eastAsia="en-US"/>
              </w:rPr>
              <w:t>відповідальної</w:t>
            </w:r>
            <w:r>
              <w:rPr>
                <w:rFonts w:cs="Arial" w:ascii="Arial" w:hAnsi="Arial"/>
                <w:sz w:val="16"/>
                <w:szCs w:val="16"/>
                <w:lang w:val="en-US" w:eastAsia="en-US"/>
              </w:rPr>
              <w:t xml:space="preserve"> </w:t>
            </w:r>
            <w:r>
              <w:rPr>
                <w:rFonts w:cs="Arial" w:ascii="Arial" w:hAnsi="Arial"/>
                <w:sz w:val="16"/>
                <w:szCs w:val="16"/>
                <w:lang w:eastAsia="en-US"/>
              </w:rPr>
              <w:t>за</w:t>
            </w:r>
            <w:r>
              <w:rPr>
                <w:rFonts w:cs="Arial" w:ascii="Arial" w:hAnsi="Arial"/>
                <w:sz w:val="16"/>
                <w:szCs w:val="16"/>
                <w:lang w:val="en-US" w:eastAsia="en-US"/>
              </w:rPr>
              <w:t xml:space="preserve"> </w:t>
            </w:r>
            <w:r>
              <w:rPr>
                <w:rFonts w:cs="Arial" w:ascii="Arial" w:hAnsi="Arial"/>
                <w:sz w:val="16"/>
                <w:szCs w:val="16"/>
                <w:lang w:eastAsia="en-US"/>
              </w:rPr>
              <w:t>здійснення</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контактної</w:t>
            </w:r>
            <w:r>
              <w:rPr>
                <w:rFonts w:cs="Arial" w:ascii="Arial" w:hAnsi="Arial"/>
                <w:sz w:val="16"/>
                <w:szCs w:val="16"/>
                <w:lang w:val="en-US" w:eastAsia="en-US"/>
              </w:rPr>
              <w:t xml:space="preserve"> </w:t>
            </w:r>
            <w:r>
              <w:rPr>
                <w:rFonts w:cs="Arial" w:ascii="Arial" w:hAnsi="Arial"/>
                <w:sz w:val="16"/>
                <w:szCs w:val="16"/>
                <w:lang w:eastAsia="en-US"/>
              </w:rPr>
              <w:t>особи</w:t>
            </w:r>
            <w:r>
              <w:rPr>
                <w:rFonts w:cs="Arial" w:ascii="Arial" w:hAnsi="Arial"/>
                <w:sz w:val="16"/>
                <w:szCs w:val="16"/>
                <w:lang w:val="en-US" w:eastAsia="en-US"/>
              </w:rPr>
              <w:t xml:space="preserve"> </w:t>
            </w:r>
            <w:r>
              <w:rPr>
                <w:rFonts w:cs="Arial" w:ascii="Arial" w:hAnsi="Arial"/>
                <w:sz w:val="16"/>
                <w:szCs w:val="16"/>
                <w:lang w:eastAsia="en-US"/>
              </w:rPr>
              <w:t>з</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заявника</w:t>
            </w:r>
            <w:r>
              <w:rPr>
                <w:rFonts w:cs="Arial" w:ascii="Arial" w:hAnsi="Arial"/>
                <w:sz w:val="16"/>
                <w:szCs w:val="16"/>
                <w:lang w:val="en-US" w:eastAsia="en-US"/>
              </w:rPr>
              <w:t xml:space="preserve"> </w:t>
            </w:r>
            <w:r>
              <w:rPr>
                <w:rFonts w:cs="Arial" w:ascii="Arial" w:hAnsi="Arial"/>
                <w:sz w:val="16"/>
                <w:szCs w:val="16"/>
                <w:lang w:eastAsia="en-US"/>
              </w:rPr>
              <w:t>для</w:t>
            </w:r>
            <w:r>
              <w:rPr>
                <w:rFonts w:cs="Arial" w:ascii="Arial" w:hAnsi="Arial"/>
                <w:sz w:val="16"/>
                <w:szCs w:val="16"/>
                <w:lang w:val="en-US" w:eastAsia="en-US"/>
              </w:rPr>
              <w:t xml:space="preserve"> </w:t>
            </w:r>
            <w:r>
              <w:rPr>
                <w:rFonts w:cs="Arial" w:ascii="Arial" w:hAnsi="Arial"/>
                <w:sz w:val="16"/>
                <w:szCs w:val="16"/>
                <w:lang w:eastAsia="en-US"/>
              </w:rPr>
              <w:t>здійснення</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w:t>
            </w:r>
            <w:r>
              <w:rPr>
                <w:rFonts w:cs="Arial" w:ascii="Arial" w:hAnsi="Arial"/>
                <w:sz w:val="16"/>
                <w:szCs w:val="16"/>
                <w:lang w:val="en-US" w:eastAsia="en-US"/>
              </w:rPr>
              <w:t xml:space="preserve"> </w:t>
            </w:r>
            <w:r>
              <w:rPr>
                <w:rFonts w:cs="Arial" w:ascii="Arial" w:hAnsi="Arial"/>
                <w:sz w:val="16"/>
                <w:szCs w:val="16"/>
                <w:lang w:eastAsia="en-US"/>
              </w:rPr>
              <w:t>Україні</w:t>
            </w:r>
            <w:r>
              <w:rPr>
                <w:rFonts w:cs="Arial" w:ascii="Arial" w:hAnsi="Arial"/>
                <w:sz w:val="16"/>
                <w:szCs w:val="16"/>
                <w:lang w:val="en-US" w:eastAsia="en-US"/>
              </w:rPr>
              <w:t xml:space="preserve">, </w:t>
            </w:r>
            <w:r>
              <w:rPr>
                <w:rFonts w:cs="Arial" w:ascii="Arial" w:hAnsi="Arial"/>
                <w:sz w:val="16"/>
                <w:szCs w:val="16"/>
                <w:lang w:eastAsia="en-US"/>
              </w:rPr>
              <w:t>якщо</w:t>
            </w:r>
            <w:r>
              <w:rPr>
                <w:rFonts w:cs="Arial" w:ascii="Arial" w:hAnsi="Arial"/>
                <w:sz w:val="16"/>
                <w:szCs w:val="16"/>
                <w:lang w:val="en-US" w:eastAsia="en-US"/>
              </w:rPr>
              <w:t xml:space="preserve"> </w:t>
            </w:r>
            <w:r>
              <w:rPr>
                <w:rFonts w:cs="Arial" w:ascii="Arial" w:hAnsi="Arial"/>
                <w:sz w:val="16"/>
                <w:szCs w:val="16"/>
                <w:lang w:eastAsia="en-US"/>
              </w:rPr>
              <w:t>вона</w:t>
            </w:r>
            <w:r>
              <w:rPr>
                <w:rFonts w:cs="Arial" w:ascii="Arial" w:hAnsi="Arial"/>
                <w:sz w:val="16"/>
                <w:szCs w:val="16"/>
                <w:lang w:val="en-US" w:eastAsia="en-US"/>
              </w:rPr>
              <w:t xml:space="preserve"> </w:t>
            </w:r>
            <w:r>
              <w:rPr>
                <w:rFonts w:cs="Arial" w:ascii="Arial" w:hAnsi="Arial"/>
                <w:sz w:val="16"/>
                <w:szCs w:val="16"/>
                <w:lang w:eastAsia="en-US"/>
              </w:rPr>
              <w:t>відмінна</w:t>
            </w:r>
            <w:r>
              <w:rPr>
                <w:rFonts w:cs="Arial" w:ascii="Arial" w:hAnsi="Arial"/>
                <w:sz w:val="16"/>
                <w:szCs w:val="16"/>
                <w:lang w:val="en-US" w:eastAsia="en-US"/>
              </w:rPr>
              <w:t xml:space="preserve"> </w:t>
            </w:r>
            <w:r>
              <w:rPr>
                <w:rFonts w:cs="Arial" w:ascii="Arial" w:hAnsi="Arial"/>
                <w:sz w:val="16"/>
                <w:szCs w:val="16"/>
                <w:lang w:eastAsia="en-US"/>
              </w:rPr>
              <w:t>від</w:t>
            </w:r>
            <w:r>
              <w:rPr>
                <w:rFonts w:cs="Arial" w:ascii="Arial" w:hAnsi="Arial"/>
                <w:sz w:val="16"/>
                <w:szCs w:val="16"/>
                <w:lang w:val="en-US" w:eastAsia="en-US"/>
              </w:rPr>
              <w:t xml:space="preserve"> </w:t>
            </w:r>
            <w:r>
              <w:rPr>
                <w:rFonts w:cs="Arial" w:ascii="Arial" w:hAnsi="Arial"/>
                <w:sz w:val="16"/>
                <w:szCs w:val="16"/>
                <w:lang w:eastAsia="en-US"/>
              </w:rPr>
              <w:t>уповноваженої</w:t>
            </w:r>
            <w:r>
              <w:rPr>
                <w:rFonts w:cs="Arial" w:ascii="Arial" w:hAnsi="Arial"/>
                <w:sz w:val="16"/>
                <w:szCs w:val="16"/>
                <w:lang w:val="en-US" w:eastAsia="en-US"/>
              </w:rPr>
              <w:t xml:space="preserve"> </w:t>
            </w:r>
            <w:r>
              <w:rPr>
                <w:rFonts w:cs="Arial" w:ascii="Arial" w:hAnsi="Arial"/>
                <w:sz w:val="16"/>
                <w:szCs w:val="16"/>
                <w:lang w:eastAsia="en-US"/>
              </w:rPr>
              <w:t>особи</w:t>
            </w:r>
            <w:r>
              <w:rPr>
                <w:rFonts w:cs="Arial" w:ascii="Arial" w:hAnsi="Arial"/>
                <w:sz w:val="16"/>
                <w:szCs w:val="16"/>
                <w:lang w:val="en-US" w:eastAsia="en-US"/>
              </w:rPr>
              <w:t xml:space="preserve">, </w:t>
            </w:r>
            <w:r>
              <w:rPr>
                <w:rFonts w:cs="Arial" w:ascii="Arial" w:hAnsi="Arial"/>
                <w:sz w:val="16"/>
                <w:szCs w:val="16"/>
                <w:lang w:eastAsia="en-US"/>
              </w:rPr>
              <w:t>відповідальної</w:t>
            </w:r>
            <w:r>
              <w:rPr>
                <w:rFonts w:cs="Arial" w:ascii="Arial" w:hAnsi="Arial"/>
                <w:sz w:val="16"/>
                <w:szCs w:val="16"/>
                <w:lang w:val="en-US" w:eastAsia="en-US"/>
              </w:rPr>
              <w:t xml:space="preserve"> </w:t>
            </w:r>
            <w:r>
              <w:rPr>
                <w:rFonts w:cs="Arial" w:ascii="Arial" w:hAnsi="Arial"/>
                <w:sz w:val="16"/>
                <w:szCs w:val="16"/>
                <w:lang w:eastAsia="en-US"/>
              </w:rPr>
              <w:t>за</w:t>
            </w:r>
            <w:r>
              <w:rPr>
                <w:rFonts w:cs="Arial" w:ascii="Arial" w:hAnsi="Arial"/>
                <w:sz w:val="16"/>
                <w:szCs w:val="16"/>
                <w:lang w:val="en-US" w:eastAsia="en-US"/>
              </w:rPr>
              <w:t xml:space="preserve"> </w:t>
            </w:r>
            <w:r>
              <w:rPr>
                <w:rFonts w:cs="Arial" w:ascii="Arial" w:hAnsi="Arial"/>
                <w:sz w:val="16"/>
                <w:szCs w:val="16"/>
                <w:lang w:eastAsia="en-US"/>
              </w:rPr>
              <w:t>здійснення</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включаючи</w:t>
            </w:r>
            <w:r>
              <w:rPr>
                <w:rFonts w:cs="Arial" w:ascii="Arial" w:hAnsi="Arial"/>
                <w:sz w:val="16"/>
                <w:szCs w:val="16"/>
                <w:lang w:val="en-US" w:eastAsia="en-US"/>
              </w:rPr>
              <w:t xml:space="preserve"> </w:t>
            </w:r>
            <w:r>
              <w:rPr>
                <w:rFonts w:cs="Arial" w:ascii="Arial" w:hAnsi="Arial"/>
                <w:sz w:val="16"/>
                <w:szCs w:val="16"/>
                <w:lang w:eastAsia="en-US"/>
              </w:rPr>
              <w:t>контактні</w:t>
            </w:r>
            <w:r>
              <w:rPr>
                <w:rFonts w:cs="Arial" w:ascii="Arial" w:hAnsi="Arial"/>
                <w:sz w:val="16"/>
                <w:szCs w:val="16"/>
                <w:lang w:val="en-US" w:eastAsia="en-US"/>
              </w:rPr>
              <w:t xml:space="preserve"> </w:t>
            </w:r>
            <w:r>
              <w:rPr>
                <w:rFonts w:cs="Arial" w:ascii="Arial" w:hAnsi="Arial"/>
                <w:sz w:val="16"/>
                <w:szCs w:val="16"/>
                <w:lang w:eastAsia="en-US"/>
              </w:rPr>
              <w:t>дані</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w:t>
            </w:r>
            <w:r>
              <w:rPr>
                <w:rFonts w:cs="Arial" w:ascii="Arial" w:hAnsi="Arial"/>
                <w:sz w:val="16"/>
                <w:szCs w:val="16"/>
                <w:lang w:eastAsia="en-US"/>
              </w:rPr>
              <w:t>або</w:t>
            </w:r>
            <w:r>
              <w:rPr>
                <w:rFonts w:cs="Arial" w:ascii="Arial" w:hAnsi="Arial"/>
                <w:sz w:val="16"/>
                <w:szCs w:val="16"/>
                <w:lang w:val="en-US" w:eastAsia="en-US"/>
              </w:rPr>
              <w:t xml:space="preserve"> </w:t>
            </w:r>
            <w:r>
              <w:rPr>
                <w:rFonts w:cs="Arial" w:ascii="Arial" w:hAnsi="Arial"/>
                <w:sz w:val="16"/>
                <w:szCs w:val="16"/>
                <w:lang w:eastAsia="en-US"/>
              </w:rPr>
              <w:t>зміни</w:t>
            </w:r>
            <w:r>
              <w:rPr>
                <w:rFonts w:cs="Arial" w:ascii="Arial" w:hAnsi="Arial"/>
                <w:sz w:val="16"/>
                <w:szCs w:val="16"/>
                <w:lang w:val="en-US" w:eastAsia="en-US"/>
              </w:rPr>
              <w:t xml:space="preserve">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розміщенні</w:t>
            </w:r>
            <w:r>
              <w:rPr>
                <w:rFonts w:cs="Arial" w:ascii="Arial" w:hAnsi="Arial"/>
                <w:sz w:val="16"/>
                <w:szCs w:val="16"/>
                <w:lang w:val="en-US" w:eastAsia="en-US"/>
              </w:rPr>
              <w:t xml:space="preserve"> </w:t>
            </w:r>
            <w:r>
              <w:rPr>
                <w:rFonts w:cs="Arial" w:ascii="Arial" w:hAnsi="Arial"/>
                <w:sz w:val="16"/>
                <w:szCs w:val="16"/>
                <w:lang w:eastAsia="en-US"/>
              </w:rPr>
              <w:t>мастер</w:t>
            </w:r>
            <w:r>
              <w:rPr>
                <w:rFonts w:cs="Arial" w:ascii="Arial" w:hAnsi="Arial"/>
                <w:sz w:val="16"/>
                <w:szCs w:val="16"/>
                <w:lang w:val="en-US" w:eastAsia="en-US"/>
              </w:rPr>
              <w:t>-</w:t>
            </w:r>
            <w:r>
              <w:rPr>
                <w:rFonts w:cs="Arial" w:ascii="Arial" w:hAnsi="Arial"/>
                <w:sz w:val="16"/>
                <w:szCs w:val="16"/>
                <w:lang w:eastAsia="en-US"/>
              </w:rPr>
              <w:t>файла</w:t>
            </w:r>
            <w:r>
              <w:rPr>
                <w:rFonts w:cs="Arial" w:ascii="Arial" w:hAnsi="Arial"/>
                <w:sz w:val="16"/>
                <w:szCs w:val="16"/>
                <w:lang w:val="en-US" w:eastAsia="en-US"/>
              </w:rPr>
              <w:t xml:space="preserve"> </w:t>
            </w:r>
            <w:r>
              <w:rPr>
                <w:rFonts w:cs="Arial" w:ascii="Arial" w:hAnsi="Arial"/>
                <w:sz w:val="16"/>
                <w:szCs w:val="16"/>
                <w:lang w:eastAsia="en-US"/>
              </w:rPr>
              <w:t>системи</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w:t>
            </w:r>
            <w:r>
              <w:rPr>
                <w:rFonts w:cs="Arial" w:ascii="Arial" w:hAnsi="Arial"/>
                <w:sz w:val="16"/>
                <w:szCs w:val="16"/>
                <w:lang w:eastAsia="en-US"/>
              </w:rPr>
              <w:t>В</w:t>
            </w:r>
            <w:r>
              <w:rPr>
                <w:rFonts w:cs="Arial" w:ascii="Arial" w:hAnsi="Arial"/>
                <w:sz w:val="16"/>
                <w:szCs w:val="16"/>
                <w:lang w:val="en-US" w:eastAsia="en-US"/>
              </w:rPr>
              <w:t>.I.8. (</w:t>
            </w:r>
            <w:r>
              <w:rPr>
                <w:rFonts w:cs="Arial" w:ascii="Arial" w:hAnsi="Arial"/>
                <w:sz w:val="16"/>
                <w:szCs w:val="16"/>
                <w:lang w:eastAsia="en-US"/>
              </w:rPr>
              <w:t>а</w:t>
            </w:r>
            <w:r>
              <w:rPr>
                <w:rFonts w:cs="Arial" w:ascii="Arial" w:hAnsi="Arial"/>
                <w:sz w:val="16"/>
                <w:szCs w:val="16"/>
                <w:lang w:val="en-US" w:eastAsia="en-US"/>
              </w:rPr>
              <w:t>) IA</w:t>
            </w:r>
            <w:r>
              <w:rPr>
                <w:rFonts w:cs="Arial" w:ascii="Arial" w:hAnsi="Arial"/>
                <w:sz w:val="16"/>
                <w:szCs w:val="16"/>
                <w:lang w:eastAsia="en-US"/>
              </w:rPr>
              <w:t>нп</w:t>
            </w:r>
            <w:r>
              <w:rPr>
                <w:rFonts w:cs="Arial" w:ascii="Arial" w:hAnsi="Arial"/>
                <w:sz w:val="16"/>
                <w:szCs w:val="16"/>
                <w:lang w:val="en-US" w:eastAsia="en-US"/>
              </w:rPr>
              <w:t xml:space="preserve">), </w:t>
            </w:r>
            <w:r>
              <w:rPr>
                <w:rFonts w:cs="Arial" w:ascii="Arial" w:hAnsi="Arial"/>
                <w:sz w:val="16"/>
                <w:szCs w:val="16"/>
                <w:lang w:eastAsia="en-US"/>
              </w:rPr>
              <w:t>оскільки</w:t>
            </w:r>
            <w:r>
              <w:rPr>
                <w:rFonts w:cs="Arial" w:ascii="Arial" w:hAnsi="Arial"/>
                <w:sz w:val="16"/>
                <w:szCs w:val="16"/>
                <w:lang w:val="en-US" w:eastAsia="en-US"/>
              </w:rPr>
              <w:t xml:space="preserve"> </w:t>
            </w:r>
            <w:r>
              <w:rPr>
                <w:rFonts w:cs="Arial" w:ascii="Arial" w:hAnsi="Arial"/>
                <w:sz w:val="16"/>
                <w:szCs w:val="16"/>
                <w:lang w:eastAsia="en-US"/>
              </w:rPr>
              <w:t>не</w:t>
            </w:r>
            <w:r>
              <w:rPr>
                <w:rFonts w:cs="Arial" w:ascii="Arial" w:hAnsi="Arial"/>
                <w:sz w:val="16"/>
                <w:szCs w:val="16"/>
                <w:lang w:val="en-US" w:eastAsia="en-US"/>
              </w:rPr>
              <w:t xml:space="preserve"> </w:t>
            </w:r>
            <w:r>
              <w:rPr>
                <w:rFonts w:cs="Arial" w:ascii="Arial" w:hAnsi="Arial"/>
                <w:sz w:val="16"/>
                <w:szCs w:val="16"/>
                <w:lang w:eastAsia="en-US"/>
              </w:rPr>
              <w:t>відбулося</w:t>
            </w:r>
            <w:r>
              <w:rPr>
                <w:rFonts w:cs="Arial" w:ascii="Arial" w:hAnsi="Arial"/>
                <w:sz w:val="16"/>
                <w:szCs w:val="16"/>
                <w:lang w:val="en-US" w:eastAsia="en-US"/>
              </w:rPr>
              <w:t xml:space="preserve"> </w:t>
            </w:r>
            <w:r>
              <w:rPr>
                <w:rFonts w:cs="Arial" w:ascii="Arial" w:hAnsi="Arial"/>
                <w:sz w:val="16"/>
                <w:szCs w:val="16"/>
                <w:lang w:eastAsia="en-US"/>
              </w:rPr>
              <w:t>змін</w:t>
            </w:r>
            <w:r>
              <w:rPr>
                <w:rFonts w:cs="Arial" w:ascii="Arial" w:hAnsi="Arial"/>
                <w:sz w:val="16"/>
                <w:szCs w:val="16"/>
                <w:lang w:val="en-US" w:eastAsia="en-US"/>
              </w:rPr>
              <w:t xml:space="preserve"> </w:t>
            </w:r>
            <w:r>
              <w:rPr>
                <w:rFonts w:cs="Arial" w:ascii="Arial" w:hAnsi="Arial"/>
                <w:sz w:val="16"/>
                <w:szCs w:val="16"/>
                <w:lang w:eastAsia="en-US"/>
              </w:rPr>
              <w:t>у</w:t>
            </w:r>
            <w:r>
              <w:rPr>
                <w:rFonts w:cs="Arial" w:ascii="Arial" w:hAnsi="Arial"/>
                <w:sz w:val="16"/>
                <w:szCs w:val="16"/>
                <w:lang w:val="en-US" w:eastAsia="en-US"/>
              </w:rPr>
              <w:t xml:space="preserve"> </w:t>
            </w:r>
            <w:r>
              <w:rPr>
                <w:rFonts w:cs="Arial" w:ascii="Arial" w:hAnsi="Arial"/>
                <w:sz w:val="16"/>
                <w:szCs w:val="16"/>
                <w:lang w:eastAsia="en-US"/>
              </w:rPr>
              <w:t>системі</w:t>
            </w:r>
            <w:r>
              <w:rPr>
                <w:rFonts w:cs="Arial" w:ascii="Arial" w:hAnsi="Arial"/>
                <w:sz w:val="16"/>
                <w:szCs w:val="16"/>
                <w:lang w:val="en-US" w:eastAsia="en-US"/>
              </w:rPr>
              <w:t xml:space="preserve"> </w:t>
            </w:r>
            <w:r>
              <w:rPr>
                <w:rFonts w:cs="Arial" w:ascii="Arial" w:hAnsi="Arial"/>
                <w:sz w:val="16"/>
                <w:szCs w:val="16"/>
                <w:lang w:eastAsia="en-US"/>
              </w:rPr>
              <w:t>фармаконагляду</w:t>
            </w:r>
            <w:r>
              <w:rPr>
                <w:rFonts w:cs="Arial" w:ascii="Arial" w:hAnsi="Arial"/>
                <w:sz w:val="16"/>
                <w:szCs w:val="16"/>
                <w:lang w:val="en-US" w:eastAsia="en-US"/>
              </w:rPr>
              <w:t xml:space="preserve"> </w:t>
            </w:r>
            <w:r>
              <w:rPr>
                <w:rFonts w:cs="Arial" w:ascii="Arial" w:hAnsi="Arial"/>
                <w:sz w:val="16"/>
                <w:szCs w:val="16"/>
                <w:lang w:eastAsia="en-US"/>
              </w:rPr>
              <w:t>нового</w:t>
            </w:r>
            <w:r>
              <w:rPr>
                <w:rFonts w:cs="Arial" w:ascii="Arial" w:hAnsi="Arial"/>
                <w:sz w:val="16"/>
                <w:szCs w:val="16"/>
                <w:lang w:val="en-US" w:eastAsia="en-US"/>
              </w:rPr>
              <w:t xml:space="preserve"> </w:t>
            </w:r>
            <w:r>
              <w:rPr>
                <w:rFonts w:cs="Arial" w:ascii="Arial" w:hAnsi="Arial"/>
                <w:sz w:val="16"/>
                <w:szCs w:val="16"/>
                <w:lang w:eastAsia="en-US"/>
              </w:rPr>
              <w:t>заявника</w:t>
            </w:r>
            <w:r>
              <w:rPr>
                <w:rFonts w:cs="Arial" w:ascii="Arial" w:hAnsi="Arial"/>
                <w:sz w:val="16"/>
                <w:szCs w:val="16"/>
                <w:lang w:val="en-US" w:eastAsia="en-US"/>
              </w:rPr>
              <w:t xml:space="preserve">, </w:t>
            </w:r>
            <w:r>
              <w:rPr>
                <w:rFonts w:cs="Arial" w:ascii="Arial" w:hAnsi="Arial"/>
                <w:sz w:val="16"/>
                <w:szCs w:val="16"/>
                <w:lang w:eastAsia="en-US"/>
              </w:rPr>
              <w:t>а</w:t>
            </w:r>
            <w:r>
              <w:rPr>
                <w:rFonts w:cs="Arial" w:ascii="Arial" w:hAnsi="Arial"/>
                <w:sz w:val="16"/>
                <w:szCs w:val="16"/>
                <w:lang w:val="en-US" w:eastAsia="en-US"/>
              </w:rPr>
              <w:t xml:space="preserve"> </w:t>
            </w:r>
            <w:r>
              <w:rPr>
                <w:rFonts w:cs="Arial" w:ascii="Arial" w:hAnsi="Arial"/>
                <w:sz w:val="16"/>
                <w:szCs w:val="16"/>
                <w:lang w:eastAsia="en-US"/>
              </w:rPr>
              <w:t>розділи</w:t>
            </w:r>
            <w:r>
              <w:rPr>
                <w:rFonts w:cs="Arial" w:ascii="Arial" w:hAnsi="Arial"/>
                <w:sz w:val="16"/>
                <w:szCs w:val="16"/>
                <w:lang w:val="en-US" w:eastAsia="en-US"/>
              </w:rPr>
              <w:t xml:space="preserve"> "</w:t>
            </w:r>
            <w:r>
              <w:rPr>
                <w:rFonts w:cs="Arial" w:ascii="Arial" w:hAnsi="Arial"/>
                <w:sz w:val="16"/>
                <w:szCs w:val="16"/>
                <w:lang w:eastAsia="en-US"/>
              </w:rPr>
              <w:t>Діюча</w:t>
            </w:r>
            <w:r>
              <w:rPr>
                <w:rFonts w:cs="Arial" w:ascii="Arial" w:hAnsi="Arial"/>
                <w:sz w:val="16"/>
                <w:szCs w:val="16"/>
                <w:lang w:val="en-US" w:eastAsia="en-US"/>
              </w:rPr>
              <w:t xml:space="preserve"> </w:t>
            </w:r>
            <w:r>
              <w:rPr>
                <w:rFonts w:cs="Arial" w:ascii="Arial" w:hAnsi="Arial"/>
                <w:sz w:val="16"/>
                <w:szCs w:val="16"/>
                <w:lang w:eastAsia="en-US"/>
              </w:rPr>
              <w:t>редакція</w:t>
            </w:r>
            <w:r>
              <w:rPr>
                <w:rFonts w:cs="Arial" w:ascii="Arial" w:hAnsi="Arial"/>
                <w:sz w:val="16"/>
                <w:szCs w:val="16"/>
                <w:lang w:val="en-US" w:eastAsia="en-US"/>
              </w:rPr>
              <w:t xml:space="preserve">" </w:t>
            </w:r>
            <w:r>
              <w:rPr>
                <w:rFonts w:cs="Arial" w:ascii="Arial" w:hAnsi="Arial"/>
                <w:sz w:val="16"/>
                <w:szCs w:val="16"/>
                <w:lang w:eastAsia="en-US"/>
              </w:rPr>
              <w:t>та</w:t>
            </w:r>
            <w:r>
              <w:rPr>
                <w:rFonts w:cs="Arial" w:ascii="Arial" w:hAnsi="Arial"/>
                <w:sz w:val="16"/>
                <w:szCs w:val="16"/>
                <w:lang w:val="en-US" w:eastAsia="en-US"/>
              </w:rPr>
              <w:t xml:space="preserve"> "</w:t>
            </w:r>
            <w:r>
              <w:rPr>
                <w:rFonts w:cs="Arial" w:ascii="Arial" w:hAnsi="Arial"/>
                <w:sz w:val="16"/>
                <w:szCs w:val="16"/>
                <w:lang w:eastAsia="en-US"/>
              </w:rPr>
              <w:t>Пропонована</w:t>
            </w:r>
            <w:r>
              <w:rPr>
                <w:rFonts w:cs="Arial" w:ascii="Arial" w:hAnsi="Arial"/>
                <w:sz w:val="16"/>
                <w:szCs w:val="16"/>
                <w:lang w:val="en-US" w:eastAsia="en-US"/>
              </w:rPr>
              <w:t xml:space="preserve"> </w:t>
            </w:r>
            <w:r>
              <w:rPr>
                <w:rFonts w:cs="Arial" w:ascii="Arial" w:hAnsi="Arial"/>
                <w:sz w:val="16"/>
                <w:szCs w:val="16"/>
                <w:lang w:eastAsia="en-US"/>
              </w:rPr>
              <w:t>редакція</w:t>
            </w:r>
            <w:r>
              <w:rPr>
                <w:rFonts w:cs="Arial" w:ascii="Arial" w:hAnsi="Arial"/>
                <w:sz w:val="16"/>
                <w:szCs w:val="16"/>
                <w:lang w:val="en-US" w:eastAsia="en-US"/>
              </w:rPr>
              <w:t xml:space="preserve">" </w:t>
            </w:r>
            <w:r>
              <w:rPr>
                <w:rFonts w:cs="Arial" w:ascii="Arial" w:hAnsi="Arial"/>
                <w:sz w:val="16"/>
                <w:szCs w:val="16"/>
                <w:lang w:eastAsia="en-US"/>
              </w:rPr>
              <w:t>реєстраційної</w:t>
            </w:r>
            <w:r>
              <w:rPr>
                <w:rFonts w:cs="Arial" w:ascii="Arial" w:hAnsi="Arial"/>
                <w:sz w:val="16"/>
                <w:szCs w:val="16"/>
                <w:lang w:val="en-US" w:eastAsia="en-US"/>
              </w:rPr>
              <w:t xml:space="preserve"> </w:t>
            </w:r>
            <w:r>
              <w:rPr>
                <w:rFonts w:cs="Arial" w:ascii="Arial" w:hAnsi="Arial"/>
                <w:sz w:val="16"/>
                <w:szCs w:val="16"/>
                <w:lang w:eastAsia="en-US"/>
              </w:rPr>
              <w:t>форми</w:t>
            </w:r>
            <w:r>
              <w:rPr>
                <w:rFonts w:cs="Arial" w:ascii="Arial" w:hAnsi="Arial"/>
                <w:sz w:val="16"/>
                <w:szCs w:val="16"/>
                <w:lang w:val="en-US" w:eastAsia="en-US"/>
              </w:rPr>
              <w:t xml:space="preserve"> </w:t>
            </w:r>
            <w:r>
              <w:rPr>
                <w:rFonts w:cs="Arial" w:ascii="Arial" w:hAnsi="Arial"/>
                <w:sz w:val="16"/>
                <w:szCs w:val="16"/>
                <w:lang w:eastAsia="en-US"/>
              </w:rPr>
              <w:t>містять</w:t>
            </w:r>
            <w:r>
              <w:rPr>
                <w:rFonts w:cs="Arial" w:ascii="Arial" w:hAnsi="Arial"/>
                <w:sz w:val="16"/>
                <w:szCs w:val="16"/>
                <w:lang w:val="en-US" w:eastAsia="en-US"/>
              </w:rPr>
              <w:t xml:space="preserve"> </w:t>
            </w:r>
            <w:r>
              <w:rPr>
                <w:rFonts w:cs="Arial" w:ascii="Arial" w:hAnsi="Arial"/>
                <w:sz w:val="16"/>
                <w:szCs w:val="16"/>
                <w:lang w:eastAsia="en-US"/>
              </w:rPr>
              <w:t>ідентичну</w:t>
            </w:r>
            <w:r>
              <w:rPr>
                <w:rFonts w:cs="Arial" w:ascii="Arial" w:hAnsi="Arial"/>
                <w:sz w:val="16"/>
                <w:szCs w:val="16"/>
                <w:lang w:val="en-US" w:eastAsia="en-US"/>
              </w:rPr>
              <w:t xml:space="preserve"> </w:t>
            </w:r>
            <w:r>
              <w:rPr>
                <w:rFonts w:cs="Arial" w:ascii="Arial" w:hAnsi="Arial"/>
                <w:sz w:val="16"/>
                <w:szCs w:val="16"/>
                <w:lang w:eastAsia="en-US"/>
              </w:rPr>
              <w:t>інформацію</w:t>
            </w:r>
          </w:p>
        </w:tc>
      </w:tr>
    </w:tbl>
    <w:p>
      <w:pPr>
        <w:pStyle w:val="Normal"/>
        <w:rPr>
          <w:lang w:val="en-US"/>
        </w:rPr>
      </w:pPr>
      <w:r>
        <w:rPr>
          <w:lang w:val="en-US"/>
        </w:rPr>
      </w:r>
    </w:p>
    <w:p>
      <w:pPr>
        <w:pStyle w:val="Normal"/>
        <w:rPr>
          <w:lang w:val="en-US"/>
        </w:rPr>
      </w:pPr>
      <w:r>
        <w:rPr>
          <w:lang w:val="en-US"/>
        </w:rPr>
      </w:r>
    </w:p>
    <w:p>
      <w:pPr>
        <w:pStyle w:val="11"/>
        <w:rPr>
          <w:b/>
          <w:b/>
          <w:bCs/>
          <w:sz w:val="28"/>
          <w:szCs w:val="28"/>
        </w:rPr>
      </w:pPr>
      <w:r>
        <w:rPr>
          <w:b/>
          <w:bCs/>
          <w:sz w:val="28"/>
          <w:szCs w:val="28"/>
        </w:rPr>
        <w:t>Начальник</w:t>
      </w:r>
    </w:p>
    <w:p>
      <w:pPr>
        <w:pStyle w:val="11"/>
        <w:rPr>
          <w:b/>
          <w:b/>
          <w:bCs/>
          <w:sz w:val="28"/>
          <w:szCs w:val="28"/>
        </w:rPr>
      </w:pPr>
      <w:r>
        <w:rPr>
          <w:b/>
          <w:bCs/>
          <w:sz w:val="28"/>
          <w:szCs w:val="28"/>
        </w:rPr>
        <w:t>Фармацевтичного управління                                                                                                              Олександр ГРІЦЕНКО</w:t>
      </w:r>
    </w:p>
    <w:p>
      <w:pPr>
        <w:pStyle w:val="33"/>
        <w:spacing w:before="0" w:after="0"/>
        <w:ind w:left="0" w:hanging="0"/>
        <w:rPr>
          <w:b/>
          <w:b/>
          <w:bCs/>
          <w:sz w:val="28"/>
          <w:szCs w:val="28"/>
          <w:lang w:val="uk-UA"/>
        </w:rPr>
      </w:pPr>
      <w:r>
        <w:rPr>
          <w:b/>
          <w:bCs/>
          <w:sz w:val="28"/>
          <w:szCs w:val="28"/>
          <w:lang w:val="uk-UA"/>
        </w:rPr>
      </w:r>
    </w:p>
    <w:sectPr>
      <w:headerReference w:type="default" r:id="rId10"/>
      <w:headerReference w:type="first" r:id="rId11"/>
      <w:footerReference w:type="default" r:id="rId12"/>
      <w:footerReference w:type="first" r:id="rId13"/>
      <w:type w:val="nextPage"/>
      <w:pgSz w:orient="landscape" w:w="16838" w:h="11906"/>
      <w:pgMar w:left="1077" w:right="1134" w:header="709" w:top="907" w:footer="709" w:bottom="907"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Arial">
    <w:charset w:val="cc"/>
    <w:family w:val="swiss"/>
    <w:pitch w:val="variable"/>
  </w:font>
  <w:font w:name="Courier New">
    <w:charset w:val="cc"/>
    <w:family w:val="modern"/>
    <w:pitch w:val="default"/>
  </w:font>
  <w:font w:name="Segoe UI">
    <w:charset w:val="cc"/>
    <w:family w:val="swiss"/>
    <w:pitch w:val="variable"/>
  </w:font>
  <w:font w:name="Tahoma">
    <w:charset w:val="cc"/>
    <w:family w:val="swiss"/>
    <w:pitch w:val="variable"/>
  </w:font>
  <w:font w:name="Microsoft YaHei">
    <w:charset w:val="86"/>
    <w:family w:val="swiss"/>
    <w:pitch w:val="variable"/>
  </w:font>
  <w:font w:name="Cambria">
    <w:charset w:val="cc"/>
    <w:family w:val="roman"/>
    <w:pitch w:val="variable"/>
  </w:font>
  <w:font w:name="Calibri Light">
    <w:charset w:val="cc"/>
    <w:family w:val="swiss"/>
    <w:pitch w:val="variable"/>
  </w:font>
  <w:font w:name="Calibri">
    <w:charset w:val="cc"/>
    <w:family w:val="swiss"/>
    <w:pitch w:val="variable"/>
  </w:font>
  <w:font w:name="Times New Roman CYR">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lang w:val="uk-UA"/>
      </w:rPr>
    </w:pPr>
    <w:r>
      <w:rPr>
        <w:lang w:val="uk-UA"/>
      </w:rPr>
    </w:r>
  </w:p>
  <w:p>
    <w:pPr>
      <w:pStyle w:val="Footer"/>
      <w:rPr>
        <w:lang w:val="uk-UA"/>
      </w:rPr>
    </w:pPr>
    <w:r>
      <w:rPr>
        <w:lang w:val="uk-UA"/>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r>
      <mc:AlternateContent>
        <mc:Choice Requires="wps">
          <w:drawing>
            <wp:anchor behindDoc="0" distT="0" distB="0" distL="0" distR="0" simplePos="0" locked="0" layoutInCell="1" allowOverlap="1" relativeHeight="3">
              <wp:simplePos x="0" y="0"/>
              <wp:positionH relativeFrom="margin">
                <wp:align>center</wp:align>
              </wp:positionH>
              <wp:positionV relativeFrom="paragraph">
                <wp:posOffset>635</wp:posOffset>
              </wp:positionV>
              <wp:extent cx="64135" cy="145415"/>
              <wp:effectExtent l="0" t="0" r="0" b="0"/>
              <wp:wrapSquare wrapText="largest"/>
              <wp:docPr id="2" name="Frame1"/>
              <a:graphic xmlns:a="http://schemas.openxmlformats.org/drawingml/2006/main">
                <a:graphicData uri="http://schemas.microsoft.com/office/word/2010/wordprocessingShape">
                  <wps:wsp>
                    <wps:cNvSpPr txBox="1"/>
                    <wps:spPr>
                      <a:xfrm>
                        <a:off x="0" y="0"/>
                        <a:ext cx="64135" cy="145415"/>
                      </a:xfrm>
                      <a:prstGeom prst="rect"/>
                      <a:solidFill>
                        <a:srgbClr val="FFFFFF">
                          <a:alpha val="0"/>
                        </a:srgbClr>
                      </a:solidFill>
                    </wps:spPr>
                    <wps:txbx>
                      <w:txbxContent>
                        <w:p>
                          <w:pPr>
                            <w:pStyle w:val="Header"/>
                            <w:rPr>
                              <w:rStyle w:val="PageNumber"/>
                            </w:rPr>
                          </w:pPr>
                          <w:r>
                            <w:rPr>
                              <w:rStyle w:val="PageNumber"/>
                            </w:rPr>
                            <w:fldChar w:fldCharType="begin"/>
                          </w:r>
                          <w:r>
                            <w:instrText> PAGE </w:instrText>
                          </w:r>
                          <w:r>
                            <w:fldChar w:fldCharType="separate"/>
                          </w:r>
                          <w:r>
                            <w:t>2</w:t>
                          </w:r>
                          <w:r>
                            <w:fldChar w:fldCharType="end"/>
                          </w:r>
                        </w:p>
                      </w:txbxContent>
                    </wps:txbx>
                    <wps:bodyPr anchor="t">
                      <a:noAutofit/>
                    </wps:bodyPr>
                  </wps:wsp>
                </a:graphicData>
              </a:graphic>
            </wp:anchor>
          </w:drawing>
        </mc:Choice>
        <mc:Fallback>
          <w:pict>
            <v:rect fillcolor="#FFFFFF" style="position:absolute;rotation:0;width:5.05pt;height:11.45pt;margin-top:0.05pt;mso-position-vertical-relative:text;margin-left:238.45pt;mso-position-horizontal:center;mso-position-horizontal-relative:margin">
              <v:fill opacity="0f"/>
              <v:textbox>
                <w:txbxContent>
                  <w:p>
                    <w:pPr>
                      <w:pStyle w:val="Header"/>
                      <w:rPr>
                        <w:rStyle w:val="PageNumber"/>
                      </w:rPr>
                    </w:pPr>
                    <w:r>
                      <w:rPr>
                        <w:rStyle w:val="PageNumber"/>
                      </w:rPr>
                      <w:fldChar w:fldCharType="begin"/>
                    </w:r>
                    <w:r>
                      <w:instrText> PAGE </w:instrText>
                    </w:r>
                    <w:r>
                      <w:fldChar w:fldCharType="separate"/>
                    </w:r>
                    <w:r>
                      <w:t>2</w:t>
                    </w:r>
                    <w: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enter" w:pos="7313" w:leader="none"/>
        <w:tab w:val="left" w:pos="11964" w:leader="none"/>
      </w:tabs>
      <w:rPr/>
    </w:pPr>
    <w:r>
      <w:rPr/>
      <w:tab/>
      <w:tab/>
    </w:r>
    <w:r>
      <w:rPr/>
      <w:fldChar w:fldCharType="begin"/>
    </w:r>
    <w:r>
      <w:instrText> PAGE </w:instrText>
    </w:r>
    <w:r>
      <w:fldChar w:fldCharType="separate"/>
    </w:r>
    <w:r>
      <w:t>418</w:t>
    </w:r>
    <w:r>
      <w:fldChar w:fldCharType="end"/>
    </w:r>
  </w:p>
  <w:p>
    <w:pPr>
      <w:pStyle w:val="Header"/>
      <w:tabs>
        <w:tab w:val="center" w:pos="7313" w:leader="none"/>
        <w:tab w:val="left" w:pos="11964" w:leader="none"/>
      </w:tabs>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left"/>
      <w:pPr>
        <w:tabs>
          <w:tab w:val="num" w:pos="360"/>
        </w:tabs>
        <w:ind w:left="360" w:hanging="360"/>
      </w:pPr>
      <w:rPr/>
    </w:lvl>
  </w:abstractNum>
  <w:abstractNum w:abstractNumId="4">
    <w:lvl w:ilvl="0">
      <w:start w:val="1"/>
      <w:numFmt w:val="decimal"/>
      <w:lvlText w:val="%1."/>
      <w:lvlJc w:val="right"/>
      <w:pPr>
        <w:ind w:left="720" w:hanging="360"/>
      </w:pPr>
      <w:rPr/>
    </w:lvl>
  </w:abstractNum>
  <w:abstractNum w:abstractNumId="5">
    <w:lvl w:ilvl="0">
      <w:start w:val="1"/>
      <w:numFmt w:val="decimal"/>
      <w:lvlText w:val="%1."/>
      <w:lvlJc w:val="right"/>
      <w:pPr>
        <w:ind w:left="720" w:hanging="360"/>
      </w:pPr>
      <w:rPr/>
    </w:lvl>
  </w:abstractNum>
  <w:abstractNum w:abstractNumId="6">
    <w:lvl w:ilvl="0">
      <w:start w:val="1"/>
      <w:numFmt w:val="decimal"/>
      <w:lvlText w:val="%1."/>
      <w:lvlJc w:val="left"/>
      <w:pPr>
        <w:tabs>
          <w:tab w:val="num" w:pos="360"/>
        </w:tabs>
        <w:ind w:left="360" w:hanging="360"/>
      </w:pPr>
      <w:rPr/>
    </w:lvl>
    <w:lvl w:ilvl="1">
      <w:start w:val="1"/>
      <w:numFmt w:val="lowerLetter"/>
      <w:lvlText w:val="%2."/>
      <w:lvlJc w:val="left"/>
      <w:pPr>
        <w:tabs>
          <w:tab w:val="num" w:pos="1080"/>
        </w:tabs>
        <w:ind w:left="1080" w:hanging="360"/>
      </w:pPr>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ru-RU" w:eastAsia="zh-CN" w:bidi="hi-IN"/>
      </w:rPr>
    </w:rPrDefault>
    <w:pPrDefault>
      <w:pPr/>
    </w:pPrDefault>
  </w:docDefaults>
  <w:style w:type="paragraph" w:styleId="Normal">
    <w:name w:val="Normal"/>
    <w:qFormat/>
    <w:pPr>
      <w:widowControl/>
      <w:bidi w:val="0"/>
    </w:pPr>
    <w:rPr>
      <w:rFonts w:ascii="Times New Roman" w:hAnsi="Times New Roman" w:eastAsia="Calibri" w:cs="Times New Roman"/>
      <w:color w:val="auto"/>
      <w:sz w:val="20"/>
      <w:szCs w:val="20"/>
      <w:lang w:val="ru-RU" w:bidi="ar-SA" w:eastAsia="zh-CN"/>
    </w:rPr>
  </w:style>
  <w:style w:type="paragraph" w:styleId="Heading1">
    <w:name w:val="Heading 1"/>
    <w:basedOn w:val="Normal"/>
    <w:next w:val="Normal"/>
    <w:qFormat/>
    <w:pPr>
      <w:keepNext w:val="true"/>
      <w:numPr>
        <w:ilvl w:val="0"/>
        <w:numId w:val="1"/>
      </w:numPr>
      <w:jc w:val="both"/>
      <w:outlineLvl w:val="0"/>
    </w:pPr>
    <w:rPr>
      <w:rFonts w:eastAsia="Times New Roman"/>
      <w:b/>
      <w:sz w:val="26"/>
      <w:lang w:val="ru-RU"/>
    </w:rPr>
  </w:style>
  <w:style w:type="paragraph" w:styleId="Heading2">
    <w:name w:val="Heading 2"/>
    <w:basedOn w:val="Normal"/>
    <w:next w:val="11"/>
    <w:qFormat/>
    <w:pPr>
      <w:keepNext w:val="true"/>
      <w:numPr>
        <w:ilvl w:val="1"/>
        <w:numId w:val="1"/>
      </w:numPr>
      <w:outlineLvl w:val="1"/>
    </w:pPr>
    <w:rPr>
      <w:rFonts w:ascii="Arial" w:hAnsi="Arial" w:eastAsia="Times New Roman" w:cs="Arial"/>
      <w:b/>
      <w:caps/>
      <w:sz w:val="16"/>
      <w:lang w:val="uk-UA"/>
    </w:rPr>
  </w:style>
  <w:style w:type="paragraph" w:styleId="Heading3">
    <w:name w:val="Heading 3"/>
    <w:basedOn w:val="Normal"/>
    <w:next w:val="Normal"/>
    <w:qFormat/>
    <w:pPr>
      <w:keepNext w:val="true"/>
      <w:numPr>
        <w:ilvl w:val="2"/>
        <w:numId w:val="1"/>
      </w:numPr>
      <w:spacing w:before="240" w:after="60"/>
      <w:outlineLvl w:val="2"/>
    </w:pPr>
    <w:rPr>
      <w:rFonts w:ascii="Arial" w:hAnsi="Arial" w:eastAsia="Times New Roman"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6">
    <w:name w:val="Heading 6"/>
    <w:basedOn w:val="Normal"/>
    <w:next w:val="TextBody"/>
    <w:qFormat/>
    <w:pPr>
      <w:numPr>
        <w:ilvl w:val="5"/>
        <w:numId w:val="1"/>
      </w:numPr>
      <w:spacing w:before="240" w:after="60"/>
      <w:outlineLvl w:val="5"/>
    </w:pPr>
    <w:rPr>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0">
    <w:name w:val="WW8Num25z0"/>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0">
    <w:name w:val="WW8Num26z0"/>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0">
    <w:name w:val="WW8Num27z0"/>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Style9">
    <w:name w:val="Основной шрифт абзаца"/>
    <w:qFormat/>
    <w:rPr/>
  </w:style>
  <w:style w:type="character" w:styleId="1">
    <w:name w:val="Заголовок 1 Знак"/>
    <w:qFormat/>
    <w:rPr>
      <w:rFonts w:ascii="Times New Roman" w:hAnsi="Times New Roman" w:eastAsia="Times New Roman" w:cs="Times New Roman"/>
      <w:b/>
      <w:sz w:val="26"/>
    </w:rPr>
  </w:style>
  <w:style w:type="character" w:styleId="3">
    <w:name w:val="Заголовок 3 Знак"/>
    <w:qFormat/>
    <w:rPr>
      <w:rFonts w:ascii="Arial" w:hAnsi="Arial" w:eastAsia="Times New Roman" w:cs="Arial"/>
      <w:b/>
      <w:bCs/>
      <w:sz w:val="26"/>
      <w:szCs w:val="26"/>
      <w:lang w:val="ru-RU"/>
    </w:rPr>
  </w:style>
  <w:style w:type="character" w:styleId="HTML">
    <w:name w:val="Стандартный HTML Знак"/>
    <w:qFormat/>
    <w:rPr>
      <w:rFonts w:ascii="Courier New" w:hAnsi="Courier New" w:cs="Courier New"/>
      <w:color w:val="000000"/>
      <w:sz w:val="21"/>
      <w:szCs w:val="21"/>
      <w:lang w:val="ru-RU"/>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Style10">
    <w:name w:val="Верхний колонтитул Знак"/>
    <w:qFormat/>
    <w:rPr>
      <w:rFonts w:ascii="Times New Roman" w:hAnsi="Times New Roman" w:cs="Times New Roman"/>
      <w:lang w:val="ru-RU"/>
    </w:rPr>
  </w:style>
  <w:style w:type="character" w:styleId="Style11">
    <w:name w:val="Нижний колонтитул Знак"/>
    <w:qFormat/>
    <w:rPr>
      <w:rFonts w:ascii="Times New Roman" w:hAnsi="Times New Roman" w:cs="Times New Roman"/>
      <w:lang w:val="ru-RU"/>
    </w:rPr>
  </w:style>
  <w:style w:type="character" w:styleId="PageNumber">
    <w:name w:val="Page Number"/>
    <w:basedOn w:val="Style9"/>
    <w:rPr/>
  </w:style>
  <w:style w:type="character" w:styleId="Appleconvertedspace">
    <w:name w:val="apple-converted-space"/>
    <w:basedOn w:val="Style9"/>
    <w:qFormat/>
    <w:rPr/>
  </w:style>
  <w:style w:type="character" w:styleId="InternetLink">
    <w:name w:val="Internet Link"/>
    <w:rPr>
      <w:rFonts w:ascii="Segoe UI" w:hAnsi="Segoe UI" w:cs="Segoe UI"/>
      <w:color w:val="0000FF"/>
      <w:sz w:val="18"/>
      <w:szCs w:val="18"/>
      <w:u w:val="single"/>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2">
    <w:name w:val="Заголовок 2 Знак"/>
    <w:qFormat/>
    <w:rPr>
      <w:rFonts w:ascii="Arial" w:hAnsi="Arial" w:eastAsia="Times New Roman" w:cs="Arial"/>
      <w:b/>
      <w:caps/>
      <w:sz w:val="16"/>
    </w:rPr>
  </w:style>
  <w:style w:type="character" w:styleId="6">
    <w:name w:val="Заголовок 6 Знак"/>
    <w:qFormat/>
    <w:rPr>
      <w:rFonts w:ascii="Times New Roman" w:hAnsi="Times New Roman" w:cs="Times New Roman"/>
      <w:b/>
      <w:bCs/>
      <w:sz w:val="22"/>
      <w:szCs w:val="22"/>
      <w:lang w:val="en-US"/>
    </w:rPr>
  </w:style>
  <w:style w:type="character" w:styleId="4">
    <w:name w:val="Заголовок 4 Знак"/>
    <w:qFormat/>
    <w:rPr>
      <w:rFonts w:ascii="Times New Roman" w:hAnsi="Times New Roman" w:cs="Times New Roman"/>
      <w:b/>
      <w:bCs/>
      <w:sz w:val="28"/>
      <w:szCs w:val="28"/>
      <w:lang w:val="ru-RU"/>
    </w:rPr>
  </w:style>
  <w:style w:type="character" w:styleId="Heading2Char">
    <w:name w:val="Heading 2 Char"/>
    <w:qFormat/>
    <w:rPr>
      <w:rFonts w:ascii="Arial" w:hAnsi="Arial" w:eastAsia="Times New Roman" w:cs="Arial"/>
      <w:b/>
      <w:caps/>
      <w:sz w:val="16"/>
      <w:lang w:val="ru-RU"/>
    </w:rPr>
  </w:style>
  <w:style w:type="character" w:styleId="Heading4Char">
    <w:name w:val="Heading 4 Char"/>
    <w:qFormat/>
    <w:rPr>
      <w:rFonts w:ascii="Arial" w:hAnsi="Arial" w:eastAsia="Times New Roman" w:cs="Arial"/>
      <w:b/>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2">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lang w:val="en-US"/>
    </w:rPr>
  </w:style>
  <w:style w:type="character" w:styleId="22">
    <w:name w:val="Основной текст 2 Знак"/>
    <w:qFormat/>
    <w:rPr>
      <w:rFonts w:ascii="Times New Roman" w:hAnsi="Times New Roman" w:cs="Times New Roman"/>
      <w:sz w:val="24"/>
      <w:szCs w:val="24"/>
      <w:lang w:val="en-US"/>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sz w:val="24"/>
      <w:szCs w:val="24"/>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TML1">
    <w:name w:val="Стандартный HTML"/>
    <w:basedOn w:val="Normal"/>
    <w:qFormat/>
    <w:pPr/>
    <w:rPr>
      <w:rFonts w:ascii="Courier New" w:hAnsi="Courier New" w:cs="Courier New"/>
      <w:color w:val="000000"/>
      <w:sz w:val="21"/>
      <w:szCs w:val="21"/>
    </w:rPr>
  </w:style>
  <w:style w:type="paragraph" w:styleId="33">
    <w:name w:val="Основной текст с отступом 3"/>
    <w:basedOn w:val="Normal"/>
    <w:qFormat/>
    <w:pPr>
      <w:spacing w:before="0" w:after="120"/>
      <w:ind w:left="283" w:hanging="0"/>
    </w:pPr>
    <w:rPr>
      <w:sz w:val="16"/>
      <w:szCs w:val="16"/>
    </w:rPr>
  </w:style>
  <w:style w:type="paragraph" w:styleId="Header">
    <w:name w:val="Header"/>
    <w:basedOn w:val="Normal"/>
    <w:pPr/>
    <w:rPr/>
  </w:style>
  <w:style w:type="paragraph" w:styleId="Footer">
    <w:name w:val="Footer"/>
    <w:basedOn w:val="Normal"/>
    <w:pPr/>
    <w:rPr/>
  </w:style>
  <w:style w:type="paragraph" w:styleId="11">
    <w:name w:val="Обычный1"/>
    <w:basedOn w:val="Normal"/>
    <w:qFormat/>
    <w:pPr/>
    <w:rPr>
      <w:rFonts w:eastAsia="Times New Roman"/>
      <w:sz w:val="24"/>
      <w:szCs w:val="24"/>
      <w:lang w:val="uk-UA"/>
    </w:rPr>
  </w:style>
  <w:style w:type="paragraph" w:styleId="111">
    <w:name w:val="Обычный11"/>
    <w:basedOn w:val="Normal"/>
    <w:qFormat/>
    <w:pPr/>
    <w:rPr>
      <w:rFonts w:eastAsia="Times New Roman"/>
      <w:sz w:val="24"/>
      <w:szCs w:val="24"/>
      <w:lang w:val="uk-UA"/>
    </w:rPr>
  </w:style>
  <w:style w:type="paragraph" w:styleId="Msolistparagraph">
    <w:name w:val="msolistparagraph"/>
    <w:basedOn w:val="Normal"/>
    <w:qFormat/>
    <w:pPr>
      <w:spacing w:before="0" w:after="0"/>
      <w:ind w:left="720" w:hanging="0"/>
      <w:contextualSpacing/>
    </w:pPr>
    <w:rPr>
      <w:rFonts w:eastAsia="Times New Roman"/>
      <w:sz w:val="24"/>
      <w:szCs w:val="24"/>
      <w:lang w:val="uk-UA"/>
    </w:rPr>
  </w:style>
  <w:style w:type="paragraph" w:styleId="Encryption">
    <w:name w:val="Encryption"/>
    <w:basedOn w:val="Normal"/>
    <w:qFormat/>
    <w:pPr>
      <w:jc w:val="both"/>
    </w:pPr>
    <w:rPr>
      <w:rFonts w:eastAsia="Times New Roman"/>
      <w:b/>
      <w:bCs/>
      <w:i/>
      <w:iCs/>
      <w:sz w:val="24"/>
      <w:szCs w:val="24"/>
      <w:lang w:val="uk-UA"/>
    </w:rPr>
  </w:style>
  <w:style w:type="paragraph" w:styleId="211">
    <w:name w:val="Заголовок 21"/>
    <w:basedOn w:val="Normal"/>
    <w:qFormat/>
    <w:pPr/>
    <w:rPr>
      <w:rFonts w:ascii="Arial" w:hAnsi="Arial" w:eastAsia="Times New Roman" w:cs="Arial"/>
      <w:b/>
      <w:caps/>
      <w:sz w:val="16"/>
    </w:rPr>
  </w:style>
  <w:style w:type="paragraph" w:styleId="411">
    <w:name w:val="Заголовок 41"/>
    <w:basedOn w:val="Normal"/>
    <w:qFormat/>
    <w:pPr/>
    <w:rPr>
      <w:rFonts w:ascii="Arial" w:hAnsi="Arial" w:eastAsia="Times New Roman" w:cs="Arial"/>
      <w:b/>
    </w:rPr>
  </w:style>
  <w:style w:type="paragraph" w:styleId="Style23">
    <w:name w:val="Текст выноски"/>
    <w:basedOn w:val="Normal"/>
    <w:qFormat/>
    <w:pPr/>
    <w:rPr>
      <w:rFonts w:ascii="Tahoma" w:hAnsi="Tahoma" w:eastAsia="Times New Roman" w:cs="Tahoma"/>
      <w:sz w:val="16"/>
      <w:szCs w:val="16"/>
    </w:rPr>
  </w:style>
  <w:style w:type="paragraph" w:styleId="BodyTextIndent2">
    <w:name w:val="Body Text Indent2"/>
    <w:basedOn w:val="Normal"/>
    <w:qFormat/>
    <w:pPr>
      <w:jc w:val="center"/>
    </w:pPr>
    <w:rPr>
      <w:rFonts w:ascii="Arial" w:hAnsi="Arial" w:eastAsia="Times New Roman" w:cs="Arial"/>
      <w:b/>
      <w:i/>
      <w:sz w:val="18"/>
      <w:lang w:val="uk-UA"/>
    </w:rPr>
  </w:style>
  <w:style w:type="paragraph" w:styleId="12">
    <w:name w:val="Основной текст с отступом1"/>
    <w:basedOn w:val="Normal"/>
    <w:qFormat/>
    <w:pPr>
      <w:spacing w:before="120" w:after="120"/>
    </w:pPr>
    <w:rPr>
      <w:rFonts w:ascii="Arial" w:hAnsi="Arial" w:eastAsia="Times New Roman" w:cs="Arial"/>
      <w:sz w:val="18"/>
    </w:rPr>
  </w:style>
  <w:style w:type="paragraph" w:styleId="Cs95e872d0">
    <w:name w:val="cs95e872d0"/>
    <w:basedOn w:val="Normal"/>
    <w:qFormat/>
    <w:pPr/>
    <w:rPr>
      <w:rFonts w:eastAsia="Times New Roman"/>
      <w:sz w:val="24"/>
      <w:szCs w:val="24"/>
    </w:rPr>
  </w:style>
  <w:style w:type="paragraph" w:styleId="TextBodyIndent">
    <w:name w:val="Body Text Indent"/>
    <w:basedOn w:val="Normal"/>
    <w:pPr>
      <w:spacing w:before="0" w:after="120"/>
      <w:ind w:left="283" w:hanging="0"/>
    </w:pPr>
    <w:rPr>
      <w:rFonts w:eastAsia="Times New Roman"/>
      <w:sz w:val="24"/>
      <w:szCs w:val="24"/>
    </w:rPr>
  </w:style>
  <w:style w:type="paragraph" w:styleId="34">
    <w:name w:val="Основной текст 3"/>
    <w:basedOn w:val="Normal"/>
    <w:qFormat/>
    <w:pPr>
      <w:spacing w:before="0" w:after="120"/>
    </w:pPr>
    <w:rPr>
      <w:rFonts w:eastAsia="Times New Roman"/>
      <w:sz w:val="16"/>
      <w:szCs w:val="16"/>
      <w:lang w:val="uk-UA"/>
    </w:rPr>
  </w:style>
  <w:style w:type="paragraph" w:styleId="24">
    <w:name w:val="Основной текст с отступом2"/>
    <w:basedOn w:val="Normal"/>
    <w:qFormat/>
    <w:pPr>
      <w:ind w:firstLine="708"/>
      <w:jc w:val="both"/>
    </w:pPr>
    <w:rPr>
      <w:rFonts w:ascii="Arial" w:hAnsi="Arial" w:eastAsia="Times New Roman" w:cs="Arial"/>
      <w:b/>
      <w:sz w:val="18"/>
      <w:lang w:val="uk-UA"/>
    </w:rPr>
  </w:style>
  <w:style w:type="paragraph" w:styleId="35">
    <w:name w:val="Основной текст с отступом3"/>
    <w:basedOn w:val="Normal"/>
    <w:qFormat/>
    <w:pPr>
      <w:ind w:firstLine="708"/>
      <w:jc w:val="both"/>
    </w:pPr>
    <w:rPr>
      <w:rFonts w:ascii="Arial" w:hAnsi="Arial" w:eastAsia="Times New Roman" w:cs="Arial"/>
      <w:b/>
      <w:sz w:val="18"/>
      <w:lang w:val="uk-UA"/>
    </w:rPr>
  </w:style>
  <w:style w:type="paragraph" w:styleId="42">
    <w:name w:val="Основной текст с отступом4"/>
    <w:basedOn w:val="Normal"/>
    <w:qFormat/>
    <w:pPr>
      <w:ind w:firstLine="708"/>
      <w:jc w:val="both"/>
    </w:pPr>
    <w:rPr>
      <w:rFonts w:ascii="Arial" w:hAnsi="Arial" w:eastAsia="Times New Roman" w:cs="Arial"/>
      <w:b/>
      <w:sz w:val="18"/>
      <w:lang w:val="uk-UA"/>
    </w:rPr>
  </w:style>
  <w:style w:type="paragraph" w:styleId="5">
    <w:name w:val="Основной текст с отступом5"/>
    <w:basedOn w:val="Normal"/>
    <w:qFormat/>
    <w:pPr>
      <w:ind w:firstLine="708"/>
      <w:jc w:val="both"/>
    </w:pPr>
    <w:rPr>
      <w:rFonts w:ascii="Arial" w:hAnsi="Arial" w:eastAsia="Times New Roman" w:cs="Arial"/>
      <w:b/>
      <w:sz w:val="18"/>
      <w:lang w:val="uk-UA"/>
    </w:rPr>
  </w:style>
  <w:style w:type="paragraph" w:styleId="Cse71256d6">
    <w:name w:val="cse71256d6"/>
    <w:basedOn w:val="Normal"/>
    <w:qFormat/>
    <w:pPr>
      <w:ind w:left="1440" w:hanging="0"/>
    </w:pPr>
    <w:rPr>
      <w:rFonts w:eastAsia="Times New Roman"/>
      <w:sz w:val="24"/>
      <w:szCs w:val="24"/>
      <w:lang w:val="uk-UA"/>
    </w:rPr>
  </w:style>
  <w:style w:type="paragraph" w:styleId="61">
    <w:name w:val="Основной текст с отступом6"/>
    <w:basedOn w:val="Normal"/>
    <w:qFormat/>
    <w:pPr>
      <w:ind w:firstLine="708"/>
      <w:jc w:val="both"/>
    </w:pPr>
    <w:rPr>
      <w:rFonts w:ascii="Arial" w:hAnsi="Arial" w:eastAsia="Times New Roman" w:cs="Arial"/>
      <w:b/>
      <w:sz w:val="18"/>
      <w:lang w:val="uk-UA"/>
    </w:rPr>
  </w:style>
  <w:style w:type="paragraph" w:styleId="7">
    <w:name w:val="Основной текст с отступом7"/>
    <w:basedOn w:val="Normal"/>
    <w:qFormat/>
    <w:pPr>
      <w:ind w:firstLine="708"/>
      <w:jc w:val="both"/>
    </w:pPr>
    <w:rPr>
      <w:rFonts w:ascii="Arial" w:hAnsi="Arial" w:eastAsia="Times New Roman" w:cs="Arial"/>
      <w:b/>
      <w:sz w:val="18"/>
      <w:lang w:val="uk-UA"/>
    </w:rPr>
  </w:style>
  <w:style w:type="paragraph" w:styleId="8">
    <w:name w:val="Основной текст с отступом8"/>
    <w:basedOn w:val="Normal"/>
    <w:qFormat/>
    <w:pPr>
      <w:ind w:firstLine="708"/>
      <w:jc w:val="both"/>
    </w:pPr>
    <w:rPr>
      <w:rFonts w:ascii="Arial" w:hAnsi="Arial" w:eastAsia="Times New Roman" w:cs="Arial"/>
      <w:b/>
      <w:sz w:val="18"/>
      <w:lang w:val="uk-UA"/>
    </w:rPr>
  </w:style>
  <w:style w:type="paragraph" w:styleId="9">
    <w:name w:val="Основной текст с отступом9"/>
    <w:basedOn w:val="Normal"/>
    <w:qFormat/>
    <w:pPr>
      <w:ind w:firstLine="708"/>
      <w:jc w:val="both"/>
    </w:pPr>
    <w:rPr>
      <w:rFonts w:ascii="Arial" w:hAnsi="Arial" w:eastAsia="Times New Roman" w:cs="Arial"/>
      <w:b/>
      <w:sz w:val="18"/>
      <w:lang w:val="uk-UA"/>
    </w:rPr>
  </w:style>
  <w:style w:type="paragraph" w:styleId="112">
    <w:name w:val="Основной текст с отступом11"/>
    <w:basedOn w:val="Normal"/>
    <w:qFormat/>
    <w:pPr>
      <w:ind w:firstLine="708"/>
      <w:jc w:val="both"/>
    </w:pPr>
    <w:rPr>
      <w:rFonts w:ascii="Arial" w:hAnsi="Arial" w:eastAsia="Times New Roman" w:cs="Arial"/>
      <w:b/>
      <w:sz w:val="18"/>
      <w:lang w:val="uk-UA"/>
    </w:rPr>
  </w:style>
  <w:style w:type="paragraph" w:styleId="10">
    <w:name w:val="Основной текст с отступом10"/>
    <w:basedOn w:val="Normal"/>
    <w:qFormat/>
    <w:pPr>
      <w:ind w:firstLine="708"/>
      <w:jc w:val="both"/>
    </w:pPr>
    <w:rPr>
      <w:rFonts w:ascii="Arial" w:hAnsi="Arial" w:eastAsia="Times New Roman" w:cs="Arial"/>
      <w:b/>
      <w:sz w:val="18"/>
      <w:lang w:val="uk-UA"/>
    </w:rPr>
  </w:style>
  <w:style w:type="paragraph" w:styleId="110">
    <w:name w:val="Основной текст с отступом110"/>
    <w:basedOn w:val="Normal"/>
    <w:qFormat/>
    <w:pPr>
      <w:ind w:firstLine="708"/>
      <w:jc w:val="both"/>
    </w:pPr>
    <w:rPr>
      <w:rFonts w:ascii="Arial" w:hAnsi="Arial" w:eastAsia="Times New Roman" w:cs="Arial"/>
      <w:b/>
      <w:sz w:val="18"/>
      <w:szCs w:val="22"/>
      <w:lang w:val="uk-UA"/>
    </w:rPr>
  </w:style>
  <w:style w:type="paragraph" w:styleId="121">
    <w:name w:val="Основной текст с отступом12"/>
    <w:basedOn w:val="Normal"/>
    <w:qFormat/>
    <w:pPr>
      <w:ind w:firstLine="708"/>
      <w:jc w:val="both"/>
    </w:pPr>
    <w:rPr>
      <w:rFonts w:ascii="Arial" w:hAnsi="Arial" w:eastAsia="Times New Roman" w:cs="Arial"/>
      <w:b/>
      <w:sz w:val="18"/>
      <w:lang w:val="uk-UA"/>
    </w:rPr>
  </w:style>
  <w:style w:type="paragraph" w:styleId="13">
    <w:name w:val="Основной текст с отступом13"/>
    <w:basedOn w:val="Normal"/>
    <w:qFormat/>
    <w:pPr>
      <w:ind w:firstLine="708"/>
      <w:jc w:val="both"/>
    </w:pPr>
    <w:rPr>
      <w:rFonts w:ascii="Arial" w:hAnsi="Arial" w:eastAsia="Times New Roman" w:cs="Arial"/>
      <w:b/>
      <w:sz w:val="18"/>
      <w:lang w:val="uk-UA"/>
    </w:rPr>
  </w:style>
  <w:style w:type="paragraph" w:styleId="141">
    <w:name w:val="Основной текст с отступом14"/>
    <w:basedOn w:val="Normal"/>
    <w:qFormat/>
    <w:pPr>
      <w:ind w:firstLine="708"/>
      <w:jc w:val="both"/>
    </w:pPr>
    <w:rPr>
      <w:rFonts w:ascii="Arial" w:hAnsi="Arial" w:eastAsia="Times New Roman" w:cs="Arial"/>
      <w:b/>
      <w:sz w:val="18"/>
      <w:lang w:val="uk-UA"/>
    </w:rPr>
  </w:style>
  <w:style w:type="paragraph" w:styleId="15">
    <w:name w:val="Основной текст с отступом15"/>
    <w:basedOn w:val="Normal"/>
    <w:qFormat/>
    <w:pPr>
      <w:ind w:firstLine="708"/>
      <w:jc w:val="both"/>
    </w:pPr>
    <w:rPr>
      <w:rFonts w:ascii="Arial" w:hAnsi="Arial" w:eastAsia="Times New Roman" w:cs="Arial"/>
      <w:b/>
      <w:sz w:val="18"/>
      <w:lang w:val="uk-UA"/>
    </w:rPr>
  </w:style>
  <w:style w:type="paragraph" w:styleId="16">
    <w:name w:val="Основной текст с отступом16"/>
    <w:basedOn w:val="Normal"/>
    <w:qFormat/>
    <w:pPr>
      <w:ind w:firstLine="708"/>
      <w:jc w:val="both"/>
    </w:pPr>
    <w:rPr>
      <w:rFonts w:ascii="Arial" w:hAnsi="Arial" w:eastAsia="Times New Roman" w:cs="Arial"/>
      <w:b/>
      <w:sz w:val="18"/>
      <w:lang w:val="uk-UA"/>
    </w:rPr>
  </w:style>
  <w:style w:type="paragraph" w:styleId="17">
    <w:name w:val="Основной текст с отступом17"/>
    <w:basedOn w:val="Normal"/>
    <w:qFormat/>
    <w:pPr>
      <w:ind w:firstLine="708"/>
      <w:jc w:val="both"/>
    </w:pPr>
    <w:rPr>
      <w:rFonts w:ascii="Arial" w:hAnsi="Arial" w:eastAsia="Times New Roman" w:cs="Arial"/>
      <w:b/>
      <w:sz w:val="18"/>
      <w:lang w:val="uk-UA"/>
    </w:rPr>
  </w:style>
  <w:style w:type="paragraph" w:styleId="18">
    <w:name w:val="Основной текст с отступом18"/>
    <w:basedOn w:val="Normal"/>
    <w:qFormat/>
    <w:pPr>
      <w:ind w:firstLine="708"/>
      <w:jc w:val="both"/>
    </w:pPr>
    <w:rPr>
      <w:rFonts w:ascii="Arial" w:hAnsi="Arial" w:eastAsia="Times New Roman" w:cs="Arial"/>
      <w:b/>
      <w:sz w:val="18"/>
      <w:lang w:val="uk-UA"/>
    </w:rPr>
  </w:style>
  <w:style w:type="paragraph" w:styleId="19">
    <w:name w:val="Основной текст с отступом19"/>
    <w:basedOn w:val="Normal"/>
    <w:qFormat/>
    <w:pPr>
      <w:ind w:firstLine="708"/>
      <w:jc w:val="both"/>
    </w:pPr>
    <w:rPr>
      <w:rFonts w:ascii="Arial" w:hAnsi="Arial" w:eastAsia="Times New Roman" w:cs="Arial"/>
      <w:b/>
      <w:sz w:val="18"/>
      <w:lang w:val="uk-UA"/>
    </w:rPr>
  </w:style>
  <w:style w:type="paragraph" w:styleId="20">
    <w:name w:val="Основной текст с отступом20"/>
    <w:basedOn w:val="Normal"/>
    <w:qFormat/>
    <w:pPr>
      <w:ind w:firstLine="708"/>
      <w:jc w:val="both"/>
    </w:pPr>
    <w:rPr>
      <w:rFonts w:ascii="Arial" w:hAnsi="Arial" w:eastAsia="Times New Roman" w:cs="Arial"/>
      <w:b/>
      <w:sz w:val="18"/>
      <w:lang w:val="uk-UA"/>
    </w:rPr>
  </w:style>
  <w:style w:type="paragraph" w:styleId="Cs80d9435b">
    <w:name w:val="cs80d9435b"/>
    <w:basedOn w:val="Normal"/>
    <w:qFormat/>
    <w:pPr>
      <w:jc w:val="both"/>
    </w:pPr>
    <w:rPr>
      <w:rFonts w:ascii="Arial" w:hAnsi="Arial" w:eastAsia="Times New Roman" w:cs="Arial"/>
      <w:sz w:val="24"/>
      <w:szCs w:val="24"/>
      <w:lang w:val="uk-UA"/>
    </w:rPr>
  </w:style>
  <w:style w:type="paragraph" w:styleId="212">
    <w:name w:val="Основной текст с отступом21"/>
    <w:basedOn w:val="Normal"/>
    <w:qFormat/>
    <w:pPr>
      <w:ind w:firstLine="708"/>
      <w:jc w:val="both"/>
    </w:pPr>
    <w:rPr>
      <w:rFonts w:ascii="Arial" w:hAnsi="Arial" w:eastAsia="Times New Roman" w:cs="Arial"/>
      <w:b/>
      <w:sz w:val="18"/>
      <w:lang w:val="uk-UA"/>
    </w:rPr>
  </w:style>
  <w:style w:type="paragraph" w:styleId="231">
    <w:name w:val="Основной текст с отступом23"/>
    <w:basedOn w:val="Normal"/>
    <w:qFormat/>
    <w:pPr>
      <w:ind w:firstLine="708"/>
      <w:jc w:val="both"/>
    </w:pPr>
    <w:rPr>
      <w:rFonts w:ascii="Arial" w:hAnsi="Arial" w:eastAsia="Times New Roman" w:cs="Arial"/>
      <w:b/>
      <w:sz w:val="18"/>
      <w:lang w:val="uk-UA"/>
    </w:rPr>
  </w:style>
  <w:style w:type="paragraph" w:styleId="26">
    <w:name w:val="Основной текст с отступом26"/>
    <w:basedOn w:val="Normal"/>
    <w:qFormat/>
    <w:pPr>
      <w:ind w:firstLine="708"/>
      <w:jc w:val="both"/>
    </w:pPr>
    <w:rPr>
      <w:rFonts w:ascii="Arial" w:hAnsi="Arial" w:eastAsia="Times New Roman" w:cs="Arial"/>
      <w:b/>
      <w:sz w:val="18"/>
      <w:lang w:val="uk-UA"/>
    </w:rPr>
  </w:style>
  <w:style w:type="paragraph" w:styleId="28">
    <w:name w:val="Основной текст с отступом28"/>
    <w:basedOn w:val="Normal"/>
    <w:qFormat/>
    <w:pPr>
      <w:ind w:firstLine="708"/>
      <w:jc w:val="both"/>
    </w:pPr>
    <w:rPr>
      <w:rFonts w:ascii="Arial" w:hAnsi="Arial" w:eastAsia="Times New Roman" w:cs="Arial"/>
      <w:b/>
      <w:sz w:val="18"/>
      <w:lang w:val="uk-UA"/>
    </w:rPr>
  </w:style>
  <w:style w:type="paragraph" w:styleId="29">
    <w:name w:val="Основной текст с отступом29"/>
    <w:basedOn w:val="Normal"/>
    <w:qFormat/>
    <w:pPr>
      <w:ind w:firstLine="708"/>
      <w:jc w:val="both"/>
    </w:pPr>
    <w:rPr>
      <w:rFonts w:ascii="Arial" w:hAnsi="Arial" w:eastAsia="Times New Roman" w:cs="Arial"/>
      <w:b/>
      <w:sz w:val="18"/>
      <w:lang w:val="uk-UA"/>
    </w:rPr>
  </w:style>
  <w:style w:type="paragraph" w:styleId="311">
    <w:name w:val="Основной текст с отступом31"/>
    <w:basedOn w:val="Normal"/>
    <w:qFormat/>
    <w:pPr>
      <w:ind w:firstLine="708"/>
      <w:jc w:val="both"/>
    </w:pPr>
    <w:rPr>
      <w:rFonts w:ascii="Arial" w:hAnsi="Arial" w:eastAsia="Times New Roman" w:cs="Arial"/>
      <w:b/>
      <w:sz w:val="18"/>
      <w:lang w:val="uk-UA"/>
    </w:rPr>
  </w:style>
  <w:style w:type="paragraph" w:styleId="321">
    <w:name w:val="Основной текст с отступом32"/>
    <w:basedOn w:val="Normal"/>
    <w:qFormat/>
    <w:pPr>
      <w:ind w:firstLine="708"/>
      <w:jc w:val="both"/>
    </w:pPr>
    <w:rPr>
      <w:rFonts w:ascii="Arial" w:hAnsi="Arial" w:eastAsia="Times New Roman" w:cs="Arial"/>
      <w:b/>
      <w:sz w:val="18"/>
      <w:lang w:val="uk-UA"/>
    </w:rPr>
  </w:style>
  <w:style w:type="paragraph" w:styleId="331">
    <w:name w:val="Основной текст с отступом33"/>
    <w:basedOn w:val="Normal"/>
    <w:qFormat/>
    <w:pPr>
      <w:ind w:firstLine="708"/>
      <w:jc w:val="both"/>
    </w:pPr>
    <w:rPr>
      <w:rFonts w:ascii="Arial" w:hAnsi="Arial" w:eastAsia="Times New Roman" w:cs="Arial"/>
      <w:b/>
      <w:sz w:val="18"/>
      <w:lang w:val="uk-UA"/>
    </w:rPr>
  </w:style>
  <w:style w:type="paragraph" w:styleId="351">
    <w:name w:val="Основной текст с отступом35"/>
    <w:basedOn w:val="Normal"/>
    <w:qFormat/>
    <w:pPr>
      <w:ind w:firstLine="708"/>
      <w:jc w:val="both"/>
    </w:pPr>
    <w:rPr>
      <w:rFonts w:ascii="Arial" w:hAnsi="Arial" w:eastAsia="Times New Roman" w:cs="Arial"/>
      <w:b/>
      <w:sz w:val="18"/>
      <w:lang w:val="uk-UA"/>
    </w:rPr>
  </w:style>
  <w:style w:type="paragraph" w:styleId="341">
    <w:name w:val="Основной текст с отступом34"/>
    <w:basedOn w:val="Normal"/>
    <w:qFormat/>
    <w:pPr>
      <w:ind w:firstLine="708"/>
      <w:jc w:val="both"/>
    </w:pPr>
    <w:rPr>
      <w:rFonts w:ascii="Arial" w:hAnsi="Arial" w:eastAsia="Times New Roman" w:cs="Arial"/>
      <w:b/>
      <w:sz w:val="18"/>
      <w:lang w:val="uk-UA"/>
    </w:rPr>
  </w:style>
  <w:style w:type="paragraph" w:styleId="36">
    <w:name w:val="Основной текст с отступом36"/>
    <w:basedOn w:val="Normal"/>
    <w:qFormat/>
    <w:pPr>
      <w:ind w:firstLine="708"/>
      <w:jc w:val="both"/>
    </w:pPr>
    <w:rPr>
      <w:rFonts w:ascii="Arial" w:hAnsi="Arial" w:eastAsia="Times New Roman" w:cs="Arial"/>
      <w:b/>
      <w:sz w:val="18"/>
      <w:lang w:val="uk-UA"/>
    </w:rPr>
  </w:style>
  <w:style w:type="paragraph" w:styleId="37">
    <w:name w:val="Основной текст с отступом37"/>
    <w:basedOn w:val="Normal"/>
    <w:qFormat/>
    <w:pPr>
      <w:ind w:firstLine="708"/>
      <w:jc w:val="both"/>
    </w:pPr>
    <w:rPr>
      <w:rFonts w:ascii="Arial" w:hAnsi="Arial" w:eastAsia="Times New Roman" w:cs="Arial"/>
      <w:b/>
      <w:sz w:val="18"/>
      <w:lang w:val="uk-UA"/>
    </w:rPr>
  </w:style>
  <w:style w:type="paragraph" w:styleId="Style24">
    <w:name w:val="Текст примечания"/>
    <w:basedOn w:val="Normal"/>
    <w:qFormat/>
    <w:pPr/>
    <w:rPr>
      <w:rFonts w:eastAsia="Times New Roman"/>
      <w:lang w:val="uk-UA"/>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eastAsia="Times New Roman" w:cs="Arial"/>
      <w:sz w:val="24"/>
      <w:szCs w:val="24"/>
      <w:lang w:val="uk-UA"/>
    </w:rPr>
  </w:style>
  <w:style w:type="paragraph" w:styleId="38">
    <w:name w:val="Основной текст с отступом38"/>
    <w:basedOn w:val="Normal"/>
    <w:qFormat/>
    <w:pPr>
      <w:ind w:firstLine="708"/>
      <w:jc w:val="both"/>
    </w:pPr>
    <w:rPr>
      <w:rFonts w:ascii="Arial" w:hAnsi="Arial" w:eastAsia="Times New Roman" w:cs="Arial"/>
      <w:b/>
      <w:sz w:val="18"/>
      <w:lang w:val="uk-UA"/>
    </w:rPr>
  </w:style>
  <w:style w:type="paragraph" w:styleId="39">
    <w:name w:val="Основной текст с отступом39"/>
    <w:basedOn w:val="Normal"/>
    <w:qFormat/>
    <w:pPr>
      <w:ind w:firstLine="708"/>
      <w:jc w:val="both"/>
    </w:pPr>
    <w:rPr>
      <w:rFonts w:ascii="Arial" w:hAnsi="Arial" w:eastAsia="Times New Roman" w:cs="Arial"/>
      <w:b/>
      <w:sz w:val="18"/>
      <w:lang w:val="uk-UA"/>
    </w:rPr>
  </w:style>
  <w:style w:type="paragraph" w:styleId="40">
    <w:name w:val="Основной текст с отступом40"/>
    <w:basedOn w:val="Normal"/>
    <w:qFormat/>
    <w:pPr>
      <w:ind w:firstLine="708"/>
      <w:jc w:val="both"/>
    </w:pPr>
    <w:rPr>
      <w:rFonts w:ascii="Arial" w:hAnsi="Arial" w:eastAsia="Times New Roman" w:cs="Arial"/>
      <w:b/>
      <w:sz w:val="18"/>
      <w:lang w:val="uk-UA"/>
    </w:rPr>
  </w:style>
  <w:style w:type="paragraph" w:styleId="412">
    <w:name w:val="Основной текст с отступом41"/>
    <w:basedOn w:val="Normal"/>
    <w:qFormat/>
    <w:pPr>
      <w:ind w:firstLine="708"/>
      <w:jc w:val="both"/>
    </w:pPr>
    <w:rPr>
      <w:rFonts w:ascii="Arial" w:hAnsi="Arial" w:eastAsia="Times New Roman" w:cs="Arial"/>
      <w:b/>
      <w:sz w:val="18"/>
      <w:lang w:val="uk-UA"/>
    </w:rPr>
  </w:style>
  <w:style w:type="paragraph" w:styleId="421">
    <w:name w:val="Основной текст с отступом42"/>
    <w:basedOn w:val="Normal"/>
    <w:qFormat/>
    <w:pPr>
      <w:ind w:firstLine="708"/>
      <w:jc w:val="both"/>
    </w:pPr>
    <w:rPr>
      <w:rFonts w:ascii="Arial" w:hAnsi="Arial" w:eastAsia="Times New Roman" w:cs="Arial"/>
      <w:b/>
      <w:sz w:val="18"/>
      <w:lang w:val="uk-UA"/>
    </w:rPr>
  </w:style>
  <w:style w:type="paragraph" w:styleId="43">
    <w:name w:val="Основной текст с отступом43"/>
    <w:basedOn w:val="Normal"/>
    <w:qFormat/>
    <w:pPr>
      <w:ind w:firstLine="708"/>
      <w:jc w:val="both"/>
    </w:pPr>
    <w:rPr>
      <w:rFonts w:ascii="Arial" w:hAnsi="Arial" w:eastAsia="Times New Roman" w:cs="Arial"/>
      <w:b/>
      <w:sz w:val="18"/>
      <w:lang w:val="uk-UA"/>
    </w:rPr>
  </w:style>
  <w:style w:type="paragraph" w:styleId="44">
    <w:name w:val="Основной текст с отступом44"/>
    <w:basedOn w:val="Normal"/>
    <w:qFormat/>
    <w:pPr>
      <w:ind w:firstLine="708"/>
      <w:jc w:val="both"/>
    </w:pPr>
    <w:rPr>
      <w:rFonts w:ascii="Arial" w:hAnsi="Arial" w:eastAsia="Times New Roman" w:cs="Arial"/>
      <w:b/>
      <w:sz w:val="18"/>
      <w:lang w:val="uk-UA"/>
    </w:rPr>
  </w:style>
  <w:style w:type="paragraph" w:styleId="45">
    <w:name w:val="Основной текст с отступом45"/>
    <w:basedOn w:val="Normal"/>
    <w:qFormat/>
    <w:pPr>
      <w:ind w:firstLine="708"/>
      <w:jc w:val="both"/>
    </w:pPr>
    <w:rPr>
      <w:rFonts w:ascii="Arial" w:hAnsi="Arial" w:eastAsia="Times New Roman" w:cs="Arial"/>
      <w:b/>
      <w:sz w:val="18"/>
      <w:lang w:val="uk-UA"/>
    </w:rPr>
  </w:style>
  <w:style w:type="paragraph" w:styleId="46">
    <w:name w:val="Основной текст с отступом46"/>
    <w:basedOn w:val="Normal"/>
    <w:qFormat/>
    <w:pPr>
      <w:ind w:firstLine="708"/>
      <w:jc w:val="both"/>
    </w:pPr>
    <w:rPr>
      <w:rFonts w:ascii="Arial" w:hAnsi="Arial" w:eastAsia="Times New Roman" w:cs="Arial"/>
      <w:b/>
      <w:sz w:val="18"/>
      <w:lang w:val="uk-UA"/>
    </w:rPr>
  </w:style>
  <w:style w:type="paragraph" w:styleId="47">
    <w:name w:val="Основной текст с отступом47"/>
    <w:basedOn w:val="Normal"/>
    <w:qFormat/>
    <w:pPr>
      <w:ind w:firstLine="708"/>
      <w:jc w:val="both"/>
    </w:pPr>
    <w:rPr>
      <w:rFonts w:ascii="Arial" w:hAnsi="Arial" w:eastAsia="Times New Roman" w:cs="Arial"/>
      <w:b/>
      <w:sz w:val="18"/>
      <w:lang w:val="uk-UA"/>
    </w:rPr>
  </w:style>
  <w:style w:type="paragraph" w:styleId="48">
    <w:name w:val="Основной текст с отступом48"/>
    <w:basedOn w:val="Normal"/>
    <w:qFormat/>
    <w:pPr>
      <w:ind w:firstLine="708"/>
      <w:jc w:val="both"/>
    </w:pPr>
    <w:rPr>
      <w:rFonts w:ascii="Arial" w:hAnsi="Arial" w:eastAsia="Times New Roman" w:cs="Arial"/>
      <w:b/>
      <w:sz w:val="18"/>
      <w:lang w:val="uk-UA"/>
    </w:rPr>
  </w:style>
  <w:style w:type="paragraph" w:styleId="49">
    <w:name w:val="Основной текст с отступом49"/>
    <w:basedOn w:val="Normal"/>
    <w:qFormat/>
    <w:pPr>
      <w:ind w:firstLine="708"/>
      <w:jc w:val="both"/>
    </w:pPr>
    <w:rPr>
      <w:rFonts w:ascii="Arial" w:hAnsi="Arial" w:eastAsia="Times New Roman" w:cs="Arial"/>
      <w:b/>
      <w:sz w:val="18"/>
      <w:lang w:val="uk-UA"/>
    </w:rPr>
  </w:style>
  <w:style w:type="paragraph" w:styleId="50">
    <w:name w:val="Основной текст с отступом50"/>
    <w:basedOn w:val="Normal"/>
    <w:qFormat/>
    <w:pPr>
      <w:ind w:firstLine="708"/>
      <w:jc w:val="both"/>
    </w:pPr>
    <w:rPr>
      <w:rFonts w:ascii="Arial" w:hAnsi="Arial" w:eastAsia="Times New Roman" w:cs="Arial"/>
      <w:b/>
      <w:sz w:val="18"/>
      <w:lang w:val="uk-UA"/>
    </w:rPr>
  </w:style>
  <w:style w:type="paragraph" w:styleId="52">
    <w:name w:val="Основной текст с отступом52"/>
    <w:basedOn w:val="Normal"/>
    <w:qFormat/>
    <w:pPr>
      <w:ind w:firstLine="708"/>
      <w:jc w:val="both"/>
    </w:pPr>
    <w:rPr>
      <w:rFonts w:ascii="Arial" w:hAnsi="Arial" w:eastAsia="Times New Roman" w:cs="Arial"/>
      <w:b/>
      <w:sz w:val="18"/>
      <w:lang w:val="uk-UA"/>
    </w:rPr>
  </w:style>
  <w:style w:type="paragraph" w:styleId="53">
    <w:name w:val="Основной текст с отступом53"/>
    <w:basedOn w:val="Normal"/>
    <w:qFormat/>
    <w:pPr>
      <w:ind w:firstLine="708"/>
      <w:jc w:val="both"/>
    </w:pPr>
    <w:rPr>
      <w:rFonts w:ascii="Arial" w:hAnsi="Arial" w:eastAsia="Times New Roman" w:cs="Arial"/>
      <w:b/>
      <w:sz w:val="18"/>
      <w:lang w:val="uk-UA"/>
    </w:rPr>
  </w:style>
  <w:style w:type="paragraph" w:styleId="54">
    <w:name w:val="Основной текст с отступом54"/>
    <w:basedOn w:val="Normal"/>
    <w:qFormat/>
    <w:pPr>
      <w:ind w:firstLine="708"/>
      <w:jc w:val="both"/>
    </w:pPr>
    <w:rPr>
      <w:rFonts w:ascii="Arial" w:hAnsi="Arial" w:eastAsia="Times New Roman" w:cs="Arial"/>
      <w:b/>
      <w:sz w:val="18"/>
      <w:lang w:val="uk-UA"/>
    </w:rPr>
  </w:style>
  <w:style w:type="paragraph" w:styleId="57">
    <w:name w:val="Основной текст с отступом57"/>
    <w:basedOn w:val="Normal"/>
    <w:qFormat/>
    <w:pPr>
      <w:ind w:firstLine="708"/>
      <w:jc w:val="both"/>
    </w:pPr>
    <w:rPr>
      <w:rFonts w:ascii="Arial" w:hAnsi="Arial" w:eastAsia="Times New Roman" w:cs="Arial"/>
      <w:b/>
      <w:sz w:val="18"/>
      <w:lang w:val="uk-UA"/>
    </w:rPr>
  </w:style>
  <w:style w:type="paragraph" w:styleId="59">
    <w:name w:val="Основной текст с отступом59"/>
    <w:basedOn w:val="Normal"/>
    <w:qFormat/>
    <w:pPr>
      <w:ind w:firstLine="708"/>
      <w:jc w:val="both"/>
    </w:pPr>
    <w:rPr>
      <w:rFonts w:ascii="Arial" w:hAnsi="Arial" w:eastAsia="Times New Roman" w:cs="Arial"/>
      <w:b/>
      <w:sz w:val="18"/>
      <w:lang w:val="uk-UA"/>
    </w:rPr>
  </w:style>
  <w:style w:type="paragraph" w:styleId="60">
    <w:name w:val="Основной текст с отступом60"/>
    <w:basedOn w:val="Normal"/>
    <w:qFormat/>
    <w:pPr>
      <w:ind w:firstLine="708"/>
      <w:jc w:val="both"/>
    </w:pPr>
    <w:rPr>
      <w:rFonts w:ascii="Arial" w:hAnsi="Arial" w:eastAsia="Times New Roman" w:cs="Arial"/>
      <w:b/>
      <w:sz w:val="18"/>
      <w:lang w:val="uk-UA"/>
    </w:rPr>
  </w:style>
  <w:style w:type="paragraph" w:styleId="611">
    <w:name w:val="Основной текст с отступом61"/>
    <w:basedOn w:val="Normal"/>
    <w:qFormat/>
    <w:pPr>
      <w:ind w:firstLine="708"/>
      <w:jc w:val="both"/>
    </w:pPr>
    <w:rPr>
      <w:rFonts w:ascii="Arial" w:hAnsi="Arial" w:eastAsia="Times New Roman" w:cs="Arial"/>
      <w:b/>
      <w:sz w:val="18"/>
      <w:lang w:val="uk-UA"/>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eastAsia="Times New Roman" w:cs="Arial"/>
      <w:sz w:val="18"/>
    </w:rPr>
  </w:style>
  <w:style w:type="paragraph" w:styleId="222">
    <w:name w:val="Заголовок 22"/>
    <w:basedOn w:val="Normal"/>
    <w:qFormat/>
    <w:pPr/>
    <w:rPr>
      <w:rFonts w:ascii="Arial" w:hAnsi="Arial" w:eastAsia="Times New Roman" w:cs="Arial"/>
      <w:b/>
      <w:caps/>
      <w:sz w:val="16"/>
    </w:rPr>
  </w:style>
  <w:style w:type="paragraph" w:styleId="422">
    <w:name w:val="Заголовок 42"/>
    <w:basedOn w:val="Normal"/>
    <w:qFormat/>
    <w:pPr/>
    <w:rPr>
      <w:rFonts w:ascii="Arial" w:hAnsi="Arial" w:eastAsia="Times New Roman" w:cs="Arial"/>
      <w:b/>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eastAsia="Times New Roman" w:cs="Arial"/>
      <w:sz w:val="18"/>
    </w:rPr>
  </w:style>
  <w:style w:type="paragraph" w:styleId="232">
    <w:name w:val="Заголовок 23"/>
    <w:basedOn w:val="Normal"/>
    <w:qFormat/>
    <w:pPr/>
    <w:rPr>
      <w:rFonts w:ascii="Arial" w:hAnsi="Arial" w:eastAsia="Times New Roman" w:cs="Arial"/>
      <w:b/>
      <w:caps/>
      <w:sz w:val="16"/>
    </w:rPr>
  </w:style>
  <w:style w:type="paragraph" w:styleId="431">
    <w:name w:val="Заголовок 43"/>
    <w:basedOn w:val="Normal"/>
    <w:qFormat/>
    <w:pPr/>
    <w:rPr>
      <w:rFonts w:ascii="Arial" w:hAnsi="Arial" w:eastAsia="Times New Roman" w:cs="Arial"/>
      <w:b/>
    </w:rPr>
  </w:style>
  <w:style w:type="paragraph" w:styleId="BodyTextIndent">
    <w:name w:val="Body Text Indent"/>
    <w:basedOn w:val="Normal"/>
    <w:qFormat/>
    <w:pPr>
      <w:spacing w:before="120" w:after="120"/>
    </w:pPr>
    <w:rPr>
      <w:rFonts w:ascii="Arial" w:hAnsi="Arial" w:eastAsia="Times New Roman" w:cs="Arial"/>
      <w:sz w:val="18"/>
    </w:rPr>
  </w:style>
  <w:style w:type="paragraph" w:styleId="WWHeading2">
    <w:name w:val="WW-Heading 2"/>
    <w:basedOn w:val="Normal"/>
    <w:qFormat/>
    <w:pPr/>
    <w:rPr>
      <w:rFonts w:ascii="Arial" w:hAnsi="Arial" w:eastAsia="Times New Roman" w:cs="Arial"/>
      <w:b/>
      <w:caps/>
      <w:sz w:val="16"/>
    </w:rPr>
  </w:style>
  <w:style w:type="paragraph" w:styleId="WWHeading4">
    <w:name w:val="WW-Heading 4"/>
    <w:basedOn w:val="Normal"/>
    <w:qFormat/>
    <w:pPr/>
    <w:rPr>
      <w:rFonts w:ascii="Arial" w:hAnsi="Arial" w:eastAsia="Times New Roman" w:cs="Arial"/>
      <w:b/>
    </w:rPr>
  </w:style>
  <w:style w:type="paragraph" w:styleId="62">
    <w:name w:val="Основной текст с отступом62"/>
    <w:basedOn w:val="Normal"/>
    <w:qFormat/>
    <w:pPr>
      <w:ind w:firstLine="708"/>
      <w:jc w:val="both"/>
    </w:pPr>
    <w:rPr>
      <w:rFonts w:ascii="Arial" w:hAnsi="Arial" w:eastAsia="Times New Roman" w:cs="Arial"/>
      <w:b/>
      <w:sz w:val="18"/>
      <w:lang w:val="uk-UA"/>
    </w:rPr>
  </w:style>
  <w:style w:type="paragraph" w:styleId="64">
    <w:name w:val="Основной текст с отступом64"/>
    <w:basedOn w:val="Normal"/>
    <w:qFormat/>
    <w:pPr>
      <w:ind w:firstLine="708"/>
      <w:jc w:val="both"/>
    </w:pPr>
    <w:rPr>
      <w:rFonts w:ascii="Arial" w:hAnsi="Arial" w:eastAsia="Times New Roman" w:cs="Arial"/>
      <w:b/>
      <w:sz w:val="18"/>
      <w:lang w:val="uk-UA"/>
    </w:rPr>
  </w:style>
  <w:style w:type="paragraph" w:styleId="63">
    <w:name w:val="Основной текст с отступом63"/>
    <w:basedOn w:val="Normal"/>
    <w:qFormat/>
    <w:pPr>
      <w:ind w:firstLine="708"/>
      <w:jc w:val="both"/>
    </w:pPr>
    <w:rPr>
      <w:rFonts w:ascii="Arial" w:hAnsi="Arial" w:eastAsia="Times New Roman" w:cs="Arial"/>
      <w:b/>
      <w:sz w:val="18"/>
      <w:lang w:val="uk-UA"/>
    </w:rPr>
  </w:style>
  <w:style w:type="paragraph" w:styleId="65">
    <w:name w:val="Основной текст с отступом65"/>
    <w:basedOn w:val="Normal"/>
    <w:qFormat/>
    <w:pPr>
      <w:ind w:firstLine="708"/>
      <w:jc w:val="both"/>
    </w:pPr>
    <w:rPr>
      <w:rFonts w:ascii="Arial" w:hAnsi="Arial" w:eastAsia="Times New Roman" w:cs="Arial"/>
      <w:b/>
      <w:sz w:val="18"/>
      <w:lang w:val="uk-UA"/>
    </w:rPr>
  </w:style>
  <w:style w:type="paragraph" w:styleId="66">
    <w:name w:val="Основной текст с отступом66"/>
    <w:basedOn w:val="Normal"/>
    <w:qFormat/>
    <w:pPr>
      <w:ind w:firstLine="708"/>
      <w:jc w:val="both"/>
    </w:pPr>
    <w:rPr>
      <w:rFonts w:ascii="Arial" w:hAnsi="Arial" w:eastAsia="Times New Roman" w:cs="Arial"/>
      <w:b/>
      <w:sz w:val="18"/>
      <w:lang w:val="uk-UA"/>
    </w:rPr>
  </w:style>
  <w:style w:type="paragraph" w:styleId="67">
    <w:name w:val="Основной текст с отступом67"/>
    <w:basedOn w:val="Normal"/>
    <w:qFormat/>
    <w:pPr>
      <w:ind w:firstLine="708"/>
      <w:jc w:val="both"/>
    </w:pPr>
    <w:rPr>
      <w:rFonts w:ascii="Arial" w:hAnsi="Arial" w:eastAsia="Times New Roman" w:cs="Arial"/>
      <w:b/>
      <w:sz w:val="18"/>
      <w:lang w:val="uk-UA"/>
    </w:rPr>
  </w:style>
  <w:style w:type="paragraph" w:styleId="68">
    <w:name w:val="Основной текст с отступом68"/>
    <w:basedOn w:val="Normal"/>
    <w:qFormat/>
    <w:pPr>
      <w:ind w:firstLine="708"/>
      <w:jc w:val="both"/>
    </w:pPr>
    <w:rPr>
      <w:rFonts w:ascii="Arial" w:hAnsi="Arial" w:eastAsia="Times New Roman" w:cs="Arial"/>
      <w:b/>
      <w:sz w:val="18"/>
      <w:lang w:val="uk-UA"/>
    </w:rPr>
  </w:style>
  <w:style w:type="paragraph" w:styleId="69">
    <w:name w:val="Основной текст с отступом69"/>
    <w:basedOn w:val="Normal"/>
    <w:qFormat/>
    <w:pPr>
      <w:ind w:firstLine="708"/>
      <w:jc w:val="both"/>
    </w:pPr>
    <w:rPr>
      <w:rFonts w:ascii="Arial" w:hAnsi="Arial" w:eastAsia="Times New Roman" w:cs="Arial"/>
      <w:b/>
      <w:sz w:val="18"/>
      <w:lang w:val="uk-UA"/>
    </w:rPr>
  </w:style>
  <w:style w:type="paragraph" w:styleId="70">
    <w:name w:val="Основной текст с отступом70"/>
    <w:basedOn w:val="Normal"/>
    <w:qFormat/>
    <w:pPr>
      <w:ind w:firstLine="708"/>
      <w:jc w:val="both"/>
    </w:pPr>
    <w:rPr>
      <w:rFonts w:ascii="Arial" w:hAnsi="Arial" w:eastAsia="Times New Roman" w:cs="Arial"/>
      <w:b/>
      <w:sz w:val="18"/>
      <w:lang w:val="uk-UA"/>
    </w:rPr>
  </w:style>
  <w:style w:type="paragraph" w:styleId="71">
    <w:name w:val="Основной текст с отступом71"/>
    <w:basedOn w:val="Normal"/>
    <w:qFormat/>
    <w:pPr>
      <w:ind w:firstLine="708"/>
      <w:jc w:val="both"/>
    </w:pPr>
    <w:rPr>
      <w:rFonts w:ascii="Arial" w:hAnsi="Arial" w:eastAsia="Times New Roman" w:cs="Arial"/>
      <w:b/>
      <w:sz w:val="18"/>
      <w:lang w:val="uk-UA"/>
    </w:rPr>
  </w:style>
  <w:style w:type="paragraph" w:styleId="72">
    <w:name w:val="Основной текст с отступом72"/>
    <w:basedOn w:val="Normal"/>
    <w:qFormat/>
    <w:pPr>
      <w:ind w:firstLine="708"/>
      <w:jc w:val="both"/>
    </w:pPr>
    <w:rPr>
      <w:rFonts w:ascii="Arial" w:hAnsi="Arial" w:eastAsia="Times New Roman" w:cs="Arial"/>
      <w:b/>
      <w:sz w:val="18"/>
      <w:lang w:val="uk-UA"/>
    </w:rPr>
  </w:style>
  <w:style w:type="paragraph" w:styleId="142">
    <w:name w:val="Основной текст (14)"/>
    <w:basedOn w:val="Normal"/>
    <w:qFormat/>
    <w:pPr>
      <w:widowControl w:val="false"/>
      <w:shd w:fill="FFFFFF" w:val="clear"/>
      <w:spacing w:lineRule="exact" w:line="278"/>
      <w:jc w:val="center"/>
    </w:pPr>
    <w:rPr>
      <w:sz w:val="21"/>
      <w:szCs w:val="21"/>
      <w:lang w:val="uk-UA"/>
    </w:rPr>
  </w:style>
  <w:style w:type="paragraph" w:styleId="73">
    <w:name w:val="Основной текст с отступом73"/>
    <w:basedOn w:val="Normal"/>
    <w:qFormat/>
    <w:pPr>
      <w:ind w:firstLine="708"/>
      <w:jc w:val="both"/>
    </w:pPr>
    <w:rPr>
      <w:rFonts w:ascii="Arial" w:hAnsi="Arial" w:eastAsia="Times New Roman" w:cs="Arial"/>
      <w:b/>
      <w:sz w:val="18"/>
      <w:lang w:val="uk-UA"/>
    </w:rPr>
  </w:style>
  <w:style w:type="paragraph" w:styleId="74">
    <w:name w:val="Основной текст с отступом74"/>
    <w:basedOn w:val="Normal"/>
    <w:qFormat/>
    <w:pPr>
      <w:ind w:firstLine="708"/>
      <w:jc w:val="both"/>
    </w:pPr>
    <w:rPr>
      <w:rFonts w:ascii="Arial" w:hAnsi="Arial" w:eastAsia="Times New Roman" w:cs="Arial"/>
      <w:b/>
      <w:sz w:val="18"/>
      <w:lang w:val="uk-UA"/>
    </w:rPr>
  </w:style>
  <w:style w:type="paragraph" w:styleId="75">
    <w:name w:val="Основной текст с отступом75"/>
    <w:basedOn w:val="Normal"/>
    <w:qFormat/>
    <w:pPr>
      <w:ind w:firstLine="708"/>
      <w:jc w:val="both"/>
    </w:pPr>
    <w:rPr>
      <w:rFonts w:ascii="Arial" w:hAnsi="Arial" w:eastAsia="Times New Roman" w:cs="Arial"/>
      <w:b/>
      <w:sz w:val="18"/>
      <w:lang w:val="uk-UA"/>
    </w:rPr>
  </w:style>
  <w:style w:type="paragraph" w:styleId="76">
    <w:name w:val="Основной текст с отступом76"/>
    <w:basedOn w:val="Normal"/>
    <w:qFormat/>
    <w:pPr>
      <w:ind w:firstLine="708"/>
      <w:jc w:val="both"/>
    </w:pPr>
    <w:rPr>
      <w:rFonts w:ascii="Arial" w:hAnsi="Arial" w:eastAsia="Times New Roman" w:cs="Arial"/>
      <w:b/>
      <w:sz w:val="18"/>
      <w:lang w:val="uk-UA"/>
    </w:rPr>
  </w:style>
  <w:style w:type="paragraph" w:styleId="77">
    <w:name w:val="Основной текст с отступом77"/>
    <w:basedOn w:val="Normal"/>
    <w:qFormat/>
    <w:pPr>
      <w:ind w:firstLine="708"/>
      <w:jc w:val="both"/>
    </w:pPr>
    <w:rPr>
      <w:rFonts w:ascii="Arial" w:hAnsi="Arial" w:eastAsia="Times New Roman" w:cs="Arial"/>
      <w:b/>
      <w:sz w:val="18"/>
      <w:lang w:val="uk-UA"/>
    </w:rPr>
  </w:style>
  <w:style w:type="paragraph" w:styleId="78">
    <w:name w:val="Основной текст с отступом78"/>
    <w:basedOn w:val="Normal"/>
    <w:qFormat/>
    <w:pPr>
      <w:ind w:firstLine="708"/>
      <w:jc w:val="both"/>
    </w:pPr>
    <w:rPr>
      <w:rFonts w:ascii="Arial" w:hAnsi="Arial" w:eastAsia="Times New Roman" w:cs="Arial"/>
      <w:b/>
      <w:sz w:val="18"/>
      <w:lang w:val="uk-UA"/>
    </w:rPr>
  </w:style>
  <w:style w:type="paragraph" w:styleId="79">
    <w:name w:val="Основной текст с отступом79"/>
    <w:basedOn w:val="Normal"/>
    <w:qFormat/>
    <w:pPr>
      <w:ind w:firstLine="708"/>
      <w:jc w:val="both"/>
    </w:pPr>
    <w:rPr>
      <w:rFonts w:ascii="Arial" w:hAnsi="Arial" w:eastAsia="Times New Roman" w:cs="Arial"/>
      <w:b/>
      <w:sz w:val="18"/>
      <w:lang w:val="uk-UA"/>
    </w:rPr>
  </w:style>
  <w:style w:type="paragraph" w:styleId="81">
    <w:name w:val="Основной текст с отступом81"/>
    <w:basedOn w:val="Normal"/>
    <w:qFormat/>
    <w:pPr>
      <w:ind w:firstLine="708"/>
      <w:jc w:val="both"/>
    </w:pPr>
    <w:rPr>
      <w:rFonts w:ascii="Arial" w:hAnsi="Arial" w:eastAsia="Times New Roman" w:cs="Arial"/>
      <w:b/>
      <w:sz w:val="18"/>
      <w:lang w:val="uk-UA"/>
    </w:rPr>
  </w:style>
  <w:style w:type="paragraph" w:styleId="82">
    <w:name w:val="Основной текст с отступом82"/>
    <w:basedOn w:val="Normal"/>
    <w:qFormat/>
    <w:pPr>
      <w:ind w:firstLine="708"/>
      <w:jc w:val="both"/>
    </w:pPr>
    <w:rPr>
      <w:rFonts w:ascii="Arial" w:hAnsi="Arial" w:eastAsia="Times New Roman" w:cs="Arial"/>
      <w:b/>
      <w:sz w:val="18"/>
      <w:lang w:val="uk-UA"/>
    </w:rPr>
  </w:style>
  <w:style w:type="paragraph" w:styleId="84">
    <w:name w:val="Основной текст с отступом84"/>
    <w:basedOn w:val="Normal"/>
    <w:qFormat/>
    <w:pPr>
      <w:ind w:firstLine="708"/>
      <w:jc w:val="both"/>
    </w:pPr>
    <w:rPr>
      <w:rFonts w:ascii="Arial" w:hAnsi="Arial" w:eastAsia="Times New Roman" w:cs="Arial"/>
      <w:b/>
      <w:sz w:val="18"/>
      <w:lang w:val="uk-UA"/>
    </w:rPr>
  </w:style>
  <w:style w:type="paragraph" w:styleId="85">
    <w:name w:val="Основной текст с отступом85"/>
    <w:basedOn w:val="Normal"/>
    <w:qFormat/>
    <w:pPr>
      <w:ind w:firstLine="708"/>
      <w:jc w:val="both"/>
    </w:pPr>
    <w:rPr>
      <w:rFonts w:ascii="Arial" w:hAnsi="Arial" w:eastAsia="Times New Roman" w:cs="Arial"/>
      <w:b/>
      <w:sz w:val="18"/>
      <w:lang w:val="uk-UA"/>
    </w:rPr>
  </w:style>
  <w:style w:type="paragraph" w:styleId="86">
    <w:name w:val="Основной текст с отступом86"/>
    <w:basedOn w:val="Normal"/>
    <w:qFormat/>
    <w:pPr>
      <w:ind w:firstLine="708"/>
      <w:jc w:val="both"/>
    </w:pPr>
    <w:rPr>
      <w:rFonts w:ascii="Arial" w:hAnsi="Arial" w:eastAsia="Times New Roman" w:cs="Arial"/>
      <w:b/>
      <w:sz w:val="18"/>
      <w:lang w:val="uk-UA"/>
    </w:rPr>
  </w:style>
  <w:style w:type="paragraph" w:styleId="87">
    <w:name w:val="Основной текст с отступом87"/>
    <w:basedOn w:val="Normal"/>
    <w:qFormat/>
    <w:pPr>
      <w:ind w:firstLine="708"/>
      <w:jc w:val="both"/>
    </w:pPr>
    <w:rPr>
      <w:rFonts w:ascii="Arial" w:hAnsi="Arial" w:eastAsia="Times New Roman" w:cs="Arial"/>
      <w:b/>
      <w:sz w:val="18"/>
      <w:lang w:val="uk-UA"/>
    </w:rPr>
  </w:style>
  <w:style w:type="paragraph" w:styleId="88">
    <w:name w:val="Основной текст с отступом88"/>
    <w:basedOn w:val="Normal"/>
    <w:qFormat/>
    <w:pPr>
      <w:ind w:firstLine="708"/>
      <w:jc w:val="both"/>
    </w:pPr>
    <w:rPr>
      <w:rFonts w:ascii="Arial" w:hAnsi="Arial" w:eastAsia="Times New Roman" w:cs="Arial"/>
      <w:b/>
      <w:sz w:val="18"/>
      <w:lang w:val="uk-UA"/>
    </w:rPr>
  </w:style>
  <w:style w:type="paragraph" w:styleId="89">
    <w:name w:val="Основной текст с отступом89"/>
    <w:basedOn w:val="Normal"/>
    <w:qFormat/>
    <w:pPr>
      <w:ind w:firstLine="708"/>
      <w:jc w:val="both"/>
    </w:pPr>
    <w:rPr>
      <w:rFonts w:ascii="Arial" w:hAnsi="Arial" w:eastAsia="Times New Roman" w:cs="Arial"/>
      <w:b/>
      <w:sz w:val="18"/>
      <w:lang w:val="uk-UA"/>
    </w:rPr>
  </w:style>
  <w:style w:type="paragraph" w:styleId="91">
    <w:name w:val="Основной текст с отступом91"/>
    <w:basedOn w:val="Normal"/>
    <w:qFormat/>
    <w:pPr>
      <w:ind w:firstLine="708"/>
      <w:jc w:val="both"/>
    </w:pPr>
    <w:rPr>
      <w:rFonts w:ascii="Arial" w:hAnsi="Arial" w:eastAsia="Times New Roman" w:cs="Arial"/>
      <w:b/>
      <w:sz w:val="18"/>
      <w:lang w:val="uk-UA"/>
    </w:rPr>
  </w:style>
  <w:style w:type="paragraph" w:styleId="92">
    <w:name w:val="Основной текст с отступом92"/>
    <w:basedOn w:val="Normal"/>
    <w:qFormat/>
    <w:pPr>
      <w:ind w:firstLine="708"/>
      <w:jc w:val="both"/>
    </w:pPr>
    <w:rPr>
      <w:rFonts w:ascii="Arial" w:hAnsi="Arial" w:eastAsia="Times New Roman" w:cs="Arial"/>
      <w:b/>
      <w:sz w:val="18"/>
      <w:lang w:val="uk-UA"/>
    </w:rPr>
  </w:style>
  <w:style w:type="paragraph" w:styleId="93">
    <w:name w:val="Основной текст с отступом93"/>
    <w:basedOn w:val="Normal"/>
    <w:qFormat/>
    <w:pPr>
      <w:ind w:firstLine="708"/>
      <w:jc w:val="both"/>
    </w:pPr>
    <w:rPr>
      <w:rFonts w:ascii="Arial" w:hAnsi="Arial" w:eastAsia="Times New Roman" w:cs="Arial"/>
      <w:b/>
      <w:sz w:val="18"/>
      <w:lang w:val="uk-UA"/>
    </w:rPr>
  </w:style>
  <w:style w:type="paragraph" w:styleId="94">
    <w:name w:val="Основной текст с отступом94"/>
    <w:basedOn w:val="Normal"/>
    <w:qFormat/>
    <w:pPr>
      <w:ind w:firstLine="708"/>
      <w:jc w:val="both"/>
    </w:pPr>
    <w:rPr>
      <w:rFonts w:ascii="Arial" w:hAnsi="Arial" w:eastAsia="Times New Roman" w:cs="Arial"/>
      <w:b/>
      <w:sz w:val="18"/>
      <w:lang w:val="uk-UA"/>
    </w:rPr>
  </w:style>
  <w:style w:type="paragraph" w:styleId="95">
    <w:name w:val="Основной текст с отступом95"/>
    <w:basedOn w:val="Normal"/>
    <w:qFormat/>
    <w:pPr>
      <w:ind w:firstLine="708"/>
      <w:jc w:val="both"/>
    </w:pPr>
    <w:rPr>
      <w:rFonts w:ascii="Arial" w:hAnsi="Arial" w:eastAsia="Times New Roman" w:cs="Arial"/>
      <w:b/>
      <w:sz w:val="18"/>
      <w:lang w:val="uk-UA"/>
    </w:rPr>
  </w:style>
  <w:style w:type="paragraph" w:styleId="97">
    <w:name w:val="Основной текст с отступом97"/>
    <w:basedOn w:val="Normal"/>
    <w:qFormat/>
    <w:pPr>
      <w:ind w:firstLine="708"/>
      <w:jc w:val="both"/>
    </w:pPr>
    <w:rPr>
      <w:rFonts w:ascii="Arial" w:hAnsi="Arial" w:eastAsia="Times New Roman" w:cs="Arial"/>
      <w:b/>
      <w:sz w:val="18"/>
      <w:lang w:val="uk-UA"/>
    </w:rPr>
  </w:style>
  <w:style w:type="paragraph" w:styleId="99">
    <w:name w:val="Основной текст с отступом99"/>
    <w:basedOn w:val="Normal"/>
    <w:qFormat/>
    <w:pPr>
      <w:ind w:firstLine="708"/>
      <w:jc w:val="both"/>
    </w:pPr>
    <w:rPr>
      <w:rFonts w:ascii="Arial" w:hAnsi="Arial" w:eastAsia="Times New Roman" w:cs="Arial"/>
      <w:b/>
      <w:sz w:val="18"/>
      <w:lang w:val="uk-UA"/>
    </w:rPr>
  </w:style>
  <w:style w:type="paragraph" w:styleId="100">
    <w:name w:val="Основной текст с отступом100"/>
    <w:basedOn w:val="Normal"/>
    <w:qFormat/>
    <w:pPr>
      <w:ind w:firstLine="708"/>
      <w:jc w:val="both"/>
    </w:pPr>
    <w:rPr>
      <w:rFonts w:ascii="Arial" w:hAnsi="Arial" w:eastAsia="Times New Roman" w:cs="Arial"/>
      <w:b/>
      <w:sz w:val="18"/>
      <w:lang w:val="uk-UA"/>
    </w:rPr>
  </w:style>
  <w:style w:type="paragraph" w:styleId="101">
    <w:name w:val="Основной текст с отступом101"/>
    <w:basedOn w:val="Normal"/>
    <w:qFormat/>
    <w:pPr>
      <w:ind w:firstLine="708"/>
      <w:jc w:val="both"/>
    </w:pPr>
    <w:rPr>
      <w:rFonts w:ascii="Arial" w:hAnsi="Arial" w:eastAsia="Times New Roman" w:cs="Arial"/>
      <w:b/>
      <w:sz w:val="18"/>
      <w:lang w:val="uk-UA"/>
    </w:rPr>
  </w:style>
  <w:style w:type="paragraph" w:styleId="102">
    <w:name w:val="Основной текст с отступом102"/>
    <w:basedOn w:val="Normal"/>
    <w:qFormat/>
    <w:pPr>
      <w:ind w:firstLine="708"/>
      <w:jc w:val="both"/>
    </w:pPr>
    <w:rPr>
      <w:rFonts w:ascii="Arial" w:hAnsi="Arial" w:eastAsia="Times New Roman" w:cs="Arial"/>
      <w:b/>
      <w:sz w:val="18"/>
      <w:lang w:val="uk-UA"/>
    </w:rPr>
  </w:style>
  <w:style w:type="paragraph" w:styleId="103">
    <w:name w:val="Основной текст с отступом103"/>
    <w:basedOn w:val="Normal"/>
    <w:qFormat/>
    <w:pPr>
      <w:ind w:firstLine="708"/>
      <w:jc w:val="both"/>
    </w:pPr>
    <w:rPr>
      <w:rFonts w:ascii="Arial" w:hAnsi="Arial" w:eastAsia="Times New Roman" w:cs="Arial"/>
      <w:b/>
      <w:sz w:val="18"/>
      <w:lang w:val="uk-UA"/>
    </w:rPr>
  </w:style>
  <w:style w:type="paragraph" w:styleId="104">
    <w:name w:val="Основной текст с отступом104"/>
    <w:basedOn w:val="Normal"/>
    <w:qFormat/>
    <w:pPr>
      <w:ind w:firstLine="708"/>
      <w:jc w:val="both"/>
    </w:pPr>
    <w:rPr>
      <w:rFonts w:ascii="Arial" w:hAnsi="Arial" w:eastAsia="Times New Roman" w:cs="Arial"/>
      <w:b/>
      <w:sz w:val="18"/>
      <w:lang w:val="uk-UA"/>
    </w:rPr>
  </w:style>
  <w:style w:type="paragraph" w:styleId="105">
    <w:name w:val="Основной текст с отступом105"/>
    <w:basedOn w:val="Normal"/>
    <w:qFormat/>
    <w:pPr>
      <w:ind w:firstLine="708"/>
      <w:jc w:val="both"/>
    </w:pPr>
    <w:rPr>
      <w:rFonts w:ascii="Arial" w:hAnsi="Arial" w:eastAsia="Times New Roman" w:cs="Arial"/>
      <w:b/>
      <w:sz w:val="18"/>
      <w:lang w:val="uk-UA"/>
    </w:rPr>
  </w:style>
  <w:style w:type="paragraph" w:styleId="107">
    <w:name w:val="Основной текст с отступом107"/>
    <w:basedOn w:val="Normal"/>
    <w:qFormat/>
    <w:pPr>
      <w:ind w:firstLine="708"/>
      <w:jc w:val="both"/>
    </w:pPr>
    <w:rPr>
      <w:rFonts w:ascii="Arial" w:hAnsi="Arial" w:eastAsia="Times New Roman" w:cs="Arial"/>
      <w:b/>
      <w:sz w:val="18"/>
      <w:lang w:val="uk-UA"/>
    </w:rPr>
  </w:style>
  <w:style w:type="paragraph" w:styleId="109">
    <w:name w:val="Основной текст с отступом109"/>
    <w:basedOn w:val="Normal"/>
    <w:qFormat/>
    <w:pPr>
      <w:ind w:firstLine="708"/>
      <w:jc w:val="both"/>
    </w:pPr>
    <w:rPr>
      <w:rFonts w:ascii="Arial" w:hAnsi="Arial" w:eastAsia="Times New Roman" w:cs="Arial"/>
      <w:b/>
      <w:sz w:val="18"/>
      <w:lang w:val="uk-UA"/>
    </w:rPr>
  </w:style>
  <w:style w:type="paragraph" w:styleId="1111">
    <w:name w:val="Основной текст с отступом111"/>
    <w:basedOn w:val="Normal"/>
    <w:qFormat/>
    <w:pPr>
      <w:ind w:firstLine="708"/>
      <w:jc w:val="both"/>
    </w:pPr>
    <w:rPr>
      <w:rFonts w:ascii="Arial" w:hAnsi="Arial" w:eastAsia="Times New Roman" w:cs="Arial"/>
      <w:b/>
      <w:sz w:val="18"/>
      <w:lang w:val="uk-UA"/>
    </w:rPr>
  </w:style>
  <w:style w:type="paragraph" w:styleId="1121">
    <w:name w:val="Основной текст с отступом112"/>
    <w:basedOn w:val="Normal"/>
    <w:qFormat/>
    <w:pPr>
      <w:ind w:firstLine="708"/>
      <w:jc w:val="both"/>
    </w:pPr>
    <w:rPr>
      <w:rFonts w:ascii="Arial" w:hAnsi="Arial" w:eastAsia="Times New Roman" w:cs="Arial"/>
      <w:b/>
      <w:sz w:val="18"/>
      <w:lang w:val="uk-UA"/>
    </w:rPr>
  </w:style>
  <w:style w:type="paragraph" w:styleId="113">
    <w:name w:val="Основной текст с отступом113"/>
    <w:basedOn w:val="Normal"/>
    <w:qFormat/>
    <w:pPr>
      <w:ind w:firstLine="708"/>
      <w:jc w:val="both"/>
    </w:pPr>
    <w:rPr>
      <w:rFonts w:ascii="Arial" w:hAnsi="Arial" w:eastAsia="Times New Roman" w:cs="Arial"/>
      <w:b/>
      <w:sz w:val="18"/>
      <w:lang w:val="uk-UA"/>
    </w:rPr>
  </w:style>
  <w:style w:type="paragraph" w:styleId="114">
    <w:name w:val="Основной текст с отступом114"/>
    <w:basedOn w:val="Normal"/>
    <w:qFormat/>
    <w:pPr>
      <w:ind w:firstLine="708"/>
      <w:jc w:val="both"/>
    </w:pPr>
    <w:rPr>
      <w:rFonts w:ascii="Arial" w:hAnsi="Arial" w:eastAsia="Times New Roman" w:cs="Arial"/>
      <w:b/>
      <w:sz w:val="18"/>
      <w:lang w:val="uk-UA"/>
    </w:rPr>
  </w:style>
  <w:style w:type="paragraph" w:styleId="115">
    <w:name w:val="Основной текст с отступом115"/>
    <w:basedOn w:val="Normal"/>
    <w:qFormat/>
    <w:pPr>
      <w:ind w:firstLine="708"/>
      <w:jc w:val="both"/>
    </w:pPr>
    <w:rPr>
      <w:rFonts w:ascii="Arial" w:hAnsi="Arial" w:eastAsia="Times New Roman" w:cs="Arial"/>
      <w:b/>
      <w:sz w:val="18"/>
      <w:lang w:val="uk-UA"/>
    </w:rPr>
  </w:style>
  <w:style w:type="paragraph" w:styleId="116">
    <w:name w:val="Основной текст с отступом116"/>
    <w:basedOn w:val="Normal"/>
    <w:qFormat/>
    <w:pPr>
      <w:ind w:firstLine="708"/>
      <w:jc w:val="both"/>
    </w:pPr>
    <w:rPr>
      <w:rFonts w:ascii="Arial" w:hAnsi="Arial" w:eastAsia="Times New Roman" w:cs="Arial"/>
      <w:b/>
      <w:sz w:val="18"/>
      <w:lang w:val="uk-UA"/>
    </w:rPr>
  </w:style>
  <w:style w:type="paragraph" w:styleId="117">
    <w:name w:val="Основной текст с отступом117"/>
    <w:basedOn w:val="Normal"/>
    <w:qFormat/>
    <w:pPr>
      <w:ind w:firstLine="708"/>
      <w:jc w:val="both"/>
    </w:pPr>
    <w:rPr>
      <w:rFonts w:ascii="Arial" w:hAnsi="Arial" w:eastAsia="Times New Roman" w:cs="Arial"/>
      <w:b/>
      <w:sz w:val="18"/>
      <w:lang w:val="uk-UA"/>
    </w:rPr>
  </w:style>
  <w:style w:type="paragraph" w:styleId="118">
    <w:name w:val="Основной текст с отступом118"/>
    <w:basedOn w:val="Normal"/>
    <w:qFormat/>
    <w:pPr>
      <w:ind w:firstLine="708"/>
      <w:jc w:val="both"/>
    </w:pPr>
    <w:rPr>
      <w:rFonts w:ascii="Arial" w:hAnsi="Arial" w:eastAsia="Times New Roman" w:cs="Arial"/>
      <w:b/>
      <w:sz w:val="18"/>
      <w:lang w:val="uk-UA"/>
    </w:rPr>
  </w:style>
  <w:style w:type="paragraph" w:styleId="119">
    <w:name w:val="Основной текст с отступом119"/>
    <w:basedOn w:val="Normal"/>
    <w:qFormat/>
    <w:pPr>
      <w:ind w:firstLine="708"/>
      <w:jc w:val="both"/>
    </w:pPr>
    <w:rPr>
      <w:rFonts w:ascii="Arial" w:hAnsi="Arial" w:eastAsia="Times New Roman" w:cs="Arial"/>
      <w:b/>
      <w:sz w:val="18"/>
      <w:lang w:val="uk-UA"/>
    </w:rPr>
  </w:style>
  <w:style w:type="paragraph" w:styleId="120">
    <w:name w:val="Основной текст с отступом120"/>
    <w:basedOn w:val="Normal"/>
    <w:qFormat/>
    <w:pPr>
      <w:ind w:firstLine="708"/>
      <w:jc w:val="both"/>
    </w:pPr>
    <w:rPr>
      <w:rFonts w:ascii="Arial" w:hAnsi="Arial" w:eastAsia="Times New Roman" w:cs="Arial"/>
      <w:b/>
      <w:sz w:val="18"/>
      <w:lang w:val="uk-UA"/>
    </w:rPr>
  </w:style>
  <w:style w:type="paragraph" w:styleId="1211">
    <w:name w:val="Основной текст с отступом121"/>
    <w:basedOn w:val="Normal"/>
    <w:qFormat/>
    <w:pPr>
      <w:ind w:firstLine="708"/>
      <w:jc w:val="both"/>
    </w:pPr>
    <w:rPr>
      <w:rFonts w:ascii="Arial" w:hAnsi="Arial" w:eastAsia="Times New Roman" w:cs="Arial"/>
      <w:b/>
      <w:sz w:val="18"/>
      <w:lang w:val="uk-UA"/>
    </w:rPr>
  </w:style>
  <w:style w:type="paragraph" w:styleId="122">
    <w:name w:val="Основной текст с отступом122"/>
    <w:basedOn w:val="Normal"/>
    <w:qFormat/>
    <w:pPr>
      <w:ind w:firstLine="708"/>
      <w:jc w:val="both"/>
    </w:pPr>
    <w:rPr>
      <w:rFonts w:ascii="Arial" w:hAnsi="Arial" w:eastAsia="Times New Roman" w:cs="Arial"/>
      <w:b/>
      <w:sz w:val="18"/>
      <w:lang w:val="uk-UA"/>
    </w:rPr>
  </w:style>
  <w:style w:type="paragraph" w:styleId="125">
    <w:name w:val="Основной текст с отступом125"/>
    <w:basedOn w:val="Normal"/>
    <w:qFormat/>
    <w:pPr>
      <w:ind w:firstLine="708"/>
      <w:jc w:val="both"/>
    </w:pPr>
    <w:rPr>
      <w:rFonts w:ascii="Arial" w:hAnsi="Arial" w:eastAsia="Times New Roman" w:cs="Arial"/>
      <w:b/>
      <w:sz w:val="18"/>
      <w:lang w:val="uk-UA"/>
    </w:rPr>
  </w:style>
  <w:style w:type="paragraph" w:styleId="124">
    <w:name w:val="Основной текст с отступом124"/>
    <w:basedOn w:val="Normal"/>
    <w:qFormat/>
    <w:pPr>
      <w:ind w:firstLine="708"/>
      <w:jc w:val="both"/>
    </w:pPr>
    <w:rPr>
      <w:rFonts w:ascii="Arial" w:hAnsi="Arial" w:eastAsia="Times New Roman" w:cs="Arial"/>
      <w:b/>
      <w:sz w:val="18"/>
      <w:lang w:val="uk-UA"/>
    </w:rPr>
  </w:style>
  <w:style w:type="paragraph" w:styleId="126">
    <w:name w:val="Основной текст с отступом126"/>
    <w:basedOn w:val="Normal"/>
    <w:qFormat/>
    <w:pPr>
      <w:ind w:firstLine="708"/>
      <w:jc w:val="both"/>
    </w:pPr>
    <w:rPr>
      <w:rFonts w:ascii="Arial" w:hAnsi="Arial" w:eastAsia="Times New Roman" w:cs="Arial"/>
      <w:b/>
      <w:sz w:val="18"/>
      <w:lang w:val="uk-UA"/>
    </w:rPr>
  </w:style>
  <w:style w:type="paragraph" w:styleId="127">
    <w:name w:val="Основной текст с отступом127"/>
    <w:basedOn w:val="Normal"/>
    <w:qFormat/>
    <w:pPr>
      <w:ind w:firstLine="708"/>
      <w:jc w:val="both"/>
    </w:pPr>
    <w:rPr>
      <w:rFonts w:ascii="Arial" w:hAnsi="Arial" w:eastAsia="Times New Roman" w:cs="Arial"/>
      <w:b/>
      <w:sz w:val="18"/>
      <w:lang w:val="uk-UA"/>
    </w:rPr>
  </w:style>
  <w:style w:type="paragraph" w:styleId="128">
    <w:name w:val="Основной текст с отступом128"/>
    <w:basedOn w:val="Normal"/>
    <w:qFormat/>
    <w:pPr>
      <w:ind w:firstLine="708"/>
      <w:jc w:val="both"/>
    </w:pPr>
    <w:rPr>
      <w:rFonts w:ascii="Arial" w:hAnsi="Arial" w:eastAsia="Times New Roman" w:cs="Arial"/>
      <w:b/>
      <w:sz w:val="18"/>
      <w:lang w:val="uk-UA"/>
    </w:rPr>
  </w:style>
  <w:style w:type="paragraph" w:styleId="129">
    <w:name w:val="Основной текст с отступом129"/>
    <w:basedOn w:val="Normal"/>
    <w:qFormat/>
    <w:pPr>
      <w:ind w:firstLine="708"/>
      <w:jc w:val="both"/>
    </w:pPr>
    <w:rPr>
      <w:rFonts w:ascii="Arial" w:hAnsi="Arial" w:eastAsia="Times New Roman" w:cs="Arial"/>
      <w:b/>
      <w:sz w:val="18"/>
      <w:lang w:val="uk-UA"/>
    </w:rPr>
  </w:style>
  <w:style w:type="paragraph" w:styleId="130">
    <w:name w:val="Основной текст с отступом130"/>
    <w:basedOn w:val="Normal"/>
    <w:qFormat/>
    <w:pPr>
      <w:ind w:firstLine="708"/>
      <w:jc w:val="both"/>
    </w:pPr>
    <w:rPr>
      <w:rFonts w:ascii="Arial" w:hAnsi="Arial" w:eastAsia="Times New Roman" w:cs="Arial"/>
      <w:b/>
      <w:sz w:val="18"/>
      <w:lang w:val="uk-UA"/>
    </w:rPr>
  </w:style>
  <w:style w:type="paragraph" w:styleId="131">
    <w:name w:val="Основной текст с отступом131"/>
    <w:basedOn w:val="Normal"/>
    <w:qFormat/>
    <w:pPr>
      <w:ind w:firstLine="708"/>
      <w:jc w:val="both"/>
    </w:pPr>
    <w:rPr>
      <w:rFonts w:ascii="Arial" w:hAnsi="Arial" w:eastAsia="Times New Roman" w:cs="Arial"/>
      <w:b/>
      <w:sz w:val="18"/>
      <w:lang w:val="uk-UA"/>
    </w:rPr>
  </w:style>
  <w:style w:type="paragraph" w:styleId="133">
    <w:name w:val="Основной текст с отступом133"/>
    <w:basedOn w:val="Normal"/>
    <w:qFormat/>
    <w:pPr>
      <w:ind w:firstLine="708"/>
      <w:jc w:val="both"/>
    </w:pPr>
    <w:rPr>
      <w:rFonts w:ascii="Arial" w:hAnsi="Arial" w:eastAsia="Times New Roman" w:cs="Arial"/>
      <w:b/>
      <w:sz w:val="18"/>
      <w:lang w:val="uk-UA"/>
    </w:rPr>
  </w:style>
  <w:style w:type="paragraph" w:styleId="132">
    <w:name w:val="Основной текст с отступом132"/>
    <w:basedOn w:val="Normal"/>
    <w:qFormat/>
    <w:pPr>
      <w:ind w:firstLine="708"/>
      <w:jc w:val="both"/>
    </w:pPr>
    <w:rPr>
      <w:rFonts w:ascii="Arial" w:hAnsi="Arial" w:eastAsia="Times New Roman" w:cs="Arial"/>
      <w:b/>
      <w:sz w:val="18"/>
      <w:lang w:val="uk-UA"/>
    </w:rPr>
  </w:style>
  <w:style w:type="paragraph" w:styleId="135">
    <w:name w:val="Основной текст с отступом135"/>
    <w:basedOn w:val="Normal"/>
    <w:qFormat/>
    <w:pPr>
      <w:ind w:firstLine="708"/>
      <w:jc w:val="both"/>
    </w:pPr>
    <w:rPr>
      <w:rFonts w:ascii="Arial" w:hAnsi="Arial" w:eastAsia="Times New Roman" w:cs="Arial"/>
      <w:b/>
      <w:sz w:val="18"/>
      <w:lang w:val="uk-UA"/>
    </w:rPr>
  </w:style>
  <w:style w:type="paragraph" w:styleId="136">
    <w:name w:val="Основной текст с отступом136"/>
    <w:basedOn w:val="Normal"/>
    <w:qFormat/>
    <w:pPr>
      <w:ind w:firstLine="708"/>
      <w:jc w:val="both"/>
    </w:pPr>
    <w:rPr>
      <w:rFonts w:ascii="Arial" w:hAnsi="Arial" w:eastAsia="Times New Roman" w:cs="Arial"/>
      <w:b/>
      <w:sz w:val="18"/>
      <w:lang w:val="uk-UA"/>
    </w:rPr>
  </w:style>
  <w:style w:type="paragraph" w:styleId="137">
    <w:name w:val="Основной текст с отступом137"/>
    <w:basedOn w:val="Normal"/>
    <w:qFormat/>
    <w:pPr>
      <w:ind w:firstLine="708"/>
      <w:jc w:val="both"/>
    </w:pPr>
    <w:rPr>
      <w:rFonts w:ascii="Arial" w:hAnsi="Arial" w:eastAsia="Times New Roman" w:cs="Arial"/>
      <w:b/>
      <w:sz w:val="18"/>
      <w:lang w:val="uk-UA"/>
    </w:rPr>
  </w:style>
  <w:style w:type="paragraph" w:styleId="138">
    <w:name w:val="Основной текст с отступом138"/>
    <w:basedOn w:val="Normal"/>
    <w:qFormat/>
    <w:pPr>
      <w:ind w:firstLine="708"/>
      <w:jc w:val="both"/>
    </w:pPr>
    <w:rPr>
      <w:rFonts w:ascii="Arial" w:hAnsi="Arial" w:eastAsia="Times New Roman" w:cs="Arial"/>
      <w:b/>
      <w:sz w:val="18"/>
      <w:lang w:val="uk-UA"/>
    </w:rPr>
  </w:style>
  <w:style w:type="paragraph" w:styleId="139">
    <w:name w:val="Основной текст с отступом139"/>
    <w:basedOn w:val="Normal"/>
    <w:qFormat/>
    <w:pPr>
      <w:ind w:firstLine="708"/>
      <w:jc w:val="both"/>
    </w:pPr>
    <w:rPr>
      <w:rFonts w:ascii="Arial" w:hAnsi="Arial" w:eastAsia="Times New Roman" w:cs="Arial"/>
      <w:b/>
      <w:sz w:val="18"/>
      <w:lang w:val="uk-UA"/>
    </w:rPr>
  </w:style>
  <w:style w:type="paragraph" w:styleId="140">
    <w:name w:val="Основной текст с отступом140"/>
    <w:basedOn w:val="Normal"/>
    <w:qFormat/>
    <w:pPr>
      <w:ind w:firstLine="708"/>
      <w:jc w:val="both"/>
    </w:pPr>
    <w:rPr>
      <w:rFonts w:ascii="Arial" w:hAnsi="Arial" w:eastAsia="Times New Roman" w:cs="Arial"/>
      <w:b/>
      <w:sz w:val="18"/>
      <w:lang w:val="uk-UA"/>
    </w:rPr>
  </w:style>
  <w:style w:type="paragraph" w:styleId="1411">
    <w:name w:val="Основной текст с отступом141"/>
    <w:basedOn w:val="Normal"/>
    <w:qFormat/>
    <w:pPr>
      <w:ind w:firstLine="708"/>
      <w:jc w:val="both"/>
    </w:pPr>
    <w:rPr>
      <w:rFonts w:ascii="Arial" w:hAnsi="Arial" w:eastAsia="Times New Roman" w:cs="Arial"/>
      <w:b/>
      <w:sz w:val="18"/>
      <w:lang w:val="uk-UA"/>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eastAsia="Times New Roman" w:cs="Arial"/>
      <w:sz w:val="28"/>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cs="Arial"/>
      <w:sz w:val="18"/>
      <w:lang w:val="ru-RU"/>
    </w:rPr>
  </w:style>
  <w:style w:type="paragraph" w:styleId="Msonormal">
    <w:name w:val="msonormal"/>
    <w:basedOn w:val="Normal"/>
    <w:qFormat/>
    <w:pPr>
      <w:spacing w:before="280" w:after="280"/>
    </w:pPr>
    <w:rPr>
      <w:sz w:val="24"/>
      <w:szCs w:val="24"/>
      <w:lang w:val="en-US"/>
    </w:rPr>
  </w:style>
  <w:style w:type="paragraph" w:styleId="27">
    <w:name w:val="Основной текст 2"/>
    <w:basedOn w:val="Normal"/>
    <w:qFormat/>
    <w:pPr/>
    <w:rPr>
      <w:sz w:val="24"/>
      <w:szCs w:val="24"/>
      <w:lang w:val="en-US"/>
    </w:rPr>
  </w:style>
  <w:style w:type="paragraph" w:styleId="Style28">
    <w:name w:val="Название"/>
    <w:basedOn w:val="Normal"/>
    <w:qFormat/>
    <w:pPr/>
    <w:rPr>
      <w:rFonts w:ascii="Cambria" w:hAnsi="Cambria" w:cs="Cambria"/>
      <w:color w:val="17365D"/>
      <w:spacing w:val="5"/>
      <w:lang w:val="uk-UA"/>
    </w:rPr>
  </w:style>
  <w:style w:type="paragraph" w:styleId="210">
    <w:name w:val="Верхній колонтитул2"/>
    <w:basedOn w:val="Normal"/>
    <w:qFormat/>
    <w:pPr/>
    <w:rPr>
      <w:rFonts w:ascii="Calibri" w:hAnsi="Calibri" w:cs="Calibri"/>
      <w:lang w:val="uk-UA"/>
    </w:rPr>
  </w:style>
  <w:style w:type="paragraph" w:styleId="213">
    <w:name w:val="Нижній колонтитул2"/>
    <w:basedOn w:val="Normal"/>
    <w:qFormat/>
    <w:pPr/>
    <w:rPr>
      <w:rFonts w:ascii="Calibri" w:hAnsi="Calibri" w:cs="Calibri"/>
      <w:lang w:val="uk-UA"/>
    </w:rPr>
  </w:style>
  <w:style w:type="paragraph" w:styleId="214">
    <w:name w:val="Назва2"/>
    <w:basedOn w:val="Normal"/>
    <w:qFormat/>
    <w:pPr/>
    <w:rPr>
      <w:rFonts w:ascii="Calibri Light" w:hAnsi="Calibri Light" w:cs="Calibri Light"/>
      <w:spacing w:val="-10"/>
      <w:lang w:val="uk-UA"/>
    </w:rPr>
  </w:style>
  <w:style w:type="paragraph" w:styleId="223">
    <w:name w:val="Основний текст 22"/>
    <w:basedOn w:val="Normal"/>
    <w:qFormat/>
    <w:pPr/>
    <w:rPr>
      <w:rFonts w:ascii="Calibri" w:hAnsi="Calibri" w:cs="Calibri"/>
      <w:lang w:val="uk-UA"/>
    </w:rPr>
  </w:style>
  <w:style w:type="paragraph" w:styleId="215">
    <w:name w:val="Текст у виносці2"/>
    <w:basedOn w:val="Normal"/>
    <w:qFormat/>
    <w:pPr/>
    <w:rPr>
      <w:rFonts w:ascii="Segoe UI" w:hAnsi="Segoe UI" w:cs="Segoe UI"/>
      <w:lang w:val="uk-UA"/>
    </w:rPr>
  </w:style>
  <w:style w:type="paragraph" w:styleId="143">
    <w:name w:val="Основной текст с отступом143"/>
    <w:basedOn w:val="Normal"/>
    <w:qFormat/>
    <w:pPr>
      <w:ind w:firstLine="708"/>
      <w:jc w:val="both"/>
    </w:pPr>
    <w:rPr>
      <w:rFonts w:ascii="Arial" w:hAnsi="Arial" w:eastAsia="Times New Roman" w:cs="Arial"/>
      <w:b/>
      <w:sz w:val="18"/>
      <w:lang w:val="en-US"/>
    </w:rPr>
  </w:style>
  <w:style w:type="paragraph" w:styleId="144">
    <w:name w:val="Основной текст с отступом144"/>
    <w:basedOn w:val="Normal"/>
    <w:qFormat/>
    <w:pPr>
      <w:ind w:firstLine="708"/>
      <w:jc w:val="both"/>
    </w:pPr>
    <w:rPr>
      <w:rFonts w:ascii="Arial" w:hAnsi="Arial" w:eastAsia="Times New Roman" w:cs="Arial"/>
      <w:b/>
      <w:sz w:val="18"/>
      <w:lang w:val="en-US"/>
    </w:rPr>
  </w:style>
  <w:style w:type="paragraph" w:styleId="145">
    <w:name w:val="Основной текст с отступом145"/>
    <w:basedOn w:val="Normal"/>
    <w:qFormat/>
    <w:pPr>
      <w:ind w:firstLine="708"/>
      <w:jc w:val="both"/>
    </w:pPr>
    <w:rPr>
      <w:rFonts w:ascii="Arial" w:hAnsi="Arial" w:eastAsia="Times New Roman" w:cs="Arial"/>
      <w:b/>
      <w:sz w:val="18"/>
      <w:lang w:val="en-US"/>
    </w:rPr>
  </w:style>
  <w:style w:type="paragraph" w:styleId="147">
    <w:name w:val="Основной текст с отступом147"/>
    <w:basedOn w:val="Normal"/>
    <w:qFormat/>
    <w:pPr>
      <w:ind w:firstLine="708"/>
      <w:jc w:val="both"/>
    </w:pPr>
    <w:rPr>
      <w:rFonts w:ascii="Arial" w:hAnsi="Arial" w:eastAsia="Times New Roman" w:cs="Arial"/>
      <w:b/>
      <w:sz w:val="18"/>
      <w:lang w:val="en-US"/>
    </w:rPr>
  </w:style>
  <w:style w:type="paragraph" w:styleId="148">
    <w:name w:val="Основной текст с отступом148"/>
    <w:basedOn w:val="Normal"/>
    <w:qFormat/>
    <w:pPr>
      <w:ind w:firstLine="708"/>
      <w:jc w:val="both"/>
    </w:pPr>
    <w:rPr>
      <w:rFonts w:ascii="Arial" w:hAnsi="Arial" w:eastAsia="Times New Roman" w:cs="Arial"/>
      <w:b/>
      <w:sz w:val="18"/>
      <w:lang w:val="en-US"/>
    </w:rPr>
  </w:style>
  <w:style w:type="paragraph" w:styleId="149">
    <w:name w:val="Основной текст с отступом149"/>
    <w:basedOn w:val="Normal"/>
    <w:qFormat/>
    <w:pPr>
      <w:ind w:firstLine="708"/>
      <w:jc w:val="both"/>
    </w:pPr>
    <w:rPr>
      <w:rFonts w:ascii="Arial" w:hAnsi="Arial" w:eastAsia="Times New Roman" w:cs="Arial"/>
      <w:b/>
      <w:sz w:val="18"/>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cs="Arial"/>
      <w:b/>
      <w:sz w:val="18"/>
      <w:lang w:val="en-US"/>
    </w:rPr>
  </w:style>
  <w:style w:type="paragraph" w:styleId="150">
    <w:name w:val="Основной текст с отступом150"/>
    <w:basedOn w:val="Normal"/>
    <w:qFormat/>
    <w:pPr>
      <w:ind w:firstLine="708"/>
      <w:jc w:val="both"/>
    </w:pPr>
    <w:rPr>
      <w:rFonts w:ascii="Arial" w:hAnsi="Arial" w:eastAsia="Times New Roman" w:cs="Arial"/>
      <w:b/>
      <w:sz w:val="18"/>
      <w:lang w:val="en-US"/>
    </w:rPr>
  </w:style>
  <w:style w:type="paragraph" w:styleId="156">
    <w:name w:val="Основной текст с отступом156"/>
    <w:basedOn w:val="Normal"/>
    <w:qFormat/>
    <w:pPr>
      <w:ind w:firstLine="708"/>
      <w:jc w:val="both"/>
    </w:pPr>
    <w:rPr>
      <w:rFonts w:ascii="Arial" w:hAnsi="Arial" w:eastAsia="Times New Roman" w:cs="Arial"/>
      <w:b/>
      <w:sz w:val="18"/>
      <w:lang w:val="en-US"/>
    </w:rPr>
  </w:style>
  <w:style w:type="paragraph" w:styleId="157">
    <w:name w:val="Основной текст с отступом157"/>
    <w:basedOn w:val="Normal"/>
    <w:qFormat/>
    <w:pPr>
      <w:ind w:firstLine="708"/>
      <w:jc w:val="both"/>
    </w:pPr>
    <w:rPr>
      <w:rFonts w:ascii="Arial" w:hAnsi="Arial" w:eastAsia="Times New Roman" w:cs="Arial"/>
      <w:b/>
      <w:sz w:val="18"/>
      <w:lang w:val="en-US"/>
    </w:rPr>
  </w:style>
  <w:style w:type="paragraph" w:styleId="162">
    <w:name w:val="Основной текст с отступом162"/>
    <w:basedOn w:val="Normal"/>
    <w:qFormat/>
    <w:pPr>
      <w:ind w:firstLine="708"/>
      <w:jc w:val="both"/>
    </w:pPr>
    <w:rPr>
      <w:rFonts w:ascii="Arial" w:hAnsi="Arial" w:eastAsia="Times New Roman" w:cs="Arial"/>
      <w:b/>
      <w:sz w:val="18"/>
      <w:lang w:val="en-US"/>
    </w:rPr>
  </w:style>
  <w:style w:type="paragraph" w:styleId="163">
    <w:name w:val="Основной текст с отступом163"/>
    <w:basedOn w:val="Normal"/>
    <w:qFormat/>
    <w:pPr>
      <w:ind w:firstLine="708"/>
      <w:jc w:val="both"/>
    </w:pPr>
    <w:rPr>
      <w:rFonts w:ascii="Arial" w:hAnsi="Arial" w:eastAsia="Times New Roman" w:cs="Arial"/>
      <w:b/>
      <w:sz w:val="18"/>
      <w:lang w:val="en-US"/>
    </w:rPr>
  </w:style>
  <w:style w:type="paragraph" w:styleId="165">
    <w:name w:val="Основной текст с отступом165"/>
    <w:basedOn w:val="Normal"/>
    <w:qFormat/>
    <w:pPr>
      <w:ind w:firstLine="708"/>
      <w:jc w:val="both"/>
    </w:pPr>
    <w:rPr>
      <w:rFonts w:ascii="Arial" w:hAnsi="Arial" w:eastAsia="Times New Roman" w:cs="Arial"/>
      <w:b/>
      <w:sz w:val="18"/>
      <w:lang w:val="en-US"/>
    </w:rPr>
  </w:style>
  <w:style w:type="paragraph" w:styleId="168">
    <w:name w:val="Основной текст с отступом168"/>
    <w:basedOn w:val="Normal"/>
    <w:qFormat/>
    <w:pPr>
      <w:ind w:firstLine="708"/>
      <w:jc w:val="both"/>
    </w:pPr>
    <w:rPr>
      <w:rFonts w:ascii="Arial" w:hAnsi="Arial" w:eastAsia="Times New Roman" w:cs="Arial"/>
      <w:b/>
      <w:sz w:val="18"/>
      <w:lang w:val="en-US"/>
    </w:rPr>
  </w:style>
  <w:style w:type="paragraph" w:styleId="169">
    <w:name w:val="Основной текст с отступом169"/>
    <w:basedOn w:val="Normal"/>
    <w:qFormat/>
    <w:pPr>
      <w:ind w:firstLine="708"/>
      <w:jc w:val="both"/>
    </w:pPr>
    <w:rPr>
      <w:rFonts w:ascii="Arial" w:hAnsi="Arial" w:eastAsia="Times New Roman" w:cs="Arial"/>
      <w:b/>
      <w:sz w:val="18"/>
      <w:lang w:val="en-US"/>
    </w:rPr>
  </w:style>
  <w:style w:type="paragraph" w:styleId="170">
    <w:name w:val="Основной текст с отступом170"/>
    <w:basedOn w:val="Normal"/>
    <w:qFormat/>
    <w:pPr>
      <w:ind w:firstLine="708"/>
      <w:jc w:val="both"/>
    </w:pPr>
    <w:rPr>
      <w:rFonts w:ascii="Arial" w:hAnsi="Arial" w:eastAsia="Times New Roman" w:cs="Arial"/>
      <w:b/>
      <w:sz w:val="18"/>
      <w:lang w:val="en-US"/>
    </w:rPr>
  </w:style>
  <w:style w:type="paragraph" w:styleId="171">
    <w:name w:val="Основной текст с отступом171"/>
    <w:basedOn w:val="Normal"/>
    <w:qFormat/>
    <w:pPr>
      <w:ind w:firstLine="708"/>
      <w:jc w:val="both"/>
    </w:pPr>
    <w:rPr>
      <w:rFonts w:ascii="Arial" w:hAnsi="Arial" w:eastAsia="Times New Roman" w:cs="Arial"/>
      <w:b/>
      <w:sz w:val="18"/>
      <w:lang w:val="en-US"/>
    </w:rPr>
  </w:style>
  <w:style w:type="paragraph" w:styleId="172">
    <w:name w:val="Основной текст с отступом172"/>
    <w:basedOn w:val="Normal"/>
    <w:qFormat/>
    <w:pPr>
      <w:ind w:firstLine="708"/>
      <w:jc w:val="both"/>
    </w:pPr>
    <w:rPr>
      <w:rFonts w:ascii="Arial" w:hAnsi="Arial" w:eastAsia="Times New Roman" w:cs="Arial"/>
      <w:b/>
      <w:sz w:val="18"/>
      <w:lang w:val="en-US"/>
    </w:rPr>
  </w:style>
  <w:style w:type="paragraph" w:styleId="173">
    <w:name w:val="Основной текст с отступом173"/>
    <w:basedOn w:val="Normal"/>
    <w:qFormat/>
    <w:pPr>
      <w:ind w:firstLine="708"/>
      <w:jc w:val="both"/>
    </w:pPr>
    <w:rPr>
      <w:rFonts w:ascii="Arial" w:hAnsi="Arial" w:eastAsia="Times New Roman" w:cs="Arial"/>
      <w:b/>
      <w:sz w:val="18"/>
      <w:lang w:val="en-US"/>
    </w:rPr>
  </w:style>
  <w:style w:type="paragraph" w:styleId="174">
    <w:name w:val="Основной текст с отступом174"/>
    <w:basedOn w:val="Normal"/>
    <w:qFormat/>
    <w:pPr>
      <w:ind w:firstLine="708"/>
      <w:jc w:val="both"/>
    </w:pPr>
    <w:rPr>
      <w:rFonts w:ascii="Arial" w:hAnsi="Arial" w:eastAsia="Times New Roman" w:cs="Arial"/>
      <w:b/>
      <w:sz w:val="18"/>
      <w:lang w:val="en-US"/>
    </w:rPr>
  </w:style>
  <w:style w:type="paragraph" w:styleId="175">
    <w:name w:val="Основной текст с отступом175"/>
    <w:basedOn w:val="Normal"/>
    <w:qFormat/>
    <w:pPr>
      <w:ind w:firstLine="708"/>
      <w:jc w:val="both"/>
    </w:pPr>
    <w:rPr>
      <w:rFonts w:ascii="Arial" w:hAnsi="Arial" w:eastAsia="Times New Roman" w:cs="Arial"/>
      <w:b/>
      <w:sz w:val="18"/>
      <w:lang w:val="en-US"/>
    </w:rPr>
  </w:style>
  <w:style w:type="paragraph" w:styleId="176">
    <w:name w:val="Основной текст с отступом176"/>
    <w:basedOn w:val="Normal"/>
    <w:qFormat/>
    <w:pPr>
      <w:ind w:firstLine="708"/>
      <w:jc w:val="both"/>
    </w:pPr>
    <w:rPr>
      <w:rFonts w:ascii="Arial" w:hAnsi="Arial" w:eastAsia="Times New Roman" w:cs="Arial"/>
      <w:b/>
      <w:sz w:val="18"/>
      <w:lang w:val="en-US"/>
    </w:rPr>
  </w:style>
  <w:style w:type="paragraph" w:styleId="177">
    <w:name w:val="Основной текст с отступом177"/>
    <w:basedOn w:val="Normal"/>
    <w:qFormat/>
    <w:pPr>
      <w:ind w:firstLine="708"/>
      <w:jc w:val="both"/>
    </w:pPr>
    <w:rPr>
      <w:rFonts w:ascii="Arial" w:hAnsi="Arial" w:eastAsia="Times New Roman" w:cs="Arial"/>
      <w:b/>
      <w:sz w:val="18"/>
      <w:lang w:val="en-US"/>
    </w:rPr>
  </w:style>
  <w:style w:type="paragraph" w:styleId="178">
    <w:name w:val="Основной текст с отступом178"/>
    <w:basedOn w:val="Normal"/>
    <w:qFormat/>
    <w:pPr>
      <w:ind w:firstLine="708"/>
      <w:jc w:val="both"/>
    </w:pPr>
    <w:rPr>
      <w:rFonts w:ascii="Arial" w:hAnsi="Arial" w:eastAsia="Times New Roman" w:cs="Arial"/>
      <w:b/>
      <w:sz w:val="18"/>
      <w:lang w:val="en-US"/>
    </w:rPr>
  </w:style>
  <w:style w:type="paragraph" w:styleId="179">
    <w:name w:val="Основной текст с отступом179"/>
    <w:basedOn w:val="Normal"/>
    <w:qFormat/>
    <w:pPr>
      <w:ind w:firstLine="708"/>
      <w:jc w:val="both"/>
    </w:pPr>
    <w:rPr>
      <w:rFonts w:ascii="Arial" w:hAnsi="Arial" w:eastAsia="Times New Roman" w:cs="Arial"/>
      <w:b/>
      <w:sz w:val="18"/>
      <w:lang w:val="en-US"/>
    </w:rPr>
  </w:style>
  <w:style w:type="paragraph" w:styleId="180">
    <w:name w:val="Основной текст с отступом180"/>
    <w:basedOn w:val="Normal"/>
    <w:qFormat/>
    <w:pPr>
      <w:ind w:firstLine="708"/>
      <w:jc w:val="both"/>
    </w:pPr>
    <w:rPr>
      <w:rFonts w:ascii="Arial" w:hAnsi="Arial" w:eastAsia="Times New Roman" w:cs="Arial"/>
      <w:b/>
      <w:sz w:val="18"/>
      <w:lang w:val="en-US"/>
    </w:rPr>
  </w:style>
  <w:style w:type="paragraph" w:styleId="181">
    <w:name w:val="Основной текст с отступом181"/>
    <w:basedOn w:val="Normal"/>
    <w:qFormat/>
    <w:pPr>
      <w:ind w:firstLine="708"/>
      <w:jc w:val="both"/>
    </w:pPr>
    <w:rPr>
      <w:rFonts w:ascii="Arial" w:hAnsi="Arial" w:eastAsia="Times New Roman" w:cs="Arial"/>
      <w:b/>
      <w:sz w:val="18"/>
      <w:lang w:val="en-US"/>
    </w:rPr>
  </w:style>
  <w:style w:type="paragraph" w:styleId="182">
    <w:name w:val="Основной текст с отступом182"/>
    <w:basedOn w:val="Normal"/>
    <w:qFormat/>
    <w:pPr>
      <w:ind w:firstLine="708"/>
      <w:jc w:val="both"/>
    </w:pPr>
    <w:rPr>
      <w:rFonts w:ascii="Arial" w:hAnsi="Arial" w:eastAsia="Times New Roman" w:cs="Arial"/>
      <w:b/>
      <w:sz w:val="18"/>
      <w:lang w:val="en-US"/>
    </w:rPr>
  </w:style>
  <w:style w:type="paragraph" w:styleId="123">
    <w:name w:val="Верхній колонтитул1"/>
    <w:basedOn w:val="Normal"/>
    <w:qFormat/>
    <w:pPr/>
    <w:rPr>
      <w:rFonts w:ascii="Calibri" w:hAnsi="Calibri" w:cs="Calibri"/>
      <w:lang w:val="en-US"/>
    </w:rPr>
  </w:style>
  <w:style w:type="paragraph" w:styleId="134">
    <w:name w:val="Нижній колонтитул1"/>
    <w:basedOn w:val="Normal"/>
    <w:qFormat/>
    <w:pPr/>
    <w:rPr>
      <w:rFonts w:ascii="Calibri" w:hAnsi="Calibri" w:cs="Calibri"/>
      <w:lang w:val="en-US"/>
    </w:rPr>
  </w:style>
  <w:style w:type="paragraph" w:styleId="146">
    <w:name w:val="Назва1"/>
    <w:basedOn w:val="Normal"/>
    <w:qFormat/>
    <w:pPr/>
    <w:rPr>
      <w:rFonts w:ascii="Calibri Light" w:hAnsi="Calibri Light" w:cs="Calibri Light"/>
      <w:spacing w:val="-10"/>
      <w:lang w:val="en-US"/>
    </w:rPr>
  </w:style>
  <w:style w:type="paragraph" w:styleId="216">
    <w:name w:val="Основний текст 21"/>
    <w:basedOn w:val="Normal"/>
    <w:qFormat/>
    <w:pPr/>
    <w:rPr>
      <w:rFonts w:ascii="Calibri" w:hAnsi="Calibri" w:cs="Calibri"/>
      <w:lang w:val="en-US"/>
    </w:rPr>
  </w:style>
  <w:style w:type="paragraph" w:styleId="151">
    <w:name w:val="Текст у виносці1"/>
    <w:basedOn w:val="Normal"/>
    <w:qFormat/>
    <w:pPr/>
    <w:rPr>
      <w:rFonts w:ascii="Segoe UI" w:hAnsi="Segoe UI" w:cs="Segoe UI"/>
      <w:lang w:val="en-US"/>
    </w:rPr>
  </w:style>
  <w:style w:type="paragraph" w:styleId="164">
    <w:name w:val="Основной текст с отступом164"/>
    <w:basedOn w:val="Normal"/>
    <w:qFormat/>
    <w:pPr>
      <w:ind w:firstLine="708"/>
      <w:jc w:val="both"/>
    </w:pPr>
    <w:rPr>
      <w:rFonts w:ascii="Arial" w:hAnsi="Arial" w:eastAsia="Times New Roman" w:cs="Arial"/>
      <w:b/>
      <w:sz w:val="18"/>
      <w:lang w:val="en-US"/>
    </w:rPr>
  </w:style>
  <w:style w:type="paragraph" w:styleId="Arial95">
    <w:name w:val="arial9(жирнбез интерв)"/>
    <w:basedOn w:val="Normal"/>
    <w:qFormat/>
    <w:pPr/>
    <w:rPr>
      <w:rFonts w:ascii="Arial" w:hAnsi="Arial" w:cs="Arial"/>
      <w:b/>
      <w:sz w:val="18"/>
    </w:rPr>
  </w:style>
  <w:style w:type="paragraph" w:styleId="203">
    <w:name w:val="Основной текст с отступом203"/>
    <w:basedOn w:val="Normal"/>
    <w:qFormat/>
    <w:pPr>
      <w:ind w:firstLine="708"/>
      <w:jc w:val="both"/>
    </w:pPr>
    <w:rPr>
      <w:rFonts w:ascii="Arial" w:hAnsi="Arial" w:eastAsia="Times New Roman" w:cs="Arial"/>
      <w:b/>
      <w:sz w:val="18"/>
      <w:lang w:val="en-US"/>
    </w:rPr>
  </w:style>
  <w:style w:type="paragraph" w:styleId="204">
    <w:name w:val="Основной текст с отступом204"/>
    <w:basedOn w:val="Normal"/>
    <w:qFormat/>
    <w:pPr>
      <w:ind w:firstLine="708"/>
      <w:jc w:val="both"/>
    </w:pPr>
    <w:rPr>
      <w:rFonts w:ascii="Arial" w:hAnsi="Arial" w:eastAsia="Times New Roman" w:cs="Arial"/>
      <w:b/>
      <w:sz w:val="18"/>
      <w:lang w:val="en-US"/>
    </w:rPr>
  </w:style>
  <w:style w:type="paragraph" w:styleId="217">
    <w:name w:val="Основний текст з відступом2"/>
    <w:basedOn w:val="Normal"/>
    <w:qFormat/>
    <w:pPr>
      <w:ind w:firstLine="708"/>
      <w:jc w:val="both"/>
    </w:pPr>
    <w:rPr>
      <w:rFonts w:ascii="Arial" w:hAnsi="Arial" w:eastAsia="Times New Roman" w:cs="Arial"/>
      <w:b/>
      <w:sz w:val="18"/>
      <w:lang w:val="en-US"/>
    </w:rPr>
  </w:style>
  <w:style w:type="paragraph" w:styleId="152">
    <w:name w:val="Основний текст з відступом1"/>
    <w:basedOn w:val="Normal"/>
    <w:qFormat/>
    <w:pPr>
      <w:ind w:firstLine="708"/>
      <w:jc w:val="both"/>
    </w:pPr>
    <w:rPr>
      <w:rFonts w:ascii="Arial" w:hAnsi="Arial" w:eastAsia="Times New Roman" w:cs="Arial"/>
      <w:b/>
      <w:sz w:val="18"/>
      <w:lang w:val="en-US"/>
    </w:rPr>
  </w:style>
  <w:style w:type="paragraph" w:styleId="207">
    <w:name w:val="Основной текст с отступом207"/>
    <w:basedOn w:val="Normal"/>
    <w:qFormat/>
    <w:pPr>
      <w:ind w:firstLine="708"/>
      <w:jc w:val="both"/>
    </w:pPr>
    <w:rPr>
      <w:rFonts w:ascii="Arial" w:hAnsi="Arial" w:eastAsia="Times New Roman" w:cs="Arial"/>
      <w:b/>
      <w:sz w:val="18"/>
      <w:lang w:val="en-US"/>
    </w:rPr>
  </w:style>
  <w:style w:type="paragraph" w:styleId="2101">
    <w:name w:val="Основной текст с отступом210"/>
    <w:basedOn w:val="Normal"/>
    <w:qFormat/>
    <w:pPr>
      <w:ind w:firstLine="708"/>
      <w:jc w:val="both"/>
    </w:pPr>
    <w:rPr>
      <w:rFonts w:ascii="Arial" w:hAnsi="Arial" w:eastAsia="Times New Roman" w:cs="Arial"/>
      <w:b/>
      <w:sz w:val="18"/>
      <w:lang w:val="en-US"/>
    </w:rPr>
  </w:style>
  <w:style w:type="paragraph" w:styleId="312">
    <w:name w:val="Основний текст з відступом3"/>
    <w:basedOn w:val="Normal"/>
    <w:qFormat/>
    <w:pPr>
      <w:ind w:firstLine="708"/>
      <w:jc w:val="both"/>
    </w:pPr>
    <w:rPr>
      <w:rFonts w:ascii="Arial" w:hAnsi="Arial" w:eastAsia="Times New Roman" w:cs="Arial"/>
      <w:b/>
      <w:sz w:val="18"/>
      <w:lang w:val="en-US"/>
    </w:rPr>
  </w:style>
  <w:style w:type="paragraph" w:styleId="2171">
    <w:name w:val="Основной текст с отступом217"/>
    <w:basedOn w:val="Normal"/>
    <w:qFormat/>
    <w:pPr>
      <w:ind w:firstLine="708"/>
      <w:jc w:val="both"/>
    </w:pPr>
    <w:rPr>
      <w:rFonts w:ascii="Arial" w:hAnsi="Arial" w:eastAsia="Times New Roman" w:cs="Arial"/>
      <w:b/>
      <w:sz w:val="18"/>
      <w:lang w:val="en-US"/>
    </w:rPr>
  </w:style>
  <w:style w:type="paragraph" w:styleId="218">
    <w:name w:val="Основной текст с отступом218"/>
    <w:basedOn w:val="Normal"/>
    <w:qFormat/>
    <w:pPr>
      <w:ind w:firstLine="708"/>
      <w:jc w:val="both"/>
    </w:pPr>
    <w:rPr>
      <w:rFonts w:ascii="Arial" w:hAnsi="Arial" w:eastAsia="Times New Roman" w:cs="Arial"/>
      <w:b/>
      <w:sz w:val="18"/>
      <w:lang w:val="en-US"/>
    </w:rPr>
  </w:style>
  <w:style w:type="paragraph" w:styleId="219">
    <w:name w:val="Основной текст с отступом219"/>
    <w:basedOn w:val="Normal"/>
    <w:qFormat/>
    <w:pPr>
      <w:ind w:firstLine="708"/>
      <w:jc w:val="both"/>
    </w:pPr>
    <w:rPr>
      <w:rFonts w:ascii="Arial" w:hAnsi="Arial" w:eastAsia="Times New Roman" w:cs="Arial"/>
      <w:b/>
      <w:sz w:val="18"/>
      <w:lang w:val="en-US"/>
    </w:rPr>
  </w:style>
  <w:style w:type="paragraph" w:styleId="220">
    <w:name w:val="Основной текст с отступом220"/>
    <w:basedOn w:val="Normal"/>
    <w:qFormat/>
    <w:pPr>
      <w:ind w:firstLine="708"/>
      <w:jc w:val="both"/>
    </w:pPr>
    <w:rPr>
      <w:rFonts w:ascii="Arial" w:hAnsi="Arial" w:eastAsia="Times New Roman" w:cs="Arial"/>
      <w:b/>
      <w:sz w:val="18"/>
      <w:lang w:val="en-US"/>
    </w:rPr>
  </w:style>
  <w:style w:type="paragraph" w:styleId="Style29">
    <w:name w:val="Без интервала"/>
    <w:qFormat/>
    <w:pPr>
      <w:widowControl/>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jc w:val="both"/>
    </w:pPr>
    <w:rPr>
      <w:rFonts w:ascii="Arial" w:hAnsi="Arial" w:eastAsia="Times New Roman" w:cs="Arial"/>
      <w:b/>
      <w:sz w:val="18"/>
      <w:lang w:val="en-US"/>
    </w:rPr>
  </w:style>
  <w:style w:type="paragraph" w:styleId="2231">
    <w:name w:val="Основной текст с отступом223"/>
    <w:basedOn w:val="Normal"/>
    <w:qFormat/>
    <w:pPr>
      <w:ind w:firstLine="708"/>
      <w:jc w:val="both"/>
    </w:pPr>
    <w:rPr>
      <w:rFonts w:ascii="Arial" w:hAnsi="Arial" w:eastAsia="Times New Roman" w:cs="Arial"/>
      <w:b/>
      <w:sz w:val="18"/>
      <w:lang w:val="en-US"/>
    </w:rPr>
  </w:style>
  <w:style w:type="paragraph" w:styleId="410">
    <w:name w:val="Основний текст з відступом4"/>
    <w:basedOn w:val="Normal"/>
    <w:qFormat/>
    <w:pPr>
      <w:ind w:firstLine="708"/>
      <w:jc w:val="both"/>
    </w:pPr>
    <w:rPr>
      <w:rFonts w:ascii="Arial" w:hAnsi="Arial" w:eastAsia="Times New Roman" w:cs="Arial"/>
      <w:b/>
      <w:sz w:val="18"/>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yperlink" Target="https://www.whocc.no/atc_ddd_index/" TargetMode="External"/><Relationship Id="rId8" Type="http://schemas.openxmlformats.org/officeDocument/2006/relationships/hyperlink" Target="https://www.whocc.no/atc_ddd_index/" TargetMode="External"/><Relationship Id="rId9" Type="http://schemas.openxmlformats.org/officeDocument/2006/relationships/hyperlink" Target="https://www.whocc.no/atc_ddd_index/"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2026-10-15T10:59:00Z</dcterms:created>
  <dc:creator>Valentina</dc:creator>
  <dc:description/>
  <dc:language>ru-RU</dc:language>
  <cp:lastModifiedBy>Кунцевич Олена Іванівна</cp:lastModifiedBy>
  <cp:lastPrinted>2024-04-04T11:09:00Z</cp:lastPrinted>
  <dcterms:modified xsi:type="dcterms:W3CDTF">2026-10-16T09:33:00Z</dcterms:modified>
  <cp:revision>3</cp:revision>
  <dc:subject/>
  <dc:title/>
</cp:coreProperties>
</file>