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3825" w:type="dxa"/>
        <w:jc w:val="left"/>
        <w:tblInd w:w="11448" w:type="dxa"/>
        <w:tblLayout w:type="fixed"/>
        <w:tblCellMar>
          <w:top w:w="0" w:type="dxa"/>
          <w:left w:w="108" w:type="dxa"/>
          <w:bottom w:w="0" w:type="dxa"/>
          <w:right w:w="108" w:type="dxa"/>
        </w:tblCellMar>
      </w:tblPr>
      <w:tblGrid>
        <w:gridCol w:w="3825"/>
      </w:tblGrid>
      <w:tr>
        <w:trPr>
          <w:trHeight w:val="711" w:hRule="atLeast"/>
        </w:trPr>
        <w:tc>
          <w:tcPr>
            <w:tcW w:w="3825" w:type="dxa"/>
            <w:tcBorders/>
          </w:tcPr>
          <w:p>
            <w:pPr>
              <w:pStyle w:val="Heading4"/>
              <w:tabs>
                <w:tab w:val="clear" w:pos="708"/>
                <w:tab w:val="left" w:pos="12600" w:leader="none"/>
              </w:tabs>
              <w:ind w:hanging="0" w:left="0"/>
              <w:jc w:val="left"/>
              <w:rPr>
                <w:rFonts w:cs="Arial"/>
              </w:rPr>
            </w:pPr>
            <w:r>
              <w:rPr>
                <w:rFonts w:cs="Arial"/>
              </w:rPr>
              <w:t>Додаток</w:t>
            </w:r>
            <w:r>
              <w:rPr>
                <w:rFonts w:cs="Arial"/>
                <w:lang w:val="ru-RU"/>
              </w:rPr>
              <w:t xml:space="preserve"> 1</w:t>
            </w:r>
          </w:p>
          <w:p>
            <w:pPr>
              <w:pStyle w:val="Heading4"/>
              <w:tabs>
                <w:tab w:val="clear" w:pos="708"/>
                <w:tab w:val="left" w:pos="12600" w:leader="none"/>
              </w:tabs>
              <w:ind w:hanging="0" w:left="0"/>
              <w:jc w:val="left"/>
              <w:rPr>
                <w:rFonts w:cs="Arial"/>
              </w:rPr>
            </w:pPr>
            <w:r>
              <w:rPr>
                <w:rFonts w:cs="Arial"/>
              </w:rPr>
              <w:t>до Наказу Міністерства охорони</w:t>
            </w:r>
          </w:p>
          <w:p>
            <w:pPr>
              <w:pStyle w:val="Heading4"/>
              <w:tabs>
                <w:tab w:val="clear" w:pos="708"/>
                <w:tab w:val="left" w:pos="12600" w:leader="none"/>
              </w:tabs>
              <w:ind w:hanging="0" w:left="0"/>
              <w:jc w:val="left"/>
              <w:rPr>
                <w:rFonts w:cs="Arial"/>
              </w:rPr>
            </w:pPr>
            <w:r>
              <w:rPr>
                <w:rFonts w:cs="Arial"/>
              </w:rPr>
              <w:t>здоров’я України</w:t>
            </w:r>
          </w:p>
          <w:p>
            <w:pPr>
              <w:pStyle w:val="Heading4"/>
              <w:tabs>
                <w:tab w:val="clear" w:pos="708"/>
                <w:tab w:val="left" w:pos="12600" w:leader="none"/>
              </w:tabs>
              <w:ind w:hanging="0" w:left="0"/>
              <w:jc w:val="left"/>
              <w:rPr>
                <w:rFonts w:cs="Arial"/>
              </w:rPr>
            </w:pPr>
            <w:r>
              <w:rPr>
                <w:rFonts w:cs="Arial"/>
              </w:rPr>
              <w:t>____________________ № _______</w:t>
            </w:r>
          </w:p>
        </w:tc>
      </w:tr>
    </w:tbl>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rFonts w:ascii="Arial" w:hAnsi="Arial" w:cs="Arial"/>
          <w:b/>
        </w:rPr>
      </w:pPr>
      <w:r>
        <w:rPr>
          <w:rFonts w:cs="Arial" w:ascii="Arial" w:hAnsi="Arial"/>
          <w:b/>
          <w:caps/>
        </w:rPr>
        <w:t>ПЕРЕЛІК</w:t>
      </w:r>
    </w:p>
    <w:p>
      <w:pPr>
        <w:pStyle w:val="Normal"/>
        <w:keepNext w:val="true"/>
        <w:numPr>
          <w:ilvl w:val="0"/>
          <w:numId w:val="0"/>
        </w:numPr>
        <w:jc w:val="center"/>
        <w:outlineLvl w:val="3"/>
        <w:rPr>
          <w:rFonts w:ascii="Arial" w:hAnsi="Arial" w:cs="Arial"/>
          <w:b/>
          <w:caps/>
        </w:rPr>
      </w:pPr>
      <w:r>
        <w:rPr>
          <w:rFonts w:cs="Arial" w:ascii="Arial" w:hAnsi="Arial"/>
          <w:b/>
          <w:caps/>
        </w:rPr>
        <w:t xml:space="preserve">ЛІКАРСЬКИХ ЗАСОБІВ, що пропонуються до державної реєстрації </w:t>
      </w:r>
    </w:p>
    <w:p>
      <w:pPr>
        <w:pStyle w:val="Normal"/>
        <w:keepNext w:val="true"/>
        <w:numPr>
          <w:ilvl w:val="0"/>
          <w:numId w:val="0"/>
        </w:numPr>
        <w:jc w:val="center"/>
        <w:outlineLvl w:val="3"/>
        <w:rPr>
          <w:rFonts w:ascii="Arial" w:hAnsi="Arial" w:cs="Arial"/>
          <w:b/>
          <w:caps/>
        </w:rPr>
      </w:pPr>
      <w:r>
        <w:rPr>
          <w:rFonts w:cs="Arial" w:ascii="Arial" w:hAnsi="Arial"/>
          <w:b/>
          <w:caps/>
        </w:rPr>
      </w:r>
    </w:p>
    <w:tbl>
      <w:tblPr>
        <w:tblW w:w="16160" w:type="dxa"/>
        <w:jc w:val="left"/>
        <w:tblInd w:w="-459" w:type="dxa"/>
        <w:tblLayout w:type="fixed"/>
        <w:tblCellMar>
          <w:top w:w="0" w:type="dxa"/>
          <w:left w:w="108" w:type="dxa"/>
          <w:bottom w:w="0" w:type="dxa"/>
          <w:right w:w="108" w:type="dxa"/>
        </w:tblCellMar>
      </w:tblPr>
      <w:tblGrid>
        <w:gridCol w:w="567"/>
        <w:gridCol w:w="1276"/>
        <w:gridCol w:w="1134"/>
        <w:gridCol w:w="992"/>
        <w:gridCol w:w="851"/>
        <w:gridCol w:w="1701"/>
        <w:gridCol w:w="1134"/>
        <w:gridCol w:w="1134"/>
        <w:gridCol w:w="1276"/>
        <w:gridCol w:w="1134"/>
        <w:gridCol w:w="1275"/>
        <w:gridCol w:w="1134"/>
        <w:gridCol w:w="993"/>
        <w:gridCol w:w="1559"/>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1275"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55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ЕЗАФОСФІНА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fructose 1,6-diphosphate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D-фруктозо-1,6-дифосфату натрієвої солі 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C01EB07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10 г/100 мл, по 100 мл у флаконі, по 1 флакону разом з системою для внутрішньовенних інфузій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Біомедіка Фоскама Індастріа Хіміко-Фармасютіка С.п.А.</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Біомедіка Фоскама Індастріа Хіміко-Фармасютіка С.п.А.</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UA/21492/01/0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ЛЕВОФЛОКСАЦИНУ ГЕМІГІДРАТ</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levofloxacin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левофлоксацин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Жейіанг Іст-Азія Фармасьютікал Ко., Лтд.</w:t>
              <w:br/>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Реєстрація на 5 років.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UA/21493/01/0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ТЕМПОФЕН® ДЛЯ ДІТЕЙ</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суспензія оральна 200 мг/5 мл, по 100 мл у флаконі, по 1 флакону у комплекті зі шприцом-дозатором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"Софарма"</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АТ "Софарма", Болгарія;</w:t>
              <w:br/>
              <w:t>виробництво in bulk, первинне та вторинне пакування, контроль якості:</w:t>
              <w:br/>
              <w:t>Делфарм Бладел Б.В., Нідерланди;</w:t>
              <w:br/>
              <w:t>виробництво in bulk, первинне та вторинне пакування, контроль якості:</w:t>
              <w:br/>
              <w:t>Едефарм С.Л., Іспанiя;</w:t>
              <w:br/>
              <w:t>дільниця для проведення мікробіологічного контролю (субдоговір з виробником Фармалідер С.А.):</w:t>
              <w:br/>
              <w:t>Біолаб, С.Л., Іспанiя;</w:t>
              <w:br/>
              <w:br/>
              <w:t>контроль якості (за винятком мікробіолгічного контролю):</w:t>
              <w:br/>
              <w:t>Фармалідер С.А., Іспанiя;</w:t>
              <w:br/>
              <w:t>виробництво in bulk, первинне та вторинне пакування, контроль якості:</w:t>
              <w:br/>
              <w:t>Фармасьєрра Мануфекчурін С.Л., Іспанія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Нідерланди/ Іспанiя</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UA/21494/01/0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ФЕНІОРА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phenibut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фенібут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N06BX22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250 мг, по 20 капсул твердих у поліетиленовому контейнері, закупореному поліетиленовою кришкою з контролем першого відкриття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t>(повний цикл виробництва, випуск серії;</w:t>
              <w:br/>
              <w:t>контроль якості)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UA/21495/01/0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ХОНДРОЇТИНУ СУЛЬФАТ НАТРІЮ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Chondroitin sulfate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хондроїтину сульфату натрію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ЕйчЕс Нутра Ко., Лтд.</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UA/21496/01/0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ЦЕФАЗОЛІН ЮРІЯ-ФАРМ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цефазолін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порошку у флаконі, in bulk: по 207 флаконів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in bulk, первинне пакування, контроль якості та випуск серії:</w:t>
              <w:br/>
              <w:t>Ацс Добфар С.п.А.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UA/21498/01/0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4"/>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ЦЕФАЗОЛІН ЮРІЯ-ФАРМ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cefazolin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Цефазолін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J01DB04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 г порошку у флаконі, по 10 флаконів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"Юрія-Фарм" </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 продукції in bulk, фірми-виробника Ацс Добфар С.п.А., Італія:</w:t>
              <w:br/>
              <w:t>ТОВ "Юрія-Фарм",</w:t>
              <w:br/>
              <w:t xml:space="preserve">Україна, </w:t>
              <w:br/>
              <w:t>контроль якості:</w:t>
              <w:br/>
              <w:t>ТОВ "Юрія-Фарм",</w:t>
              <w:br/>
              <w:t>Україна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275"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Реєстрація на 5 років</w:t>
              <w:b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55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UA/21499/01/0</w:t>
            </w:r>
            <w:r>
              <w:rPr>
                <w:rFonts w:cs="Arial" w:ascii="Arial" w:hAnsi="Arial"/>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2">
        <w:r>
          <w:rPr>
            <w:rStyle w:val="Hyperlink"/>
            <w:rFonts w:cs="Arial" w:ascii="Arial" w:hAnsi="Arial"/>
            <w:i/>
            <w:color w:val="000000"/>
            <w:szCs w:val="16"/>
          </w:rPr>
          <w:t>https://www.whocc.no/atc_ddd_index/</w:t>
        </w:r>
      </w:hyperlink>
      <w:r>
        <w:rPr>
          <w:rStyle w:val="Hyperlink"/>
          <w:rFonts w:cs="Arial" w:ascii="Arial" w:hAnsi="Arial"/>
          <w:i/>
          <w:color w:val="000000"/>
          <w:szCs w:val="16"/>
        </w:rPr>
        <w:t>)</w:t>
      </w:r>
    </w:p>
    <w:p>
      <w:pPr>
        <w:pStyle w:val="Normal"/>
        <w:rPr>
          <w:rStyle w:val="Hyperlink"/>
          <w:rFonts w:ascii="Arial" w:hAnsi="Arial" w:cs="Arial"/>
          <w:i/>
          <w:i/>
          <w:color w:val="000000"/>
          <w:szCs w:val="16"/>
        </w:rPr>
      </w:pPr>
      <w:r>
        <w:rPr/>
      </w:r>
    </w:p>
    <w:tbl>
      <w:tblPr>
        <w:tblW w:w="14843" w:type="dxa"/>
        <w:jc w:val="left"/>
        <w:tblInd w:w="0" w:type="dxa"/>
        <w:tblLayout w:type="fixed"/>
        <w:tblCellMar>
          <w:top w:w="0" w:type="dxa"/>
          <w:left w:w="108" w:type="dxa"/>
          <w:bottom w:w="0" w:type="dxa"/>
          <w:right w:w="108" w:type="dxa"/>
        </w:tblCellMar>
      </w:tblPr>
      <w:tblGrid>
        <w:gridCol w:w="7421"/>
        <w:gridCol w:w="7422"/>
      </w:tblGrid>
      <w:tr>
        <w:trPr/>
        <w:tc>
          <w:tcPr>
            <w:tcW w:w="7421" w:type="dxa"/>
            <w:tcBorders/>
          </w:tcPr>
          <w:p>
            <w:pPr>
              <w:pStyle w:val="Normal"/>
              <w:ind w:right="2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Normal"/>
        <w:rPr>
          <w:rStyle w:val="cs7864ebcf1"/>
          <w:rFonts w:ascii="Arial" w:hAnsi="Arial" w:cs="Arial"/>
          <w:color w:val="000000"/>
          <w:sz w:val="16"/>
          <w:szCs w:val="16"/>
          <w:lang w:val="ru-RU"/>
        </w:rPr>
      </w:pPr>
      <w:r>
        <w:rPr/>
      </w:r>
      <w:r>
        <w:br w:type="page"/>
      </w:r>
    </w:p>
    <w:p>
      <w:pPr>
        <w:pStyle w:val="Normal"/>
        <w:rPr>
          <w:rFonts w:ascii="Arial" w:hAnsi="Arial" w:cs="Arial"/>
          <w:sz w:val="16"/>
          <w:szCs w:val="16"/>
          <w:lang w:val="ru-RU"/>
        </w:rPr>
      </w:pPr>
      <w:r>
        <w:rPr>
          <w:rFonts w:cs="Arial" w:ascii="Arial" w:hAnsi="Arial"/>
          <w:sz w:val="16"/>
          <w:szCs w:val="16"/>
          <w:lang w:val="ru-RU"/>
        </w:rPr>
      </w:r>
    </w:p>
    <w:tbl>
      <w:tblPr>
        <w:tblW w:w="3825" w:type="dxa"/>
        <w:jc w:val="left"/>
        <w:tblInd w:w="11448" w:type="dxa"/>
        <w:tblLayout w:type="fixed"/>
        <w:tblCellMar>
          <w:top w:w="0" w:type="dxa"/>
          <w:left w:w="108" w:type="dxa"/>
          <w:bottom w:w="0" w:type="dxa"/>
          <w:right w:w="108" w:type="dxa"/>
        </w:tblCellMar>
      </w:tblPr>
      <w:tblGrid>
        <w:gridCol w:w="3825"/>
      </w:tblGrid>
      <w:tr>
        <w:trPr/>
        <w:tc>
          <w:tcPr>
            <w:tcW w:w="3825" w:type="dxa"/>
            <w:tcBorders/>
          </w:tcPr>
          <w:p>
            <w:pPr>
              <w:pStyle w:val="Heading4"/>
              <w:tabs>
                <w:tab w:val="clear" w:pos="708"/>
                <w:tab w:val="left" w:pos="12600" w:leader="none"/>
              </w:tabs>
              <w:ind w:hanging="0" w:left="0"/>
              <w:jc w:val="left"/>
              <w:rPr>
                <w:rFonts w:cs="Arial"/>
              </w:rPr>
            </w:pPr>
            <w:r>
              <w:rPr>
                <w:rFonts w:cs="Arial"/>
              </w:rPr>
              <w:t>Додаток</w:t>
            </w:r>
            <w:r>
              <w:rPr>
                <w:rFonts w:cs="Arial"/>
                <w:lang w:val="ru-RU"/>
              </w:rPr>
              <w:t xml:space="preserve"> 2</w:t>
            </w:r>
          </w:p>
          <w:p>
            <w:pPr>
              <w:pStyle w:val="Heading4"/>
              <w:tabs>
                <w:tab w:val="clear" w:pos="708"/>
                <w:tab w:val="left" w:pos="12600" w:leader="none"/>
              </w:tabs>
              <w:ind w:hanging="0" w:left="0"/>
              <w:jc w:val="left"/>
              <w:rPr>
                <w:rFonts w:cs="Arial"/>
              </w:rPr>
            </w:pPr>
            <w:r>
              <w:rPr>
                <w:rFonts w:cs="Arial"/>
              </w:rPr>
              <w:t>до Наказу Міністерства охорони</w:t>
            </w:r>
          </w:p>
          <w:p>
            <w:pPr>
              <w:pStyle w:val="Heading4"/>
              <w:tabs>
                <w:tab w:val="clear" w:pos="708"/>
                <w:tab w:val="left" w:pos="12600" w:leader="none"/>
              </w:tabs>
              <w:ind w:hanging="0" w:left="0"/>
              <w:jc w:val="left"/>
              <w:rPr>
                <w:rFonts w:cs="Arial"/>
              </w:rPr>
            </w:pPr>
            <w:r>
              <w:rPr>
                <w:rFonts w:cs="Arial"/>
              </w:rPr>
              <w:t>здоров’я України</w:t>
            </w:r>
          </w:p>
          <w:p>
            <w:pPr>
              <w:pStyle w:val="Heading4"/>
              <w:tabs>
                <w:tab w:val="clear" w:pos="708"/>
                <w:tab w:val="left" w:pos="12600" w:leader="none"/>
              </w:tabs>
              <w:ind w:hanging="0" w:left="0"/>
              <w:jc w:val="left"/>
              <w:rPr/>
            </w:pPr>
            <w:r>
              <w:rPr>
                <w:rFonts w:cs="Arial"/>
              </w:rPr>
              <w:t>____________________ № _______</w:t>
            </w:r>
          </w:p>
          <w:p>
            <w:pPr>
              <w:pStyle w:val="11"/>
              <w:rPr>
                <w:rFonts w:ascii="Arial" w:hAnsi="Arial" w:cs="Arial"/>
                <w:sz w:val="20"/>
                <w:szCs w:val="20"/>
              </w:rPr>
            </w:pPr>
            <w:r>
              <w:rPr>
                <w:rFonts w:cs="Arial" w:ascii="Arial" w:hAnsi="Arial"/>
                <w:sz w:val="20"/>
                <w:szCs w:val="20"/>
              </w:rPr>
            </w:r>
          </w:p>
        </w:tc>
      </w:tr>
    </w:tbl>
    <w:p>
      <w:pPr>
        <w:pStyle w:val="Normal"/>
        <w:keepNext w:val="true"/>
        <w:numPr>
          <w:ilvl w:val="0"/>
          <w:numId w:val="0"/>
        </w:numPr>
        <w:tabs>
          <w:tab w:val="clear" w:pos="708"/>
          <w:tab w:val="left" w:pos="12600" w:leader="none"/>
        </w:tabs>
        <w:jc w:val="center"/>
        <w:outlineLvl w:val="1"/>
        <w:rPr>
          <w:rFonts w:ascii="Arial" w:hAnsi="Arial" w:cs="Arial"/>
          <w:b/>
          <w:caps/>
          <w:sz w:val="16"/>
          <w:szCs w:val="16"/>
        </w:rPr>
      </w:pPr>
      <w:r>
        <w:rPr>
          <w:rFonts w:cs="Arial" w:ascii="Arial" w:hAnsi="Arial"/>
          <w:b/>
          <w:caps/>
          <w:sz w:val="16"/>
          <w:szCs w:val="16"/>
        </w:rPr>
      </w:r>
    </w:p>
    <w:p>
      <w:pPr>
        <w:pStyle w:val="Normal"/>
        <w:keepNext w:val="true"/>
        <w:numPr>
          <w:ilvl w:val="0"/>
          <w:numId w:val="0"/>
        </w:numPr>
        <w:tabs>
          <w:tab w:val="clear" w:pos="708"/>
          <w:tab w:val="left" w:pos="12600" w:leader="none"/>
        </w:tabs>
        <w:jc w:val="center"/>
        <w:outlineLvl w:val="1"/>
        <w:rPr>
          <w:rFonts w:ascii="Arial" w:hAnsi="Arial" w:cs="Arial"/>
          <w:b/>
        </w:rPr>
      </w:pPr>
      <w:r>
        <w:rPr>
          <w:rFonts w:cs="Arial" w:ascii="Arial" w:hAnsi="Arial"/>
          <w:b/>
          <w:caps/>
        </w:rPr>
        <w:t>ПЕРЕЛІК</w:t>
      </w:r>
    </w:p>
    <w:p>
      <w:pPr>
        <w:pStyle w:val="Normal"/>
        <w:keepNext w:val="true"/>
        <w:numPr>
          <w:ilvl w:val="0"/>
          <w:numId w:val="0"/>
        </w:numPr>
        <w:tabs>
          <w:tab w:val="clear" w:pos="708"/>
          <w:tab w:val="left" w:pos="12600" w:leader="none"/>
        </w:tabs>
        <w:jc w:val="center"/>
        <w:outlineLvl w:val="3"/>
        <w:rPr>
          <w:rFonts w:ascii="Arial" w:hAnsi="Arial" w:cs="Arial"/>
          <w:b/>
          <w:caps/>
        </w:rPr>
      </w:pPr>
      <w:r>
        <w:rPr>
          <w:rFonts w:cs="Arial" w:ascii="Arial" w:hAnsi="Arial"/>
          <w:b/>
          <w:caps/>
        </w:rPr>
        <w:t>ЛІКАРСЬКИХ ЗАСОБІВ, що пропонуються до державної ПЕРЕреєстрації</w:t>
      </w:r>
    </w:p>
    <w:p>
      <w:pPr>
        <w:pStyle w:val="Normal"/>
        <w:keepNext w:val="true"/>
        <w:numPr>
          <w:ilvl w:val="0"/>
          <w:numId w:val="0"/>
        </w:numPr>
        <w:tabs>
          <w:tab w:val="clear" w:pos="708"/>
          <w:tab w:val="left" w:pos="12600" w:leader="none"/>
        </w:tabs>
        <w:jc w:val="center"/>
        <w:outlineLvl w:val="3"/>
        <w:rPr>
          <w:rFonts w:ascii="Arial" w:hAnsi="Arial" w:cs="Arial"/>
          <w:b/>
          <w:caps/>
        </w:rPr>
      </w:pPr>
      <w:r>
        <w:rPr>
          <w:rFonts w:cs="Arial" w:ascii="Arial" w:hAnsi="Arial"/>
          <w:b/>
          <w:caps/>
        </w:rPr>
      </w:r>
    </w:p>
    <w:tbl>
      <w:tblPr>
        <w:tblW w:w="16018" w:type="dxa"/>
        <w:jc w:val="left"/>
        <w:tblInd w:w="-459" w:type="dxa"/>
        <w:tblLayout w:type="fixed"/>
        <w:tblCellMar>
          <w:top w:w="0" w:type="dxa"/>
          <w:left w:w="108" w:type="dxa"/>
          <w:bottom w:w="0" w:type="dxa"/>
          <w:right w:w="108" w:type="dxa"/>
        </w:tblCellMar>
      </w:tblPr>
      <w:tblGrid>
        <w:gridCol w:w="567"/>
        <w:gridCol w:w="1418"/>
        <w:gridCol w:w="992"/>
        <w:gridCol w:w="992"/>
        <w:gridCol w:w="851"/>
        <w:gridCol w:w="1701"/>
        <w:gridCol w:w="1134"/>
        <w:gridCol w:w="992"/>
        <w:gridCol w:w="1418"/>
        <w:gridCol w:w="992"/>
        <w:gridCol w:w="1417"/>
        <w:gridCol w:w="1134"/>
        <w:gridCol w:w="993"/>
        <w:gridCol w:w="1417"/>
      </w:tblGrid>
      <w:tr>
        <w:trPr>
          <w:tblHeader w:val="true"/>
        </w:trPr>
        <w:tc>
          <w:tcPr>
            <w:tcW w:w="56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41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141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7"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i/>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ГЛІЦЕРИН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glycerol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пропан-1,2,3-триол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рідина (субстанція) у пластикових пляшках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Шаньтоу Цзяхе Біолоджик Технолоджі Ко., Лтд.</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UA/16164/01/01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ЕТОРИКОКСИБ</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Etoricoxib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eторикоксиб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Алембік Фармасьютікалс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необмежаний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UA/19021/01/01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МОКСИФЛОКСАЦИНУ ГІДРОХЛОРИД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моксифлоксацину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"ФАРМЕКС ГРУП"</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ХРОМО ЛАБОРАТОРІЗ ІНДІЯ ПРІВАТ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UA/19501/01/01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ПІВОНІЇ НАСТОЙКА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настойка півонії незвичайної кореневищ з коренями (Paeoniae anomalae rhizoma et radiх) і півонії незвичайної трави (Paeoniae anomalae herba) (1/1)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N05CM</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настойка; по 50 мл, 100 мл або 110 мл у флаконах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"Лубнифарм"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UA/19130/01/01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ПЛЮЩА ЛИСТЯ ЕКСТРАКТ СУХИЙ</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Hederae helicis folium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плюща листя сухий екстракт (Lvy leaf dry extract) ((4,0-8,0):1) - (екстракт висушених листків плюща звичайного - Hedera helix (L.)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сухий екстракт (субстанція) у подвійних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Публічне акціонерне товариство "Науково-виробничий центр "Борщагівський хіміко-фармацевтичний завод"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Публічне акціонерне товариство "Науково-виробничий центр "Борщагівський хіміко-фармацевтичний завод"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UA/19208/01/01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СТАТОРЕМ®-Н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Lisinopril and diuretics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лізиноприлу дигідрат та гідрохлортіазид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мг/12,5 мг; №28 (14х2): по 14 таблеток у блістері, по 2 блістери у картонній упаковці; №84 (14х6): по 14 таблеток у блістері, по 6 блістерів у картонній упаковці; №30 (10х3): по 10 таблеток у блістері, по 3 блістери у картонній упаковці;</w:t>
              <w:br/>
              <w:t>№60 (10х6): по 10 таблеток у блістері, по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br/>
              <w:t xml:space="preserve">або </w:t>
              <w:br/>
              <w:t>ТОВ «КУСУМ»,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UA/19192/01/01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СТАТОРЕМ®-Н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Lisinopril and diuretics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лізиноприлу дигідрат та гідрохлортіазид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 мг/25 мг; №30 (10х3): по 10 таблеток у блістері, по 3 блістери у картонній упаковці; №60 (10х6): по 10 таблеток у блістері, по 6 блістерів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або </w:t>
              <w:br/>
              <w:t>ТОВ «КУСУМ»,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UA/19192/01/02</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ТОБРАМІЦИН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tobramycin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тобраміцин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Лівзон Нью Норт Рівер Фармасьютікал Ко.,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Китайська Народна Республіка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UA/19575/01/01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УВІРОМЕД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valaciclovir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валацикловір (у формі валацикловіру гідрохлориду)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J05AB11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7 таблеток у блістері, 3 або 6 блістери в картонній коробці;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"УОРЛД МЕДИЦИН"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УОРЛД МЕДИЦИН ІЛАЧ САН. ВЕ ТІДЖ. А.Ш.</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Туреччина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терміном на 5 років.</w:t>
              <w:b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UA/19156/01/01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ФЛУТИКАЗОН-ЗДОРОВ'Я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Fluticasone furoate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флутиказону фуроат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R01AD12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назальний дозований, суспензія, 27,5 мкг/дозу; по 30 доз або по 120 доз у флаконі зі спрей-насосом з захисним кільцем та ковпачком; по 1 флакону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випуск серії:</w:t>
              <w:br/>
              <w:t>ТОВАРИСТВО З ОБМЕЖЕНОЮ ВІДПОВІДАЛЬНІСТЮ «КОРПОРАЦІЯ «ЗДОРОВ’Я», Україна;</w:t>
              <w:br/>
              <w:t>всі стадії виробництва, випуск серії:</w:t>
              <w:br/>
              <w:t>ТОВАРИСТВО З ОБМЕЖЕНОЮ ВІДПОВІДАЛЬНІСТЮ «КОРПОРАЦІЯ «ЗДОРОВ’Я», Україна;</w:t>
              <w:br/>
              <w:t>контроль якості:</w:t>
              <w:br/>
              <w:t>Товариство з обмеженою відповідальністю "ФАРМЕКС ГРУП" ,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UA/19177/01/01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ФОРГЕНПІМ-1000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cefepime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цефепіму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J01DE01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по 1000 мг, по 1 флакону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Сенс Лабораторіс Пвт. Лтд.</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Сенс Лабораторіс Пвт. Лтд.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b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UA/19178/01/01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ФОРТЕЗА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бензидаміну гідрохлорид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R02AX03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льодяники по 3 мг зі смаком лимона, по 12 льодяників у блістері; по 1 або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Іспанія;</w:t>
              <w:br/>
              <w:t>виробництво, первинне та вторинне пакування:</w:t>
              <w:br/>
              <w:t>П'ЄР ФАБР МЕДИКАМЕНТ ПРОДАКШН, Францiя;</w:t>
              <w:br/>
              <w:t>виробництво, первинне та вторинне пакування:</w:t>
              <w:br/>
              <w:t>ДР. МЕД. АУФДЕРМОР АГ, Швейцарія;</w:t>
              <w:br/>
              <w:t>контроль якості, випуск серії:</w:t>
              <w:br/>
              <w:t>ІНФАРМАДЕ, С.Л., Іспанiя; контроль якості:</w:t>
              <w:br/>
              <w:t>ЛАБОРАТОРІО ЕЧЕВАРНЕ, С.А., Іспанія; контроль якості:</w:t>
              <w:br/>
              <w:t>КІМОС, С.Л., Іспанiя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 Францiя/ Швейцарія/ Іспанiя</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UA/19283/01/01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ФОРТЕЗА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benzydamine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бензидаміну гідрохлорид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R02AX03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льодяники по 3 мг зі смаком апельсина та меду; по 12 льодяників у блістері; по 1 або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w:t>
              <w:br/>
              <w:t>ЛОЗІС ФАРМАЦЕУТІКАЛЗ С.Л., Іспанія;</w:t>
              <w:br/>
              <w:t>виробництво, первинне та вторинне пакування:</w:t>
              <w:br/>
              <w:t xml:space="preserve">П'ЄР ФАБР МЕДИКАМЕНТ ПРОДАКШН, Францiя; </w:t>
              <w:br/>
              <w:t>виробництво, первинне та вторинне пакування:</w:t>
              <w:br/>
              <w:t>ДР. МЕД. АУФДЕРМОР АГ, Швейцарія;</w:t>
              <w:br/>
              <w:t>контроль якості, випуск серії:</w:t>
              <w:br/>
              <w:t>ІНФАРМАДЕ, С.Л., Іспанiя;</w:t>
              <w:br/>
              <w:t>контроль якості:</w:t>
              <w:br/>
              <w:t>ЛАБОРАТОРІО ЕЧЕВАРНЕ, С.А., Іспанія;</w:t>
              <w:br/>
              <w:t>контроль якості:</w:t>
              <w:br/>
              <w:t>КІМОС, С.Л., Іспанiя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 Францiя/ Швейцарія</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Перереєстрація на необмежений термін. </w:t>
              <w:b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UA/19282/01/01</w:t>
            </w:r>
          </w:p>
        </w:tc>
      </w:tr>
      <w:tr>
        <w:trPr/>
        <w:tc>
          <w:tcPr>
            <w:tcW w:w="567"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5"/>
              </w:numPr>
              <w:tabs>
                <w:tab w:val="clear" w:pos="708"/>
                <w:tab w:val="left" w:pos="12600" w:leader="none"/>
              </w:tabs>
              <w:snapToGrid w:val="false"/>
              <w:jc w:val="center"/>
              <w:rPr>
                <w:rFonts w:ascii="Arial" w:hAnsi="Arial" w:cs="Arial"/>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ФРИНОЛ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екстракт рідкий з Первоцвіту квіток з чашечкою (Primulae Flores cum Calycibus), Щавлю трави (Rumicis Herba), Бузини квіток (Sambuci Flores), Вербени трави (Verbenae Herba), Тирличу коріння (Gentianae Radix) (1:3:3:3:3) DER (1:11)</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екстракт рідкий (субстанція) у бочках полімерних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"ПОЛІМЕТРІЯ, дистрибуція та послуги"</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7"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UA/19073/01/01</w:t>
            </w:r>
          </w:p>
        </w:tc>
      </w:tr>
    </w:tbl>
    <w:p>
      <w:pPr>
        <w:pStyle w:val="Normal"/>
        <w:rPr>
          <w:rFonts w:ascii="Arial" w:hAnsi="Arial" w:cs="Arial"/>
        </w:rPr>
      </w:pPr>
      <w:r>
        <w:rPr>
          <w:rFonts w:cs="Arial" w:ascii="Arial" w:hAnsi="Arial"/>
        </w:rPr>
      </w:r>
    </w:p>
    <w:p>
      <w:pPr>
        <w:pStyle w:val="Normal"/>
        <w:rPr>
          <w:rStyle w:val="Hyperlink"/>
          <w:rFonts w:ascii="Arial" w:hAnsi="Arial" w:cs="Arial"/>
          <w:i/>
          <w:i/>
          <w:color w:val="000000"/>
          <w:szCs w:val="16"/>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3">
        <w:r>
          <w:rPr>
            <w:rStyle w:val="Hyperlink"/>
            <w:rFonts w:cs="Arial" w:ascii="Arial" w:hAnsi="Arial"/>
            <w:i/>
            <w:color w:val="000000"/>
            <w:szCs w:val="16"/>
          </w:rPr>
          <w:t>https://www.whocc.no/atc_ddd_index/</w:t>
        </w:r>
      </w:hyperlink>
      <w:r>
        <w:rPr>
          <w:rStyle w:val="Hyperlink"/>
          <w:rFonts w:cs="Arial" w:ascii="Arial" w:hAnsi="Arial"/>
          <w:i/>
          <w:color w:val="000000"/>
          <w:szCs w:val="16"/>
        </w:rPr>
        <w:t>)</w:t>
      </w:r>
    </w:p>
    <w:p>
      <w:pPr>
        <w:pStyle w:val="Normal"/>
        <w:rPr>
          <w:rStyle w:val="Hyperlink"/>
          <w:rFonts w:ascii="Arial" w:hAnsi="Arial" w:cs="Arial"/>
          <w:i/>
          <w:i/>
          <w:color w:val="000000"/>
          <w:szCs w:val="16"/>
        </w:rPr>
      </w:pPr>
      <w:r>
        <w:rPr/>
      </w:r>
    </w:p>
    <w:p>
      <w:pPr>
        <w:pStyle w:val="Normal"/>
        <w:rPr>
          <w:rStyle w:val="Hyperlink"/>
          <w:rFonts w:ascii="Arial" w:hAnsi="Arial" w:cs="Arial"/>
          <w:i/>
          <w:i/>
          <w:color w:val="000000"/>
          <w:szCs w:val="16"/>
        </w:rPr>
      </w:pPr>
      <w:r>
        <w:rPr/>
      </w:r>
    </w:p>
    <w:tbl>
      <w:tblPr>
        <w:tblW w:w="14843" w:type="dxa"/>
        <w:jc w:val="left"/>
        <w:tblInd w:w="0" w:type="dxa"/>
        <w:tblLayout w:type="fixed"/>
        <w:tblCellMar>
          <w:top w:w="0" w:type="dxa"/>
          <w:left w:w="108" w:type="dxa"/>
          <w:bottom w:w="0" w:type="dxa"/>
          <w:right w:w="108" w:type="dxa"/>
        </w:tblCellMar>
      </w:tblPr>
      <w:tblGrid>
        <w:gridCol w:w="7421"/>
        <w:gridCol w:w="7422"/>
      </w:tblGrid>
      <w:tr>
        <w:trPr/>
        <w:tc>
          <w:tcPr>
            <w:tcW w:w="7421" w:type="dxa"/>
            <w:tcBorders/>
          </w:tcPr>
          <w:p>
            <w:pPr>
              <w:pStyle w:val="Normal"/>
              <w:ind w:right="2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sectPr>
          <w:headerReference w:type="default" r:id="rId4"/>
          <w:headerReference w:type="first" r:id="rId5"/>
          <w:type w:val="nextPage"/>
          <w:pgSz w:orient="landscape" w:w="16838" w:h="11906"/>
          <w:pgMar w:left="1077" w:right="1134" w:gutter="0" w:header="709" w:top="907" w:footer="0" w:bottom="907"/>
          <w:pgNumType w:fmt="decimal"/>
          <w:formProt w:val="false"/>
          <w:titlePg/>
          <w:textDirection w:val="lrTb"/>
          <w:docGrid w:type="default" w:linePitch="360" w:charSpace="0"/>
        </w:sectPr>
      </w:pPr>
    </w:p>
    <w:tbl>
      <w:tblPr>
        <w:tblW w:w="3828" w:type="dxa"/>
        <w:jc w:val="left"/>
        <w:tblInd w:w="11448" w:type="dxa"/>
        <w:tblLayout w:type="fixed"/>
        <w:tblCellMar>
          <w:top w:w="0" w:type="dxa"/>
          <w:left w:w="108" w:type="dxa"/>
          <w:bottom w:w="0" w:type="dxa"/>
          <w:right w:w="108" w:type="dxa"/>
        </w:tblCellMar>
      </w:tblPr>
      <w:tblGrid>
        <w:gridCol w:w="3828"/>
      </w:tblGrid>
      <w:tr>
        <w:trPr/>
        <w:tc>
          <w:tcPr>
            <w:tcW w:w="3828" w:type="dxa"/>
            <w:tcBorders/>
          </w:tcPr>
          <w:p>
            <w:pPr>
              <w:pStyle w:val="Normal"/>
              <w:keepNext w:val="true"/>
              <w:numPr>
                <w:ilvl w:val="0"/>
                <w:numId w:val="0"/>
              </w:numPr>
              <w:tabs>
                <w:tab w:val="clear" w:pos="708"/>
                <w:tab w:val="left" w:pos="12600" w:leader="none"/>
              </w:tabs>
              <w:outlineLvl w:val="3"/>
              <w:rPr>
                <w:rFonts w:ascii="Arial" w:hAnsi="Arial" w:cs="Arial"/>
                <w:b/>
                <w:sz w:val="20"/>
                <w:szCs w:val="20"/>
              </w:rPr>
            </w:pPr>
            <w:r>
              <w:rPr>
                <w:rFonts w:cs="Arial" w:ascii="Arial" w:hAnsi="Arial"/>
                <w:b/>
                <w:sz w:val="20"/>
                <w:szCs w:val="20"/>
              </w:rPr>
              <w:t>Додаток 3</w:t>
            </w:r>
          </w:p>
          <w:p>
            <w:pPr>
              <w:pStyle w:val="Heading4"/>
              <w:tabs>
                <w:tab w:val="clear" w:pos="708"/>
                <w:tab w:val="left" w:pos="12600" w:leader="none"/>
              </w:tabs>
              <w:ind w:hanging="0" w:left="0"/>
              <w:jc w:val="left"/>
              <w:rPr>
                <w:rFonts w:cs="Arial"/>
              </w:rPr>
            </w:pPr>
            <w:r>
              <w:rPr>
                <w:rFonts w:cs="Arial"/>
              </w:rPr>
              <w:t>до Наказу Міністерства охорони</w:t>
            </w:r>
          </w:p>
          <w:p>
            <w:pPr>
              <w:pStyle w:val="Heading4"/>
              <w:tabs>
                <w:tab w:val="clear" w:pos="708"/>
                <w:tab w:val="left" w:pos="12600" w:leader="none"/>
              </w:tabs>
              <w:ind w:hanging="0" w:left="0"/>
              <w:jc w:val="left"/>
              <w:rPr>
                <w:rFonts w:cs="Arial"/>
              </w:rPr>
            </w:pPr>
            <w:r>
              <w:rPr>
                <w:rFonts w:cs="Arial"/>
              </w:rPr>
              <w:t>здоров’я України</w:t>
            </w:r>
          </w:p>
          <w:p>
            <w:pPr>
              <w:pStyle w:val="Normal"/>
              <w:tabs>
                <w:tab w:val="clear" w:pos="708"/>
                <w:tab w:val="left" w:pos="12600" w:leader="none"/>
              </w:tabs>
              <w:rPr>
                <w:rFonts w:ascii="Arial" w:hAnsi="Arial" w:cs="Arial"/>
                <w:b/>
                <w:sz w:val="20"/>
                <w:szCs w:val="20"/>
              </w:rPr>
            </w:pPr>
            <w:r>
              <w:rPr>
                <w:rFonts w:cs="Arial" w:ascii="Arial" w:hAnsi="Arial"/>
                <w:sz w:val="20"/>
                <w:szCs w:val="20"/>
              </w:rPr>
              <w:t>__________________ № _______</w:t>
            </w:r>
          </w:p>
        </w:tc>
      </w:tr>
    </w:tbl>
    <w:p>
      <w:pPr>
        <w:pStyle w:val="Normal"/>
        <w:keepNext w:val="true"/>
        <w:numPr>
          <w:ilvl w:val="0"/>
          <w:numId w:val="0"/>
        </w:numPr>
        <w:jc w:val="center"/>
        <w:outlineLvl w:val="1"/>
        <w:rPr>
          <w:rStyle w:val="cs7864ebcf1"/>
          <w:rFonts w:ascii="Arial" w:hAnsi="Arial" w:cs="Arial"/>
          <w:b/>
          <w:caps/>
          <w:color w:val="000000"/>
          <w:sz w:val="16"/>
          <w:szCs w:val="16"/>
          <w:lang w:val="uk-UA"/>
        </w:rPr>
      </w:pPr>
      <w:r>
        <w:rPr/>
      </w:r>
    </w:p>
    <w:p>
      <w:pPr>
        <w:pStyle w:val="Normal"/>
        <w:keepNext w:val="true"/>
        <w:numPr>
          <w:ilvl w:val="0"/>
          <w:numId w:val="0"/>
        </w:numPr>
        <w:jc w:val="center"/>
        <w:outlineLvl w:val="1"/>
        <w:rPr>
          <w:rFonts w:ascii="Arial" w:hAnsi="Arial" w:cs="Arial"/>
          <w:b/>
          <w:lang w:val="ru-RU"/>
        </w:rPr>
      </w:pPr>
      <w:r>
        <w:rPr>
          <w:rFonts w:cs="Arial" w:ascii="Arial" w:hAnsi="Arial"/>
          <w:b/>
          <w:caps/>
        </w:rPr>
        <w:t>ПЕРЕЛІК</w:t>
      </w:r>
    </w:p>
    <w:p>
      <w:pPr>
        <w:pStyle w:val="Normal"/>
        <w:keepNext w:val="true"/>
        <w:numPr>
          <w:ilvl w:val="0"/>
          <w:numId w:val="0"/>
        </w:numPr>
        <w:jc w:val="center"/>
        <w:outlineLvl w:val="3"/>
        <w:rPr>
          <w:rFonts w:ascii="Arial" w:hAnsi="Arial" w:cs="Arial"/>
        </w:rPr>
      </w:pPr>
      <w:r>
        <w:rPr>
          <w:rFonts w:cs="Arial" w:ascii="Arial" w:hAnsi="Arial"/>
          <w:b/>
          <w:caps/>
        </w:rPr>
        <w:t>ЛІКАРСЬКИХ засобів, щодо яких пропонується внесеНня змін до реєстраційних матеріалів</w:t>
      </w:r>
    </w:p>
    <w:p>
      <w:pPr>
        <w:pStyle w:val="11"/>
        <w:jc w:val="center"/>
        <w:rPr>
          <w:rFonts w:ascii="Arial" w:hAnsi="Arial" w:cs="Arial"/>
        </w:rPr>
      </w:pPr>
      <w:r>
        <w:rPr>
          <w:rFonts w:cs="Arial" w:ascii="Arial" w:hAnsi="Arial"/>
        </w:rPr>
      </w:r>
    </w:p>
    <w:tbl>
      <w:tblPr>
        <w:tblW w:w="16302" w:type="dxa"/>
        <w:jc w:val="left"/>
        <w:tblInd w:w="-601" w:type="dxa"/>
        <w:tblLayout w:type="fixed"/>
        <w:tblCellMar>
          <w:top w:w="0" w:type="dxa"/>
          <w:left w:w="108" w:type="dxa"/>
          <w:bottom w:w="0" w:type="dxa"/>
          <w:right w:w="108" w:type="dxa"/>
        </w:tblCellMar>
      </w:tblPr>
      <w:tblGrid>
        <w:gridCol w:w="566"/>
        <w:gridCol w:w="1561"/>
        <w:gridCol w:w="992"/>
        <w:gridCol w:w="992"/>
        <w:gridCol w:w="851"/>
        <w:gridCol w:w="1701"/>
        <w:gridCol w:w="1134"/>
        <w:gridCol w:w="992"/>
        <w:gridCol w:w="1418"/>
        <w:gridCol w:w="850"/>
        <w:gridCol w:w="2126"/>
        <w:gridCol w:w="709"/>
        <w:gridCol w:w="992"/>
        <w:gridCol w:w="1418"/>
      </w:tblGrid>
      <w:tr>
        <w:trPr>
          <w:tblHeader w:val="true"/>
        </w:trPr>
        <w:tc>
          <w:tcPr>
            <w:tcW w:w="56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Країна виробника</w:t>
            </w:r>
          </w:p>
        </w:tc>
        <w:tc>
          <w:tcPr>
            <w:tcW w:w="2126"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Реєстраційна процедура</w:t>
            </w:r>
          </w:p>
        </w:tc>
        <w:tc>
          <w:tcPr>
            <w:tcW w:w="709"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Рекламування**</w:t>
            </w:r>
          </w:p>
        </w:tc>
        <w:tc>
          <w:tcPr>
            <w:tcW w:w="1418" w:type="dxa"/>
            <w:tcBorders>
              <w:top w:val="single" w:sz="4" w:space="0" w:color="000000"/>
              <w:left w:val="single" w:sz="4" w:space="0" w:color="000000"/>
              <w:bottom w:val="single" w:sz="4" w:space="0" w:color="000000"/>
              <w:right w:val="single" w:sz="4" w:space="0" w:color="000000"/>
            </w:tcBorders>
            <w:shd w:fill="D9D9D9" w:val="clear"/>
          </w:tcPr>
          <w:p>
            <w:pPr>
              <w:pStyle w:val="Normal"/>
              <w:tabs>
                <w:tab w:val="clear" w:pos="708"/>
                <w:tab w:val="left" w:pos="12600" w:leader="none"/>
              </w:tabs>
              <w:jc w:val="center"/>
              <w:rPr>
                <w:rFonts w:ascii="Arial" w:hAnsi="Arial" w:cs="Arial"/>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i/>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АВАСТИН®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bevacizumab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бевацизумаб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L01FG01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100 мг/4 мл; по 4 мл (100 мг) або 16 мл (400 мг) у флаконі; по 1 флакону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вторинне пакування, випробування контролю якості та випуск серії:</w:t>
              <w:br/>
              <w:t>Рош Діагностикс ГмбХ, Німеччина; Виробництво нерозфасованої продукції, первинне пакування, вторинне пакування, випробування контролю якості та випуск серії: Ф.Хоффманн-Ля Рош Лтд, Швейцарія; Виробництво нерозфасованої продукції, первинне пакування:</w:t>
              <w:br/>
              <w:t>Дженентек Інк., США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 США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UA/16665/01/01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пролонгованої дії по 0,5 мг; по 10 капсул у блістері; по 5 блістерів у алюмінієвому пакеті; по 1 алюмінієвому пакету в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пролонгованої дії по 1 мг; по 10 капсул у блістері; по 5 блістерів у алюмінієвому пакеті; по 1 алюмінієвому пакету в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пролонгованої дії по 5 мг, по 10 капсул у блістері, по 5 блістерів у алюмінієвому пакеті; по 1 алюмінієвому пакету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АДВАГРАФ®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tacrolimus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такролімус (у вигляді кристалогідрату)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L04AD02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пролонгованої дії по 3 мг, по 10 капсул у блістері, по 5 блістерів у алюмінієвому пакеті; по 1 алюмінієвому пакету в картонній пачціі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Фарма Юроп Б.В.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Астеллас Ірланд Ко.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UA/9687/01/04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АЕРОФІЛІН®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doxofylline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доксофілін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R03DA11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400 мг; по 10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Ай.Сі.І. С.П.А.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Ай.Сі.І. С.П.А.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Зміна заявника ЛЗ (МІБП) (власника реєстраційного посвідчення)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UA/4391/01/01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АЕРТАЛ®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aceclofenac</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ацеклофенак</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M02AA25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крем, 15 мг/1 г; по 60 г у тубі; по 1 тубі в картонній упаковці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ВАТ "Гедеон Ріхтер"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ВАТ "Гедеон Ріхтер"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UA/13910/01/01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АІРТЕК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salmeterol and fluticasone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сальметеролу ксинафоат і флутиказону пропіонат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R03AK06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аерозоль для інгаляцій дозований, 25/125 мкг/дозу; по 120 доз в алюмінієвому контейнері з дозуючим клапаном і розпилюючою насадкою з захисним ковпачком; по 1 контейнеру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Гленмарк Фармасьютикалз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Гленмарк Фармасьютикалз Лтд.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UA/13755/01/01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АЙЛІЯ®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aflibercept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афліберсепт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S01LA05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114,3 мг/мл; по 0,263 мл у скляному флаконі; по 1 флакону з фільтрувальною голкою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Байєр АГ</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Байєр АГ, Німеччина;</w:t>
              <w:br/>
              <w:t>виробництво (включаючи стерильну фільтрацію, наповнення - первинна упаковка); контроль якості:</w:t>
              <w:br/>
              <w:t>Каталент Індіана ЛЛС, США;</w:t>
              <w:br/>
              <w:br/>
              <w:t>виробництво (включаючи стерильну фільтрацію, наповнення - первинна упаковка), контроль якості, вторинна упаковка, випуск серії:</w:t>
              <w:br/>
              <w:t>Байєр АГ,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США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UA/12600/01/02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АЛЕРГОМАКС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диметиндену малеат, фенілефрин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R01AB</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назальні, розчин; по 15 мл у флаконі з кришкою-крапельницею зі скляною піпеткою; по 1 флакону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UA/11696/02/01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АЛОПУРИНОЛ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allopurinol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алопуринол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M04AA01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5 блістерів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Публічне акціонерне товариство "Науково-виробничий центр "Борщагівський хіміко-фармацевтичний завод", Україна; виробництво, пакування, випуск серій: Товариство з обмеженою відповідальністю "АГРОФАРМ", Україна; контроль серій: Товариство з обмеженою відповідальністю "Натур+",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UA/7302/01/01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АЛСОКАМ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meloxicam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1,5 мл в ампулі; по 5 ампул у блістері; по 1 блістеру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Товариство з обмеженою відповідальністю "ФАРМАХЕЛС"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та випуск серії:</w:t>
              <w:br/>
              <w:t>Приватне акціонерне товариство "Лекхім - Харків",</w:t>
              <w:br/>
              <w:t>Україна;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не включаючи контроль серії:</w:t>
              <w:br/>
              <w:t>Товариство з обмеженою відповідальністю "ФАРМАХЕЛС",</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UA/18067/01/01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АЛЬБЕНДАЗОЛ-ФАРМЕКС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albendazole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альбендазол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P02CA03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400 мг, по 1 таблетці в блістері; по 1 або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UA/18312/01/01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АСПІРОЗА®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1 капсула містить дві таблетки:</w:t>
              <w:br/>
              <w:t>- 1 таблетку розувастатину (у вигляді розувастатину кальцію) та 1 таблетку ацетилсаліцилової кислоти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10 мг/100 мг, по 10 капсул у блістері, по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випуск серії: Адамед Фарма С.А., Польща; первинне та вторинне пакування: Адамед Фарма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UA/18799/01/02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АСПІРОЗА®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1 капсула містить дві таблетки:</w:t>
              <w:br/>
              <w:t>- 1 таблетку розувастатину (у вигляді розувастатину кальцію) та 1 таблетку ацетилсаліцилової кислоти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20 мг/100 мг, по 10 капсул у блістері, по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випуск серії: Адамед Фарма С.А., Польща; первинне та вторинне пакування: Адамед Фарма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UA/18799/01/03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АСПІРОЗА®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Rosuvastatin and acetylsalicylic acid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1 капсула містить дві таблетки:</w:t>
              <w:br/>
              <w:t>- 1 таблетку розувастатину (у вигляді розувастатину кальцію) та 1 таблетку ацетилсаліцилової кислоти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C10BX05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5 мг/100 мг, по 10 капсул у блістері, по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серії, випуск серії: Адамед Фарма С.А., Польща; первинне та вторинне пакування: Адамед Фарма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UA/18799/01/01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АФФИДА МАКС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400 мг; по 10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Дельта Медікел Промоушнз АГ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АЛКАЛОЇД АД Скоп’є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Пiвнiчна Македонія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UA/17783/01/01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АЦЕТАЛ 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100 мг/3 г, по 3 г порошку в пакеті; по 10 пакетів або 5 спарених пакетів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UA/4634/01/01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АЦЦ® ЛОНГ ЛИМОН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шипучі по 600 мг; по 1 таблетці у саше; по 6, 10 або 20 саше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br/>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w:t>
              <w:br/>
              <w:t>Салютас Фарма ГмбХ, Німеччина;</w:t>
              <w:br/>
              <w:br/>
              <w:t>виробництво in bulk, пакування, тестування, випуск серії:</w:t>
              <w:br/>
              <w:t>Хермес Фарма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UA/15591/01/01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БАПРЕ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75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UA/19101/01/01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БАПРЕ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150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Гетеро Лабз Лімітед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UA/19101/01/02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БАПРЕ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300 мг, по 10 капсул у блістері; по 3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Гетеро Лабз Лімітед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UA/19101/01/03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БІКОЛАМІД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bicalutamide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бікалутамід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L02BB03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Сінтон Хіспанія, С.Л.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UA/15136/01/01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БІКОЛАМІД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bicalutamide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бікалутамід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L02BB03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150 мг; по 10 таблеток у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Сінтон Хіспанія, С.Л.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UA/15136/01/02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БІМАТОПРОСТ-СОНА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bimatoprost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біматопрост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0,3 мг/мл; по 3 мл у флаконі-крапельниці; по 1 флакону-крапельниці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Фарматен С.А.</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нерозфасованого лікарського засобу, первинне та вторинне пакування, контроль якості та випуск серій:</w:t>
              <w:br/>
              <w:t>Балканфарма-Разград АД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Болгарія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UA/18300/01/01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БІСОПРОЛ®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бісопролу фумарат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 10 таблеток у блістері; по 2, 3 або 5 блістерів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UA/3214/01/01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БІСОПРОЛ®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бісопролу фумарат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10 таблеток у блістері; по 2, 3 або 5 блістерів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UA/3214/01/02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БІСОПРОЛ®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бісопролу фумарат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C07AB07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 10 таблеток у блістері; по 2, 3 або 5 блістерів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UA/3214/01/03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БІТУБ®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isoniazid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ізоніазид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J04AC01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у контурній чарунковій упаковці; по 2 контурні чарункові упаковки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UA/13377/01/01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БЛЕМАРЕН®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кислот лимонна безводна; тринатрію цитрат безводний; калію гідрокарбонат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G04BC</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шипучі; по 20 шипучих таблеток у поліпропіленовому контейнері; по 4 або 5 контейнерів у картонній коробці разом з індикаторним папером і контрольним календарем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Еспарма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Лабораторіoc Медікаментос Інтернасьоналес,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UA/9419/01/01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БРІМІКА® ДЖЕНУЕЙР®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Formoterol and aclidinium bromide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аклідинію бромід; формотеролу фумарату дигідрат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R03AL05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інгаляцій 340 мкг/12 мкг; по 60 доз порошку в інгаляторі; по 1 або по 3 інгалятори в алюмінієвому ламінованому пакеті кожен разом із пакетиком з осушувачем в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БЕРЛІН-ХЕМІ АГ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Індастріас Фармасеутікас Алмірал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UA/17683/01/01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БУСТРИКС КОМБІНОВАНА ВАКЦИНА ДЛЯ ПРОФІЛАКТИКИ ДИФТЕРІЇ, ПРАВЦЯ, КАШЛЮКУ (АЦЕЛЮЛЯРНИЙ КОМПОНЕНТ) (АДСОРБОВАНА, ЗІ ЗМЕНШЕНИМ ВМІСТОМ АНТИГЕНІВ)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sz w:val="16"/>
                <w:szCs w:val="16"/>
              </w:rPr>
            </w:pPr>
            <w:r>
              <w:rPr>
                <w:rFonts w:cs="Arial" w:ascii="Arial" w:hAnsi="Arial"/>
                <w:sz w:val="16"/>
                <w:szCs w:val="16"/>
              </w:rPr>
              <w:t>Pertussis, purified antigen, combinations with toxoids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rPr>
                <w:rFonts w:ascii="Arial" w:hAnsi="Arial" w:cs="Arial"/>
                <w:sz w:val="16"/>
                <w:szCs w:val="16"/>
                <w:vertAlign w:val="superscript"/>
                <w:lang w:val="ru-RU"/>
              </w:rPr>
            </w:pPr>
            <w:r>
              <w:rPr>
                <w:rFonts w:cs="Arial" w:ascii="Arial" w:hAnsi="Arial"/>
                <w:sz w:val="16"/>
                <w:szCs w:val="16"/>
              </w:rPr>
              <w:t>д</w:t>
            </w:r>
            <w:r>
              <w:rPr>
                <w:rFonts w:cs="Arial" w:ascii="Arial" w:hAnsi="Arial"/>
                <w:sz w:val="16"/>
                <w:szCs w:val="16"/>
                <w:lang w:val="ru-RU"/>
              </w:rPr>
              <w:t>ифтерійний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D</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lang w:val="ru-RU"/>
              </w:rPr>
            </w:pPr>
            <w:r>
              <w:rPr>
                <w:rFonts w:cs="Arial" w:ascii="Arial" w:hAnsi="Arial"/>
                <w:sz w:val="16"/>
                <w:szCs w:val="16"/>
                <w:lang w:val="ru-RU"/>
              </w:rPr>
              <w:t>правцевий анатоксин</w:t>
            </w:r>
            <w:r>
              <w:rPr>
                <w:rFonts w:cs="Arial" w:ascii="Arial" w:hAnsi="Arial"/>
                <w:sz w:val="16"/>
                <w:szCs w:val="16"/>
              </w:rPr>
              <w:t> </w:t>
            </w:r>
            <w:r>
              <w:rPr>
                <w:rFonts w:cs="Arial" w:ascii="Arial" w:hAnsi="Arial"/>
                <w:sz w:val="16"/>
                <w:szCs w:val="16"/>
                <w:lang w:val="ru-RU"/>
              </w:rPr>
              <w:t>(</w:t>
            </w:r>
            <w:r>
              <w:rPr>
                <w:rFonts w:cs="Arial" w:ascii="Arial" w:hAnsi="Arial"/>
                <w:sz w:val="16"/>
                <w:szCs w:val="16"/>
              </w:rPr>
              <w:t>T</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lang w:val="ru-RU"/>
              </w:rPr>
              <w:t>;</w:t>
            </w:r>
          </w:p>
          <w:p>
            <w:pPr>
              <w:pStyle w:val="Normal"/>
              <w:rPr>
                <w:rFonts w:ascii="Arial" w:hAnsi="Arial" w:cs="Arial"/>
                <w:sz w:val="16"/>
                <w:szCs w:val="16"/>
                <w:vertAlign w:val="superscript"/>
              </w:rPr>
            </w:pPr>
            <w:r>
              <w:rPr>
                <w:rFonts w:cs="Arial" w:ascii="Arial" w:hAnsi="Arial"/>
                <w:i/>
                <w:iCs/>
                <w:sz w:val="16"/>
                <w:szCs w:val="16"/>
              </w:rPr>
              <w:t>Bordetella pertussis </w:t>
            </w:r>
            <w:r>
              <w:rPr>
                <w:rFonts w:cs="Arial" w:ascii="Arial" w:hAnsi="Arial"/>
                <w:sz w:val="16"/>
                <w:szCs w:val="16"/>
              </w:rPr>
              <w:t>кашлюкові антигени:</w:t>
            </w:r>
          </w:p>
          <w:p>
            <w:pPr>
              <w:pStyle w:val="Normal"/>
              <w:rPr>
                <w:rFonts w:ascii="Arial" w:hAnsi="Arial" w:cs="Arial"/>
                <w:sz w:val="16"/>
                <w:szCs w:val="16"/>
                <w:vertAlign w:val="superscript"/>
              </w:rPr>
            </w:pPr>
            <w:r>
              <w:rPr>
                <w:rFonts w:cs="Arial" w:ascii="Arial" w:hAnsi="Arial"/>
                <w:sz w:val="16"/>
                <w:szCs w:val="16"/>
              </w:rPr>
              <w:t>кашлюковий анатоксин (PT)</w:t>
            </w:r>
            <w:r>
              <w:rPr>
                <w:rFonts w:cs="Arial" w:ascii="Arial" w:hAnsi="Arial"/>
                <w:sz w:val="16"/>
                <w:szCs w:val="16"/>
                <w:vertAlign w:val="superscript"/>
              </w:rPr>
              <w:t>1</w:t>
            </w:r>
            <w:r>
              <w:rPr>
                <w:rFonts w:cs="Arial" w:ascii="Arial" w:hAnsi="Arial"/>
                <w:sz w:val="16"/>
                <w:szCs w:val="16"/>
              </w:rPr>
              <w:t>;</w:t>
            </w:r>
          </w:p>
          <w:p>
            <w:pPr>
              <w:pStyle w:val="Normal"/>
              <w:rPr>
                <w:rFonts w:ascii="Arial" w:hAnsi="Arial" w:cs="Arial"/>
                <w:sz w:val="16"/>
                <w:szCs w:val="16"/>
                <w:vertAlign w:val="superscript"/>
                <w:lang w:val="ru-RU"/>
              </w:rPr>
            </w:pPr>
            <w:r>
              <w:rPr>
                <w:rFonts w:cs="Arial" w:ascii="Arial" w:hAnsi="Arial"/>
                <w:sz w:val="16"/>
                <w:szCs w:val="16"/>
                <w:lang w:val="ru-RU"/>
              </w:rPr>
              <w:t>філаментозний</w:t>
            </w:r>
            <w:r>
              <w:rPr>
                <w:rFonts w:cs="Arial" w:ascii="Arial" w:hAnsi="Arial"/>
                <w:sz w:val="16"/>
                <w:szCs w:val="16"/>
              </w:rPr>
              <w:t> </w:t>
            </w:r>
            <w:r>
              <w:rPr>
                <w:rFonts w:cs="Arial" w:ascii="Arial" w:hAnsi="Arial"/>
                <w:sz w:val="16"/>
                <w:szCs w:val="16"/>
                <w:lang w:val="ru-RU"/>
              </w:rPr>
              <w:t>гемаглютинін</w:t>
            </w:r>
            <w:r>
              <w:rPr>
                <w:rFonts w:cs="Arial" w:ascii="Arial" w:hAnsi="Arial"/>
                <w:sz w:val="16"/>
                <w:szCs w:val="16"/>
              </w:rPr>
              <w:t> </w:t>
            </w:r>
            <w:r>
              <w:rPr>
                <w:rFonts w:cs="Arial" w:ascii="Arial" w:hAnsi="Arial"/>
                <w:sz w:val="16"/>
                <w:szCs w:val="16"/>
                <w:lang w:val="ru-RU"/>
              </w:rPr>
              <w:t>(</w:t>
            </w:r>
            <w:r>
              <w:rPr>
                <w:rFonts w:cs="Arial" w:ascii="Arial" w:hAnsi="Arial"/>
                <w:sz w:val="16"/>
                <w:szCs w:val="16"/>
              </w:rPr>
              <w:t>FHA</w:t>
            </w:r>
            <w:r>
              <w:rPr>
                <w:rFonts w:cs="Arial" w:ascii="Arial" w:hAnsi="Arial"/>
                <w:sz w:val="16"/>
                <w:szCs w:val="16"/>
                <w:lang w:val="ru-RU"/>
              </w:rPr>
              <w:t>)</w:t>
            </w:r>
            <w:r>
              <w:rPr>
                <w:rFonts w:cs="Arial" w:ascii="Arial" w:hAnsi="Arial"/>
                <w:sz w:val="16"/>
                <w:szCs w:val="16"/>
                <w:vertAlign w:val="superscript"/>
                <w:lang w:val="ru-RU"/>
              </w:rPr>
              <w:t>1</w:t>
            </w:r>
            <w:r>
              <w:rPr>
                <w:rFonts w:cs="Arial" w:ascii="Arial" w:hAnsi="Arial"/>
                <w:sz w:val="16"/>
                <w:szCs w:val="16"/>
              </w:rPr>
              <w:t>;</w:t>
            </w:r>
          </w:p>
          <w:p>
            <w:pPr>
              <w:pStyle w:val="Normal"/>
              <w:rPr/>
            </w:pPr>
            <w:r>
              <w:rPr>
                <w:rFonts w:cs="Arial" w:ascii="Arial" w:hAnsi="Arial"/>
                <w:sz w:val="16"/>
                <w:szCs w:val="16"/>
                <w:lang w:val="ru-RU"/>
              </w:rPr>
              <w:t>пертактин</w:t>
            </w:r>
            <w:r>
              <w:rPr>
                <w:rFonts w:cs="Arial" w:ascii="Arial" w:hAnsi="Arial"/>
                <w:sz w:val="16"/>
                <w:szCs w:val="16"/>
              </w:rPr>
              <w:t> </w:t>
            </w:r>
            <w:r>
              <w:rPr>
                <w:rFonts w:cs="Arial" w:ascii="Arial" w:hAnsi="Arial"/>
                <w:sz w:val="16"/>
                <w:szCs w:val="16"/>
                <w:lang w:val="ru-RU"/>
              </w:rPr>
              <w:t>(</w:t>
            </w:r>
            <w:r>
              <w:rPr>
                <w:rFonts w:cs="Arial" w:ascii="Arial" w:hAnsi="Arial"/>
                <w:sz w:val="16"/>
                <w:szCs w:val="16"/>
              </w:rPr>
              <w:t>PRN</w:t>
            </w:r>
            <w:r>
              <w:rPr>
                <w:rFonts w:cs="Arial" w:ascii="Arial" w:hAnsi="Arial"/>
                <w:sz w:val="16"/>
                <w:szCs w:val="16"/>
                <w:lang w:val="ru-RU"/>
              </w:rPr>
              <w:t>)</w:t>
            </w:r>
            <w:r>
              <w:rPr>
                <w:rFonts w:cs="Arial" w:ascii="Arial" w:hAnsi="Arial"/>
                <w:sz w:val="16"/>
                <w:szCs w:val="16"/>
                <w:vertAlign w:val="superscript"/>
                <w:lang w:val="ru-RU"/>
              </w:rPr>
              <w:t>1</w:t>
            </w:r>
          </w:p>
          <w:p>
            <w:pPr>
              <w:pStyle w:val="Normal"/>
              <w:tabs>
                <w:tab w:val="clear" w:pos="708"/>
                <w:tab w:val="left" w:pos="12600" w:leader="none"/>
              </w:tabs>
              <w:rPr>
                <w:rFonts w:ascii="Arial" w:hAnsi="Arial" w:cs="Arial"/>
                <w:sz w:val="16"/>
                <w:szCs w:val="16"/>
              </w:rPr>
            </w:pPr>
            <w:r>
              <w:rPr>
                <w:rFonts w:cs="Arial" w:ascii="Arial" w:hAnsi="Arial"/>
                <w:i/>
                <w:iCs/>
                <w:sz w:val="16"/>
                <w:szCs w:val="16"/>
                <w:vertAlign w:val="superscript"/>
                <w:lang w:val="ru-RU"/>
              </w:rPr>
              <w:t>1</w:t>
            </w:r>
            <w:r>
              <w:rPr>
                <w:rFonts w:cs="Arial" w:ascii="Arial" w:hAnsi="Arial"/>
                <w:i/>
                <w:iCs/>
                <w:sz w:val="16"/>
                <w:szCs w:val="16"/>
                <w:lang w:val="ru-RU"/>
              </w:rPr>
              <w:t>адсорбований на алюмінію гідроксиді (</w:t>
            </w:r>
            <w:r>
              <w:rPr>
                <w:rFonts w:cs="Arial" w:ascii="Arial" w:hAnsi="Arial"/>
                <w:i/>
                <w:iCs/>
                <w:sz w:val="16"/>
                <w:szCs w:val="16"/>
              </w:rPr>
              <w:t>Al</w:t>
            </w:r>
            <w:r>
              <w:rPr>
                <w:rFonts w:cs="Arial" w:ascii="Arial" w:hAnsi="Arial"/>
                <w:i/>
                <w:iCs/>
                <w:sz w:val="16"/>
                <w:szCs w:val="16"/>
                <w:lang w:val="ru-RU"/>
              </w:rPr>
              <w:t>(</w:t>
            </w:r>
            <w:r>
              <w:rPr>
                <w:rFonts w:cs="Arial" w:ascii="Arial" w:hAnsi="Arial"/>
                <w:i/>
                <w:iCs/>
                <w:sz w:val="16"/>
                <w:szCs w:val="16"/>
              </w:rPr>
              <w:t>OH</w:t>
            </w:r>
            <w:r>
              <w:rPr>
                <w:rFonts w:cs="Arial" w:ascii="Arial" w:hAnsi="Arial"/>
                <w:i/>
                <w:iCs/>
                <w:sz w:val="16"/>
                <w:szCs w:val="16"/>
                <w:lang w:val="ru-RU"/>
              </w:rPr>
              <w:t>)</w:t>
            </w:r>
            <w:r>
              <w:rPr>
                <w:rFonts w:cs="Arial" w:ascii="Arial" w:hAnsi="Arial"/>
                <w:i/>
                <w:iCs/>
                <w:sz w:val="16"/>
                <w:szCs w:val="16"/>
                <w:vertAlign w:val="subscript"/>
                <w:lang w:val="ru-RU"/>
              </w:rPr>
              <w:t>3</w:t>
            </w:r>
            <w:r>
              <w:rPr>
                <w:rFonts w:cs="Arial" w:ascii="Arial" w:hAnsi="Arial"/>
                <w:i/>
                <w:iCs/>
                <w:sz w:val="16"/>
                <w:szCs w:val="16"/>
                <w:lang w:val="ru-RU"/>
              </w:rPr>
              <w:t>) та алюмінію фосфаті (</w:t>
            </w:r>
            <w:r>
              <w:rPr>
                <w:rFonts w:cs="Arial" w:ascii="Arial" w:hAnsi="Arial"/>
                <w:i/>
                <w:iCs/>
                <w:sz w:val="16"/>
                <w:szCs w:val="16"/>
              </w:rPr>
              <w:t>AlPO</w:t>
            </w:r>
            <w:r>
              <w:rPr>
                <w:rFonts w:cs="Arial" w:ascii="Arial" w:hAnsi="Arial"/>
                <w:i/>
                <w:iCs/>
                <w:sz w:val="16"/>
                <w:szCs w:val="16"/>
                <w:vertAlign w:val="subscript"/>
                <w:lang w:val="ru-RU"/>
              </w:rPr>
              <w:t>4</w:t>
            </w:r>
            <w:r>
              <w:rPr>
                <w:rFonts w:cs="Arial" w:ascii="Arial" w:hAnsi="Arial"/>
                <w:i/>
                <w:iCs/>
                <w:sz w:val="16"/>
                <w:szCs w:val="16"/>
                <w:lang w:val="ru-RU"/>
              </w:rPr>
              <w:t>)</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sz w:val="16"/>
                <w:szCs w:val="16"/>
              </w:rPr>
            </w:pPr>
            <w:r>
              <w:rPr>
                <w:rFonts w:cs="Arial" w:ascii="Arial" w:hAnsi="Arial"/>
                <w:sz w:val="16"/>
                <w:szCs w:val="16"/>
              </w:rPr>
              <w:t>J07AJ52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0,5 мл/дозу; по 1 дозі у попередньо наповненому шприці; по 1 попередньо наповненому шприцу у комплекті з двома голками в пластиковому контейнері; по 1 контейнеру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(Формування, наповнення в попередньо наповнені шприці, маркування та пакування, контроль якості); ГлаксоСмітКляйн Біолоджікалз С.А., Бельгія (Наповнення в попередньо наповнені шприці, маркування та пакування, контроль якості); ГлаксоСмітКляйн Біолоджікалз С.А., Бельгія (Контроль якості, випуск серії)</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UA/14955/01/01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ВАБІСМО</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faricimab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фарицимаб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S01LA09</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120 мг/мл; по 0,24 мл (28,8 мг) у флаконі; разова доза 0,05 мл (6 мг), по 1 флакону у комплекті з голкою з фільтром, упакованою в блістер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(включаючи наповнення/первинне пакування), випробування контролю в процесі виробництва, випробування контролю якості при випуску та стабільності, крім мікроскопічного методу визначення часток, зберігання лікарського засобу, вторинне пакування, випуск готового лікарського засобу: Ф.Хоффманн-Ля Рош Лтд, Швейцарія; Випробування контролю якості при випуску та стабільності тільки для мікроскопічного методу визначення часток: Солвіас АГ,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UA/20151/01/01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ВАРІЛРИКС™ / VARILRIX™ ВАКЦИНА ДЛЯ ПРОФІЛАКТИКИ ВІТРЯНОЇ ВІСПИ ЖИВА АТЕНУЙОВАНА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Varicella, live attenuated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jc w:val="both"/>
              <w:rPr/>
            </w:pPr>
            <w:r>
              <w:rPr>
                <w:rFonts w:cs="Arial" w:ascii="Arial" w:hAnsi="Arial"/>
                <w:color w:val="000000"/>
                <w:sz w:val="16"/>
                <w:szCs w:val="16"/>
                <w:lang w:val="ru-RU" w:eastAsia="en-US"/>
              </w:rPr>
              <w:t>живий атенуйований вірус вітряної віспи (штам ОКА)</w:t>
            </w:r>
            <w:r>
              <w:rPr>
                <w:rFonts w:cs="Arial" w:ascii="Arial" w:hAnsi="Arial"/>
                <w:color w:val="000000"/>
                <w:sz w:val="16"/>
                <w:szCs w:val="16"/>
                <w:vertAlign w:val="superscript"/>
                <w:lang w:val="ru-RU" w:eastAsia="en-US"/>
              </w:rPr>
              <w:t>1</w:t>
            </w:r>
            <w:r>
              <w:rPr>
                <w:rFonts w:cs="Arial" w:ascii="Arial" w:hAnsi="Arial"/>
                <w:color w:val="000000"/>
                <w:sz w:val="16"/>
                <w:szCs w:val="16"/>
                <w:lang w:val="ru-RU" w:eastAsia="en-US"/>
              </w:rPr>
              <w:t xml:space="preserve"> </w:t>
            </w:r>
          </w:p>
          <w:p>
            <w:pPr>
              <w:pStyle w:val="Normal"/>
              <w:jc w:val="both"/>
              <w:rPr/>
            </w:pPr>
            <w:r>
              <w:rPr>
                <w:rFonts w:cs="Arial" w:ascii="Arial" w:hAnsi="Arial"/>
                <w:i/>
                <w:color w:val="000000"/>
                <w:sz w:val="16"/>
                <w:szCs w:val="16"/>
                <w:vertAlign w:val="superscript"/>
                <w:lang w:val="ru-RU" w:eastAsia="en-US"/>
              </w:rPr>
              <w:t>1</w:t>
            </w:r>
            <w:r>
              <w:rPr>
                <w:rFonts w:cs="Arial" w:ascii="Arial" w:hAnsi="Arial"/>
                <w:i/>
                <w:color w:val="000000"/>
                <w:sz w:val="16"/>
                <w:szCs w:val="16"/>
                <w:lang w:val="ru-RU" w:eastAsia="en-US"/>
              </w:rPr>
              <w:t>отриманий шляхом розмноження в диплоїдних клітинах людини (</w:t>
            </w:r>
            <w:r>
              <w:rPr>
                <w:rFonts w:cs="Arial" w:ascii="Arial" w:hAnsi="Arial"/>
                <w:i/>
                <w:color w:val="000000"/>
                <w:sz w:val="16"/>
                <w:szCs w:val="16"/>
                <w:lang w:val="en-US" w:eastAsia="en-US"/>
              </w:rPr>
              <w:t>MRC</w:t>
            </w:r>
            <w:r>
              <w:rPr>
                <w:rFonts w:cs="Arial" w:ascii="Arial" w:hAnsi="Arial"/>
                <w:i/>
                <w:color w:val="000000"/>
                <w:sz w:val="16"/>
                <w:szCs w:val="16"/>
                <w:lang w:val="ru-RU" w:eastAsia="en-US"/>
              </w:rPr>
              <w:t>-5)</w:t>
            </w:r>
          </w:p>
          <w:p>
            <w:pPr>
              <w:pStyle w:val="Normal"/>
              <w:tabs>
                <w:tab w:val="clear" w:pos="708"/>
                <w:tab w:val="left" w:pos="12600" w:leader="none"/>
              </w:tabs>
              <w:rPr>
                <w:rFonts w:ascii="Arial" w:hAnsi="Arial" w:cs="Arial"/>
                <w:i/>
                <w:i/>
                <w:color w:val="000000"/>
                <w:sz w:val="16"/>
                <w:szCs w:val="16"/>
                <w:lang w:val="ru-RU" w:eastAsia="en-US"/>
              </w:rPr>
            </w:pPr>
            <w:r>
              <w:rPr>
                <w:rFonts w:cs="Arial" w:ascii="Arial" w:hAnsi="Arial"/>
                <w:i/>
                <w:color w:val="000000"/>
                <w:sz w:val="16"/>
                <w:szCs w:val="16"/>
                <w:lang w:val="ru-RU" w:eastAsia="en-US"/>
              </w:rPr>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J07BK01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 дозі; 1 флакон з ліофілізатом та 1 ампула з розчинником (вода для ін'єкцій) в пластиковому контейнері в картонній коробці; 1 флакон з ліофілізатом та 1 попередньо наповнений шприц з розчинником (вода для ін'єкцій) у комплекті з двома голками в пластиковому контейнері в картонній коробці; 100 флаконів з ліофілізатом та 100 ампул з розчинником (вода для ін'єкцій) (в чарунковій упаковці) в окремих картонних коробках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(Випуск серії готового продукту, випуск серій розчинника в ампулах та шприцах);</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Біолоджікалз С.А., Бельгія (Маркування та пакування розчинника в ампулах, контроль якості розчинника в ампулах, маркування та пакування розчинника в шприцах, контроль якості розчинника в шприцах, проведення контролю якості вакцини, маркування і пакування готового продукту);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Корікса Корпорейшн дба ГлаксоСмітКляйн Вакцинз, Сполучені Штати Америки (Формування вакцини, наповнення та ліофілізація вакцини);</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Фідіа Фармасьютічі С.п.А., Італія (Формування, наповнения,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тестiв Розчинність та Ідентифікація натрію);</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Делфарм Тур, Франція (Виробництво розчинника в ампулах, маркування та пакування розчинника в ампулах, контроль якості розчинника в ампулах);</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Каталент Белджіум, Бельгія (Виробництво розчинника в шприцах, контроль якості розчинника в шприцах);</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Бельгія/ Сполучені Штати Америки</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UA/15966/01/01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ВИДАНОЛ®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500 мг; по 10 таблеток у блістері; по 3 або по 6 блістерів у картонній упаковці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 або виробництво продукції in bulk:</w:t>
              <w:br/>
              <w:t>КУСУМ ХЕЛТХКЕР ПВТ ЛТД, Індія;</w:t>
              <w:br/>
              <w:t>вторинне пакування, випуск серії з продукції in bulk:</w:t>
              <w:br/>
              <w:t>ТОВ «КУСУМ», Україна;</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реєстраційної процедури в наказі МОЗ України </w:t>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UA/14215/01/01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ВИДАНОЛ®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500 мг in bulk по 10 таблеток у блістері; по 150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реєстраційної процедури в наказі МОЗ України </w:t>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pPr>
            <w:r>
              <w:rPr>
                <w:rFonts w:cs="Arial" w:ascii="Arial" w:hAnsi="Arial"/>
                <w:sz w:val="16"/>
                <w:szCs w:val="16"/>
              </w:rPr>
              <w:t>UA/19694/01/01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25 мг;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UA/18004/01/01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 мг; по 1 або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UA/0313/01/02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 мг; по 1, або по 2 таблетки у блістері; по 1 блістеру в картонній коробці; по 4 таблетки у блістері; по 1 або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UA/0313/01/03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ВІАГРА® ODT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що диспергуються в ротовій порожнині, по 50 мг по 2 або по 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Фарева Амбуаз</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UA/0313/02/01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ВІНПОЦЕТИН-ФАРМАК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vinpocetine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вінпоцетин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N06BX18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0,5 %, по 2 мл в ампулі; по 10 ампул в пачці з картону; по 2 мл в ампулі; по 5 ампул у блістері; по 2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UA/0507/01/01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ВОБЕНЗИМ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панкреатин; папаїн; бромелаїн; триацилгліцеролліпаза; амілаза; трипсин; хімотрипсин; рутозид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M09AB</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кишковорозчинні; по 20 таблеток у блістері; по 2 або 10 блістерів у картонній коробці; по 800 таблеток у банках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Фарма ГмбХ і Ко. КГ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Eмульсіонсгезелльшафт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UA/2842/01/01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ВОБЕНЗИМ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панкреатин; папаїн; бромелаїн; триацилгліцеролліпаза; амілаза; трипсин; хімотрипсин; рутозид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M09AB</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кишковорозчинні; по 20 таблеток у блістері; по 2 або 10 блістерів у картонній коробці; по 800 таблеток у банках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Фарма ГмбХ і Ко. КГ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Eмульсіонсгезелльшафт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br/>
              <w:t>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UA/2842/01/01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ВОРИКОНАЗОЛ АККОРД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voriconazole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вориконазол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J02AC03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200 мг по 14 таблеток у блістері; по 1 блістеру або по 2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С.Л.У.</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лікарського засобу, первинне та вторинне пакування, контроль якості серії: ІНТАС ФАРМАСЬЮТІКАЛС ЛІМІТЕД, Індія;</w:t>
              <w:br/>
              <w:t xml:space="preserve">дільниця з контролю якості: АСТРОН РЕСЬОРЧ ЛІМІТЕД, Велика Британія; </w:t>
              <w:br/>
              <w:t>дільниця з контролю якості: Фармадокс Хелскеа Лтд., Мальта;</w:t>
              <w:br/>
              <w:t xml:space="preserve">додаткова дільниця з первинного та вторинного пакування: АККОРД ХЕЛСКЕА ЛІМІТЕД, Велика Британiя; </w:t>
              <w:br/>
              <w:t>додаткова дільниця з вторинного пакування: АККОРД-ЮКЕЙ ЛІМІТЕД, Велика Британія;</w:t>
              <w:br/>
              <w:t>додаткова дільниця з вторинного пакування: ДЧЛ САПЛІ ЧЕЙН (Італія) СПА, Італiя;</w:t>
              <w:br/>
              <w:t>відповідальний за випуск серії: АККОРД ХЕЛСКЕА ЛІМІТЕД, Велика Британія;</w:t>
              <w:br/>
              <w:t>Аккорд Хелскеа Полска Сп. з o.o.,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Мальта/ Італiя/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UA/20312/01/01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ГЕПА-МЕРЦ</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L-орнітину-L-аспартат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A05BA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5 г/10 мл по 10 мл в ампулі; по 10 ампул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Мерц Фармасьютікалс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Продукція in bulk, первинне та вторинне пакування, контроль якості: Б. Браун Мелсунген АГ, Німеччина; Вторинне пакування: </w:t>
              <w:br/>
              <w:t>Престіж Промоушн Веркауфсфоердерунг &amp; Вербесервіс ГмбХ, Німеччина; Випробування контролю якості: Б. Браун Мелсунген АГ, Німеччина; Біохем Лабор Фюр Біологіче Унд Хеміше Аналітик ГмбХ, Німеччина; іфп – Пріватес Інститут фюр Продактквалітет ГмбХ, Німеччина; Лабораторі фо Аналізіс оф Біолоджикаллі Ектів Компоундс Латвіан Інстітьют оф Органік Сінтезіс, Латвія; Лабор ЛС СЕ &amp; Ко. КГ, Німеччина; ХВІ фарма сервісес ГмбХ, Німеччина; ГБА Фарма ГмбХ, Німеччина; Евонік Оперейшнс ГмбХ – Лабор Продакт Лайн Аналітікс, Німеччина; Евонік Оперейшнс ГмбХ, Німеччина; Випробування контролю якості та випуск серії: Мерц Фарма ГмбХ і Ко. КГаА,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Латвія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UA/0039/01/01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ГЕРЦЕПТИН®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trastuzumab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трастузумаб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L01FD01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600 мг/5 мл 1 флакон з розчином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пакування, випробування контролю якості, випуск серії: Ф.Хоффманн-Ля Рош Лтд, Швейцарія; Випробування контролю якості: Ф.Хоффманн-Ля Рош Лтд,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UA/14303/01/01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ГЛАНДУМ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спрей для ротової порожнини, 1,5 мг/мл; по 30 мл у флаконі зі спрей насосом та насадкою поворотною; по 1 флакону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«ФАРМІС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UA/17869/01/01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ГЛАТИРАМЕРУ АЦЕТАТ-ВІСТА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glatiramer acetate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глатирамеру ацетат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L03AX13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40 мг/мл; по 1 мл у попередньо наповненому шприці; по 1 шприцу в блістері; по 12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Містрал Кепітал Менеджмент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пакування:</w:t>
              <w:br/>
              <w:t>Сінтон Чилі Лтда., Чилі;</w:t>
              <w:br/>
              <w:br/>
              <w:t>відповідальний за випуск серії:</w:t>
              <w:br/>
              <w:t xml:space="preserve">Сінтон Хіспанія, С.Л., Іспанія; </w:t>
              <w:br/>
              <w:t xml:space="preserve">або </w:t>
              <w:br/>
              <w:t>відповідальний за випуск серії:</w:t>
              <w:br/>
              <w:t>Сінтон БВ, Нідерланди;</w:t>
              <w:br/>
              <w:br/>
              <w:t>контроль якості:</w:t>
              <w:br/>
              <w:t>Фармадокс Хелскеа Лтд., Мальта;</w:t>
              <w:br/>
              <w:br/>
              <w:t>контроль якості:</w:t>
              <w:br/>
              <w:t>Сінтон, с.р.о., Чеська Республіка;</w:t>
              <w:br/>
              <w:t>контроль якості:</w:t>
              <w:br/>
              <w:t xml:space="preserve">ІТЕСТ плюс, с.р.о., Чеська Республіка; </w:t>
              <w:br/>
              <w:br/>
              <w:t>контроль якості:</w:t>
              <w:br/>
              <w:t>ІТЕСТ плюс, с.р.о., Чеська Республіка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Чилі/ Іспанія/ Нідерланди/ Мальта/ Чеська Республіка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UA/16792/01/02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ГЛІЯТОН®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choline alfoscerate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холіну альфосцерат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N07AX02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600 мг/7 мл по 7 мл у флаконі; по 5 флаконів у блістері; по 2 блістери у пачці; по 70 мл у флаконі; по 1 флакону у пачці; по 7 мл у пакети-саше; по 10 або 30 пакетів-саше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UA/19540/01/01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зі смаком полуниці по 5 г у саше, по 5 або по 10, або по 20, або по 50 саше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UA/16501/01/01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зі смаком полуниці, in bulk: № 1500 (1х1500) саше: по 5 г у саше; по 1500 саше у картонній коробці; in bulk: № 800 (1х800) саше: по 5 г у саше; по 800 саше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UA/21049/01/01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гранули для орального розчину зі смаком лимона, in bulk: № 1500 (1х1500) саше: по 5 г у саше; по 1500 саше у картонній коробці; </w:t>
              <w:br/>
              <w:t>in bulk: № 800 (1х800) саше: по 5 г у саше; по 800 саше у картонній коробціі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UA/21050/01/01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ГРИПГО ХОТМІКС®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w:t>
              <w:br/>
              <w:t>фенілефрину гідрохлорид;</w:t>
              <w:br/>
              <w:t>кислота аскорбінова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для орального розчину зі смаком лимона по 5 г у саше, по 5 або по 10, або по 20, або по 50 саше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UA/16502/01/01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ГРИПОМЕД® ХОТ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аскорбінова кислота, феніраміну малеат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з малиновим смаком; по 5 г у саше; по 5 або 10 саше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Зміни І типу </w:t>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UA/16531/01/01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ГРИПОМЕД® ХОТ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аскорбінова кислота, феніраміну малеат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з лимонним смаком; по 5 г у саше; по 5 або 10 саше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«ФАРМІС ЛТД»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"ХІМФАРМЗАВОД "ЧЕРВОНА ЗІРКА"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 xml:space="preserve">Зміни І типу </w:t>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UA/16532/01/01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ДЕКВАЛІНІЮ ХЛОРИД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dequalinium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деквалінію 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в мішках поліетиленових подвійних для виробництва нестерильних лікарських форм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АТ «Фармак»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Олон еС.пі.Ей.</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в наказі МОЗ України</w:t>
            </w:r>
          </w:p>
          <w:p>
            <w:pPr>
              <w:pStyle w:val="Normal"/>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r>
              <w:rPr>
                <w:rFonts w:cs="Arial" w:ascii="Arial" w:hAnsi="Arial"/>
                <w:color w:val="000000"/>
                <w:sz w:val="16"/>
                <w:szCs w:val="16"/>
              </w:rPr>
              <w:t>Зміни І типу</w:t>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UA/10547/01/01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ДЖОІНТФЛЕКС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glucosamine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глюкозаміну сульфату натрію 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M01AX05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200 мг/мл, по 2 мл розчину в ампулі з забарвленого скла (ампула А) у комплекті з 1 мл розчинника в ампулі з безбарвного скла (ампула В), по 5 ампул А та по 5 ампул В у пачці; по 5 ампул А та по 5 ампул В у блістерах, по 1 блістеру з ампулами А та по 1 блістеру з ампулами В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 xml:space="preserve">ТОВ "БІОЛІК ФАРМА"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"БІОЛІК ФАРМА"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UA/19713/01/01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ДИМЕТИЛФУМАРАТ-ФАРМАК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dimethyl fumarate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диметилфумарат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L04AX07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гастрорезистентні тверді, по 120 мг по 7 капсул у блістері; по 3 блістери в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 Україна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якості, випуск серії з продукції in bulk фірми-виробника Сановель Іляч Санаі Ве Тиджарет А.Ш., Туреччина (виробництво, пакування, контроль якості та випуск серії))</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Технічна помилка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UA/20897/01/01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ДОРЗОПТИК КОМБІ ЕКО</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Timolol,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дорзоламід (у вигляді дорзоламіду гідрохлориду) та тимолол (у вигляді тимололу малеату)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20 мг/мл+5 мг/мл; 5 мл розчину в поліетиленовому флаконі-крапельниці місткістю 5 мл з кришкою з гарантійним кільцем. по 1 або 3 флакони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Рафарм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UA/18413/01/01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ДОЦЕТАКСЕЛ АККОРД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docetaxel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доцетаксел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L01CD02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20 мг/мл по 1 мл (20 мг) або 4 мл (80 мг) або 8 мл (160 мг) у флаконах, по 1 флакону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Аккорд Хелскеа С.Л.У. </w:t>
              <w:br/>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контроль якості, первинне та вторинне пакування: Інтас Фармасьютікалс Лімітед, Індія; Інтас Фармасьютікалс Лімітед, Індія; вторинне пакування: Аккорд Хелскеа Лімітед, Велика Британія; Синоптиз Індастріал Сп.з о.о., Польща; контроль якості серії: Єврофінс БіоФарма Продакт Тестінг Будапешт Кфт., Угорщина; Фармадокс Хелскеа Лтд., Мальта; виробництво, первинне та вторинне пакування: Онко Ілак Сан. Ве Тідж. А.С., Туреччина; контроль якості серії: Фармавалід Кфт., Угорщина; відповідальний за випуск серії: Аккорд Хелскеа Полска Сп. з о.о. Склад Імпортера, Польща; Вторинне пакування: Аккорд Хелскеа Сінгл Мембер С.А., Греція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Велика Британія/ Угорщина/ Польща/ Мальта/ Греція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UA/17408/01/01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ДУОДАРТ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tamsulosin and dutasteride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дутастерид; тамсулозину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G04CA52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по 0,5 мг/0,4 мг; по 30 або по 90 капсул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ГлаксоСмітКляйн Експорт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Каталент Джермені Шорндорф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UA/13330/01/01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ЕЗЕТРЕКС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ezetimibe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езетиміб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C10AX09</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10 мг; по 7 таблеток у блістері; по 4 блістери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Гетеро Лабз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UA/19716/01/01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ЕКСФОРЖ</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Valsartan and amlodipine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мг/80 мг; по 14 таблеток у блістері; по 1 або по 2 блістери в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Новартіс Фарма C.п.А., Італія;</w:t>
              <w:br/>
              <w:br/>
              <w:t>Виробництво, контроль якості, первинне пакування, вторинне пакування:</w:t>
              <w:br/>
              <w:t>Зігфрід Барбера, С.Л., Іспанія;</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 Румунія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UA/8102/01/01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ЕКСФОРЖ</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Valsartan and amlodipine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мг/160 мг; по 14 таблеток у блістері; по 1 або по 2 блістери в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Новартіс Фарма C.п.А., Італія;</w:t>
              <w:br/>
              <w:br/>
              <w:t>Виробництво, контроль якості, первинне пакування, вторинне пакування:</w:t>
              <w:br/>
              <w:t>Зігфрід Барбера, С.Л., Іспанія;</w:t>
              <w:br/>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UA/8102/01/02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ЕКСФОРЖ</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Valsartan and amlodipine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амлодипіну бесилат та  валсартан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C09DB01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10 мг/160 мг; по 14 таблеток у блістері; по 1 або по 2 блістери в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Новартіс Фарма АГ</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Новартіс Фарма C.п.А., Італія;</w:t>
              <w:br/>
              <w:br/>
              <w:t>Виробництво, контроль якості, первинне пакування, вторинне пакування:</w:t>
              <w:br/>
              <w:t>Зігфрід Барбера, С.Л., Іспанія;</w:t>
              <w:br/>
              <w:t>Контроль якості:</w:t>
              <w:br/>
              <w:t>Новартіс Фармасьютикалс С.Р.Л., Румунія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 Іспанія/ Румунія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UA/8102/01/03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ЕПІРУБІЦИН 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epirubicin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епірубіцину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L01DB03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 мг/мл, по 5 мл, або по 10 мл, або по 25 мл, або по 50 мл, або по 100 мл у флаконі; по 1 флакону в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та випуск серії: Медак Гезельшафт фюр клініше Шпеціальпрепарате мбХ, Німеччина;</w:t>
              <w:br/>
              <w:t>Виробництво "in bulk", пакування, маркування та контроль серії: Онкотек Фарма Продакшн ГмбХ, Німеччина; Виробництво "in bulk", пакування, маркування та контроль серії: Онкомед меньюфекчерінг а.с., Чеська Республіка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Чеська Республіка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UA/10941/01/01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ЕРЕЛЗІ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etanercept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етанерцепт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мг/1 мл (50 мг); по 1 мл розчину у попередньо наповненому шприці; 4 попередньо наповнені шприци у блістерах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Сандоз ГмбХ – Виробнича дільниця Асептичні Лікарські Засоби Шафтенау (Асептичні ЛЗШ), Австрія; виробництво in bulk, пакування, випуск серії, контроль серії: Новартіс Фармасьютікал Мануфактурінг ГмбХ, Австрія; вторинне пакування, контроль серії: Ай Ді Ті Біологіка ГмбХ, Німеччина; контроль серії: Новартіс Фармасьютікал Мануфактурінг ГмбХ, Австрія; контроль серії: Єврофінс ФАСТ ГмбХ, Німеччина; контроль серії: Новартіс Фарма Штайн АГ, Швейцарія; контроль серії: Новартіс Фарма АГ, Швейцарія; контроль серії: Новартіс Фармасьютікал Мануфактуринг ЛЛС, Словенія; контроль серії: ЕйендЕм Стабтест Лабор фюр Аналітик унд Штабілітетпрюфунген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 Швейцарія/ Словенія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UA/21193/01/01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ЕССЕНЦІАЛЄ® 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«Есcенціальні фосфоліпіди»</w:t>
            </w:r>
            <w:r>
              <w:rPr>
                <w:rFonts w:eastAsia="Symbol" w:cs="Symbol" w:ascii="Symbol" w:hAnsi="Symbol"/>
                <w:sz w:val="16"/>
                <w:szCs w:val="16"/>
                <w:vertAlign w:val="superscript"/>
              </w:rPr>
              <w:sym w:font="Symbol" w:char="f0d2"/>
            </w:r>
            <w:r>
              <w:rPr>
                <w:rFonts w:cs="Arial" w:ascii="Arial" w:hAnsi="Arial"/>
                <w:sz w:val="16"/>
                <w:szCs w:val="16"/>
              </w:rPr>
              <w:t>= EPL</w:t>
            </w:r>
            <w:r>
              <w:rPr>
                <w:rFonts w:eastAsia="Symbol" w:cs="Symbol" w:ascii="Symbol" w:hAnsi="Symbol"/>
                <w:sz w:val="16"/>
                <w:szCs w:val="16"/>
                <w:vertAlign w:val="superscript"/>
              </w:rPr>
              <w:sym w:font="Symbol" w:char="f0d2"/>
            </w:r>
            <w:r>
              <w:rPr>
                <w:rFonts w:cs="Arial" w:ascii="Arial" w:hAnsi="Arial"/>
                <w:sz w:val="16"/>
                <w:szCs w:val="16"/>
              </w:rPr>
              <w:t xml:space="preserve">-субстанція (фосфоліпіди  із соєвих бобів (93 % (3-sn-фосфатидил)холіну),  які містять </w:t>
            </w:r>
            <w:r>
              <w:rPr>
                <w:rFonts w:eastAsia="Symbol" w:cs="Symbol" w:ascii="Symbol" w:hAnsi="Symbol"/>
                <w:sz w:val="16"/>
                <w:szCs w:val="16"/>
              </w:rPr>
              <w:sym w:font="Symbol" w:char="f061"/>
            </w:r>
            <w:r>
              <w:rPr>
                <w:rFonts w:cs="Arial" w:ascii="Arial" w:hAnsi="Arial"/>
                <w:sz w:val="16"/>
                <w:szCs w:val="16"/>
              </w:rPr>
              <w:t>-токоферол,  етанол 96 %)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A05BA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250 мг/5 мл, №5: по 5 мл в ампулі; по 5 ампул у контурній чарунковій упаковці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"Опелла Хелскеа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пакування, маркування, контроль та випуск серії: АТ "Галичфарм", Україна; виробництво, пакування, маркування, контроль та випуск серії: ФАМАР ХЕЛС КЕАР СЕРВІСІЗ МАДРИД, С.А.У., Іспанiя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 Іспанiя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UA/8626/01/01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по 10 таблеток в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по 10 таблеток в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в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іn bulk: № 5000 у поліетиленовому пакеті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 іn bulk: № 5000 у поліетиленовому пакеті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15 мг; іn bulk: № 5000 у поліетиленовому пакеті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іn bulk: № 5000 у поліетиленовому пакеті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UA/15699/01/04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ЕСЦИТАЛОПРАМ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escitalopram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есциталопраму оксалат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N06AB10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в блістері; по 3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Джубілант Дженерікс Лімітед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Джубілант Дженерікс Лімітед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UA/15698/01/01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ЕТИЛМЕТИЛГІДРОКСИПІРИДИНУ СУКЦИНАТ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етилметилгідрокипіридину сукцинат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подвійних поліетиленових мішках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НВФ «МІКРОХІМ»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не включаючи контроль/випробування серії:</w:t>
              <w:br/>
              <w:t>ТОВ НВФ «МІКРОХІМ»</w:t>
              <w:br/>
              <w:t>Україна; відповідальний за виробництво та контроль/випробування серії, не включаючи випуск серії:</w:t>
              <w:br/>
              <w:t>Акціонерне Товариство "Фармак",</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ЗОНІК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pregabalin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прегабалін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N02BF02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20 мг/мл по 100 мл у скляному флаконі темного кольору з кришкою з контролем першого відкриття; кожен флакон у картонній упаковці разом із шприцом-дозатором об'ємом 5 мл та адаптером для шприца; по 100 мл у скляному флаконі темного кольору з кришкою, недоступною для відкриття дітьми; кожен флакон у картонній упаковці разом із шприцом-дозатором об'ємом 5 мл та адаптером для шприца</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 ФАРМ", Україна або</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UA/20659/01/01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 xml:space="preserve">ІБУПРОМ ДЛЯ ДІТЕЙ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оральна, по 100 мг/5 мл по 100мл, 150 мл або 200 мл у флаконі; по 1 флакону у комплекті зі шприцом-дозатором по 5 мл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Юнілаб, ЛП</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готового продукту: Фармасьєрра Мануфекчурін, С.Л., Іспанія; Виробництво, первинне та вторинне пакування, контроль якості, випуск серії готового продукту:</w:t>
              <w:br/>
              <w:t>Делфарм Бладел Б.В., Нідерланди; Контроль якості (за винятком мікробіологічного контролю), випуск серії готового продукту:</w:t>
              <w:br/>
              <w:t>Фармалідер, С.А., Іспанія; Виробництво, первинне та вторинне пакування, контроль якості: Едефарм, С.Л., Іспанія; Альтернативна дільниця для проведення мікробіологічного контролю (субдоговір з виробником Фармалідер, С.А.): Біолаб С.Л., Іспанiя; Випуск серії готового продукту: ТОВ ЮС Фармація,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 Нідерланди/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 xml:space="preserve">уточнення реєстраційного номера в наказі МОЗ України </w:t>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sz w:val="16"/>
                <w:szCs w:val="16"/>
              </w:rPr>
            </w:pPr>
            <w:r>
              <w:rPr>
                <w:rFonts w:cs="Arial" w:ascii="Arial" w:hAnsi="Arial"/>
                <w:b/>
                <w:sz w:val="16"/>
                <w:szCs w:val="16"/>
              </w:rPr>
              <w:t>UA/15878/01/01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ІБУПРОНЕКС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ibuprofen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ібупрофен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M01AE01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капсули желатинові м’які по 400 мг, по 10 капсул у блістері; по 2 блістери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фармацевтична фабрика "Віола"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Софтгель Хелскер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UA/20884/01/01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ІЗІКЛІН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Mineral salts in combination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сульфат безводний; магнію сульфат, гептагідрат; калію сульфат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A06AD10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орального розчину; близько 176 мл концентрату для орального розчину у пляшці; по 2 пляшки у комплекті з одним стаканчиком з мірною лінією,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UA/14703/01/01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ІЗІКЛІН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Mineral salts in combination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сульфат безводний; магнію сульфат, гептагідрат; калію сульфат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A06AD10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орального розчину; близько 176 мл концентрату для орального розчину у пляшці; по 2 пляшки у комплекті з одним стаканчиком з мірною лінією,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br/>
              <w:t>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UA/14703/01/01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ІЗІКЛІН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Mineral salts in combination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сульфат безводний; магнію сульфат, гептагідрат; калію сульфат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A06AD10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орального розчину; близько 176 мл концентрату для орального розчину у пляшці; по 2 пляшки у комплекті з одним стаканчиком з мірною лінією,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UA/14703/01/01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ІЗОПЛАЗМІЛ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electrolytes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натрію хлорид, калію хлорид, магнію хлориду гексагідрат, натрію ацетату тригідрат, натрію глюконат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B05BB01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для інфузій по 250 мл або по 500 мл у пляшках полімерних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"Юрія-Фарм", Україна</w:t>
              <w:br/>
              <w:t>випуск серії, контроль якості; виробництво ЛЗ в контейнерах полімерних, контроль якості за фізико-хімічними показниками</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UA/21327/01/01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ІНСУЛІН ЛЮДСЬКИЙ БІОСИНТЕТИЧНИЙ</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insulin (human)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інсулін людський біосинтетичний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скляних банках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Елі Ліллі енд Компані</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Елі Ліллі енд Компані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UA/15372/01/01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ІНФУЗОЛІД®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linezolid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лінезолід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J01XX08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2 мг/мл; по 300 мл у пакеті полімерному, поміщеному у пакет з металізованим покриттям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"Інфузія"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UA/17022/01/01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ІРИНОТЕКАН АККОРД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irinotecan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іринотекану гідрохлориду тригідрат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L01CE02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приготування розчину для інфузій, 20 мг/мл; по 5 мл (100 мг) або по 15 мл (300 мг)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Аккорд Хелскеа Полска Сп. з.о.о.</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серії: Аккорд Хелскеа Полска Сп. з о.о. Склад Імпортера, Польща; виробництво лікарського засобу, первинне та вторинне пакування, контроль якості: Інтас Фармасьютікaлс Лімітед, Індія; додаткове вторинне пакування:</w:t>
              <w:br/>
              <w:t>АККОРД ХЕЛСКЕА ЛІМІТЕД, Велика Британiя; Синоптиз Індастріал Сп. з о.о., Польща; контроль якості: Єврофінс Аналітікал Сервісез Хангері Кфт., Угорщина; ФАРМАВАЛІД Лтд. Мікробіологічна лабораторія, Угорщина; вторинне пакування та контроль якості: Аккорд Хелскеа Сінгл Мембер С.А., Греція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 Індія/ Велика Британiя/ Греція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UA/19933/01/01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КАЛЬЦІЙ -Д3 НІКОМЕД З М'ЯТНИМ СМАКОМ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 xml:space="preserve">кальцію карбонат, холекальциферол (вітамін D3), що відповідає холекальциферолу концентрату* </w:t>
              <w:br/>
              <w:t>*Склад холекальциферолу концентрату: холекальциферол, DL-ɑ-токоферол, тригліцериди середнього ланцюга, крохмаль кукурудзяний модифікований, сахароза, натрію аскорбат, кремнію діоксид колоїдний безводний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A12AX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жувальні по 30 або 100 таблеток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Асіно Фарма АГ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Аскер Контракт Мануфекчерінг АС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Норвегія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UA/10610/01/01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КАРБОПЛАТИН 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carboplatin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карбоплатин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L01XA02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10 мг/мл; по 5 мл або 15 мл, або 45 мл, або 60 мл, або 100 мл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Вторинне пакування, маркування, контроль та випуск серії: Медак Гезельшафт фюр клініше Шпеціальпрепарате мбХ, Німеччина;</w:t>
              <w:br/>
              <w:t>Виробництво "in bulk", первинне пакування та контроль серій: Онкотек Фарма Продакшн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UA/10829/01/01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250 мг; по 10 таблеток у блістері; по 3 або 6 блістерів у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500 мг; по 10 таблеток у блістері; по 3 або 6 блістерів у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вкриті оболонкою, по 1000 мг; по 10 таблеток у блістері; по 3 або 6 блістерів у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КЕППРА®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levetiracetam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леветирацетам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N03AX14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оральний, 100 мг/мл; по 300 мл у флаконі; по 1 флакону з мірним пластиковим шприцом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ЮСБ Фарма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Бельгiя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НекстФарма САС</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UA/9155/02/01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1000 мг/200 мг; 1 флакон з порошком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UA/4469/01/02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500 мг/100 мг in bulk: по 25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UA/11092/01/01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1000 мг/200 мг in bulk: по 25 флаконів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UA/11092/01/02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КЛАВАМ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амоксицилін натрію, клавуланат калію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500 мг/100 мг; 1 флакон з порошком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Алкем Лабораторіз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КОМБІЦИТРОН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фенілефрину гідрохлорид, феніраміну малеат, кислота аскорбінова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по 13,60 г в саше; по 10 саше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UA/19918/01/01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КОРВАЛДИН®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Barbiturates in combination with other drugs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етиловий ефір -</w:t>
            </w:r>
            <w:r>
              <w:rPr>
                <w:rStyle w:val="spelle"/>
                <w:rFonts w:cs="Arial" w:ascii="Arial" w:hAnsi="Arial"/>
                <w:color w:val="000000"/>
                <w:sz w:val="16"/>
                <w:szCs w:val="16"/>
              </w:rPr>
              <w:t>бромізовалеріанової</w:t>
            </w:r>
            <w:r>
              <w:rPr>
                <w:rFonts w:cs="Arial" w:ascii="Arial" w:hAnsi="Arial"/>
                <w:color w:val="000000"/>
                <w:sz w:val="16"/>
                <w:szCs w:val="16"/>
              </w:rPr>
              <w:t xml:space="preserve"> кислоти, фенобарбітал, м’яти олія, олія хмелю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N05CB02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по 1 флакону в пачці; по 50 мл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по 25 мл - без рецепта; по 50 мл – 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UA/2553/01/01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КОРВАЛОЛ® 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етиловий ефір -бромізовалеріанової кислоти, розчин ментолу в ментиловому ефірі кислоти ізовалеріанової, м’яти олія, олія хмелю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N05CX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оральні, по 25 мл у флаконі з пробкою-крапельницею; по 1 флакону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UA/3684/01/01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ЛАНОТАН® 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timolol,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латанопрост, тимололу малеат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по 2,5 мл у флаконі; по 1 флакону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UA/14936/01/01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ЛЕВАНА® IC</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левана (моно-[7-бром-2-оксо-5-(2-хлорфеніл)-2,3-дигідро-1Н-бензо[1,4]діазепін-3-іл]сукцинату моногідрату)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N05CD</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0,5 мг; по 10 таблеток у блістері; по 2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UA/11175/01/01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ЛЕВАНА® IC</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левана (моно-[7-бром-2-оксо-5-(2-хлорфеніл)-2,3-дигідро-1Н-бензо[1,4]діазепін-3-іл]сукцинату моногідрату)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N05CD</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 мг: по 10 таблеток у блістері; по 1 блістеру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UA/11175/01/02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ЛЕВАНА® IC</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левана (моно-[7-бром-2-оксо-5-(2-хлорфеніл)-2,3-дигідро-1Н-бензо[1,4]діазепін-3-іл]сукцинату моногідрату)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N05CD</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 мг: по 10 таблеток у блістері; по 1 блістеру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додатковою відповідальністю "ІНТЕРХІМ"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UA/11175/01/03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ЛЕРКАМЕН® АПФ 10/20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Enalapril and lercanidipine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лерканідипіну гідрохлорид та еналаприлу малеат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C09BB02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14 таблеток у блістері;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Менаріні Інтернешонал Оперейшонс Люксембург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Люксембург</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Рекордаті Індустріа Кіміка е Фармачеутика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ЛІНЕЗОЛІД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linezolid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лінезолід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J01XX08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600 мг по 5 або по 10 таблеток у блістері; по 1 блістеру у пачці із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UA/21169/01/01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ЛОЦЕРИЛ®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amorolfine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аморолфіну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D01AE16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лак для нігтів лікувальний, 50 мг/мл, по 1,25 мл, або 2,5 мл, або 5 мл у флаконі; по 1 флакону (в комплекті з 30 очищувальними тампонами, 10 шпателями та 30 пилочками для нігтів) в картонній коробці; по 1,25 мл, або 2,5 мл, або 5 мл у флаконі з кришкою з аплікатором; по 1 флакону (в комплекті з 30 очищувальними тампонами та 30 пилочками для нігтів)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Галдерма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ЛАБОРАТОРІЇ ГАЛДЕРМА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UA/14681/01/01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МЕДІАТОРН®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ipidacrine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іпідакрину гідрохлориду моногідрат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N07AA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мг/мл, по 1 мл в ампулі; по 10 ампул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r>
              <w:rPr>
                <w:rFonts w:cs="Arial" w:ascii="Arial" w:hAnsi="Arial"/>
                <w:color w:val="000000"/>
                <w:sz w:val="16"/>
                <w:szCs w:val="16"/>
              </w:rPr>
              <w:t>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UA/15375/01/01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МЕДОКЛАВ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амоксицилін натрію та клавуланат калію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1 г/0,2 г; 10 флаконів з порошком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w:t>
              <w:br/>
              <w:t>Медокемі Лімітед, Кіпр;</w:t>
              <w:br/>
              <w:t>Виробництво готового лікарського засобу (асептичне наповнення). Стерилізація скляних флаконів і гумових пробок, первинне та вторинне пакування. Контроль стабільності:</w:t>
              <w:br/>
              <w:t>Медокемі (Фа Іст) Лтд., В'єтнам</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 В'єтнам</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МЕДОКЛАВ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амоксицилін натрію та клавуланат калію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J01CR02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розчину для ін’єкцій або інфузій, 1 г/0,2 г; 10 флаконів з порошком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Медокемі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Кіпр</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МЕЛОКСИК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meloxicam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мелоксикам</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M01AC06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15 мг/1,5 мл; по 1,5 мл в ампулі; по 3 або 5 ампул в контурній чарунковій упаковці; по 1 контурній чарунковій упаковці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Фармацевтичний Завод «Польфарма» С. 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МЕНОВАЗИН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ментол, новокаїн (прокаїну гідрохлорид), анестезин (бензокаїн)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M02AX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зовнішнього застосування, спиртовий по 40 мл у флаконах; по 40 мл у флаконі; по 1 флакону в пачці; по 50 мл у флаконі скляному або полімерному з механічним розпилювачем; по 1 флакону в пачці; по 100 мл у флаконах скляних або полімерних; по 100 мл у флаконі скляному або полімерному; по 1 флакону в пачці; по 200 мл у флаконах скляних, укупорених кришками; по 200 мл у флаконі скляному, укупореному кришкою; по 1 флакону в пачці; по 200 мл у флаконах полімерних, укупорених кришками або насадками та кришками; по 200 мл у флаконі полімерному, укупореному кришкою або насадкою та кришкою;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фабрика "Віола"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ПрАТ Фармацевтична фабрика "Віола"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UA/7484/01/01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МЕТАДОН-ЗН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methadone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метадону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N07BC02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оральний, 5 мг/мл по 200 мл або по 1000 мл у флаконах разом з відповідною кількістю дозуючих пристроїв; </w:t>
              <w:br/>
              <w:t xml:space="preserve">по 200 мл або по 1000 мл у флаконі; по 1 флакону разом з дозуючим пристроєм у коробці з картону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"Харківське фармацевтичне підприємство "Здоров'я народу"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UA/13189/01/02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МЕТАДОН-ЗН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pPr>
            <w:r>
              <w:rPr>
                <w:rFonts w:cs="Arial" w:ascii="Arial" w:hAnsi="Arial"/>
                <w:color w:val="000000"/>
                <w:sz w:val="16"/>
                <w:szCs w:val="16"/>
              </w:rPr>
              <w:t>methadone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метадону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N07BC02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розчин оральний, 1 мг/мл по 200 мл або по 1000 мл у флаконах разом з відповідною кількістю дозуючих пристроїв; </w:t>
              <w:br/>
              <w:t xml:space="preserve">по 200 мл або по 1000 мл у флаконі; по 1 флакону разом з дозуючим пристроєм у коробці з картону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"Харківське фармацевтичне підприємство "Здоров'я народу"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sz w:val="16"/>
                <w:szCs w:val="16"/>
              </w:rPr>
              <w:t>UA/13189/01/01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МЕТОДЖЕКТ®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methotrexate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метотрексат (у вигляді метотрексату динатрію)</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L04AX03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0,15 мл (7,5 мг), або по 0,20 мл (10 мг), або по 0,25 мл (12,5 мг), або по 0,30 мл (15 мг), або по 0,35 мл (17,5 мг), або по 0,40 мл (20 мг), або по 0,45 мл (22,5 мг), або по 0,50 мл (25 мг), або по 0,55 мл (27,5 мг), або по 0,60 мл (30 мг) розчину у попередньо заповненому шприці; по 1 шприцу разом із вбудованою ін'єкційною голкою в контурному чарунковому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pPr>
            <w:r>
              <w:rPr>
                <w:rFonts w:cs="Arial" w:ascii="Arial" w:hAnsi="Arial"/>
                <w:color w:val="000000"/>
                <w:sz w:val="16"/>
                <w:szCs w:val="16"/>
              </w:rPr>
              <w:t>виробник, що відповідає за вторинне пакування, маркування, контроль/випробування серії та за випуск серії:</w:t>
              <w:br/>
              <w:t xml:space="preserve">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Онкотек Фарма Продакшн ГмбХ, Німеччина; виробник, що відповідає за вторинне пакування: Штегеманн ГмбХ &amp; Ко. КГ., Німеччина; Медак Гезельшафт фюр клініше Шпеціальпрепарате мбХ, Німеччина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UA/5873/01/02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МІНІРИН МЕЛТ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desmopressin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десмопресину ацетат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оральний по 60 мкг, по 10 ліофілізатів у блістері; по 3 або по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Феррінг Інтернешнл Сентер СА</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контроль якості:</w:t>
              <w:br/>
              <w:t>Каталент Ю.К. Свіндон Зідіс Лімітед, Великобританія;</w:t>
              <w:br/>
              <w:t>вторинне пакування:</w:t>
              <w:br/>
              <w:t>Феррінг Інтернешнл Сентер СА, Швейцарія;</w:t>
              <w:br/>
              <w:t>відповідальний за контроль якості, випуск серії:</w:t>
              <w:br/>
              <w:t>Феррінг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UA/5118/02/01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МІНІРИН МЕЛТ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desmopressin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десмопресину ацетат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оральний по 120 мкг, по 10 ліофілізатів у блістері; по 3 або по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Феррінг Інтернешнл Сентер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контроль якості:</w:t>
              <w:br/>
              <w:t>Каталент Ю.К. Свіндон Зідіс Лімітед, Великобританія;</w:t>
              <w:br/>
              <w:t>вторинне пакування:</w:t>
              <w:br/>
              <w:t>Феррінг Інтернешнл Сентер СА, Швейцарія;</w:t>
              <w:br/>
              <w:t>відповідальний за контроль якості, випуск серії:</w:t>
              <w:br/>
              <w:t>Феррінг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UA/5118/02/02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МІНІРИН МЕЛТ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desmopressin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десмопресину ацетат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H01BA02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оральний по 240 мкг, по 10 ліофілізатів у блістері; по 3 або по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Феррінг Інтернешнл Сентер СА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контроль якості:</w:t>
              <w:br/>
              <w:t>Каталент Ю.К. Свіндон Зідіс Лімітед, Великобританія;</w:t>
              <w:br/>
              <w:t>вторинне пакування:</w:t>
              <w:br/>
              <w:t>Феррінг Інтернешнл Сентер СА, Швейцарія;</w:t>
              <w:br/>
              <w:br/>
              <w:t>відповідальний за контроль якості, випуск серії:</w:t>
              <w:br/>
              <w:t>Феррінг ГмбХ, Німеччина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Великобританія/ Швейцарія/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UA/5118/02/03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МОКСИФЛОКСАЦИН-ФАРМЕКС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моксифлоксацину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J01MA14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400 мг; по 5 таблеток у блістері, по 1 або по 2 блістери в картонній коробці;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"ФАРМЕКС ГРУП"</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UA/16662/01/01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МОРКВИ ДИКОЇ ПЛОДІВ ЕКСТРАКТ РІДКИЙ</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моркви дикої плодів екстракт рідкий (fructuum Dauci sativi)</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екстракт рідкий (субстанція) у бочках полімерних для виробництва нестерильних лікарських форм</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"Галичфарм"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UA/12462/01/01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МОФІЦИН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moxifloxacin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моксифлоксацин (у вигляді моксифлоксацину гідрохлориду)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J01MA14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інфузій, 400 мг/250 мл, по 250 мл розчину у флаконах,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ТЕХНОПАК МАНУФЕКЧЕ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АНФАРМ ХЕЛЛАС С.А.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Грецiя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МУКОФАЛЬК АПЕЛЬСИН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Ispaghula (psylla seeds)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Ispaghula husk (лузга насіння подорожника Plantago ovata Forssk.)</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A06AC01, C10AX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3,25 г/5г; по 5 г гранул у пакеті; по 20 пакетів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Др. Фальк Фарма ГмбХ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відповідальний за випуск серій кінцевого продукту: Др. Фальк Фарма ГмбХ, Німеччина; виробник дозованої форми та контроль якості: Лозан Фарма ГмбХ, Німеччина; виробники, відповідальні за первинне, вторинне пакування та контроль якості: Ліндофарм ГмбХ, Німеччина; Лозан Фарма ГмбХ, Німеччина; виробники, відповідальні за контроль якості: Хенкель АГ і Ко. КГаА, Німеччина; Лабор ЛС СЕ і Ко. КГ, Німеччина; ІМК - Інститут мікробіологічного забезпечення якості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UA/6104/01/01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НАФТИЗИН®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naphazoline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нафазоліну нітрат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R01AA08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краплі назальні 0,05 %; по 10 мл у флаконі; по 1 флакону в пачці з картону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UA/3332/01/01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НАФТИЗИН®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naphazoline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нафазоліну нітрат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R01AA08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краплі назальні 0,1 %; по 10 мл у флаконі; по 1 флакону в пачці з картону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UA/3332/01/02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НЕБІАР® ПЛЮС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nebivolol and thiazides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небіволол (у формі небівололу гідрохлориду); гідрохлортіазид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C07BB12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мг/12,5 мг; по 10 таблеток у блістері; по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ПАТ "Київмедпрепарат", Україна (виробництво (фасування) з продукції in bulk фірми-виробника Файн Фудс енд Фармасьютікалc Н.Т.М. С.П.А., Італiя (виробництво, первинне та вторинне пакування, контроль якості, випуск серії))</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UA/17352/01/01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НЕБІВОЛОЛ/ГІДРОХЛОРТІАЗИД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nebivolol and thiazides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небіволол (у формі небівололу гідрохлориду), гідрохлортіазид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мг/12,5 мг; in bulk: 15 кг ± 10 % таблеток у поліетиленовому пакеті; по 1 пакету в поліетиленовий пакет</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"АРТЕРІУМ ЛТД"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Файн Фудс енд Фармасьютікалc Н.Т.М.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UA/17339/01/01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НЕФАМ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nefopam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 мг/мл, по 2 мл в ампулі, по 5 або 10 ампул у пачці; по 2 мл в ампулі, по 5 ампул у блістері, по 1 або 2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UA/18031/01/01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НЕФОПАМ-ЗДОРОВ`Я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nefopam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нефопаму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N02BG06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20 мг/2 мл; по 2 мл в ампулі, по 5 ампул у картонній коробці з перегородкою; по 2 мл в ампулі, по 5 ампул у блістері, по 1 блістеру у коробці з картону; по 2 мл у флаконі; по 5 флаконів у контурній чарунковій упаковці; по 1 контурній чарунковій упаковці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всі стадії виробництва, контроль якості, випуск серії:</w:t>
              <w:br/>
              <w:t>ТОВАРИСТВО З ОБМЕЖЕНОЮ ВІДПОВІДАЛЬНІСТЮ «КОРПОРАЦІЯ «ЗДОРОВ'Я», Україна;</w:t>
              <w:br/>
              <w:t>всі стадії виробництва, контроль якості, випуск серії:</w:t>
              <w:br/>
              <w:t>Товариство з обмеженою відповідальністю "ФАРМЕКС ГРУП",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UA/17470/01/01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 АРТРОГЕЛЬ</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M02AA26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гель для зовнішнього застосування, 10 мг/г; для виробника КУСУМ ХЕЛТХКЕР ПВТ ЛТД, Індія: по 30 г або 100 г в алюмінієвій або ламінованій тубі; по 1 тубі у картонній упаковці; для виробника ТОВ "КУСУМ", Україна: по 30 г або 100 г в ламінованій тубі; по 1 тубі у картонній упаковці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пакування, вторинне пакування, контроль якості, випуск серії або виробництво продукції in bulk: </w:t>
              <w:br/>
              <w:t xml:space="preserve">КУСУМ ХЕЛТХКЕР ПВТ ЛТД, Індія; </w:t>
              <w:br/>
              <w:t xml:space="preserve">вторинне пакування, випуск серії з продукції in bulk: </w:t>
              <w:br/>
              <w:t>ТОВ «КУСУМ», Україна;</w:t>
              <w:br/>
              <w:t>контроль якості:</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UA/7649/01/01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 АРТРОГЕЛЬ</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гель для зовнішнього застосування, 10 мг/г; in bulk: по 30 г в ламінованій тубі; по 200 туб у картонній упаковці; по 100 г в ламінованій тубі; по 100 туб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ТОВ «КУСУМ»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UA/12014/01/01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M01AX17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100 мг/2 г, in bulk № 350 (1х350): по 2 г в саше, по 350 саше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Кусум Хелтхкер Пвт Лтд</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UA/12051/01/01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НІМІД®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nimesulide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німесулід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M01AX17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гранули, 100 мг/2 г, по 2 г в саше; по 30 саше в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"КУСУМ"</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пакування, вторинне пакування, контроль якості, випуск серії</w:t>
              <w:br/>
              <w:t xml:space="preserve">або </w:t>
              <w:br/>
              <w:t>виробництво продукції in bulk:</w:t>
              <w:br/>
              <w:t>КУСУМ ХЕЛТХКЕР ПВТ ЛТД, Індія;</w:t>
              <w:br/>
              <w:t>виробництво, первинне пакування, вторинне пакування, контроль якості, випуск серії:</w:t>
              <w:br/>
              <w:t>КУСУМ ХЕЛТХКЕР ПВТ ЛТД, Індія;</w:t>
              <w:br/>
              <w:t>виробництво, первинне пакування, вторинне пакування, контроль якості, випуск серії:</w:t>
              <w:br/>
              <w:t>ТОВ «КУСУМ ФАРМ», Україна;</w:t>
              <w:br/>
              <w:t>вторинне пакування, випуск серії з продукції in bulk:</w:t>
              <w:br/>
              <w:t>ТОВ «КУСУМ», Україна;</w:t>
              <w:br/>
              <w:t>контроль якості:</w:t>
              <w:br/>
              <w:t>ТОВ «КУСУМ»,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UA/4240/03/01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НІФУРОКСАЗИД-СПЕРКО</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nifuroxazide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ніфуроксазид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A07AX03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200 мг по 12 капсул в контейнері; по 1 контейнеру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 Україна (повний цикл виробництва, випуск серії; контроль якості)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UA/8638/01/01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НІЦЕРГОЛІН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nicergoline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ніцерголін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(субстанція) у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ВЕЗ Фармахем д.о.о.</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ТАПІ Чех Індастріз с.р.о.</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UA/15078/01/01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ОЗУРДЕКС®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dexamethasone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дексаметазон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S01BA01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імплантат для інтравітреального введення, 700 мкг, по 1 аплікатору, що містить імплантат, разом з пакетом-поглиначем вологи, у пакеті із фольги; по 1 пакету із фольги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Еббві Дойчленд ГмбХ і Ко. КГ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Аллерган Фармасьютікалз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UA/12292/01/01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ОМЛОС ДУО</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Tamsulosin and dutasteride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дутастерид та тамсулозину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G04CA52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тверді, 0,5 мг/0,4 мг; по 30 капсул у флаконі (капсули у поліетиленовому флаконі з кришкою, яка містить осушувач силікагель);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АЛКАЛОЇД АД Скоп’є</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Республіка Північна Македонія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проміжної продукції (дутастерід капсули желатинові м'які), та готового лікарського засобу; первинна та вторинна упаковка, контроль якості (хімічний/фізичний): ЛАБОРАТОРІОС ЛЕОН ФАРМА С.А., Іспанiя; </w:t>
              <w:br/>
              <w:t xml:space="preserve">вторинне пакування (альтернативний виробник): АТДІС ФАРМА, С.Л., Іспанiя; </w:t>
              <w:br/>
              <w:t xml:space="preserve">контроль якості (мікробіологічна чистота): ЛАБОРАТОРІО ЕЧЕВАРНЕ, С.А., Іспанія; </w:t>
              <w:br/>
              <w:t xml:space="preserve">випуск серії: АЛКАЛОЇД АД Скоп’є, Республіка Пiвнiчна Македонія; </w:t>
              <w:br/>
              <w:t xml:space="preserve">виробництво проміжної продукції (пелети тамсулозину з модифікованим вивільненням): К.О. ЗЕНТІВА С.А., Румунія; </w:t>
              <w:br/>
              <w:t xml:space="preserve">вторинне пакування (альтернативний виробник): МАНАНТІАЛ ІНТЕГРА, С.Л.Ю., Іспанiя; </w:t>
              <w:br/>
              <w:t xml:space="preserve">контроль якості (хімічний/фізичний, мікробіологічна чистота): НЕТФАРМАЛАБ КОНСАЛТІНГ СЕРВІСЕС, Іспанія; </w:t>
              <w:br/>
              <w:t xml:space="preserve">контроль якості (хімічний/фізичний): ФУНДАСІОН ТЕКНАЛІЯ РЕЗЕАРЧ ЕНД ІННОВАТЬОН, Іспанія; </w:t>
              <w:br/>
              <w:t>виробництво проміжної продукції (пелети тамсулозину з модифікованим вивільненням) вторинне та первинне пакування (альтернативний виробник): ЛАБОРАТОРІОС ЛІКОНСА, С.А., Іспанія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Румунія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UA/19278/01/01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ОРМАКС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azithromycin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азитроміцин (у формі дигідрату)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J01FA10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250 мг; по 6 капсул у пластиковому контейнері; по 1 контейнеру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Спільне українсько-іспанське підприємство "Сперко Україна", Україна</w:t>
              <w:br/>
              <w:t>повний цикл виробництва, випуск серії;</w:t>
              <w:br/>
              <w:t>контроль якості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UA/11108/01/01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ПАКЛІТАКСЕЛ "ЕБЕВЕ"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paclitaxel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паклітаксел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L01CD01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концентрат для розчину для інфузій, 6 мг/мл; по 5 мл (30 мг), або 16,7 мл (100 мг), або 25 мл (150 мг), або 35 мл (210 мг), або 50 мл (300 мг) у флаконі, по 1 флакону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ЕБЕВЕ Фарма Гес.м.б.Х. Нфг. КГ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повний цикл виробництва: ФАРЕВА Унтерах ГмбХ, Австрія; випуск серії: ЕБЕВЕ Фарма Гес.м.б.Х. Нфг. КГ, Австрія; тестування:</w:t>
              <w:br/>
              <w:t>МПЛ Мікробіологішес Прюфлабор ГмбХ, Австрія; тестування: Лабор ЛС СЕ &amp; Ко. КГ, Німеччина; тестування: Зейберсдорф Лабор ГмбХ, Австрія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UA/0714/01/01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ПАНКРЕАТИН ФОРТЕ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Multienzymes (lipase, protease etc.)</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панкреатин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A09AA02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кишковорозчинні, по 10 таблеток у блістері; по 2, 4, 5 або по 6 блістерів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"ВІТАМІНИ"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UA/0337/01/01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ПАНТЕНОЛ-ТЕВА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dexpanthenol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декспантенол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D03AX03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мазь 5 %; по 35 г мазі у тубі; по 1 тубі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Випуск серії: Меркле ГмбХ, Німеччина; Виробництво нерозфасованої продукції, первинна та вторинна упаковка, контроль якості:</w:t>
              <w:br/>
              <w:t>Меркле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UA/7142/01/01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ПОСТЕРИЗАН ФОРТЕ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shd w:fill="FFFFFF" w:val="clear"/>
              </w:rPr>
              <w:t>стандартизована суспензія культури бактерій (містить 1,0 × 10</w:t>
            </w:r>
            <w:r>
              <w:rPr>
                <w:rFonts w:cs="Arial" w:ascii="Arial" w:hAnsi="Arial"/>
                <w:color w:val="000000"/>
                <w:sz w:val="16"/>
                <w:szCs w:val="16"/>
                <w:vertAlign w:val="superscript"/>
              </w:rPr>
              <w:t>9</w:t>
            </w:r>
            <w:r>
              <w:rPr>
                <w:rFonts w:cs="Arial" w:ascii="Arial" w:hAnsi="Arial"/>
                <w:color w:val="000000"/>
                <w:sz w:val="16"/>
                <w:szCs w:val="16"/>
                <w:shd w:fill="FFFFFF" w:val="clear"/>
              </w:rPr>
              <w:t xml:space="preserve"> E.coli, убитих і законсервованих у зрідженому фенолі), гідрокортизон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C05AA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супозиторії; по 5 супозиторіїв у стрипі; по 2 стрипи в картонній пачці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Др. Каде Фармацевтична Фабрика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Др. Каде Фармацевтична Фабрика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UA/4864/02/02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ПОТЕНЦІАЛЕ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силденафілу цитрат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50 мг; по 2 таблетки у блістері; по 1 або по 2 блістери у пачці з картону; по 1 таблетці у блістері; по 1 або по 2, або по 4 блістери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UA/6415/01/02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ПОТЕНЦІАЛЕ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sildenafil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силденафілу цитрат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G04BE03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100 мг; по 2 таблетки у блістері; по 1 або по 2 блістери у пачці з картону; по 1 таблетці у блістері; по 1 або по 2, або по 4 блістери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UA/6415/01/01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ПРАКСБАЙНД®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idarucizumab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ідаруцизумаб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V03AB37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ін`єкцій/інфузій, 2,5 г/50 мл; по 50 мл у флаконі; по 2 флакони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первинне та вторинне пакування, контроль якості та випуск серії: Берінгер Інгельхайм Фарма ГмбХ і Ко. КГ, Німеччина; </w:t>
              <w:br/>
              <w:t>Альтернативна лабораторія для контролю якості протягом випробування стабільності: Кволіті Ассістанс СА, Бельгія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Бельгія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UA/15467/01/01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10 МГ/10 МГ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мг/10 мг; по 30 або 100 таблеток у контейнері для таблеток; по 1 контейнеру для таблеток у коробці з картону пакувального</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UA/15827/01/02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10 МГ/5 МГ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 мг/5 мг; по 30 або 100 таблеток у контейнері для таблеток; по 1 контейнеру для таблеток у коробці з картону пакувального</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5 МГ/10 МГ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мг/10 мг; по 30 або 100 таблеток у контейнері для таблеток; по 1 контейнеру для таблеток у коробці з картону пакувального</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ПРЕСТИЛОЛ® 5 МГ/5 МГ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Perindopril and bisoprolol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бісопрололу фумарат та периндоприлу аргінін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/5 мг; по 10, 30 або 100 таблеток у контейнері для таблеток; по 1 контейнеру для таблеток у коробці з картону пакувального</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ЛЄ ЛАБОРАТУАР СЕРВ'Є</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аналіз, первинне та вторинне пакування, випуск серії: Лабораторії Серв'є Індастрі, Франція; первинне та вторинне пакування, випуск серії: Серв'є (Ірландія) Індастріс Лтд, Ірландія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 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ПРОЛІА®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denosumab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деносумаб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M05BX04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60 мг/мл; по 1 мл розчину в скляному попередньо наповненому шприці з голкою, закритою ковпачком, із захисним пристроєм від випадкового уколу голкою; по 1 попередньо заповненому шприцу з захисним пристроєм в блістері; по 1 блістеру в картонній коробці; по 1 мл розчину в скляному попередньо заповненому шприці з голкою, закритою ковпачком; по 1 попередньо заповненому шприцу в блістері або без блістера, поміщеному в картонну коробку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Амджен Європа Б.В.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Нiдерланди</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Амджен Мануфекчурінг Лімітед, США; вторинне пакування та випуск серії: Амджен Європа Б.В., Нідерланди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 Нідерланди</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UA/12077/01/01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ПРОСТАН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finasteride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фінастерид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G04CB01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5 мг по 10 таблеток у блістері, по 1 або 3 блістери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"Технолог"</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UA/8262/01/01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ПУРЕГОН®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follitropin beta</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фолітропін бета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G03GA06</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833 МО/мл; по 0,420 мл (300 МО/0,36 мл) або 0,780 мл (600 МО/0,72 мл) у картриджі; по 1 картриджу у відкритому пластиковому лотку в комплекті з голками, по 2 комплекти голок – 2 картонні коробки (кожен комплект по 3 голки, кожна голка в індивідуальному пластиковому контейнері)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Органон Сентрал Іст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та первинна упаковка,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Контроль якості, тестування стерильності та бактеріальних ендотоксинів готового лікарського засобу (контроль якості та тестування стабільності), візуальна інспекція: Веттер Фарма-Фертигунг ГмбХ і Ко. КГ, Німеччина; Візуальна інспекція: Веттер Фарма-Фертигунг ГмбХ і Ко. КГ, Німеччина; Контроль якості та тестування стабільності, вторинна упаковка, дозвіл на випуск серії:</w:t>
              <w:br/>
              <w:t>Н.В. Органон, Нідерланди</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Нідерланди</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UA/5023/01/01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2,5 мг/12,5 мг, по 10 таблеток у блістері; по 3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UA/12569/01/01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мг/25 мг, по 10 таблеток у блістері; по 3 блістери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UA/12569/01/02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5 мг/12,5 мг; по 10 таблеток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UA/15545/01/02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РАМІЗЕС® КОМ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Ramipril and diuretics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раміприл і гідрохлоротіазид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C09BA05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10 мг/25 мг; по 10 таблеток у блістері; по 3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UA/15545/01/01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РАМІПРИЛ-ДАРНИЦЯ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ramipril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C09AA05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 мг; по 10 таблеток у блістері; по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РАМІПРИЛ-ДАРНИЦЯ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ramipril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раміприл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C09AA05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3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ПрАТ "Фармацевтична фірма "Дарниця"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UA/19736/01/02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РАПІРА® ЕФЕРТАБ 600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acetylcysteine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ацетилцистеїн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R05CB01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шипучі по 600 мг; по 10 таблеток у тубі, по 1 тубі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Е-Фарма Тренто С.П.А.</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UA/19359/01/01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РЕНАЛГАН®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Pitofenone and analgesics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метамізол натрію, пітофенону гідрохлорид, фенпіверинію бромід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A03DA02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таблеток у блістері; по 1 або 2 блістери у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 - Харків",</w:t>
              <w:br/>
              <w:t xml:space="preserve">Україна; </w:t>
              <w:br/>
              <w:t>ПрАТ "Технолог",</w:t>
              <w:br/>
              <w:t>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умов відпуску в наказі МОЗ України</w:t>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rPr>
                <w:rFonts w:ascii="Arial" w:hAnsi="Arial" w:cs="Arial"/>
                <w:b/>
                <w:color w:val="000000"/>
                <w:sz w:val="16"/>
                <w:szCs w:val="16"/>
              </w:rPr>
            </w:pPr>
            <w:r>
              <w:rPr>
                <w:rFonts w:cs="Arial" w:ascii="Arial" w:hAnsi="Arial"/>
                <w:b/>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b/>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UA/1530/01/01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250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500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1000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2000 МО; 1 флакон з ліофілізатом у комплекті з 1 попередньо наповненим шприцом з розчинником по 4 мл (натрію хлорид (9 мг/мл), вода для ін’єкцій), 1 адаптером для флакону, 1 системою для інфузії, 2 тампонами зі спиртом, 1 пластирем та 1 марлевою подушечкою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ліофілізату за повним циклом; контроль якості розчинника (окрім дослідження сили тертя поршня), вторинне пакування розчинника у набір з препаратом; відповідальний за випуск серії: Ваєт Фарма С.А., Іспанiя; альтернативна лабораторія для тестування препарату за показником "Стерильність": Лабораторія Біолаб, С.Л., Іспанiя; виробництво розчинника в шприцах, контроль якості розчинника: Веттер Фарма-Фертигунг ГмбХ &amp; Ко. КГ, Німеччина; виробництво розчинника в шприцах, контроль якості розчинника (окрім дослідження герметичності): Веттер Фарма-Фертигунг ГмбХ &amp; Ко. КГ, Німеччина; візуальний контроль розчинника, контроль якості розчинника (окрім дослідження герметичності, сили тертя поршня): Веттер Фарма-Фертигунг ГмбХ &amp; Ко. КГ, Німеччина; </w:t>
              <w:br/>
              <w:t>візуальний контроль розчинника, контроль якості розчинника (дослідження герметичності, сили тертя поршня)):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II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РЕФАКТО АФ</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Coagulation factor VIII</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мороктоког альфа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B02BD02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ліофілізат для розчину для ін’єкцій по 3000 МО; 1 попередньо наповнений шприц з ліофілізатом у верхній камері та розчинником по 4 мл у нижній камері, 1 шток поршня, 1 система для інфузії, 2 тампони зі спиртом, 1 пластир, 1 марлева подушечка та 1 ковпачок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Пфайзер Ейч.Сі.Пі. Корпорейшн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контроль якості при випуску серій та при дослідженні стабільності, маркування, вторинне пакування, випуск серії: Ваєт Фарма С.А., Іспанiя; виробництво лікарського засобу, контроль якості: Веттер Фарма-Фертигунг ГмбХ &amp; Ко. КГ, Німеччина; візуальний контроль лікарського засобу, контроль якості лікарського засобу: Веттер Фарма-Фертигунг ГмбХ &amp; Ко. КГ, Німеччина; візуальний контроль лікарського засобу, контроль якості лікарського засобу: Веттер Фарма-Фертигунг ГмбХ &amp; Ко. КГ, Німеччина; візуальний контроль лікарського засобу: Веттер Фарма-Фертигунг ГмбХ &amp; Ко. КГ,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UA/15929/01/05</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РИСПЕРИДОН-ТЕВА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 мг;</w:t>
              <w:br/>
              <w:t xml:space="preserve">по 10 таблеток у блістері; по 2 або 3, або 6, або 9 блістерів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UA/20419/01/01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РИСПЕРИДОН-ТЕВА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4 мг;</w:t>
              <w:br/>
              <w:t xml:space="preserve">по 10 таблеток у блістері; по 2 або 3, або 6, або 9 блістерів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«Тева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Фармацевтичний завод Тева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Угорщина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UA/20419/01/02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РИСПОЛЕПТ®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risperidone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рисперидон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N05AX08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 мг; по 10 таблеток в блістері; по 2 або по 6 блістерів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«Джонсон і Джонсон Україна II»</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Янссен-Сілаг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UA/0692/01/02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РИФАМПІЦИН 75 МГ ТА ІЗОНІАЗИД 50 МГ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rifampicin and isoniazid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рифампіцин, ізоніазид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J04AM02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дисперговані по 75 мг/50 мг; по 28 таблеток у стрипі; по 3 стрипи у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Маклеодс Фармасьютикалс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UA/16648/01/01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СЕВІКАР НСТ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Olmesartan medoxomil, amlodipine and hydrochlorothiazide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олмесартану медоксоміл, амлодипіну бесилат та гідрохлоротіазид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C09DX03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20 мг/5 мг/12,5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Даічі Санкіо Юроуп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UA/17662/01/01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СЕВІКАР НСТ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Olmesartan medoxomil, amlodipine and hydrochlorothiazide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олмесартану медоксоміл, амлодипіну бесилат та гідрохлоротіазид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C09DX03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40 мг/10 мг/12,5 мг; по 14 таблеток у блістері; по 2 блістера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Зентіва, 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Чеська Республiка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Даічі Санкіо Юроуп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UA/17662/01/04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СЕЗОНІЯ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levocetirizine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левоцетиризину дигідрохлорид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R06AE09</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 мг; по 10 таблеток у блістері; по 1, по 2, по 3, або по 10 блістерів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"Представництво БАУМ ФАРМ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ТОВ "АСТРАФАРМ", Україна; Сертифікація серії та видача дозволу на реалізацію (випуск) серії:</w:t>
              <w:br/>
              <w:t>ТОВ «Представництво БАУМ ФАРМ ГМБХ», Україна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СІНДЖАРДІ®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 and empagliflozin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емпагліфлозин та метформіну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A10BD20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5 мг/1000 мг; по 10 таблеток в блістері; по 6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Берінгер Інгельхайм Фарма ГмбХ і Ко. КГ, Німеччина;</w:t>
              <w:br/>
              <w:t xml:space="preserve">виробництво, контроль якості (за винятком тесту «Мікробіологічна чистота»), первинне та вторинне пакування, випуск серії: </w:t>
              <w:br/>
              <w:t xml:space="preserve">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w:t>
              <w:br/>
              <w:t xml:space="preserve">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 СГС Інститут Фрезеніус ГмбХ, Німеччина; </w:t>
              <w:br/>
              <w:t>Лабор ЛС СЕ енд Ко. КГ, Німеччина; К`юЕйСіЕс ЛТД, Грецiя; альтернативна лабораторія для контролю N-нітрозодиметиламіну (NDMA):</w:t>
              <w:br/>
              <w:t>К'юЕйСіЕс ЛТД, Греція; Солвіас АГ,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Греція/ Франція/ Сполучені Штати Америки/ Швейцарія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UA/15724/01/01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 xml:space="preserve">СІНДЖАРДІ®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 and empagliflozin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емпагліфлозин та метформіну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A10BD20</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12,5 мг/1000 мг; по 10 таблеток в блістері; по 6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Берінгер Інгельхайм Інтернешнл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контроль якості, випуск серії: Берінгер Інгельхайм Фарма ГмбХ і Ко. КГ, Німеччина;</w:t>
              <w:br/>
              <w:t xml:space="preserve">виробництво, контроль якості (за винятком тесту «Мікробіологічна чистота»), первинне та вторинне пакування, випуск серії: </w:t>
              <w:br/>
              <w:t xml:space="preserve">Берінгер Інгельхайм Хеллас Сингл Мембер С.А., Греція; первинне та вторинне пакування, контроль якості, випуск серії: ПАТЕОН ФРАНЦІЯ, Франція; виробництво таблеток "in bulk" та контроль якості: Патеон Пуерто Рико. Інк., Сполучені Штати Америки; </w:t>
              <w:br/>
              <w:t xml:space="preserve">контроль якості (за винятком тесту "Мікробіологічна чистота"): А енд Ем ШТАБТЕСТ Лабор фур Аналітик унд Стабілітатспруфунг ГмбХ, Німеччина; контроль якості при дослідженні стабільності (за винятком тесту "Мікробіологічна чистота"): Еврофінс ФАСТ ГмбХ, Німеччина; альтернативна лабораторія для контролю тесту "Мікробіологічна чистота": СГС Інститут Фрезеніус ГмбХ, Німеччина; </w:t>
              <w:br/>
              <w:t>Лабор ЛС СЕ енд Ко. КГ, Німеччина; К`юЕйСіЕс ЛТД, Грецiя; альтернативна лабораторія для контролю N-нітрозодиметиламіну (NDMA):</w:t>
              <w:br/>
              <w:t>К'юЕйСіЕс ЛТД, Греція; Солвіас АГ, Швейцарія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Греція/ Франція/ Сполучені Штати Америки/ Швейцарія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UA/15722/01/01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СІНРАЙЗ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C1-inhibitor, plasma derived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інгібітор С1-естерази людини, одержаний з плазми</w:t>
              <w:br/>
              <w:t>донорської крові людини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B06AC01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по 2 флакони з порошком, 2 флакони з розчинником, 2 пристрої для перенесення з фільтром, 2 одноразових шприци об’ємом 10 мл, 2 набори для венепункції і 2 захисних килимки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Такеда Мануфекчурінг Австрія АГ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дозвіл на випуск серії:</w:t>
              <w:br/>
              <w:t>Такеда Мануфекчурінг Австрія АГ, Австрія;</w:t>
              <w:br/>
              <w:t>виробництво ГЛЗ, первинне та вторинне пакування ГЛЗ, контроль якості серії:</w:t>
              <w:br/>
              <w:t>Такеда Мануфекчурінг Австрія АГ, Австрія;</w:t>
              <w:br/>
              <w:t>контроль якості серії: "Стерильність" та "Ендотоксини":</w:t>
              <w:br/>
              <w:t>Такеда Мануфекчурінг Австрія АГ, Австрія;</w:t>
              <w:br/>
              <w:t>виробництво, первинне пакування та контроль якості розчинника:</w:t>
              <w:br/>
              <w:t>Зігфрід Хамельн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уточнення реєстраційної процедури в наказі МОЗ України</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UA/18748/01/01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СІНРАЙЗ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C1-inhibitor, plasma derived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інгібітор С1-естерази людини, одержаний з плазми</w:t>
              <w:br/>
              <w:t>донорської крові людини</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B06AC01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та розчинник для розчину для ін'єкцій по 500 МО; по 2 флакони з порошком, 2 флакони з розчинником, 2 пристрої для перенесення з фільтром, 2 одноразових шприци об’ємом 10 мл, 2 набори для венепункції і 2 захисних килимки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Такеда Мануфекчурінг Австрія АГ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дозвіл на випуск серії: Такеда Мануфекчурінг Австрія АГ, Австрія; виробництво ГЛЗ, первинне та вторинне пакування ГЛЗ, контроль якості серії: Такеда Мануфекчурінг Австрія АГ, Австрія; контроль якості серії: "Стерильність" та "Ендотоксини": Такеда Мануфекчурінг Австрія АГ, Австрія; виробництво, первинне пакування та контроль якості розчинника: Зігфрід Хамельн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UA/18748/01/01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СМЕКТА® ПОЛУНИЦЯ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діосмектит (смектит діоктаедричний)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A07BC05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оральної суспензії, 3 г; по 3,76 г порошку у пакетику; по 12 пакетиків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ІНДУСТРІ </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UA/16117/01/01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СМЕКТА® ПОЛУНИЦЯ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diosmectite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діосмектит (смектит діоктаедричний)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A07BC05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порошок для оральної суспензії, 3 г; по 3,76 г порошку у пакетику; по 12 пакетиків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UA/16117/01/01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СМОФЛІПІД 20 %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Fat emulsions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олія соєва рафінована,  тригліцериди середнього ланцюга, олія оливкова рафінована, риб’ячий жир очищений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B05BA02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емульсія для інфузій; по 100 мл, або по 250 мл, або по 500 мл у флаконі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Дойчланд ГмбХ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Фрезеніус Кабі Австрія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Австрія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UA/13846/01/01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СОЛПАДЕЇН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кофеїн, кодеїну фосфату гемігідрат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12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Халеон ЮК Трейдінг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ГлаксоСмітКлайн Дангарван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Ірландія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UA/4740/03/01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СОТАЛОЛ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sotalol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соталолу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C07AA07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80 мг по 10 таблеток у блістері; по 5 блістерів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UA/4449/01/02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СОТАЛОЛ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sotalol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соталолу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C07AA07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таблетки по 160 мг по 10 таблеток у блістері; по 5 блістерів у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первинне і вторинне пакування, випуск серії:</w:t>
              <w:br/>
              <w:t>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UA/4449/01/03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СОТАЛОЛ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sotalol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соталолу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C07AA07</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40 мг; по 10 таблеток у блістері; по 5 блістерів у картонній коробці або по 25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UA/4449/01/01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СТОРВАС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atorvastatin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кальцієва сіль аторвастатину</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C10AA05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20 мг; по 10 таблеток у блістері; по 3 або по 9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 Фармасьютикал Індастріз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Технічна помилка</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UA/0778/01/02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СТРЕПСІЛС® БЕЗ ЦУКРУ, ЗІ СМАКОМ ЛИМОНА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льодяники; по 8 льодяників у блістері; по 2 блістери в картонній коробці; по 12 льодяників у блістері; по 1 або по 2 блістери в картонній коробці </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UA/4927/01/01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СТРЕПСІЛС® З ВІТАМІНОМ С ЗІ СМАКОМ АПЕЛЬСИНА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2,4-дихлорбензиловий спирт; амілметакрезол; натрію аскорбат; аскорбінова кислота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R02AA03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льодяники; по 12 льодяників у блістері; по 2 блістери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Реккітт Бенкізер Хелскер Інтернешнл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Велика Британія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UA/7436/01/01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ТАНАКАН®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Ginkgo folium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Гінкго (Ginkgo biloba L.) (сухий екстракт листя, очищений і кількісно визначений)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N06DX02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 мг; по 15 таблеток у блістері; по 2 або 6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ФАРМА ФРАНС </w:t>
              <w:br/>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ІНДУСТРІ</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UA/9822/01/01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ТАНАКАН®</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Ginkgo folium</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Гінкго (Ginkgo biloba L.) (сухий екстракт листя, очищений і кількісно визначений)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N06DX02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40 мг; по 15 таблеток у блістері; по 2 або 6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МАЙОЛІ ФАРМА ФРАНС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МАЙОЛІ ІНДУСТРІ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UA/9822/01/01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ТАНТУМ ВЕРДЕ®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benzydamine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бензидаміну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A01AD02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ротової порожнини, 1,5 мг/мл; по 120 мл або 240 мл у флаконі з мірним стаканчиком;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Азіенде Кіміке Ріуніте Анжеліні Франческо А.К.Р.А.Ф. С.п.А.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Азіенде Кіміке Ріуніте Анжеліні Франческо А.К.Р.А.Ф. С.п.А.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Італія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UA/3920/01/01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5 мг; по 5 або 20 капсул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 мг; по 5 або 20 капсул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100 мг; по 5 або 20 капсул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140 мг; по 5 капсул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180 мг; по 5 капсул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UA/13562/01/05</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ТЕМОМЕДАК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temozolomide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темозоломід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L01AX03</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250 мг; по 5 капсул у флаконі, по 1 флакону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вторинну упаковку, контроль/випробування серії, дозвіл на випуск серії: Медак Гезельшафт фюр клініше Шпеціальпрепарате мбХ, Німеччина; відповідають за виробництво нерозфасованої продукції, первинну упаковку, контроль/випробування серії: Хаупт Фарма Амарег ГмбХ, Німеччина; Нерфарма С.р.Л., Італiя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Італiя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UA/13562/01/06</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ТЕЦЕНТРИК®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atezolizumab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атезолізумаб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L01FF05 </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концентрат для розчину для інфузій по 1200 мг/20 мл; по 20 мл у флаконі;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«Рош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нерозфасованої продукції, первинне пакування, випробування контролю якості:</w:t>
              <w:br/>
              <w:t xml:space="preserve">Рош Діагностикс ГмбХ, Німеччина; Виробництво нерозфасованої продукції, первинне пакування, вторинне пакування, випробування контролю якості, випуск серії: Ф.Хоффманн-Ля Рош Лтд, Швейцарія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Швейцарія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UA/15872/01/01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ТИМОДРОПС 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Timolol,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дорзоламіду гідрохлорид і тимололу малеат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S01ED51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очні, розчин дорзоламіду 2% та тимололу 5%; по 5 мл у флаконі-крапельниці; по 1 або по 3 флакони-крапельниці в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Мікро Лабс Лімітед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UA/20266/01/01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Т-МЕКСАТ®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Ethylmethylhydroxypiridine succinate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sz w:val="16"/>
                <w:szCs w:val="16"/>
                <w:lang w:eastAsia="en-US"/>
              </w:rPr>
              <w:t>етилметилгідроксипіридину сукцинат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sz w:val="16"/>
                <w:szCs w:val="16"/>
                <w:lang w:eastAsia="en-US"/>
              </w:rPr>
              <w:t>N07X 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2 мл в ампулі; по 5 ампул у блістері, по 2 блістери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"БФК "САЛЮТАРІС"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UA/20667/01/01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ТОККАТА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толперизону гідрохлорид, лідокаїну гідрохлориду моногідрат</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M03BX04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мл в ампулі; по 5 ампул у блістері; по 1 або по 2 блістери у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UA/16510/01/01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ТОЛПЕРІЛ-ЗДОРОВ'Я</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толперизону гідрохлорид, лідокаїну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M03BX04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по 1 мл в ампулі; по 5 ампул у блістері; по 1 блістеру у коробці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ТОВАРИСТВО З ОБМЕЖЕНОЮ ВІДПОВІДАЛЬНІСТЮ «КОРПОРАЦІЯ «ЗДОРОВ’Я»</w:t>
              <w:br/>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UA/19576/01/01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виробництво за повним циклом: Лек С.А., Польща; 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Німеччина; виробництво за повним циклом: Лек С.А., Польща; </w:t>
              <w:br/>
              <w:t>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UA/9619/01/04</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50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Салютас Фарма ГмбХ, Німеччина; Лек С.А., Польща; первинне та вторинне пакування, випуск серії:</w:t>
              <w:br/>
              <w:t>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UA/9619/01/05</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100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Німеччина; виробництво за повним циклом: Лек С.А., Польща; </w:t>
              <w:br/>
              <w:t>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UA/9619/01/06</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ТОРАСЕМІД САНДОЗ®</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torasemide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торасемід безводний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C03CA04</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200 мг по 10 таблеток у блістері; по 2 або 3, або 9, або 10 блістерів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Сандоз Фармасьютікалз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Словенія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виробництво за повним циклом: Салютас Фарма ГмбХ, Німеччина; виробництво за повним циклом: Лек С.А., Польща; </w:t>
              <w:br/>
              <w:t>первинне та вторинне пакування, випуск серії: Лек С.А., Польща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Польща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UA/9619/01/07</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ТРАНЕКСАМОВА КИСЛОТА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tranexamic acid</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транексамова кислота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B02AA02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100 мг/мл, по 5 мл в ампулі; по 5 ампул в блістері; по 1 блістеру в пачці; по 5 мл в ампулі; по 5 ампул в блістері; по 2 блістери в пачці; по 5 мл в ампулі; по 5 ампул в блістері; по 10 блістерів в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Приватне акціонерне товариство "Лекхім-Харків"</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UA/17082/01/01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УЛЬТРАВІСТ 300</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iopromide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йопромід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V08AB05</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та інфузій, 300 мг/мл; по 100 мл у флаконі; по 1 флакону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Байєр АГ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продукції in-bulk, первинне пакування, вторинне пакування, контроль серії, випуск серії:</w:t>
              <w:br/>
              <w:t>Байєр АГ, Німеччина; виробництво продукції in-bulk, первинне пакування, вторинне пакування, контроль серії, випуск серії:</w:t>
              <w:br/>
              <w:t>Берлімед, С.А., Іспанiя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Іспанiя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UA/1986/01/01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в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СЕПТОДОНТ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в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СЕПТОДОНТ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w:t>
            </w:r>
          </w:p>
          <w:p>
            <w:pPr>
              <w:pStyle w:val="Normal"/>
              <w:jc w:val="center"/>
              <w:rPr>
                <w:rFonts w:ascii="Arial" w:hAnsi="Arial" w:cs="Arial"/>
                <w:sz w:val="16"/>
                <w:szCs w:val="16"/>
              </w:rPr>
            </w:pPr>
            <w:r>
              <w:rPr>
                <w:rFonts w:cs="Arial" w:ascii="Arial" w:hAnsi="Arial"/>
                <w:sz w:val="16"/>
                <w:szCs w:val="16"/>
              </w:rPr>
              <w:t>Зміни І типу</w:t>
            </w:r>
          </w:p>
          <w:p>
            <w:pPr>
              <w:pStyle w:val="Normal"/>
              <w:jc w:val="center"/>
              <w:rPr>
                <w:rFonts w:ascii="Arial" w:hAnsi="Arial" w:cs="Arial"/>
                <w:sz w:val="16"/>
                <w:szCs w:val="16"/>
              </w:rPr>
            </w:pPr>
            <w:r>
              <w:rPr>
                <w:rFonts w:cs="Arial" w:ascii="Arial" w:hAnsi="Arial"/>
                <w:sz w:val="16"/>
                <w:szCs w:val="16"/>
              </w:rPr>
            </w:r>
          </w:p>
          <w:p>
            <w:pPr>
              <w:pStyle w:val="Normal"/>
              <w:jc w:val="center"/>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t>Зміни II типу</w:t>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rPr>
                <w:rFonts w:ascii="Arial" w:hAnsi="Arial" w:cs="Arial"/>
                <w:sz w:val="16"/>
                <w:szCs w:val="16"/>
              </w:rPr>
            </w:pPr>
            <w:r>
              <w:rPr>
                <w:rFonts w:cs="Arial" w:ascii="Arial" w:hAnsi="Arial"/>
                <w:sz w:val="16"/>
                <w:szCs w:val="16"/>
              </w:rPr>
            </w:r>
          </w:p>
          <w:p>
            <w:pPr>
              <w:pStyle w:val="Normal"/>
              <w:rPr>
                <w:rFonts w:ascii="Arial" w:hAnsi="Arial" w:cs="Arial"/>
                <w:color w:val="000000"/>
                <w:sz w:val="16"/>
                <w:szCs w:val="16"/>
              </w:rPr>
            </w:pPr>
            <w:r>
              <w:rPr>
                <w:rFonts w:eastAsia="Arial" w:cs="Arial" w:ascii="Arial" w:hAnsi="Arial"/>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в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СЕПТОДОНТ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 Лабораторіос Інібса С.А., Іспанія; Випуск серії для препарату в картриджах: СЕПТОДОНТ, Франція; Виробництво, первинне та вторинне пакування, маркування, контроль якості та випуск серії для препарату в ампулах: ДЕЛЬФАРМ ДІЖОН, Франція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Санофі-Авентіс Дойчланд ГмбХ, Німеччина: №100 (10х10): по 2 мл в ампулі; по 10 ампул у картонній чарунковій упаковці; по 1 картонній чарунковій упаковці в картонній коробці; по 10 картонних коробок, обтягнених плівкою цифленовою;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 Німеччина;</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розчин для ін'єкцій, Для виробника СЕПТОДОНТ, Франція.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СЕПТОДОНТ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pPr>
            <w:r>
              <w:rPr>
                <w:rFonts w:cs="Arial" w:ascii="Arial" w:hAnsi="Arial"/>
                <w:color w:val="000000"/>
                <w:sz w:val="16"/>
                <w:szCs w:val="16"/>
                <w:lang w:val="ru-RU"/>
              </w:rPr>
              <w:t>Франц</w:t>
            </w:r>
            <w:r>
              <w:rPr>
                <w:rFonts w:cs="Arial" w:ascii="Arial" w:hAnsi="Arial"/>
                <w:color w:val="000000"/>
                <w:sz w:val="16"/>
                <w:szCs w:val="16"/>
              </w:rPr>
              <w:t>i</w:t>
            </w:r>
            <w:r>
              <w:rPr>
                <w:rFonts w:cs="Arial" w:ascii="Arial" w:hAnsi="Arial"/>
                <w:color w:val="000000"/>
                <w:sz w:val="16"/>
                <w:szCs w:val="16"/>
                <w:lang w:val="ru-RU"/>
              </w:rPr>
              <w:t>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Іспанія/</w:t>
            </w:r>
          </w:p>
          <w:p>
            <w:pPr>
              <w:pStyle w:val="112"/>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jc w:val="center"/>
              <w:rPr>
                <w:rFonts w:ascii="Arial" w:hAnsi="Arial" w:cs="Arial"/>
                <w:sz w:val="16"/>
                <w:szCs w:val="16"/>
              </w:rPr>
            </w:pPr>
            <w:r>
              <w:rPr>
                <w:rFonts w:cs="Arial" w:ascii="Arial" w:hAnsi="Arial"/>
                <w:sz w:val="16"/>
                <w:szCs w:val="16"/>
              </w:rPr>
            </w:r>
          </w:p>
          <w:p>
            <w:pPr>
              <w:pStyle w:val="Normal"/>
              <w:jc w:val="center"/>
              <w:rPr>
                <w:rFonts w:ascii="Arial" w:hAnsi="Arial" w:cs="Arial"/>
                <w:sz w:val="16"/>
                <w:szCs w:val="16"/>
              </w:rPr>
            </w:pPr>
            <w:r>
              <w:rPr>
                <w:rFonts w:cs="Arial" w:ascii="Arial" w:hAnsi="Arial"/>
                <w:sz w:val="16"/>
                <w:szCs w:val="16"/>
              </w:rPr>
            </w:r>
          </w:p>
          <w:p>
            <w:pPr>
              <w:pStyle w:val="Normal"/>
              <w:jc w:val="center"/>
              <w:rPr>
                <w:rFonts w:ascii="Arial" w:hAnsi="Arial" w:cs="Arial"/>
                <w:sz w:val="16"/>
                <w:szCs w:val="16"/>
                <w:lang w:val="ru-RU"/>
              </w:rPr>
            </w:pPr>
            <w:r>
              <w:rPr>
                <w:rFonts w:cs="Arial" w:ascii="Arial" w:hAnsi="Arial"/>
                <w:sz w:val="16"/>
                <w:szCs w:val="16"/>
                <w:lang w:val="ru-RU"/>
              </w:rPr>
              <w:t xml:space="preserve">Зміни </w:t>
            </w:r>
            <w:r>
              <w:rPr>
                <w:rFonts w:cs="Arial" w:ascii="Arial" w:hAnsi="Arial"/>
                <w:sz w:val="16"/>
                <w:szCs w:val="16"/>
              </w:rPr>
              <w:t>II</w:t>
            </w:r>
            <w:r>
              <w:rPr>
                <w:rFonts w:cs="Arial" w:ascii="Arial" w:hAnsi="Arial"/>
                <w:sz w:val="16"/>
                <w:szCs w:val="16"/>
                <w:lang w:val="ru-RU"/>
              </w:rPr>
              <w:t xml:space="preserve"> типу </w:t>
            </w:r>
          </w:p>
          <w:p>
            <w:pPr>
              <w:pStyle w:val="Normal"/>
              <w:jc w:val="center"/>
              <w:rPr>
                <w:rFonts w:ascii="Arial" w:hAnsi="Arial" w:cs="Arial"/>
                <w:sz w:val="16"/>
                <w:szCs w:val="16"/>
                <w:lang w:val="ru-RU"/>
              </w:rPr>
            </w:pPr>
            <w:r>
              <w:rPr>
                <w:rFonts w:cs="Arial" w:ascii="Arial" w:hAnsi="Arial"/>
                <w:sz w:val="16"/>
                <w:szCs w:val="16"/>
                <w:lang w:val="ru-RU"/>
              </w:rPr>
            </w:r>
          </w:p>
          <w:p>
            <w:pPr>
              <w:pStyle w:val="Normal"/>
              <w:jc w:val="center"/>
              <w:rPr>
                <w:rFonts w:ascii="Arial" w:hAnsi="Arial" w:cs="Arial"/>
                <w:sz w:val="16"/>
                <w:szCs w:val="16"/>
                <w:lang w:val="ru-RU"/>
              </w:rPr>
            </w:pPr>
            <w:r>
              <w:rPr>
                <w:rFonts w:cs="Arial" w:ascii="Arial" w:hAnsi="Arial"/>
                <w:sz w:val="16"/>
                <w:szCs w:val="16"/>
                <w:lang w:val="ru-RU"/>
              </w:rPr>
            </w:r>
          </w:p>
          <w:p>
            <w:pPr>
              <w:pStyle w:val="Normal"/>
              <w:jc w:val="center"/>
              <w:rPr>
                <w:rFonts w:ascii="Arial" w:hAnsi="Arial" w:cs="Arial"/>
                <w:sz w:val="16"/>
                <w:szCs w:val="16"/>
                <w:lang w:val="ru-RU"/>
              </w:rPr>
            </w:pPr>
            <w:r>
              <w:rPr>
                <w:rFonts w:cs="Arial" w:ascii="Arial" w:hAnsi="Arial"/>
                <w:sz w:val="16"/>
                <w:szCs w:val="16"/>
                <w:lang w:val="ru-RU"/>
              </w:rPr>
            </w:r>
          </w:p>
          <w:p>
            <w:pPr>
              <w:pStyle w:val="Normal"/>
              <w:jc w:val="center"/>
              <w:rPr>
                <w:rFonts w:ascii="Arial" w:hAnsi="Arial" w:cs="Arial"/>
                <w:sz w:val="16"/>
                <w:szCs w:val="16"/>
                <w:lang w:val="ru-RU"/>
              </w:rPr>
            </w:pPr>
            <w:r>
              <w:rPr>
                <w:rFonts w:cs="Arial" w:ascii="Arial" w:hAnsi="Arial"/>
                <w:sz w:val="16"/>
                <w:szCs w:val="16"/>
                <w:lang w:val="ru-RU"/>
              </w:rPr>
            </w:r>
          </w:p>
          <w:p>
            <w:pPr>
              <w:pStyle w:val="Normal"/>
              <w:jc w:val="center"/>
              <w:rPr>
                <w:rFonts w:ascii="Arial" w:hAnsi="Arial" w:cs="Arial"/>
                <w:color w:val="000000"/>
                <w:sz w:val="16"/>
                <w:szCs w:val="16"/>
                <w:lang w:val="ru-RU"/>
              </w:rPr>
            </w:pPr>
            <w:r>
              <w:rPr>
                <w:rFonts w:cs="Arial" w:ascii="Arial" w:hAnsi="Arial"/>
                <w:color w:val="000000"/>
                <w:sz w:val="16"/>
                <w:szCs w:val="16"/>
                <w:lang w:val="ru-RU"/>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lang w:val="ru-RU"/>
              </w:rPr>
            </w:pPr>
            <w:r>
              <w:rPr>
                <w:rFonts w:cs="Arial" w:ascii="Arial" w:hAnsi="Arial"/>
                <w:color w:val="000000"/>
                <w:sz w:val="16"/>
                <w:szCs w:val="16"/>
                <w:lang w:val="ru-RU"/>
              </w:rPr>
              <w:t>розчин для ін'єкцій, Для виробника СЕПТОДОНТ, Франція.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lang w:val="ru-RU"/>
              </w:rPr>
            </w:pPr>
            <w:r>
              <w:rPr>
                <w:rFonts w:cs="Arial" w:ascii="Arial" w:hAnsi="Arial"/>
                <w:color w:val="000000"/>
                <w:sz w:val="16"/>
                <w:szCs w:val="16"/>
                <w:lang w:val="ru-RU"/>
              </w:rPr>
              <w:t xml:space="preserve">СЕПТОДОНТ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w:t>
              <w:br/>
              <w:t xml:space="preserve">Лабораторіос Інібса С.А., Іспанія; </w:t>
              <w:br/>
              <w:t>Випуск серії для препарату в картриджах:</w:t>
              <w:br/>
              <w:t xml:space="preserve">СЕПТОДОНТ, Франція; </w:t>
              <w:br/>
              <w:t>Виробництво, первинне та вторинне пакування, маркування, контроль якості та випуск серії для препарату в ампулах:</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Зміна заявника ЛЗ (МІБП) (власника реєстраційного посвідчення)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СЕПТОДОНТ, Франція.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СЕПТОДОНТ, Франція </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Францiя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первинне та вторинне пакування, маркування та контроль якості для препарату в картриджах: Лабораторіос Інібса С.А., Іспанія; Випуск серії для препарату в картриджах: СЕПТОДОНТ, Франція; Виробництво, первинне та вторинне пакування, маркування, контроль якості та випуск серії для препарату в ампулах: ДЕЛЬФАРМ ДІЖОН, Франція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Іспанія/</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УЛЬТРАКАЇН® Д-С ФОРТЕ</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shd w:fill="F8F8F8" w:val="clear"/>
              </w:rPr>
              <w:t>Articaine,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eastAsia="MS Mincho;ＭＳ 明朝" w:cs="Arial" w:ascii="Arial" w:hAnsi="Arial"/>
                <w:iCs/>
                <w:sz w:val="16"/>
                <w:szCs w:val="16"/>
                <w:lang w:eastAsia="ru-RU"/>
              </w:rPr>
              <w:t>артикаїн гідрохлорид, епінефрин (адреналін)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N01BB58</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Для виробника Санофі-Авентіс Дойчланд ГмбХ, Німеччина: ампули: № 100 (10х10): по 2 мл в ампулі; по 10 ампул у картонній чарунковій упаковці; по 1 картонній чарунковій упаковці в картонній коробці; по 10 картонних коробок, обтягнених плівкою цифленовою; картриджі: № 100 (10х10): по 1,7 мл у картриджі; по 10 картриджів у картонній чарунковій упаковці; по 10 картонних чарункових упаковок у картонній коробці; Для виробника ДЕЛЬФАРМ ДІЖОН, Франція; ампули: № 100 (5х2х10): по 2 мл в ампулі; по 5 ампул у полістироловій упаковці; по 2 полістиролові упаковки в картонній коробці; по 10 картонних коробок, обтягнених плівкою цифленовою</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"Санофі-Авентіс Україна"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Санофі-Авентіс Дойчланд ГмбХ, Німеччина;</w:t>
              <w:br/>
              <w:t xml:space="preserve">ДЕЛЬФАРМ ДІЖОН, Франція </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Франція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UA/3406/01/02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ФАРМАСУЛІН® Н NP</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insulin (human)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інсулін людський біосинтетичний (ДНК-рекомбінантний)</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A10AC01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суспензія для ін'єкцій, 100 МО/мл; по 3 мл в картриджі; по 5 картриджів у блістері; по 1 блістеру в пачці з картону; по 5 мл або по 10 мл у флаконі; по 1 флакону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АТ "Фармак"</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UA/2320/01/01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ФЛАВОВІР®</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pacing w:before="0" w:after="240"/>
              <w:rPr>
                <w:rFonts w:ascii="Arial" w:hAnsi="Arial" w:cs="Arial"/>
                <w:color w:val="000000"/>
                <w:sz w:val="16"/>
                <w:szCs w:val="16"/>
              </w:rPr>
            </w:pPr>
            <w:r>
              <w:rPr>
                <w:rFonts w:cs="Arial" w:ascii="Arial" w:hAnsi="Arial"/>
                <w:sz w:val="16"/>
                <w:szCs w:val="16"/>
              </w:rPr>
              <w:t>екстракт Протефлазід із трави Щучки дернистої (Herba Deschampsia caespitosa L.) та трави Війника наземного (Herba Calamagrostis epigeios L.)</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sz w:val="16"/>
                <w:szCs w:val="16"/>
              </w:rPr>
              <w:t>L03AX, J05AX</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краплі; по 10 мл або по 30 мл, або по 50 мл у скляному світлозахисному флаконі, закупореному кришкою для флаконів з пробкою-крапельницею з контролем першого відкриття або кришкою для флаконів з пробкою-крапельницею з контролем першого відкриття та захистом від дітей; по 1 флакону в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"НВК "Екофарм"</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UA/5510/02/01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ФЛОГЕНЗИМ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Trypsin, combinations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бромелаїн, трипсин, рутин</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M09AB52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оболонкою; по 20 таблеток у блістері; по 2, по 5 або по 10 блістерів у картонній коробці; по 800 таблеток у банках</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Фарма ГмбХ і Ко. КГ</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МУКОС Eмульсіонсгезелльшафт мбХ</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UA/2843/01/01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ФЛЮОРОУРАЦИЛ МЕДАК</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fluorouracil</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флюороурацил</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L01BC02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для ін`єкцій, 50 мг/мл по 5 мл, або по 10 мл, або по 20 мл, або по 100 мл розчину у флаконі; по 1 флакону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виробник, що відповідає за вторинне пакування, маркування, контроль/випробування серії та за випуск серії: Медак Гезельшафт фюр клініше Шпеціальпрепарате мбХ, Німеччина; виробник, що відповідає за випуск форми in bulk, маркування, первинне та вторинне пакування, контроль/випробування серії: Онкомед меньюфекчерінг, а.с., Чеська Республіка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Німеччина/ Чеська Республіка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eastAsia="Arial" w:cs="Arial"/>
                <w:color w:val="000000"/>
                <w:sz w:val="16"/>
                <w:szCs w:val="16"/>
              </w:rPr>
            </w:pPr>
            <w:r>
              <w:rPr>
                <w:rFonts w:eastAsia="Arial" w:cs="Arial" w:ascii="Arial" w:hAnsi="Arial"/>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UA/8091/01/01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ФУНГІСОЛ</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naftifine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нафтифіну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D01AE22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розчин нашкірний, 10 мг/мл; по 10 мл, 20 мл у флаконі; по 1 флакону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Ядран-Галенський Лабораторій д.д.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Хорватія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II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UA/19256/01/01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АНТИКОЛД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парацетамол, кофеїн, фенілефрину гідрохлорид, хлорфеніраміну малеат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по 4 таблетки у блістері; по 1 блістеру в картонній пачці; по 4 таблетки у блістері; по 1 блістеру в картонній пачці; по 10 пачок у груповій картонній упаковці; по 4 таблетки у блістері; по 1 блістеру в картонній пачці; по 20 пачок у груповій картонній упаковці; по 10 таблеток у блістері; по 1 блістеру в картонній пачці; по 10 таблеток у блістері; по 1 блістеру в картонній пачці; по 10 пачок у груповій картонній упаковці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 Медітоп Фармасьютікал Лтд., Угорщина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UA/9824/01/01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АНТИКОЛД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 xml:space="preserve">парацетамол, кофеїн, фенілефрину гідрохлорид, хлорфеніраміну малеат </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in bulk: по 5000 таблеток у подвійному поліетиленовому пакеті в контейнері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 Індія; Медітоп Фармасьютікал Лтд., Угорщина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 /Угорщина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UA/9664/01/01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АНТИКОЛД НЕО ДЛЯ ДІТЕЙ</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paracetamol, combinations excl. psycholeptics</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парацетамол, левоцетиризину дигідрохлорид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N02BE51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порошок для орального розчину з малиновим смаком; по 2,5 г порошку в саше; по 6 саше у картонній пачці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за повним циклом: Алпекс Фарма СА, Швейцарія; первинне та вторинне пакування:</w:t>
              <w:br/>
              <w:t>Ламп Сан Просперо СПА, Італія</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Швейцарія/ Італія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UA/17806/01/01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ХЕЛПЕКС® ЕФЕКТ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ментол, камфора, тимол, метилсаліцилат, олія евкаліптова, олія терпентинова</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R07A</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мазь; по 20 г або 40 г у тубі; по 1 тубі в пачці з картону</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"Мові Хелс"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Сава Хелскеа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 xml:space="preserve">внесення змін до реєстраційних матеріалів: Зміни І типу </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UA/11390/01/01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b/>
                <w:i/>
                <w:i/>
                <w:color w:val="000000"/>
                <w:sz w:val="16"/>
                <w:szCs w:val="16"/>
                <w:lang w:val="en-US"/>
              </w:rPr>
            </w:pPr>
            <w:r>
              <w:rPr>
                <w:rFonts w:cs="Arial" w:ascii="Arial" w:hAnsi="Arial"/>
                <w:b/>
                <w:sz w:val="16"/>
                <w:szCs w:val="16"/>
              </w:rPr>
              <w:t>ХЛОРГЕКСИДИНУ ДИГІДРОХЛОРИД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sz w:val="16"/>
                <w:szCs w:val="16"/>
              </w:rPr>
              <w:t>chlorhexidine</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b/>
                <w:color w:val="000000"/>
                <w:sz w:val="16"/>
                <w:szCs w:val="16"/>
              </w:rPr>
              <w:t>хлоргексидину дигідрохлорид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rPr>
                <w:rFonts w:ascii="Arial" w:hAnsi="Arial" w:cs="Arial"/>
                <w:color w:val="000000"/>
                <w:sz w:val="16"/>
                <w:szCs w:val="16"/>
              </w:rPr>
            </w:pPr>
            <w:r>
              <w:rPr>
                <w:rFonts w:cs="Arial" w:ascii="Arial" w:hAnsi="Arial"/>
                <w:color w:val="000000"/>
                <w:sz w:val="16"/>
                <w:szCs w:val="16"/>
              </w:rPr>
              <w:t>кристалічний порошок (субстанція) у мішках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ТОВ "Тернофарм"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Україна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ЮНІЛАБ КЕМІКАЛЗ ЕНД ФАРМАСЬЮТІКАЛЗ ПВТ. ЛТД</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Індія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color w:val="000000"/>
                <w:sz w:val="16"/>
                <w:szCs w:val="16"/>
              </w:rPr>
            </w:pPr>
            <w:r>
              <w:rPr>
                <w:rFonts w:cs="Arial" w:ascii="Arial" w:hAnsi="Arial"/>
                <w:color w:val="000000"/>
                <w:sz w:val="16"/>
                <w:szCs w:val="16"/>
              </w:rPr>
              <w:t xml:space="preserve">внесення змін до реєстраційних матеріалів: </w:t>
            </w:r>
            <w:r>
              <w:rPr>
                <w:rFonts w:cs="Arial" w:ascii="Arial" w:hAnsi="Arial"/>
                <w:b/>
                <w:color w:val="000000"/>
                <w:sz w:val="16"/>
                <w:szCs w:val="16"/>
              </w:rPr>
              <w:t>уточнення написання діючої речовини в наказі МОЗ України</w:t>
            </w:r>
          </w:p>
          <w:p>
            <w:pPr>
              <w:pStyle w:val="112"/>
              <w:tabs>
                <w:tab w:val="clear" w:pos="708"/>
                <w:tab w:val="left" w:pos="12600" w:leader="none"/>
              </w:tabs>
              <w:jc w:val="center"/>
              <w:rPr>
                <w:rFonts w:ascii="Arial" w:hAnsi="Arial" w:cs="Arial"/>
                <w:b/>
                <w:color w:val="000000"/>
                <w:sz w:val="16"/>
                <w:szCs w:val="16"/>
              </w:rPr>
            </w:pPr>
            <w:r>
              <w:rPr>
                <w:rFonts w:cs="Arial" w:ascii="Arial" w:hAnsi="Arial"/>
                <w:b/>
                <w:color w:val="000000"/>
                <w:sz w:val="16"/>
                <w:szCs w:val="16"/>
              </w:rPr>
            </w:r>
          </w:p>
          <w:p>
            <w:pPr>
              <w:pStyle w:val="112"/>
              <w:tabs>
                <w:tab w:val="clear" w:pos="708"/>
                <w:tab w:val="left" w:pos="12600" w:leader="none"/>
              </w:tabs>
              <w:jc w:val="center"/>
              <w:rPr>
                <w:rFonts w:ascii="Arial" w:hAnsi="Arial" w:cs="Arial"/>
                <w:color w:val="000000"/>
                <w:sz w:val="16"/>
                <w:szCs w:val="16"/>
              </w:rPr>
            </w:pPr>
            <w:r>
              <w:rPr>
                <w:rFonts w:eastAsia="Arial" w:cs="Arial" w:ascii="Arial" w:hAnsi="Arial"/>
                <w:b/>
                <w:color w:val="000000"/>
                <w:sz w:val="16"/>
                <w:szCs w:val="16"/>
              </w:rPr>
              <w:t xml:space="preserve"> </w:t>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b/>
                <w:i/>
                <w:i/>
                <w:color w:val="000000"/>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112"/>
              <w:tabs>
                <w:tab w:val="clear" w:pos="708"/>
                <w:tab w:val="left" w:pos="12600" w:leader="none"/>
              </w:tabs>
              <w:jc w:val="center"/>
              <w:rPr>
                <w:rFonts w:ascii="Arial" w:hAnsi="Arial" w:cs="Arial"/>
                <w:sz w:val="16"/>
                <w:szCs w:val="16"/>
              </w:rPr>
            </w:pPr>
            <w:r>
              <w:rPr>
                <w:rFonts w:cs="Arial" w:ascii="Arial" w:hAnsi="Arial"/>
                <w:sz w:val="16"/>
                <w:szCs w:val="16"/>
              </w:rPr>
              <w:t>UA/21476/01/01</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ЦЕЛЕБРЕКС®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celecoxib</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целекоксиб</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M01AH01</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капсули по 200 мг; по 10 капсул у блістері; по 1, або по 2, або по 3 блістери у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Віатріс Спешелті ЛЛС</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США</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препарату in bulk, контроль/випробування серії: Віатріс Фармасютікалз ЛЛС, Пуерто Ріко; Пакування, контроль/випробування серії, випуск серії, маркування: Пфайзер Менюфекчуринг Дойчленд ГмбХ, Німеччина</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Пуерто Ріко/ Німеччина</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UA/4463/01/02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ЦУКРОЛІТ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850 мг, по 10 таблеток у блістері; по 3 блістери в картонній коробці або по 10 таблеток у блістері; по 5 блістерів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первинна та вторинна упаковка, контроль серії, випуск серії:</w:t>
              <w:br/>
              <w:t>САГ МАНУФАКТУРІНГ,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UA/20457/01/02</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ЦУКРОЛІТ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1000 мг, по 10 таблеток у блістері; по 3 блістери в картонній коробці або по 10 таблеток у блістері; по 5 блістерів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первинна та вторинна упаковка, контроль серії, випуск серії:</w:t>
              <w:br/>
              <w:t>САГ МАНУФАКТУРІНГ,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UA/20457/01/03</w:t>
            </w:r>
          </w:p>
        </w:tc>
      </w:tr>
      <w:tr>
        <w:trPr/>
        <w:tc>
          <w:tcPr>
            <w:tcW w:w="566" w:type="dxa"/>
            <w:tcBorders>
              <w:top w:val="single" w:sz="4" w:space="0" w:color="000000"/>
              <w:left w:val="single" w:sz="4" w:space="0" w:color="000000"/>
              <w:bottom w:val="single" w:sz="4" w:space="0" w:color="000000"/>
              <w:right w:val="single" w:sz="4" w:space="0" w:color="000000"/>
            </w:tcBorders>
            <w:shd w:fill="FFFFFF" w:val="clear"/>
          </w:tcPr>
          <w:p>
            <w:pPr>
              <w:pStyle w:val="112"/>
              <w:numPr>
                <w:ilvl w:val="0"/>
                <w:numId w:val="2"/>
              </w:numPr>
              <w:tabs>
                <w:tab w:val="clear" w:pos="708"/>
                <w:tab w:val="left" w:pos="12600" w:leader="none"/>
              </w:tabs>
              <w:snapToGrid w:val="false"/>
              <w:rPr>
                <w:rFonts w:ascii="Arial" w:hAnsi="Arial" w:cs="Arial"/>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b/>
                <w:i/>
                <w:i/>
                <w:color w:val="000000"/>
                <w:sz w:val="16"/>
                <w:szCs w:val="16"/>
              </w:rPr>
            </w:pPr>
            <w:r>
              <w:rPr>
                <w:rFonts w:cs="Arial" w:ascii="Arial" w:hAnsi="Arial"/>
                <w:b/>
                <w:sz w:val="16"/>
                <w:szCs w:val="16"/>
              </w:rPr>
              <w:t>ЦУКРОЛІТ</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metformin</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sz w:val="16"/>
                <w:szCs w:val="16"/>
              </w:rPr>
              <w:t>метформіну гідрохлорид</w:t>
            </w:r>
          </w:p>
        </w:tc>
        <w:tc>
          <w:tcPr>
            <w:tcW w:w="85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A10BA02</w:t>
            </w:r>
          </w:p>
        </w:tc>
        <w:tc>
          <w:tcPr>
            <w:tcW w:w="1701"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t>таблетки, вкриті плівковою оболонкою, по 500 мг; по 10 таблеток у блістері; по 3 блістери в картонній коробці або по 10 таблеток у блістері; по 5 блістерів в картонній коробці</w:t>
            </w:r>
          </w:p>
        </w:tc>
        <w:tc>
          <w:tcPr>
            <w:tcW w:w="1134"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Англія</w:t>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виробництво готового лікарського засобу, первинна та вторинна упаковка, контроль серії, випуск серії:</w:t>
              <w:br/>
              <w:t>САГ МАНУФАКТУРІНГ, С.Л.У.</w:t>
            </w:r>
          </w:p>
        </w:tc>
        <w:tc>
          <w:tcPr>
            <w:tcW w:w="850"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Іспанiя</w:t>
            </w:r>
          </w:p>
        </w:tc>
        <w:tc>
          <w:tcPr>
            <w:tcW w:w="2126"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t>внесення змін до реєстраційних матеріалів: Зміни І типу</w:t>
            </w:r>
          </w:p>
          <w:p>
            <w:pPr>
              <w:pStyle w:val="Normal"/>
              <w:tabs>
                <w:tab w:val="clear" w:pos="708"/>
                <w:tab w:val="left" w:pos="12600" w:leader="none"/>
              </w:tabs>
              <w:jc w:val="center"/>
              <w:rPr>
                <w:rFonts w:ascii="Arial" w:hAnsi="Arial" w:cs="Arial"/>
                <w:color w:val="000000"/>
                <w:sz w:val="16"/>
                <w:szCs w:val="16"/>
              </w:rPr>
            </w:pPr>
            <w:r>
              <w:rPr>
                <w:rFonts w:cs="Arial" w:ascii="Arial" w:hAnsi="Arial"/>
                <w:color w:val="000000"/>
                <w:sz w:val="16"/>
                <w:szCs w:val="16"/>
              </w:rPr>
            </w:r>
          </w:p>
          <w:p>
            <w:pPr>
              <w:pStyle w:val="Normal"/>
              <w:tabs>
                <w:tab w:val="clear" w:pos="708"/>
                <w:tab w:val="left" w:pos="12600" w:leader="none"/>
              </w:tabs>
              <w:rPr>
                <w:rFonts w:ascii="Arial" w:hAnsi="Arial" w:cs="Arial"/>
                <w:color w:val="000000"/>
                <w:sz w:val="16"/>
                <w:szCs w:val="16"/>
              </w:rPr>
            </w:pPr>
            <w:r>
              <w:rPr>
                <w:rFonts w:cs="Arial" w:ascii="Arial" w:hAnsi="Arial"/>
                <w:color w:val="000000"/>
                <w:sz w:val="16"/>
                <w:szCs w:val="16"/>
              </w:rPr>
            </w:r>
          </w:p>
        </w:tc>
        <w:tc>
          <w:tcPr>
            <w:tcW w:w="709"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b/>
                <w:i/>
                <w:i/>
                <w:color w:val="000000"/>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snapToGrid w:val="false"/>
              <w:jc w:val="center"/>
              <w:rPr>
                <w:rFonts w:ascii="Arial" w:hAnsi="Arial" w:cs="Arial"/>
                <w:b/>
                <w:i/>
                <w:i/>
                <w:color w:val="000000"/>
                <w:sz w:val="16"/>
                <w:szCs w:val="16"/>
              </w:rPr>
            </w:pPr>
            <w:r>
              <w:rPr>
                <w:rFonts w:cs="Arial" w:ascii="Arial" w:hAnsi="Arial"/>
                <w:b/>
                <w:i/>
                <w:color w:val="000000"/>
                <w:sz w:val="16"/>
                <w:szCs w:val="16"/>
              </w:rPr>
            </w:r>
          </w:p>
        </w:tc>
        <w:tc>
          <w:tcPr>
            <w:tcW w:w="1418" w:type="dxa"/>
            <w:tcBorders>
              <w:top w:val="single" w:sz="4" w:space="0" w:color="000000"/>
              <w:left w:val="single" w:sz="4" w:space="0" w:color="000000"/>
              <w:bottom w:val="single" w:sz="4" w:space="0" w:color="000000"/>
              <w:right w:val="single" w:sz="4" w:space="0" w:color="000000"/>
            </w:tcBorders>
            <w:shd w:fill="FFFFFF" w:val="clear"/>
          </w:tcPr>
          <w:p>
            <w:pPr>
              <w:pStyle w:val="Normal"/>
              <w:tabs>
                <w:tab w:val="clear" w:pos="708"/>
                <w:tab w:val="left" w:pos="12600" w:leader="none"/>
              </w:tabs>
              <w:jc w:val="center"/>
              <w:rPr>
                <w:rFonts w:ascii="Arial" w:hAnsi="Arial" w:cs="Arial"/>
                <w:sz w:val="16"/>
                <w:szCs w:val="16"/>
              </w:rPr>
            </w:pPr>
            <w:r>
              <w:rPr>
                <w:rFonts w:cs="Arial" w:ascii="Arial" w:hAnsi="Arial"/>
                <w:sz w:val="16"/>
                <w:szCs w:val="16"/>
              </w:rPr>
              <w:t>UA/20457/01/01</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6">
        <w:r>
          <w:rPr>
            <w:rStyle w:val="Hyperlink"/>
            <w:rFonts w:cs="Arial" w:ascii="Arial" w:hAnsi="Arial"/>
            <w:i/>
            <w:color w:val="000000"/>
            <w:szCs w:val="16"/>
          </w:rPr>
          <w:t>https://www.whocc.no/atc_ddd_index/</w:t>
        </w:r>
      </w:hyperlink>
      <w:r>
        <w:rPr>
          <w:rStyle w:val="Hyperlink"/>
          <w:rFonts w:cs="Arial" w:ascii="Arial" w:hAnsi="Arial"/>
          <w:i/>
          <w:color w:val="000000"/>
          <w:szCs w:val="16"/>
        </w:rPr>
        <w:t>)</w:t>
      </w:r>
    </w:p>
    <w:p>
      <w:pPr>
        <w:pStyle w:val="Normal"/>
        <w:ind w:right="20"/>
        <w:rPr/>
      </w:pPr>
      <w:r>
        <w:rPr>
          <w:rFonts w:cs="Arial" w:ascii="Arial" w:hAnsi="Arial"/>
          <w:i/>
          <w:sz w:val="16"/>
          <w:szCs w:val="16"/>
        </w:rPr>
        <w:t>**</w:t>
      </w:r>
      <w:r>
        <w:rPr/>
        <w:t>у разі внесення змін до інструкції про медичне застосування</w:t>
      </w:r>
    </w:p>
    <w:tbl>
      <w:tblPr>
        <w:tblW w:w="14843" w:type="dxa"/>
        <w:jc w:val="left"/>
        <w:tblInd w:w="0" w:type="dxa"/>
        <w:tblLayout w:type="fixed"/>
        <w:tblCellMar>
          <w:top w:w="0" w:type="dxa"/>
          <w:left w:w="108" w:type="dxa"/>
          <w:bottom w:w="0" w:type="dxa"/>
          <w:right w:w="108" w:type="dxa"/>
        </w:tblCellMar>
      </w:tblPr>
      <w:tblGrid>
        <w:gridCol w:w="7421"/>
        <w:gridCol w:w="7422"/>
      </w:tblGrid>
      <w:tr>
        <w:trPr/>
        <w:tc>
          <w:tcPr>
            <w:tcW w:w="7421" w:type="dxa"/>
            <w:tcBorders/>
          </w:tcPr>
          <w:p>
            <w:pPr>
              <w:pStyle w:val="Normal"/>
              <w:ind w:right="20"/>
              <w:rPr>
                <w:rStyle w:val="cs95e872d01"/>
                <w:rFonts w:ascii="Arial" w:hAnsi="Arial" w:cs="Arial"/>
                <w:lang w:val="ru-RU"/>
              </w:rPr>
            </w:pPr>
            <w:r>
              <w:rPr>
                <w:rStyle w:val="cs7864ebcf1"/>
                <w:rFonts w:eastAsia="Arial" w:cs="Arial" w:ascii="Arial" w:hAnsi="Arial"/>
                <w:color w:val="000000"/>
                <w:sz w:val="24"/>
                <w:szCs w:val="24"/>
              </w:rPr>
              <w:t xml:space="preserve"> </w:t>
            </w:r>
            <w:r>
              <w:rPr>
                <w:rStyle w:val="cs7864ebcf1"/>
                <w:rFonts w:cs="Arial" w:ascii="Arial" w:hAnsi="Arial"/>
                <w:color w:val="000000"/>
                <w:sz w:val="24"/>
                <w:szCs w:val="24"/>
              </w:rPr>
              <w:t xml:space="preserve">Начальник </w:t>
            </w:r>
          </w:p>
          <w:p>
            <w:pPr>
              <w:pStyle w:val="Normal"/>
              <w:ind w:right="20"/>
              <w:rPr>
                <w:rStyle w:val="cs7864ebcf1"/>
                <w:rFonts w:ascii="Arial" w:hAnsi="Arial" w:cs="Arial"/>
                <w:color w:val="000000"/>
                <w:sz w:val="24"/>
                <w:szCs w:val="24"/>
              </w:rPr>
            </w:pPr>
            <w:r>
              <w:rPr>
                <w:rStyle w:val="cs7864ebcf1"/>
                <w:rFonts w:cs="Arial" w:ascii="Arial" w:hAnsi="Arial"/>
                <w:color w:val="000000"/>
                <w:sz w:val="24"/>
                <w:szCs w:val="24"/>
              </w:rPr>
              <w:t xml:space="preserve">Фарацевтичного управління </w:t>
            </w:r>
            <w:r>
              <w:rPr>
                <w:rStyle w:val="cs188c92b51"/>
                <w:rFonts w:cs="Arial" w:ascii="Arial" w:hAnsi="Arial"/>
                <w:color w:val="000000"/>
                <w:sz w:val="24"/>
                <w:szCs w:val="24"/>
              </w:rPr>
              <w:t>                                 </w:t>
            </w:r>
          </w:p>
        </w:tc>
        <w:tc>
          <w:tcPr>
            <w:tcW w:w="7422" w:type="dxa"/>
            <w:tcBorders/>
          </w:tcPr>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11"/>
        <w:rPr>
          <w:rStyle w:val="cs7864ebcf1"/>
          <w:rFonts w:ascii="Arial" w:hAnsi="Arial" w:cs="Arial"/>
          <w:color w:val="000000"/>
          <w:sz w:val="16"/>
          <w:szCs w:val="16"/>
          <w:lang w:val="uk-UA"/>
        </w:rPr>
      </w:pPr>
      <w:r>
        <w:rPr/>
      </w:r>
      <w:r>
        <w:br w:type="page"/>
      </w:r>
    </w:p>
    <w:p>
      <w:pPr>
        <w:pStyle w:val="Normal"/>
        <w:tabs>
          <w:tab w:val="clear" w:pos="708"/>
          <w:tab w:val="left" w:pos="1985" w:leader="none"/>
        </w:tabs>
        <w:rPr>
          <w:rStyle w:val="cs7864ebcf1"/>
          <w:rFonts w:ascii="Arial" w:hAnsi="Arial" w:cs="Arial"/>
          <w:color w:val="000000"/>
          <w:sz w:val="16"/>
          <w:szCs w:val="16"/>
        </w:rPr>
      </w:pPr>
      <w:r>
        <w:rPr/>
      </w:r>
    </w:p>
    <w:tbl>
      <w:tblPr>
        <w:tblW w:w="3828" w:type="dxa"/>
        <w:jc w:val="left"/>
        <w:tblInd w:w="11448" w:type="dxa"/>
        <w:tblLayout w:type="fixed"/>
        <w:tblCellMar>
          <w:top w:w="0" w:type="dxa"/>
          <w:left w:w="108" w:type="dxa"/>
          <w:bottom w:w="0" w:type="dxa"/>
          <w:right w:w="108" w:type="dxa"/>
        </w:tblCellMar>
      </w:tblPr>
      <w:tblGrid>
        <w:gridCol w:w="3828"/>
      </w:tblGrid>
      <w:tr>
        <w:trPr/>
        <w:tc>
          <w:tcPr>
            <w:tcW w:w="3828" w:type="dxa"/>
            <w:tcBorders/>
          </w:tcPr>
          <w:p>
            <w:pPr>
              <w:pStyle w:val="Heading4"/>
              <w:tabs>
                <w:tab w:val="clear" w:pos="708"/>
                <w:tab w:val="left" w:pos="12600" w:leader="none"/>
              </w:tabs>
              <w:ind w:hanging="0" w:left="0"/>
              <w:jc w:val="both"/>
              <w:rPr>
                <w:rFonts w:cs="Arial"/>
                <w:sz w:val="18"/>
                <w:szCs w:val="18"/>
              </w:rPr>
            </w:pPr>
            <w:r>
              <w:rPr>
                <w:rFonts w:cs="Arial"/>
                <w:sz w:val="18"/>
                <w:szCs w:val="18"/>
              </w:rPr>
              <w:t>Додаток 4</w:t>
            </w:r>
          </w:p>
          <w:p>
            <w:pPr>
              <w:pStyle w:val="Heading4"/>
              <w:tabs>
                <w:tab w:val="clear" w:pos="708"/>
                <w:tab w:val="left" w:pos="12600" w:leader="none"/>
              </w:tabs>
              <w:ind w:hanging="0" w:left="0"/>
              <w:jc w:val="both"/>
              <w:rPr>
                <w:rFonts w:cs="Arial"/>
                <w:sz w:val="18"/>
                <w:szCs w:val="18"/>
              </w:rPr>
            </w:pPr>
            <w:r>
              <w:rPr>
                <w:rFonts w:cs="Arial"/>
                <w:sz w:val="18"/>
                <w:szCs w:val="18"/>
              </w:rPr>
              <w:t>до наказу Міністерства охорони</w:t>
            </w:r>
          </w:p>
          <w:p>
            <w:pPr>
              <w:pStyle w:val="Normal"/>
              <w:tabs>
                <w:tab w:val="clear" w:pos="708"/>
                <w:tab w:val="left" w:pos="12600" w:leader="none"/>
              </w:tabs>
              <w:jc w:val="both"/>
              <w:rPr>
                <w:rFonts w:ascii="Arial" w:hAnsi="Arial" w:cs="Arial"/>
                <w:b/>
                <w:sz w:val="18"/>
                <w:szCs w:val="18"/>
              </w:rPr>
            </w:pPr>
            <w:r>
              <w:rPr>
                <w:rFonts w:cs="Arial" w:ascii="Arial" w:hAnsi="Arial"/>
                <w:b/>
                <w:sz w:val="18"/>
                <w:szCs w:val="18"/>
              </w:rPr>
              <w:t>здоров’я України</w:t>
            </w:r>
          </w:p>
          <w:p>
            <w:pPr>
              <w:pStyle w:val="Normal"/>
              <w:tabs>
                <w:tab w:val="clear" w:pos="708"/>
                <w:tab w:val="left" w:pos="12600" w:leader="none"/>
              </w:tabs>
              <w:jc w:val="both"/>
              <w:rPr/>
            </w:pPr>
            <w:r>
              <w:rPr>
                <w:rFonts w:cs="Arial" w:ascii="Arial" w:hAnsi="Arial"/>
                <w:b/>
                <w:sz w:val="18"/>
                <w:szCs w:val="18"/>
              </w:rPr>
              <w:t>від ________________</w:t>
            </w:r>
            <w:r>
              <w:rPr>
                <w:rFonts w:cs="Arial" w:ascii="Arial" w:hAnsi="Arial"/>
                <w:b/>
                <w:sz w:val="18"/>
                <w:szCs w:val="18"/>
                <w:lang w:val="en-US"/>
              </w:rPr>
              <w:t xml:space="preserve"> </w:t>
            </w:r>
            <w:r>
              <w:rPr>
                <w:rFonts w:cs="Arial" w:ascii="Arial" w:hAnsi="Arial"/>
                <w:b/>
                <w:sz w:val="18"/>
                <w:szCs w:val="18"/>
              </w:rPr>
              <w:t xml:space="preserve"> № _____</w:t>
            </w:r>
          </w:p>
        </w:tc>
      </w:tr>
    </w:tbl>
    <w:p>
      <w:pPr>
        <w:pStyle w:val="Normal"/>
        <w:tabs>
          <w:tab w:val="clear" w:pos="708"/>
          <w:tab w:val="left" w:pos="12600" w:leader="none"/>
        </w:tabs>
        <w:rPr>
          <w:rFonts w:ascii="Arial" w:hAnsi="Arial" w:cs="Arial"/>
          <w:sz w:val="18"/>
          <w:szCs w:val="18"/>
        </w:rPr>
      </w:pPr>
      <w:r>
        <w:rPr>
          <w:rFonts w:cs="Arial" w:ascii="Arial" w:hAnsi="Arial"/>
          <w:sz w:val="18"/>
          <w:szCs w:val="18"/>
        </w:rPr>
      </w:r>
    </w:p>
    <w:p>
      <w:pPr>
        <w:pStyle w:val="Normal"/>
        <w:jc w:val="center"/>
        <w:rPr>
          <w:rFonts w:ascii="Arial" w:hAnsi="Arial" w:cs="Arial"/>
          <w:b/>
          <w:sz w:val="22"/>
          <w:szCs w:val="22"/>
        </w:rPr>
      </w:pPr>
      <w:r>
        <w:rPr>
          <w:rFonts w:cs="Arial" w:ascii="Arial" w:hAnsi="Arial"/>
          <w:b/>
          <w:sz w:val="22"/>
          <w:szCs w:val="22"/>
        </w:rPr>
        <w:t>ПЕРЕЛІК</w:t>
      </w:r>
    </w:p>
    <w:p>
      <w:pPr>
        <w:pStyle w:val="Normal"/>
        <w:jc w:val="center"/>
        <w:rPr>
          <w:rFonts w:ascii="Arial" w:hAnsi="Arial" w:cs="Arial"/>
          <w:b/>
          <w:sz w:val="22"/>
          <w:szCs w:val="22"/>
        </w:rPr>
      </w:pPr>
      <w:r>
        <w:rPr>
          <w:rFonts w:cs="Arial" w:ascii="Arial" w:hAnsi="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pPr>
        <w:pStyle w:val="Normal"/>
        <w:jc w:val="center"/>
        <w:rPr>
          <w:rFonts w:ascii="Arial" w:hAnsi="Arial" w:cs="Arial"/>
          <w:b/>
          <w:sz w:val="22"/>
          <w:szCs w:val="22"/>
        </w:rPr>
      </w:pPr>
      <w:r>
        <w:rPr>
          <w:rFonts w:cs="Arial" w:ascii="Arial" w:hAnsi="Arial"/>
          <w:b/>
          <w:sz w:val="22"/>
          <w:szCs w:val="22"/>
        </w:rPr>
      </w:r>
    </w:p>
    <w:tbl>
      <w:tblPr>
        <w:tblW w:w="15330" w:type="dxa"/>
        <w:jc w:val="left"/>
        <w:tblInd w:w="87" w:type="dxa"/>
        <w:tblLayout w:type="fixed"/>
        <w:tblCellMar>
          <w:top w:w="0" w:type="dxa"/>
          <w:left w:w="108" w:type="dxa"/>
          <w:bottom w:w="0" w:type="dxa"/>
          <w:right w:w="108" w:type="dxa"/>
        </w:tblCellMar>
      </w:tblPr>
      <w:tblGrid>
        <w:gridCol w:w="547"/>
        <w:gridCol w:w="1771"/>
        <w:gridCol w:w="1701"/>
        <w:gridCol w:w="1418"/>
        <w:gridCol w:w="1275"/>
        <w:gridCol w:w="1560"/>
        <w:gridCol w:w="1134"/>
        <w:gridCol w:w="1984"/>
        <w:gridCol w:w="3940"/>
      </w:tblGrid>
      <w:tr>
        <w:trPr/>
        <w:tc>
          <w:tcPr>
            <w:tcW w:w="547" w:type="dxa"/>
            <w:tcBorders>
              <w:top w:val="single" w:sz="4" w:space="0" w:color="000000"/>
              <w:left w:val="single" w:sz="4" w:space="0" w:color="000000"/>
              <w:bottom w:val="single" w:sz="4" w:space="0" w:color="000000"/>
              <w:right w:val="single" w:sz="4"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771" w:type="dxa"/>
            <w:tcBorders>
              <w:top w:val="single" w:sz="4" w:space="0" w:color="000000"/>
              <w:left w:val="single" w:sz="4"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Назва лікарського засобу</w:t>
            </w:r>
          </w:p>
        </w:tc>
        <w:tc>
          <w:tcPr>
            <w:tcW w:w="1701"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Форма випуску</w:t>
            </w:r>
          </w:p>
        </w:tc>
        <w:tc>
          <w:tcPr>
            <w:tcW w:w="1418"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Заявник</w:t>
            </w:r>
          </w:p>
        </w:tc>
        <w:tc>
          <w:tcPr>
            <w:tcW w:w="1275"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Країна</w:t>
            </w:r>
          </w:p>
        </w:tc>
        <w:tc>
          <w:tcPr>
            <w:tcW w:w="1560"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Виробник</w:t>
            </w:r>
          </w:p>
        </w:tc>
        <w:tc>
          <w:tcPr>
            <w:tcW w:w="1134"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Країна</w:t>
            </w:r>
          </w:p>
        </w:tc>
        <w:tc>
          <w:tcPr>
            <w:tcW w:w="1984"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Підстава</w:t>
            </w:r>
          </w:p>
        </w:tc>
        <w:tc>
          <w:tcPr>
            <w:tcW w:w="3940" w:type="dxa"/>
            <w:tcBorders>
              <w:top w:val="single" w:sz="4" w:space="0" w:color="000000"/>
              <w:left w:val="single" w:sz="6" w:space="0" w:color="000000"/>
              <w:bottom w:val="single" w:sz="4" w:space="0" w:color="000000"/>
              <w:right w:val="single" w:sz="6" w:space="0" w:color="000000"/>
            </w:tcBorders>
            <w:shd w:fill="E5E5E5" w:val="clear"/>
          </w:tcPr>
          <w:p>
            <w:pPr>
              <w:pStyle w:val="Normal"/>
              <w:jc w:val="center"/>
              <w:rPr>
                <w:rFonts w:ascii="Arial" w:hAnsi="Arial" w:cs="Arial"/>
                <w:b/>
                <w:i/>
                <w:i/>
                <w:sz w:val="16"/>
                <w:szCs w:val="16"/>
                <w:lang w:eastAsia="en-US"/>
              </w:rPr>
            </w:pPr>
            <w:r>
              <w:rPr>
                <w:rFonts w:cs="Arial" w:ascii="Arial" w:hAnsi="Arial"/>
                <w:b/>
                <w:i/>
                <w:sz w:val="16"/>
                <w:szCs w:val="16"/>
                <w:lang w:eastAsia="en-US"/>
              </w:rPr>
              <w:t>Процедура</w:t>
            </w:r>
          </w:p>
        </w:tc>
      </w:tr>
      <w:tr>
        <w:trPr>
          <w:trHeight w:val="557" w:hRule="atLeast"/>
        </w:trPr>
        <w:tc>
          <w:tcPr>
            <w:tcW w:w="547" w:type="dxa"/>
            <w:tcBorders>
              <w:top w:val="single" w:sz="4" w:space="0" w:color="000000"/>
              <w:left w:val="single" w:sz="4" w:space="0" w:color="000000"/>
              <w:bottom w:val="single" w:sz="4" w:space="0" w:color="000000"/>
              <w:right w:val="single" w:sz="4" w:space="0" w:color="000000"/>
            </w:tcBorders>
          </w:tcPr>
          <w:p>
            <w:pPr>
              <w:pStyle w:val="Normal"/>
              <w:numPr>
                <w:ilvl w:val="0"/>
                <w:numId w:val="3"/>
              </w:numPr>
              <w:snapToGrid w:val="false"/>
              <w:rPr>
                <w:rFonts w:ascii="Arial" w:hAnsi="Arial" w:cs="Arial"/>
                <w:b/>
                <w:sz w:val="16"/>
                <w:szCs w:val="16"/>
                <w:lang w:eastAsia="en-US"/>
              </w:rPr>
            </w:pPr>
            <w:r>
              <w:rPr>
                <w:rFonts w:cs="Arial" w:ascii="Arial" w:hAnsi="Arial"/>
                <w:b/>
                <w:i/>
                <w:sz w:val="16"/>
                <w:szCs w:val="16"/>
                <w:lang w:eastAsia="en-US"/>
              </w:rPr>
            </w:r>
          </w:p>
        </w:tc>
        <w:tc>
          <w:tcPr>
            <w:tcW w:w="1771" w:type="dxa"/>
            <w:tcBorders>
              <w:top w:val="single" w:sz="4" w:space="0" w:color="000000"/>
              <w:left w:val="single" w:sz="4" w:space="0" w:color="000000"/>
              <w:bottom w:val="single" w:sz="4" w:space="0" w:color="000000"/>
              <w:right w:val="single" w:sz="4" w:space="0" w:color="000000"/>
            </w:tcBorders>
          </w:tcPr>
          <w:p>
            <w:pPr>
              <w:pStyle w:val="Normal"/>
              <w:jc w:val="both"/>
              <w:rPr>
                <w:rFonts w:ascii="Arial" w:hAnsi="Arial" w:cs="Arial"/>
                <w:b/>
                <w:sz w:val="16"/>
                <w:szCs w:val="16"/>
              </w:rPr>
            </w:pPr>
            <w:r>
              <w:rPr>
                <w:rFonts w:cs="Arial" w:ascii="Arial" w:hAnsi="Arial"/>
                <w:b/>
                <w:sz w:val="16"/>
                <w:szCs w:val="16"/>
              </w:rPr>
              <w:t xml:space="preserve">6-МЕТИЛУРАЦИЛ </w:t>
            </w:r>
          </w:p>
        </w:tc>
        <w:tc>
          <w:tcPr>
            <w:tcW w:w="1701" w:type="dxa"/>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16"/>
                <w:szCs w:val="16"/>
              </w:rPr>
            </w:pPr>
            <w:r>
              <w:rPr>
                <w:rFonts w:cs="Arial" w:ascii="Arial" w:hAnsi="Arial"/>
                <w:sz w:val="16"/>
                <w:szCs w:val="16"/>
              </w:rPr>
              <w:t xml:space="preserve">порошок (субстанція) у подвійних пакетах з плівки поліетиленової </w:t>
            </w:r>
          </w:p>
          <w:p>
            <w:pPr>
              <w:pStyle w:val="Normal"/>
              <w:jc w:val="both"/>
              <w:rPr>
                <w:rFonts w:ascii="Arial" w:hAnsi="Arial" w:cs="Arial"/>
                <w:sz w:val="16"/>
                <w:szCs w:val="16"/>
              </w:rPr>
            </w:pPr>
            <w:r>
              <w:rPr>
                <w:rFonts w:cs="Arial" w:ascii="Arial" w:hAnsi="Arial"/>
                <w:sz w:val="16"/>
                <w:szCs w:val="16"/>
              </w:rPr>
            </w:r>
          </w:p>
        </w:tc>
        <w:tc>
          <w:tcPr>
            <w:tcW w:w="1418"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t>АТ "Лубнифарм"</w:t>
            </w:r>
          </w:p>
          <w:p>
            <w:pPr>
              <w:pStyle w:val="Normal"/>
              <w:jc w:val="center"/>
              <w:rPr>
                <w:rFonts w:ascii="Arial" w:hAnsi="Arial" w:cs="Arial"/>
                <w:sz w:val="16"/>
                <w:szCs w:val="16"/>
              </w:rPr>
            </w:pPr>
            <w:r>
              <w:rPr>
                <w:rFonts w:cs="Arial" w:ascii="Arial" w:hAnsi="Arial"/>
                <w:sz w:val="16"/>
                <w:szCs w:val="16"/>
              </w:rPr>
            </w:r>
          </w:p>
        </w:tc>
        <w:tc>
          <w:tcPr>
            <w:tcW w:w="1275"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sz w:val="16"/>
                <w:szCs w:val="16"/>
              </w:rPr>
            </w:pPr>
            <w:r>
              <w:rPr>
                <w:rFonts w:cs="Arial" w:ascii="Arial" w:hAnsi="Arial"/>
                <w:sz w:val="16"/>
                <w:szCs w:val="16"/>
              </w:rPr>
              <w:t>Україна</w:t>
            </w:r>
          </w:p>
        </w:tc>
        <w:tc>
          <w:tcPr>
            <w:tcW w:w="1560" w:type="dxa"/>
            <w:tcBorders>
              <w:top w:val="single" w:sz="4" w:space="0" w:color="000000"/>
              <w:left w:val="single" w:sz="4" w:space="0" w:color="000000"/>
              <w:bottom w:val="single" w:sz="4" w:space="0" w:color="000000"/>
              <w:right w:val="single" w:sz="4" w:space="0" w:color="000000"/>
            </w:tcBorders>
          </w:tcPr>
          <w:p>
            <w:pPr>
              <w:pStyle w:val="51"/>
              <w:ind w:hanging="0" w:right="0"/>
              <w:jc w:val="center"/>
              <w:rPr>
                <w:rFonts w:cs="Arial"/>
                <w:b w:val="false"/>
                <w:iCs/>
                <w:sz w:val="16"/>
                <w:szCs w:val="16"/>
                <w:lang w:val="uk-UA"/>
              </w:rPr>
            </w:pPr>
            <w:r>
              <w:rPr>
                <w:rFonts w:cs="Arial"/>
                <w:b w:val="false"/>
                <w:sz w:val="16"/>
                <w:szCs w:val="16"/>
                <w:lang w:val="uk-UA"/>
              </w:rPr>
              <w:t>Шицзячжуан Джинчі Кемікал Індастрі Ко., Лтд, Китай (всі етапи виробництва, включаючи конроль якості)</w:t>
            </w:r>
          </w:p>
        </w:tc>
        <w:tc>
          <w:tcPr>
            <w:tcW w:w="1134" w:type="dxa"/>
            <w:tcBorders>
              <w:top w:val="single" w:sz="4" w:space="0" w:color="000000"/>
              <w:left w:val="single" w:sz="4" w:space="0" w:color="000000"/>
              <w:bottom w:val="single" w:sz="4" w:space="0" w:color="000000"/>
              <w:right w:val="single" w:sz="4" w:space="0" w:color="000000"/>
            </w:tcBorders>
          </w:tcPr>
          <w:p>
            <w:pPr>
              <w:pStyle w:val="BodyTextIndent"/>
              <w:spacing w:before="0" w:after="0"/>
              <w:ind w:left="0" w:right="0"/>
              <w:jc w:val="both"/>
              <w:rPr>
                <w:rFonts w:ascii="Arial" w:hAnsi="Arial" w:cs="Arial"/>
                <w:b/>
                <w:sz w:val="16"/>
                <w:szCs w:val="16"/>
              </w:rPr>
            </w:pPr>
            <w:r>
              <w:rPr>
                <w:rFonts w:cs="Arial" w:ascii="Arial" w:hAnsi="Arial"/>
                <w:sz w:val="16"/>
                <w:szCs w:val="16"/>
              </w:rPr>
              <w:t>Китай</w:t>
            </w:r>
          </w:p>
        </w:tc>
        <w:tc>
          <w:tcPr>
            <w:tcW w:w="1984" w:type="dxa"/>
            <w:tcBorders>
              <w:top w:val="single" w:sz="4" w:space="0" w:color="000000"/>
              <w:left w:val="single" w:sz="4" w:space="0" w:color="000000"/>
              <w:bottom w:val="single" w:sz="4" w:space="0" w:color="000000"/>
              <w:right w:val="single" w:sz="4" w:space="0" w:color="000000"/>
            </w:tcBorders>
          </w:tcPr>
          <w:p>
            <w:pPr>
              <w:pStyle w:val="410"/>
              <w:ind w:hanging="0" w:right="0"/>
              <w:jc w:val="left"/>
              <w:rPr>
                <w:rFonts w:cs="Arial"/>
                <w:b w:val="false"/>
                <w:iCs/>
                <w:sz w:val="16"/>
                <w:szCs w:val="16"/>
                <w:lang w:val="ru-RU"/>
              </w:rPr>
            </w:pPr>
            <w:r>
              <w:rPr>
                <w:rFonts w:cs="Arial"/>
                <w:b w:val="false"/>
                <w:iCs/>
                <w:sz w:val="16"/>
                <w:szCs w:val="16"/>
              </w:rPr>
              <w:t>засідання НТР № 40 від 08.10.2026</w:t>
            </w:r>
          </w:p>
        </w:tc>
        <w:tc>
          <w:tcPr>
            <w:tcW w:w="3940" w:type="dxa"/>
            <w:tcBorders>
              <w:top w:val="single" w:sz="4" w:space="0" w:color="000000"/>
              <w:left w:val="single" w:sz="4" w:space="0" w:color="000000"/>
              <w:bottom w:val="single" w:sz="4" w:space="0" w:color="000000"/>
              <w:right w:val="single" w:sz="4" w:space="0" w:color="000000"/>
            </w:tcBorders>
          </w:tcPr>
          <w:p>
            <w:pPr>
              <w:pStyle w:val="BodyTextIndent"/>
              <w:spacing w:before="0" w:after="0"/>
              <w:ind w:left="0" w:right="0"/>
              <w:jc w:val="both"/>
              <w:rPr/>
            </w:pPr>
            <w:r>
              <w:rPr>
                <w:rFonts w:cs="Arial" w:ascii="Arial" w:hAnsi="Arial"/>
                <w:b/>
                <w:sz w:val="16"/>
                <w:szCs w:val="16"/>
              </w:rPr>
              <w:t xml:space="preserve">не рекомендувати до затвердження - </w:t>
            </w:r>
            <w:r>
              <w:rPr>
                <w:rFonts w:cs="Arial" w:ascii="Arial" w:hAnsi="Arial"/>
                <w:sz w:val="16"/>
                <w:szCs w:val="16"/>
              </w:rPr>
              <w:t>перереєстрація на необмежений термін</w:t>
            </w:r>
          </w:p>
          <w:p>
            <w:pPr>
              <w:pStyle w:val="BodyTextIndent"/>
              <w:spacing w:before="0" w:after="0"/>
              <w:ind w:left="0" w:right="0"/>
              <w:jc w:val="both"/>
              <w:rPr>
                <w:rFonts w:ascii="Arial" w:hAnsi="Arial" w:cs="Arial"/>
                <w:b/>
                <w:sz w:val="16"/>
                <w:szCs w:val="16"/>
              </w:rPr>
            </w:pPr>
            <w:r>
              <w:rPr>
                <w:rFonts w:cs="Arial" w:ascii="Arial" w:hAnsi="Arial"/>
                <w:b/>
                <w:sz w:val="16"/>
                <w:szCs w:val="16"/>
              </w:rPr>
            </w:r>
          </w:p>
        </w:tc>
      </w:tr>
    </w:tbl>
    <w:p>
      <w:pPr>
        <w:pStyle w:val="11"/>
        <w:rPr/>
      </w:pPr>
      <w:r>
        <w:rPr/>
      </w:r>
    </w:p>
    <w:tbl>
      <w:tblPr>
        <w:tblW w:w="14627" w:type="dxa"/>
        <w:jc w:val="left"/>
        <w:tblInd w:w="0" w:type="dxa"/>
        <w:tblLayout w:type="fixed"/>
        <w:tblCellMar>
          <w:top w:w="0" w:type="dxa"/>
          <w:left w:w="108" w:type="dxa"/>
          <w:bottom w:w="0" w:type="dxa"/>
          <w:right w:w="108" w:type="dxa"/>
        </w:tblCellMar>
      </w:tblPr>
      <w:tblGrid>
        <w:gridCol w:w="7343"/>
        <w:gridCol w:w="7284"/>
      </w:tblGrid>
      <w:tr>
        <w:trPr/>
        <w:tc>
          <w:tcPr>
            <w:tcW w:w="7343" w:type="dxa"/>
            <w:tcBorders/>
          </w:tcPr>
          <w:p>
            <w:pPr>
              <w:pStyle w:val="Normal"/>
              <w:snapToGrid w:val="false"/>
              <w:spacing w:lineRule="auto" w:line="254"/>
              <w:ind w:right="20"/>
              <w:rPr>
                <w:rStyle w:val="cs7864ebcf1"/>
                <w:rFonts w:ascii="Arial" w:hAnsi="Arial" w:cs="Arial"/>
                <w:sz w:val="28"/>
                <w:szCs w:val="28"/>
              </w:rPr>
            </w:pPr>
            <w:r>
              <w:rPr>
                <w:rFonts w:cs="Arial"/>
              </w:rPr>
            </w:r>
          </w:p>
          <w:p>
            <w:pPr>
              <w:pStyle w:val="Normal"/>
              <w:spacing w:lineRule="auto" w:line="254"/>
              <w:ind w:right="20"/>
              <w:rPr>
                <w:rStyle w:val="cs95e872d01"/>
                <w:sz w:val="28"/>
                <w:szCs w:val="28"/>
              </w:rPr>
            </w:pPr>
            <w:r>
              <w:rPr>
                <w:rStyle w:val="cs7864ebcf1"/>
                <w:rFonts w:eastAsia="Arial" w:cs="Arial" w:ascii="Arial" w:hAnsi="Arial"/>
                <w:sz w:val="28"/>
                <w:szCs w:val="28"/>
              </w:rPr>
              <w:t xml:space="preserve"> </w:t>
            </w:r>
            <w:r>
              <w:rPr>
                <w:rStyle w:val="cs7864ebcf1"/>
                <w:rFonts w:cs="Arial" w:ascii="Arial" w:hAnsi="Arial"/>
                <w:sz w:val="28"/>
                <w:szCs w:val="28"/>
              </w:rPr>
              <w:t>Начальник</w:t>
            </w:r>
          </w:p>
          <w:p>
            <w:pPr>
              <w:pStyle w:val="Normal"/>
              <w:spacing w:lineRule="auto" w:line="254"/>
              <w:ind w:right="20"/>
              <w:rPr>
                <w:rStyle w:val="cs7864ebcf1"/>
                <w:rFonts w:ascii="Arial" w:hAnsi="Arial" w:cs="Arial"/>
                <w:sz w:val="28"/>
                <w:szCs w:val="28"/>
              </w:rPr>
            </w:pPr>
            <w:r>
              <w:rPr>
                <w:rStyle w:val="cs7864ebcf1"/>
                <w:rFonts w:eastAsia="Arial" w:cs="Arial" w:ascii="Arial" w:hAnsi="Arial"/>
                <w:sz w:val="28"/>
                <w:szCs w:val="28"/>
              </w:rPr>
              <w:t xml:space="preserve"> </w:t>
            </w:r>
            <w:r>
              <w:rPr>
                <w:rStyle w:val="cs7864ebcf1"/>
                <w:rFonts w:cs="Arial" w:ascii="Arial" w:hAnsi="Arial"/>
                <w:sz w:val="28"/>
                <w:szCs w:val="28"/>
              </w:rPr>
              <w:t xml:space="preserve">Фармацевтичного управління </w:t>
            </w:r>
            <w:r>
              <w:rPr>
                <w:rStyle w:val="cs188c92b51"/>
                <w:sz w:val="28"/>
                <w:szCs w:val="28"/>
              </w:rPr>
              <w:t>                                 </w:t>
            </w:r>
          </w:p>
        </w:tc>
        <w:tc>
          <w:tcPr>
            <w:tcW w:w="7284" w:type="dxa"/>
            <w:tcBorders/>
          </w:tcPr>
          <w:p>
            <w:pPr>
              <w:pStyle w:val="cs95e872d0"/>
              <w:snapToGrid w:val="false"/>
              <w:spacing w:lineRule="auto" w:line="254"/>
              <w:rPr>
                <w:rStyle w:val="cs7864ebcf1"/>
                <w:rFonts w:ascii="Arial" w:hAnsi="Arial" w:cs="Arial"/>
                <w:sz w:val="28"/>
                <w:szCs w:val="28"/>
                <w:lang w:val="uk-UA"/>
              </w:rPr>
            </w:pPr>
            <w:r>
              <w:rPr/>
            </w:r>
          </w:p>
          <w:p>
            <w:pPr>
              <w:pStyle w:val="cs95e872d0"/>
              <w:spacing w:lineRule="auto" w:line="254"/>
              <w:rPr>
                <w:rStyle w:val="cs7864ebcf1"/>
                <w:rFonts w:ascii="Arial" w:hAnsi="Arial" w:cs="Arial"/>
                <w:sz w:val="28"/>
                <w:szCs w:val="28"/>
                <w:lang w:val="uk-UA"/>
              </w:rPr>
            </w:pPr>
            <w:r>
              <w:rPr/>
            </w:r>
          </w:p>
          <w:p>
            <w:pPr>
              <w:pStyle w:val="cs95e872d0"/>
              <w:spacing w:lineRule="auto" w:line="254"/>
              <w:rPr>
                <w:rStyle w:val="cs7864ebcf1"/>
                <w:rFonts w:ascii="Arial" w:hAnsi="Arial" w:cs="Arial"/>
                <w:sz w:val="28"/>
                <w:szCs w:val="28"/>
                <w:lang w:val="uk-UA"/>
              </w:rPr>
            </w:pPr>
            <w:r>
              <w:rPr/>
            </w:r>
          </w:p>
          <w:p>
            <w:pPr>
              <w:pStyle w:val="cs95e872d0"/>
              <w:spacing w:lineRule="auto" w:line="254"/>
              <w:jc w:val="center"/>
              <w:rPr>
                <w:rStyle w:val="cs7864ebcf1"/>
                <w:rFonts w:ascii="Arial" w:hAnsi="Arial" w:cs="Arial"/>
                <w:sz w:val="28"/>
                <w:szCs w:val="28"/>
                <w:lang w:val="uk-UA"/>
              </w:rPr>
            </w:pPr>
            <w:r>
              <w:rPr>
                <w:rStyle w:val="cs7864ebcf1"/>
                <w:rFonts w:eastAsia="Arial" w:cs="Arial" w:ascii="Arial" w:hAnsi="Arial"/>
                <w:sz w:val="28"/>
                <w:szCs w:val="28"/>
                <w:lang w:val="uk-UA"/>
              </w:rPr>
              <w:t xml:space="preserve">                                             </w:t>
            </w:r>
            <w:r>
              <w:rPr>
                <w:rStyle w:val="cs7864ebcf1"/>
                <w:rFonts w:cs="Arial" w:ascii="Arial" w:hAnsi="Arial"/>
                <w:sz w:val="28"/>
                <w:szCs w:val="28"/>
                <w:lang w:val="uk-UA"/>
              </w:rPr>
              <w:t xml:space="preserve">Олександр ГРІЦЕНКО  </w:t>
            </w:r>
          </w:p>
        </w:tc>
      </w:tr>
    </w:tbl>
    <w:p>
      <w:pPr>
        <w:pStyle w:val="11"/>
        <w:rPr>
          <w:rStyle w:val="cs7864ebcf1"/>
          <w:rFonts w:ascii="Arial" w:hAnsi="Arial" w:cs="Arial"/>
          <w:sz w:val="28"/>
          <w:szCs w:val="28"/>
          <w:lang w:val="uk-UA"/>
        </w:rPr>
      </w:pPr>
      <w:r>
        <w:rPr/>
      </w:r>
    </w:p>
    <w:p>
      <w:pPr>
        <w:pStyle w:val="11"/>
        <w:rPr>
          <w:rStyle w:val="cs7864ebcf1"/>
          <w:rFonts w:ascii="Arial" w:hAnsi="Arial" w:cs="Arial"/>
          <w:color w:val="000000"/>
          <w:sz w:val="16"/>
          <w:szCs w:val="16"/>
        </w:rPr>
      </w:pPr>
      <w:r>
        <w:rPr/>
      </w:r>
    </w:p>
    <w:sectPr>
      <w:headerReference w:type="default" r:id="rId7"/>
      <w:headerReference w:type="first" r:id="rId8"/>
      <w:type w:val="nextPage"/>
      <w:pgSz w:orient="landscape" w:w="16838" w:h="11906"/>
      <w:pgMar w:left="1077" w:right="1134" w:gutter="0" w:header="709" w:top="907" w:footer="0" w:bottom="90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00"/>
    <w:family w:val="swiss"/>
    <w:pitch w:val="variable"/>
  </w:font>
  <w:font w:name="Cambria">
    <w:charset w:val="cc"/>
    <w:family w:val="roman"/>
    <w:pitch w:val="variable"/>
  </w:font>
  <w:font w:name="Tahoma">
    <w:charset w:val="cc"/>
    <w:family w:val="swiss"/>
    <w:pitch w:val="variable"/>
  </w:font>
  <w:font w:name="Segoe UI">
    <w:charset w:val="cc"/>
    <w:family w:val="swiss"/>
    <w:pitch w:val="variable"/>
  </w:font>
  <w:font w:name="Microsoft YaHei">
    <w:charset w:val="86"/>
    <w:family w:val="swiss"/>
    <w:pitch w:val="variable"/>
  </w:font>
  <w:font w:name="Calibri">
    <w:charset w:val="00"/>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9</w:t>
    </w:r>
    <w:r>
      <w:rP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99</w:t>
    </w:r>
    <w:r>
      <w:rPr/>
      <w:fldChar w:fldCharType="end"/>
    </w:r>
  </w:p>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right"/>
      <w:pPr>
        <w:tabs>
          <w:tab w:val="num" w:pos="0"/>
        </w:tabs>
        <w:ind w:left="720" w:hanging="360"/>
      </w:pPr>
      <w:rPr/>
    </w:lvl>
  </w:abstractNum>
  <w:abstractNum w:abstractNumId="3">
    <w:lvl w:ilvl="0">
      <w:start w:val="1"/>
      <w:numFmt w:val="decimal"/>
      <w:lvlText w:val="%1."/>
      <w:lvlJc w:val="left"/>
      <w:pPr>
        <w:tabs>
          <w:tab w:val="num" w:pos="360"/>
        </w:tabs>
        <w:ind w:left="360" w:hanging="360"/>
      </w:pPr>
    </w:lvl>
  </w:abstractNum>
  <w:abstractNum w:abstractNumId="4">
    <w:lvl w:ilvl="0">
      <w:start w:val="1"/>
      <w:numFmt w:val="decimal"/>
      <w:lvlText w:val="%1."/>
      <w:lvlJc w:val="right"/>
      <w:pPr>
        <w:tabs>
          <w:tab w:val="num" w:pos="0"/>
        </w:tabs>
        <w:ind w:left="720" w:hanging="360"/>
      </w:pPr>
      <w:rPr/>
    </w:lvl>
  </w:abstractNum>
  <w:abstractNum w:abstractNumId="5">
    <w:lvl w:ilvl="0">
      <w:start w:val="1"/>
      <w:numFmt w:val="decimal"/>
      <w:lvlText w:val="%1."/>
      <w:lvlJc w:val="right"/>
      <w:pPr>
        <w:tabs>
          <w:tab w:val="num" w:pos="0"/>
        </w:tabs>
        <w:ind w:left="72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6"/>
  <w:defaultTabStop w:val="708"/>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uk-UA" w:bidi="ar-SA" w:eastAsia="zh-CN"/>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kern w:val="2"/>
      <w:sz w:val="32"/>
      <w:szCs w:val="32"/>
    </w:rPr>
  </w:style>
  <w:style w:type="paragraph" w:styleId="Heading2">
    <w:name w:val="heading 2"/>
    <w:basedOn w:val="Normal"/>
    <w:next w:val="11"/>
    <w:qFormat/>
    <w:pPr>
      <w:keepNext w:val="true"/>
      <w:numPr>
        <w:ilvl w:val="1"/>
        <w:numId w:val="1"/>
      </w:numPr>
      <w:outlineLvl w:val="1"/>
    </w:pPr>
    <w:rPr>
      <w:rFonts w:ascii="Arial" w:hAnsi="Arial" w:cs="Arial"/>
      <w:b/>
      <w:caps/>
      <w:sz w:val="16"/>
      <w:szCs w:val="20"/>
    </w:rPr>
  </w:style>
  <w:style w:type="paragraph" w:styleId="Heading3">
    <w:name w:val="heading 3"/>
    <w:basedOn w:val="Normal"/>
    <w:next w:val="BodyText"/>
    <w:qFormat/>
    <w:pPr>
      <w:keepNext w:val="true"/>
      <w:numPr>
        <w:ilvl w:val="2"/>
        <w:numId w:val="1"/>
      </w:numPr>
      <w:outlineLvl w:val="2"/>
    </w:pPr>
    <w:rPr>
      <w:rFonts w:ascii="Arial" w:hAnsi="Arial" w:eastAsia="Calibri" w:cs="Arial"/>
      <w:b/>
      <w:bCs/>
      <w:lang w:val="en-US"/>
    </w:rPr>
  </w:style>
  <w:style w:type="paragraph" w:styleId="Heading4">
    <w:name w:val="heading 4"/>
    <w:basedOn w:val="Normal"/>
    <w:next w:val="11"/>
    <w:qFormat/>
    <w:pPr>
      <w:keepNext w:val="true"/>
      <w:numPr>
        <w:ilvl w:val="3"/>
        <w:numId w:val="1"/>
      </w:numPr>
      <w:jc w:val="center"/>
      <w:outlineLvl w:val="3"/>
    </w:pPr>
    <w:rPr>
      <w:rFonts w:ascii="Arial" w:hAnsi="Arial" w:cs="Arial"/>
      <w:b/>
      <w:sz w:val="20"/>
      <w:szCs w:val="20"/>
    </w:rPr>
  </w:style>
  <w:style w:type="paragraph" w:styleId="Heading6">
    <w:name w:val="heading 6"/>
    <w:basedOn w:val="Normal"/>
    <w:next w:val="BodyText"/>
    <w:qFormat/>
    <w:pPr>
      <w:numPr>
        <w:ilvl w:val="5"/>
        <w:numId w:val="1"/>
      </w:numPr>
      <w:spacing w:before="240" w:after="60"/>
      <w:outlineLvl w:val="5"/>
    </w:pPr>
    <w:rPr>
      <w:rFonts w:eastAsia="Calibri"/>
      <w:b/>
      <w:bCs/>
      <w:sz w:val="22"/>
      <w:szCs w:val="22"/>
      <w:lang w:val="en-US"/>
    </w:rPr>
  </w:style>
  <w:style w:type="character" w:styleId="WW8Num2z0">
    <w:name w:val="WW8Num2z0"/>
    <w:qFormat/>
    <w:rPr/>
  </w:style>
  <w:style w:type="character" w:styleId="WW8Num3z0">
    <w:name w:val="WW8Num3z0"/>
    <w:qFormat/>
    <w:rPr/>
  </w:style>
  <w:style w:type="character" w:styleId="WW8Num4z0">
    <w:name w:val="WW8Num4z0"/>
    <w:qFormat/>
    <w:rPr/>
  </w:style>
  <w:style w:type="character" w:styleId="WW8Num5z0">
    <w:name w:val="WW8Num5z0"/>
    <w:qFormat/>
    <w:rPr/>
  </w:style>
  <w:style w:type="character" w:styleId="WW8Num6z0">
    <w:name w:val="WW8Num6z0"/>
    <w:qFormat/>
    <w:rPr/>
  </w:style>
  <w:style w:type="character" w:styleId="WW8Num7z0">
    <w:name w:val="WW8Num7z0"/>
    <w:qFormat/>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1z0">
    <w:name w:val="WW8Num11z0"/>
    <w:qFormat/>
    <w:rPr/>
  </w:style>
  <w:style w:type="character" w:styleId="WW8Num13z0">
    <w:name w:val="WW8Num13z0"/>
    <w:qFormat/>
    <w:rPr/>
  </w:style>
  <w:style w:type="character" w:styleId="WW8Num14z0">
    <w:name w:val="WW8Num14z0"/>
    <w:qFormat/>
    <w:rPr/>
  </w:style>
  <w:style w:type="character" w:styleId="WW8Num15z0">
    <w:name w:val="WW8Num15z0"/>
    <w:qFormat/>
    <w:rPr/>
  </w:style>
  <w:style w:type="character" w:styleId="WW8Num16z0">
    <w:name w:val="WW8Num16z0"/>
    <w:qFormat/>
    <w:rPr/>
  </w:style>
  <w:style w:type="character" w:styleId="WW8Num17z0">
    <w:name w:val="WW8Num17z0"/>
    <w:qFormat/>
    <w:rPr/>
  </w:style>
  <w:style w:type="character" w:styleId="WW8Num18z0">
    <w:name w:val="WW8Num18z0"/>
    <w:qFormat/>
    <w:rPr/>
  </w:style>
  <w:style w:type="character" w:styleId="WW8Num19z0">
    <w:name w:val="WW8Num19z0"/>
    <w:qFormat/>
    <w:rPr/>
  </w:style>
  <w:style w:type="character" w:styleId="WW8Num20z0">
    <w:name w:val="WW8Num20z0"/>
    <w:qFormat/>
    <w:rPr/>
  </w:style>
  <w:style w:type="character" w:styleId="WW8Num21z0">
    <w:name w:val="WW8Num21z0"/>
    <w:qFormat/>
    <w:rPr/>
  </w:style>
  <w:style w:type="character" w:styleId="WW8Num22z0">
    <w:name w:val="WW8Num22z0"/>
    <w:qFormat/>
    <w:rPr/>
  </w:style>
  <w:style w:type="character" w:styleId="WW8Num23z0">
    <w:name w:val="WW8Num23z0"/>
    <w:qFormat/>
    <w:rPr/>
  </w:style>
  <w:style w:type="character" w:styleId="WW8Num24z0">
    <w:name w:val="WW8Num24z0"/>
    <w:qFormat/>
    <w:rPr/>
  </w:style>
  <w:style w:type="character" w:styleId="Style9">
    <w:name w:val="Основной шрифт абзаца"/>
    <w:qFormat/>
    <w:rPr/>
  </w:style>
  <w:style w:type="character" w:styleId="2">
    <w:name w:val="Заголовок 2 Знак"/>
    <w:qFormat/>
    <w:rPr>
      <w:rFonts w:ascii="Cambria" w:hAnsi="Cambria" w:eastAsia="Times New Roman" w:cs="Times New Roman"/>
      <w:b/>
      <w:bCs/>
      <w:color w:val="4F81BD"/>
      <w:sz w:val="26"/>
      <w:szCs w:val="26"/>
    </w:rPr>
  </w:style>
  <w:style w:type="character" w:styleId="4">
    <w:name w:val="Заголовок 4 Знак"/>
    <w:qFormat/>
    <w:rPr>
      <w:rFonts w:ascii="Cambria" w:hAnsi="Cambria" w:eastAsia="Times New Roman" w:cs="Times New Roman"/>
      <w:b/>
      <w:bCs/>
      <w:i/>
      <w:iCs/>
      <w:color w:val="4F81BD"/>
      <w:sz w:val="24"/>
      <w:szCs w:val="24"/>
    </w:rPr>
  </w:style>
  <w:style w:type="character" w:styleId="Heading2Char">
    <w:name w:val="Heading 2 Char"/>
    <w:qFormat/>
    <w:rPr>
      <w:rFonts w:ascii="Arial" w:hAnsi="Arial" w:eastAsia="Times New Roman" w:cs="Times New Roman"/>
      <w:b/>
      <w:bCs w:val="false"/>
      <w:caps/>
      <w:sz w:val="16"/>
      <w:lang w:val="ru-RU"/>
    </w:rPr>
  </w:style>
  <w:style w:type="character" w:styleId="Heading4Char">
    <w:name w:val="Heading 4 Char"/>
    <w:qFormat/>
    <w:rPr>
      <w:rFonts w:ascii="Arial" w:hAnsi="Arial" w:eastAsia="Times New Roman" w:cs="Times New Roman"/>
      <w:b/>
      <w:bCs w:val="false"/>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1">
    <w:name w:val="Заголовок 1 Знак"/>
    <w:qFormat/>
    <w:rPr>
      <w:rFonts w:ascii="Calibri Light" w:hAnsi="Calibri Light" w:eastAsia="Times New Roman" w:cs="Times New Roman"/>
      <w:b/>
      <w:bCs/>
      <w:kern w:val="2"/>
      <w:sz w:val="32"/>
      <w:szCs w:val="32"/>
    </w:rPr>
  </w:style>
  <w:style w:type="character" w:styleId="Style10">
    <w:name w:val="Верхний колонтитул Знак"/>
    <w:qFormat/>
    <w:rPr>
      <w:rFonts w:ascii="Times New Roman" w:hAnsi="Times New Roman" w:eastAsia="Times New Roman" w:cs="Times New Roman"/>
      <w:sz w:val="24"/>
      <w:szCs w:val="24"/>
    </w:rPr>
  </w:style>
  <w:style w:type="character" w:styleId="Style11">
    <w:name w:val="Нижний колонтитул Знак"/>
    <w:qFormat/>
    <w:rPr>
      <w:rFonts w:ascii="Times New Roman" w:hAnsi="Times New Roman" w:eastAsia="Times New Roman" w:cs="Times New Roman"/>
      <w:sz w:val="24"/>
      <w:szCs w:val="24"/>
    </w:rPr>
  </w:style>
  <w:style w:type="character" w:styleId="PageNumber">
    <w:name w:val="page numbe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
    <w:name w:val="line number"/>
    <w:rPr>
      <w:rFonts w:ascii="Segoe UI" w:hAnsi="Segoe UI" w:cs="Segoe UI"/>
      <w:color w:val="000000"/>
      <w:sz w:val="18"/>
      <w:szCs w:val="18"/>
    </w:rPr>
  </w:style>
  <w:style w:type="character" w:styleId="Hyperlink">
    <w:name w:val="Hyperlink"/>
    <w:rPr>
      <w:rFonts w:ascii="Segoe UI" w:hAnsi="Segoe UI" w:cs="Segoe UI"/>
      <w:color w:val="0000FF"/>
      <w:sz w:val="18"/>
      <w:szCs w:val="18"/>
      <w:u w:val="single"/>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en-US"/>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32">
    <w:name w:val="Заголовок 3 Знак"/>
    <w:qFormat/>
    <w:rPr>
      <w:rFonts w:ascii="Arial" w:hAnsi="Arial" w:cs="Arial"/>
      <w:b/>
      <w:bCs/>
      <w:sz w:val="24"/>
      <w:szCs w:val="24"/>
    </w:rPr>
  </w:style>
  <w:style w:type="character" w:styleId="6">
    <w:name w:val="Заголовок 6 Знак"/>
    <w:qFormat/>
    <w:rPr>
      <w:rFonts w:ascii="Times New Roman" w:hAnsi="Times New Roman" w:cs="Times New Roman"/>
      <w:b/>
      <w:bCs/>
      <w:sz w:val="22"/>
      <w:szCs w:val="22"/>
    </w:rPr>
  </w:style>
  <w:style w:type="character" w:styleId="FollowedHyperlink">
    <w:name w:val="FollowedHyper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character" w:styleId="cs9ff1b61133">
    <w:name w:val="cs9ff1b61133"/>
    <w:qFormat/>
    <w:rPr>
      <w:rFonts w:ascii="Arial" w:hAnsi="Arial" w:cs="Arial"/>
      <w:b w:val="false"/>
      <w:bCs w:val="false"/>
      <w:i w:val="false"/>
      <w:iCs w:val="false"/>
      <w:color w:val="000000"/>
      <w:sz w:val="18"/>
      <w:szCs w:val="18"/>
      <w:shd w:fill="auto" w:val="clear"/>
    </w:rPr>
  </w:style>
  <w:style w:type="character" w:styleId="csccf5e31629">
    <w:name w:val="csccf5e31629"/>
    <w:qFormat/>
    <w:rPr>
      <w:rFonts w:ascii="Arial" w:hAnsi="Arial" w:cs="Arial"/>
      <w:b/>
      <w:bCs/>
      <w:i w:val="false"/>
      <w:iCs w:val="false"/>
      <w:color w:val="000000"/>
      <w:sz w:val="18"/>
      <w:szCs w:val="18"/>
      <w:shd w:fill="auto" w:val="clear"/>
    </w:rPr>
  </w:style>
  <w:style w:type="character" w:styleId="cs9ff1b61129">
    <w:name w:val="cs9ff1b61129"/>
    <w:qFormat/>
    <w:rPr>
      <w:rFonts w:ascii="Arial" w:hAnsi="Arial" w:cs="Arial"/>
      <w:b w:val="false"/>
      <w:bCs w:val="false"/>
      <w:i w:val="false"/>
      <w:iCs w:val="false"/>
      <w:color w:val="000000"/>
      <w:sz w:val="18"/>
      <w:szCs w:val="18"/>
      <w:shd w:fill="auto" w:val="clear"/>
    </w:rPr>
  </w:style>
  <w:style w:type="character" w:styleId="cs9ff1b61117">
    <w:name w:val="cs9ff1b61117"/>
    <w:qFormat/>
    <w:rPr>
      <w:rFonts w:ascii="Arial" w:hAnsi="Arial" w:cs="Arial"/>
      <w:b w:val="false"/>
      <w:bCs w:val="false"/>
      <w:i w:val="false"/>
      <w:iCs w:val="false"/>
      <w:color w:val="000000"/>
      <w:sz w:val="18"/>
      <w:szCs w:val="18"/>
      <w:shd w:fill="auto" w:val="clear"/>
    </w:rPr>
  </w:style>
  <w:style w:type="character" w:styleId="csccf5e31631">
    <w:name w:val="csccf5e31631"/>
    <w:qFormat/>
    <w:rPr>
      <w:rFonts w:ascii="Arial" w:hAnsi="Arial" w:cs="Arial"/>
      <w:b/>
      <w:bCs/>
      <w:i w:val="false"/>
      <w:iCs w:val="false"/>
      <w:color w:val="000000"/>
      <w:sz w:val="18"/>
      <w:szCs w:val="18"/>
      <w:shd w:fill="auto" w:val="clear"/>
    </w:rPr>
  </w:style>
  <w:style w:type="character" w:styleId="cs9ff1b61131">
    <w:name w:val="cs9ff1b61131"/>
    <w:qFormat/>
    <w:rPr>
      <w:rFonts w:ascii="Arial" w:hAnsi="Arial" w:cs="Arial"/>
      <w:b w:val="false"/>
      <w:bCs w:val="false"/>
      <w:i w:val="false"/>
      <w:iCs w:val="false"/>
      <w:color w:val="000000"/>
      <w:sz w:val="18"/>
      <w:szCs w:val="18"/>
      <w:shd w:fill="auto" w:val="clear"/>
    </w:rPr>
  </w:style>
  <w:style w:type="character" w:styleId="csab6e07694">
    <w:name w:val="csab6e07694"/>
    <w:qFormat/>
    <w:rPr>
      <w:rFonts w:ascii="Arial" w:hAnsi="Arial" w:cs="Arial"/>
      <w:b w:val="false"/>
      <w:bCs w:val="false"/>
      <w:i w:val="false"/>
      <w:iCs w:val="false"/>
      <w:color w:val="000000"/>
      <w:sz w:val="18"/>
      <w:szCs w:val="18"/>
      <w:shd w:fill="auto" w:val="clear"/>
    </w:rPr>
  </w:style>
  <w:style w:type="paragraph" w:styleId="Heading">
    <w:name w:val="Heading"/>
    <w:basedOn w:val="Normal"/>
    <w:next w:val="BodyText"/>
    <w:qFormat/>
    <w:pPr/>
    <w:rPr>
      <w:rFonts w:eastAsia="Calibri"/>
      <w:lang w:val="en-US"/>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1">
    <w:name w:val="Обычный1"/>
    <w:basedOn w:val="Normal"/>
    <w:qFormat/>
    <w:pPr/>
    <w:rPr/>
  </w:style>
  <w:style w:type="paragraph" w:styleId="msolistparagraph">
    <w:name w:val="msolistparagraph"/>
    <w:basedOn w:val="Normal"/>
    <w:qFormat/>
    <w:pPr>
      <w:spacing w:before="0" w:after="0"/>
      <w:ind w:hanging="0" w:left="720" w:right="0"/>
      <w:contextualSpacing/>
    </w:pPr>
    <w:rPr/>
  </w:style>
  <w:style w:type="paragraph" w:styleId="Encryption">
    <w:name w:val="Encryption"/>
    <w:basedOn w:val="Normal"/>
    <w:qFormat/>
    <w:pPr>
      <w:jc w:val="both"/>
    </w:pPr>
    <w:rPr>
      <w:b/>
      <w:bCs/>
      <w:i/>
      <w:iCs/>
    </w:rPr>
  </w:style>
  <w:style w:type="paragraph" w:styleId="211">
    <w:name w:val="Заголовок 21"/>
    <w:basedOn w:val="Normal"/>
    <w:qFormat/>
    <w:pPr/>
    <w:rPr/>
  </w:style>
  <w:style w:type="paragraph" w:styleId="411">
    <w:name w:val="Заголовок 41"/>
    <w:basedOn w:val="Normal"/>
    <w:qFormat/>
    <w:pPr/>
    <w:rPr/>
  </w:style>
  <w:style w:type="paragraph" w:styleId="HeaderandFooter">
    <w:name w:val="Header and Footer"/>
    <w:basedOn w:val="Normal"/>
    <w:qFormat/>
    <w:pPr>
      <w:suppressLineNumbers/>
      <w:tabs>
        <w:tab w:val="clear" w:pos="708"/>
        <w:tab w:val="center" w:pos="4986" w:leader="none"/>
        <w:tab w:val="right" w:pos="9972" w:leader="none"/>
      </w:tabs>
    </w:pPr>
    <w:rPr/>
  </w:style>
  <w:style w:type="paragraph" w:styleId="Header">
    <w:name w:val="header"/>
    <w:basedOn w:val="Normal"/>
    <w:pPr/>
    <w:rPr/>
  </w:style>
  <w:style w:type="paragraph" w:styleId="Footer">
    <w:name w:val="footer"/>
    <w:basedOn w:val="Normal"/>
    <w:pPr/>
    <w:rPr/>
  </w:style>
  <w:style w:type="paragraph" w:styleId="Style23">
    <w:name w:val="Текст выноски"/>
    <w:basedOn w:val="Normal"/>
    <w:qFormat/>
    <w:pPr/>
    <w:rPr>
      <w:rFonts w:ascii="Tahoma" w:hAnsi="Tahoma" w:cs="Tahoma"/>
      <w:sz w:val="16"/>
      <w:szCs w:val="16"/>
      <w:lang w:val="ru-RU"/>
    </w:rPr>
  </w:style>
  <w:style w:type="paragraph" w:styleId="BodyTextIndent2">
    <w:name w:val="Body Text Indent2"/>
    <w:basedOn w:val="Normal"/>
    <w:qFormat/>
    <w:pPr>
      <w:jc w:val="center"/>
    </w:pPr>
    <w:rPr>
      <w:rFonts w:ascii="Arial" w:hAnsi="Arial" w:cs="Arial"/>
      <w:b/>
      <w:i/>
      <w:sz w:val="18"/>
      <w:szCs w:val="20"/>
    </w:rPr>
  </w:style>
  <w:style w:type="paragraph" w:styleId="12">
    <w:name w:val="Основной текст с отступом1"/>
    <w:basedOn w:val="Normal"/>
    <w:qFormat/>
    <w:pPr>
      <w:spacing w:before="120" w:after="120"/>
    </w:pPr>
    <w:rPr>
      <w:rFonts w:ascii="Arial" w:hAnsi="Arial" w:cs="Arial"/>
      <w:sz w:val="18"/>
      <w:szCs w:val="20"/>
      <w:lang w:val="ru-RU"/>
    </w:rPr>
  </w:style>
  <w:style w:type="paragraph" w:styleId="cs95e872d0">
    <w:name w:val="cs95e872d0"/>
    <w:basedOn w:val="Normal"/>
    <w:qFormat/>
    <w:pPr/>
    <w:rPr>
      <w:lang w:val="ru-RU"/>
    </w:rPr>
  </w:style>
  <w:style w:type="paragraph" w:styleId="BodyTextIndent">
    <w:name w:val="Body Text Indent"/>
    <w:basedOn w:val="Normal"/>
    <w:pPr>
      <w:spacing w:before="0" w:after="120"/>
      <w:ind w:hanging="0" w:left="283" w:right="0"/>
    </w:pPr>
    <w:rPr>
      <w:lang w:val="ru-RU"/>
    </w:rPr>
  </w:style>
  <w:style w:type="paragraph" w:styleId="33">
    <w:name w:val="Основной текст 3"/>
    <w:basedOn w:val="Normal"/>
    <w:qFormat/>
    <w:pPr>
      <w:spacing w:before="0" w:after="120"/>
    </w:pPr>
    <w:rPr>
      <w:sz w:val="16"/>
      <w:szCs w:val="16"/>
    </w:rPr>
  </w:style>
  <w:style w:type="paragraph" w:styleId="24">
    <w:name w:val="Основной текст с отступом2"/>
    <w:basedOn w:val="Normal"/>
    <w:qFormat/>
    <w:pPr>
      <w:ind w:firstLine="708" w:left="0" w:right="0"/>
      <w:jc w:val="both"/>
    </w:pPr>
    <w:rPr>
      <w:rFonts w:ascii="Arial" w:hAnsi="Arial" w:cs="Arial"/>
      <w:b/>
      <w:sz w:val="18"/>
      <w:szCs w:val="20"/>
    </w:rPr>
  </w:style>
  <w:style w:type="paragraph" w:styleId="34">
    <w:name w:val="Основной текст с отступом3"/>
    <w:basedOn w:val="Normal"/>
    <w:qFormat/>
    <w:pPr>
      <w:ind w:firstLine="708" w:left="0" w:right="0"/>
      <w:jc w:val="both"/>
    </w:pPr>
    <w:rPr>
      <w:rFonts w:ascii="Arial" w:hAnsi="Arial" w:cs="Arial"/>
      <w:b/>
      <w:sz w:val="18"/>
      <w:szCs w:val="20"/>
    </w:rPr>
  </w:style>
  <w:style w:type="paragraph" w:styleId="42">
    <w:name w:val="Основной текст с отступом4"/>
    <w:basedOn w:val="Normal"/>
    <w:qFormat/>
    <w:pPr>
      <w:ind w:firstLine="708" w:left="0" w:right="0"/>
      <w:jc w:val="both"/>
    </w:pPr>
    <w:rPr>
      <w:rFonts w:ascii="Arial" w:hAnsi="Arial" w:cs="Arial"/>
      <w:b/>
      <w:sz w:val="18"/>
      <w:szCs w:val="20"/>
    </w:rPr>
  </w:style>
  <w:style w:type="paragraph" w:styleId="5">
    <w:name w:val="Основной текст с отступом5"/>
    <w:basedOn w:val="Normal"/>
    <w:qFormat/>
    <w:pPr>
      <w:ind w:firstLine="708" w:left="0" w:right="0"/>
      <w:jc w:val="both"/>
    </w:pPr>
    <w:rPr>
      <w:rFonts w:ascii="Arial" w:hAnsi="Arial" w:cs="Arial"/>
      <w:b/>
      <w:sz w:val="18"/>
      <w:szCs w:val="20"/>
    </w:rPr>
  </w:style>
  <w:style w:type="paragraph" w:styleId="cse71256d6">
    <w:name w:val="cse71256d6"/>
    <w:basedOn w:val="Normal"/>
    <w:qFormat/>
    <w:pPr>
      <w:ind w:hanging="0" w:left="1440" w:right="0"/>
    </w:pPr>
    <w:rPr/>
  </w:style>
  <w:style w:type="paragraph" w:styleId="61">
    <w:name w:val="Основной текст с отступом6"/>
    <w:basedOn w:val="Normal"/>
    <w:qFormat/>
    <w:pPr>
      <w:ind w:firstLine="708" w:left="0" w:right="0"/>
      <w:jc w:val="both"/>
    </w:pPr>
    <w:rPr>
      <w:rFonts w:ascii="Arial" w:hAnsi="Arial" w:cs="Arial"/>
      <w:b/>
      <w:sz w:val="18"/>
      <w:szCs w:val="20"/>
    </w:rPr>
  </w:style>
  <w:style w:type="paragraph" w:styleId="7">
    <w:name w:val="Основной текст с отступом7"/>
    <w:basedOn w:val="Normal"/>
    <w:qFormat/>
    <w:pPr>
      <w:ind w:firstLine="708" w:left="0" w:right="0"/>
      <w:jc w:val="both"/>
    </w:pPr>
    <w:rPr>
      <w:rFonts w:ascii="Arial" w:hAnsi="Arial" w:cs="Arial"/>
      <w:b/>
      <w:sz w:val="18"/>
      <w:szCs w:val="20"/>
    </w:rPr>
  </w:style>
  <w:style w:type="paragraph" w:styleId="8">
    <w:name w:val="Основной текст с отступом8"/>
    <w:basedOn w:val="Normal"/>
    <w:qFormat/>
    <w:pPr>
      <w:ind w:firstLine="708" w:left="0" w:right="0"/>
      <w:jc w:val="both"/>
    </w:pPr>
    <w:rPr>
      <w:rFonts w:ascii="Arial" w:hAnsi="Arial" w:cs="Arial"/>
      <w:b/>
      <w:sz w:val="18"/>
      <w:szCs w:val="20"/>
    </w:rPr>
  </w:style>
  <w:style w:type="paragraph" w:styleId="9">
    <w:name w:val="Основной текст с отступом9"/>
    <w:basedOn w:val="Normal"/>
    <w:qFormat/>
    <w:pPr>
      <w:ind w:firstLine="708" w:left="0" w:right="0"/>
      <w:jc w:val="both"/>
    </w:pPr>
    <w:rPr>
      <w:rFonts w:ascii="Arial" w:hAnsi="Arial" w:cs="Arial"/>
      <w:b/>
      <w:sz w:val="18"/>
      <w:szCs w:val="20"/>
    </w:rPr>
  </w:style>
  <w:style w:type="paragraph" w:styleId="111">
    <w:name w:val="Основной текст с отступом11"/>
    <w:basedOn w:val="Normal"/>
    <w:qFormat/>
    <w:pPr>
      <w:ind w:firstLine="708" w:left="0" w:right="0"/>
      <w:jc w:val="both"/>
    </w:pPr>
    <w:rPr>
      <w:rFonts w:ascii="Arial" w:hAnsi="Arial" w:cs="Arial"/>
      <w:b/>
      <w:sz w:val="18"/>
      <w:szCs w:val="20"/>
    </w:rPr>
  </w:style>
  <w:style w:type="paragraph" w:styleId="10">
    <w:name w:val="Основной текст с отступом10"/>
    <w:basedOn w:val="Normal"/>
    <w:qFormat/>
    <w:pPr>
      <w:ind w:firstLine="708" w:left="0" w:right="0"/>
      <w:jc w:val="both"/>
    </w:pPr>
    <w:rPr>
      <w:rFonts w:ascii="Arial" w:hAnsi="Arial" w:cs="Arial"/>
      <w:b/>
      <w:sz w:val="18"/>
      <w:szCs w:val="20"/>
    </w:rPr>
  </w:style>
  <w:style w:type="paragraph" w:styleId="112">
    <w:name w:val="Обычный11"/>
    <w:basedOn w:val="Normal"/>
    <w:qFormat/>
    <w:pPr/>
    <w:rPr/>
  </w:style>
  <w:style w:type="paragraph" w:styleId="110">
    <w:name w:val="Основной текст с отступом110"/>
    <w:basedOn w:val="Normal"/>
    <w:qFormat/>
    <w:pPr>
      <w:ind w:firstLine="708" w:left="0" w:right="0"/>
      <w:jc w:val="both"/>
    </w:pPr>
    <w:rPr>
      <w:rFonts w:ascii="Arial" w:hAnsi="Arial" w:cs="Arial"/>
      <w:b/>
      <w:sz w:val="18"/>
      <w:szCs w:val="22"/>
    </w:rPr>
  </w:style>
  <w:style w:type="paragraph" w:styleId="35">
    <w:name w:val="Основной текст с отступом 3"/>
    <w:basedOn w:val="Normal"/>
    <w:qFormat/>
    <w:pPr>
      <w:spacing w:before="0" w:after="120"/>
      <w:ind w:hanging="0" w:left="283" w:right="0"/>
    </w:pPr>
    <w:rPr>
      <w:rFonts w:eastAsia="Calibri"/>
      <w:sz w:val="16"/>
      <w:szCs w:val="16"/>
      <w:lang w:val="ru-RU"/>
    </w:rPr>
  </w:style>
  <w:style w:type="paragraph" w:styleId="121">
    <w:name w:val="Основной текст с отступом12"/>
    <w:basedOn w:val="Normal"/>
    <w:qFormat/>
    <w:pPr>
      <w:ind w:firstLine="708" w:left="0" w:right="0"/>
      <w:jc w:val="both"/>
    </w:pPr>
    <w:rPr>
      <w:rFonts w:ascii="Arial" w:hAnsi="Arial" w:cs="Arial"/>
      <w:b/>
      <w:sz w:val="18"/>
      <w:szCs w:val="20"/>
    </w:rPr>
  </w:style>
  <w:style w:type="paragraph" w:styleId="13">
    <w:name w:val="Основной текст с отступом13"/>
    <w:basedOn w:val="Normal"/>
    <w:qFormat/>
    <w:pPr>
      <w:ind w:firstLine="708" w:left="0" w:right="0"/>
      <w:jc w:val="both"/>
    </w:pPr>
    <w:rPr>
      <w:rFonts w:ascii="Arial" w:hAnsi="Arial" w:cs="Arial"/>
      <w:b/>
      <w:sz w:val="18"/>
      <w:szCs w:val="20"/>
    </w:rPr>
  </w:style>
  <w:style w:type="paragraph" w:styleId="141">
    <w:name w:val="Основной текст с отступом14"/>
    <w:basedOn w:val="Normal"/>
    <w:qFormat/>
    <w:pPr>
      <w:ind w:firstLine="708" w:left="0" w:right="0"/>
      <w:jc w:val="both"/>
    </w:pPr>
    <w:rPr>
      <w:rFonts w:ascii="Arial" w:hAnsi="Arial" w:cs="Arial"/>
      <w:b/>
      <w:sz w:val="18"/>
      <w:szCs w:val="20"/>
    </w:rPr>
  </w:style>
  <w:style w:type="paragraph" w:styleId="15">
    <w:name w:val="Основной текст с отступом15"/>
    <w:basedOn w:val="Normal"/>
    <w:qFormat/>
    <w:pPr>
      <w:ind w:firstLine="708" w:left="0" w:right="0"/>
      <w:jc w:val="both"/>
    </w:pPr>
    <w:rPr>
      <w:rFonts w:ascii="Arial" w:hAnsi="Arial" w:cs="Arial"/>
      <w:b/>
      <w:sz w:val="18"/>
      <w:szCs w:val="20"/>
    </w:rPr>
  </w:style>
  <w:style w:type="paragraph" w:styleId="16">
    <w:name w:val="Основной текст с отступом16"/>
    <w:basedOn w:val="Normal"/>
    <w:qFormat/>
    <w:pPr>
      <w:ind w:firstLine="708" w:left="0" w:right="0"/>
      <w:jc w:val="both"/>
    </w:pPr>
    <w:rPr>
      <w:rFonts w:ascii="Arial" w:hAnsi="Arial" w:cs="Arial"/>
      <w:b/>
      <w:sz w:val="18"/>
      <w:szCs w:val="20"/>
    </w:rPr>
  </w:style>
  <w:style w:type="paragraph" w:styleId="17">
    <w:name w:val="Основной текст с отступом17"/>
    <w:basedOn w:val="Normal"/>
    <w:qFormat/>
    <w:pPr>
      <w:ind w:firstLine="708" w:left="0" w:right="0"/>
      <w:jc w:val="both"/>
    </w:pPr>
    <w:rPr>
      <w:rFonts w:ascii="Arial" w:hAnsi="Arial" w:cs="Arial"/>
      <w:b/>
      <w:sz w:val="18"/>
      <w:szCs w:val="20"/>
    </w:rPr>
  </w:style>
  <w:style w:type="paragraph" w:styleId="18">
    <w:name w:val="Основной текст с отступом18"/>
    <w:basedOn w:val="Normal"/>
    <w:qFormat/>
    <w:pPr>
      <w:ind w:firstLine="708" w:left="0" w:right="0"/>
      <w:jc w:val="both"/>
    </w:pPr>
    <w:rPr>
      <w:rFonts w:ascii="Arial" w:hAnsi="Arial" w:cs="Arial"/>
      <w:b/>
      <w:sz w:val="18"/>
      <w:szCs w:val="20"/>
    </w:rPr>
  </w:style>
  <w:style w:type="paragraph" w:styleId="19">
    <w:name w:val="Основной текст с отступом19"/>
    <w:basedOn w:val="Normal"/>
    <w:qFormat/>
    <w:pPr>
      <w:ind w:firstLine="708" w:left="0" w:right="0"/>
      <w:jc w:val="both"/>
    </w:pPr>
    <w:rPr>
      <w:rFonts w:ascii="Arial" w:hAnsi="Arial" w:cs="Arial"/>
      <w:b/>
      <w:sz w:val="18"/>
      <w:szCs w:val="20"/>
    </w:rPr>
  </w:style>
  <w:style w:type="paragraph" w:styleId="20">
    <w:name w:val="Основной текст с отступом20"/>
    <w:basedOn w:val="Normal"/>
    <w:qFormat/>
    <w:pPr>
      <w:ind w:firstLine="708" w:left="0" w:right="0"/>
      <w:jc w:val="both"/>
    </w:pPr>
    <w:rPr>
      <w:rFonts w:ascii="Arial" w:hAnsi="Arial" w:cs="Arial"/>
      <w:b/>
      <w:sz w:val="18"/>
      <w:szCs w:val="20"/>
    </w:rPr>
  </w:style>
  <w:style w:type="paragraph" w:styleId="cs80d9435b">
    <w:name w:val="cs80d9435b"/>
    <w:basedOn w:val="Normal"/>
    <w:qFormat/>
    <w:pPr>
      <w:jc w:val="both"/>
    </w:pPr>
    <w:rPr>
      <w:rFonts w:ascii="Arial" w:hAnsi="Arial" w:cs="Arial"/>
    </w:rPr>
  </w:style>
  <w:style w:type="paragraph" w:styleId="212">
    <w:name w:val="Основной текст с отступом21"/>
    <w:basedOn w:val="Normal"/>
    <w:qFormat/>
    <w:pPr>
      <w:ind w:firstLine="708" w:left="0" w:right="0"/>
      <w:jc w:val="both"/>
    </w:pPr>
    <w:rPr>
      <w:rFonts w:ascii="Arial" w:hAnsi="Arial" w:cs="Arial"/>
      <w:b/>
      <w:sz w:val="18"/>
      <w:szCs w:val="20"/>
    </w:rPr>
  </w:style>
  <w:style w:type="paragraph" w:styleId="231">
    <w:name w:val="Основной текст с отступом23"/>
    <w:basedOn w:val="Normal"/>
    <w:qFormat/>
    <w:pPr>
      <w:ind w:firstLine="708" w:left="0" w:right="0"/>
      <w:jc w:val="both"/>
    </w:pPr>
    <w:rPr>
      <w:rFonts w:ascii="Arial" w:hAnsi="Arial" w:cs="Arial"/>
      <w:b/>
      <w:sz w:val="18"/>
      <w:szCs w:val="20"/>
    </w:rPr>
  </w:style>
  <w:style w:type="paragraph" w:styleId="26">
    <w:name w:val="Основной текст с отступом26"/>
    <w:basedOn w:val="Normal"/>
    <w:qFormat/>
    <w:pPr>
      <w:ind w:firstLine="708" w:left="0" w:right="0"/>
      <w:jc w:val="both"/>
    </w:pPr>
    <w:rPr>
      <w:rFonts w:ascii="Arial" w:hAnsi="Arial" w:cs="Arial"/>
      <w:b/>
      <w:sz w:val="18"/>
      <w:szCs w:val="20"/>
    </w:rPr>
  </w:style>
  <w:style w:type="paragraph" w:styleId="28">
    <w:name w:val="Основной текст с отступом28"/>
    <w:basedOn w:val="Normal"/>
    <w:qFormat/>
    <w:pPr>
      <w:ind w:firstLine="708" w:left="0" w:right="0"/>
      <w:jc w:val="both"/>
    </w:pPr>
    <w:rPr>
      <w:rFonts w:ascii="Arial" w:hAnsi="Arial" w:cs="Arial"/>
      <w:b/>
      <w:sz w:val="18"/>
      <w:szCs w:val="20"/>
    </w:rPr>
  </w:style>
  <w:style w:type="paragraph" w:styleId="29">
    <w:name w:val="Основной текст с отступом29"/>
    <w:basedOn w:val="Normal"/>
    <w:qFormat/>
    <w:pPr>
      <w:ind w:firstLine="708" w:left="0" w:right="0"/>
      <w:jc w:val="both"/>
    </w:pPr>
    <w:rPr>
      <w:rFonts w:ascii="Arial" w:hAnsi="Arial" w:cs="Arial"/>
      <w:b/>
      <w:sz w:val="18"/>
      <w:szCs w:val="20"/>
    </w:rPr>
  </w:style>
  <w:style w:type="paragraph" w:styleId="311">
    <w:name w:val="Основной текст с отступом31"/>
    <w:basedOn w:val="Normal"/>
    <w:qFormat/>
    <w:pPr>
      <w:ind w:firstLine="708" w:left="0" w:right="0"/>
      <w:jc w:val="both"/>
    </w:pPr>
    <w:rPr>
      <w:rFonts w:ascii="Arial" w:hAnsi="Arial" w:cs="Arial"/>
      <w:b/>
      <w:sz w:val="18"/>
      <w:szCs w:val="20"/>
    </w:rPr>
  </w:style>
  <w:style w:type="paragraph" w:styleId="321">
    <w:name w:val="Основной текст с отступом32"/>
    <w:basedOn w:val="Normal"/>
    <w:qFormat/>
    <w:pPr>
      <w:ind w:firstLine="708" w:left="0" w:right="0"/>
      <w:jc w:val="both"/>
    </w:pPr>
    <w:rPr>
      <w:rFonts w:ascii="Arial" w:hAnsi="Arial" w:cs="Arial"/>
      <w:b/>
      <w:sz w:val="18"/>
      <w:szCs w:val="20"/>
    </w:rPr>
  </w:style>
  <w:style w:type="paragraph" w:styleId="331">
    <w:name w:val="Основной текст с отступом33"/>
    <w:basedOn w:val="Normal"/>
    <w:qFormat/>
    <w:pPr>
      <w:ind w:firstLine="708" w:left="0" w:right="0"/>
      <w:jc w:val="both"/>
    </w:pPr>
    <w:rPr>
      <w:rFonts w:ascii="Arial" w:hAnsi="Arial" w:cs="Arial"/>
      <w:b/>
      <w:sz w:val="18"/>
      <w:szCs w:val="20"/>
    </w:rPr>
  </w:style>
  <w:style w:type="paragraph" w:styleId="351">
    <w:name w:val="Основной текст с отступом35"/>
    <w:basedOn w:val="Normal"/>
    <w:qFormat/>
    <w:pPr>
      <w:ind w:firstLine="708" w:left="0" w:right="0"/>
      <w:jc w:val="both"/>
    </w:pPr>
    <w:rPr>
      <w:rFonts w:ascii="Arial" w:hAnsi="Arial" w:cs="Arial"/>
      <w:b/>
      <w:sz w:val="18"/>
      <w:szCs w:val="20"/>
    </w:rPr>
  </w:style>
  <w:style w:type="paragraph" w:styleId="341">
    <w:name w:val="Основной текст с отступом34"/>
    <w:basedOn w:val="Normal"/>
    <w:qFormat/>
    <w:pPr>
      <w:ind w:firstLine="708" w:left="0" w:right="0"/>
      <w:jc w:val="both"/>
    </w:pPr>
    <w:rPr>
      <w:rFonts w:ascii="Arial" w:hAnsi="Arial" w:cs="Arial"/>
      <w:b/>
      <w:sz w:val="18"/>
      <w:szCs w:val="20"/>
    </w:rPr>
  </w:style>
  <w:style w:type="paragraph" w:styleId="36">
    <w:name w:val="Основной текст с отступом36"/>
    <w:basedOn w:val="Normal"/>
    <w:qFormat/>
    <w:pPr>
      <w:ind w:firstLine="708" w:left="0" w:right="0"/>
      <w:jc w:val="both"/>
    </w:pPr>
    <w:rPr>
      <w:rFonts w:ascii="Arial" w:hAnsi="Arial" w:cs="Arial"/>
      <w:b/>
      <w:sz w:val="18"/>
      <w:szCs w:val="20"/>
    </w:rPr>
  </w:style>
  <w:style w:type="paragraph" w:styleId="37">
    <w:name w:val="Основной текст с отступом37"/>
    <w:basedOn w:val="Normal"/>
    <w:qFormat/>
    <w:pPr>
      <w:ind w:firstLine="708" w:left="0" w:right="0"/>
      <w:jc w:val="both"/>
    </w:pPr>
    <w:rPr>
      <w:rFonts w:ascii="Arial" w:hAnsi="Arial" w:cs="Arial"/>
      <w:b/>
      <w:sz w:val="18"/>
      <w:szCs w:val="20"/>
    </w:rPr>
  </w:style>
  <w:style w:type="paragraph" w:styleId="Style24">
    <w:name w:val="Текст примечания"/>
    <w:basedOn w:val="Normal"/>
    <w:qFormat/>
    <w:pPr/>
    <w:rPr>
      <w:sz w:val="20"/>
      <w:szCs w:val="20"/>
    </w:rPr>
  </w:style>
  <w:style w:type="paragraph" w:styleId="Style25">
    <w:name w:val="Тема примечания"/>
    <w:basedOn w:val="Style24"/>
    <w:next w:val="Style24"/>
    <w:qFormat/>
    <w:pPr/>
    <w:rPr>
      <w:b/>
      <w:bCs/>
    </w:rPr>
  </w:style>
  <w:style w:type="paragraph" w:styleId="Style26">
    <w:name w:val="Рецензия"/>
    <w:qFormat/>
    <w:pPr>
      <w:widowControl/>
      <w:bidi w:val="0"/>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cs="Arial"/>
    </w:rPr>
  </w:style>
  <w:style w:type="paragraph" w:styleId="38">
    <w:name w:val="Основной текст с отступом38"/>
    <w:basedOn w:val="Normal"/>
    <w:qFormat/>
    <w:pPr>
      <w:ind w:firstLine="708" w:left="0" w:right="0"/>
      <w:jc w:val="both"/>
    </w:pPr>
    <w:rPr>
      <w:rFonts w:ascii="Arial" w:hAnsi="Arial" w:cs="Arial"/>
      <w:b/>
      <w:sz w:val="18"/>
      <w:szCs w:val="20"/>
    </w:rPr>
  </w:style>
  <w:style w:type="paragraph" w:styleId="39">
    <w:name w:val="Основной текст с отступом39"/>
    <w:basedOn w:val="Normal"/>
    <w:qFormat/>
    <w:pPr>
      <w:ind w:firstLine="708" w:left="0" w:right="0"/>
      <w:jc w:val="both"/>
    </w:pPr>
    <w:rPr>
      <w:rFonts w:ascii="Arial" w:hAnsi="Arial" w:cs="Arial"/>
      <w:b/>
      <w:sz w:val="18"/>
      <w:szCs w:val="20"/>
    </w:rPr>
  </w:style>
  <w:style w:type="paragraph" w:styleId="40">
    <w:name w:val="Основной текст с отступом40"/>
    <w:basedOn w:val="Normal"/>
    <w:qFormat/>
    <w:pPr>
      <w:ind w:firstLine="708" w:left="0" w:right="0"/>
      <w:jc w:val="both"/>
    </w:pPr>
    <w:rPr>
      <w:rFonts w:ascii="Arial" w:hAnsi="Arial" w:cs="Arial"/>
      <w:b/>
      <w:sz w:val="18"/>
      <w:szCs w:val="20"/>
    </w:rPr>
  </w:style>
  <w:style w:type="paragraph" w:styleId="412">
    <w:name w:val="Основной текст с отступом41"/>
    <w:basedOn w:val="Normal"/>
    <w:qFormat/>
    <w:pPr>
      <w:ind w:firstLine="708" w:left="0" w:right="0"/>
      <w:jc w:val="both"/>
    </w:pPr>
    <w:rPr>
      <w:rFonts w:ascii="Arial" w:hAnsi="Arial" w:cs="Arial"/>
      <w:b/>
      <w:sz w:val="18"/>
      <w:szCs w:val="20"/>
    </w:rPr>
  </w:style>
  <w:style w:type="paragraph" w:styleId="421">
    <w:name w:val="Основной текст с отступом42"/>
    <w:basedOn w:val="Normal"/>
    <w:qFormat/>
    <w:pPr>
      <w:ind w:firstLine="708" w:left="0" w:right="0"/>
      <w:jc w:val="both"/>
    </w:pPr>
    <w:rPr>
      <w:rFonts w:ascii="Arial" w:hAnsi="Arial" w:cs="Arial"/>
      <w:b/>
      <w:sz w:val="18"/>
      <w:szCs w:val="20"/>
    </w:rPr>
  </w:style>
  <w:style w:type="paragraph" w:styleId="43">
    <w:name w:val="Основной текст с отступом43"/>
    <w:basedOn w:val="Normal"/>
    <w:qFormat/>
    <w:pPr>
      <w:ind w:firstLine="708" w:left="0" w:right="0"/>
      <w:jc w:val="both"/>
    </w:pPr>
    <w:rPr>
      <w:rFonts w:ascii="Arial" w:hAnsi="Arial" w:cs="Arial"/>
      <w:b/>
      <w:sz w:val="18"/>
      <w:szCs w:val="20"/>
    </w:rPr>
  </w:style>
  <w:style w:type="paragraph" w:styleId="44">
    <w:name w:val="Основной текст с отступом44"/>
    <w:basedOn w:val="Normal"/>
    <w:qFormat/>
    <w:pPr>
      <w:ind w:firstLine="708" w:left="0" w:right="0"/>
      <w:jc w:val="both"/>
    </w:pPr>
    <w:rPr>
      <w:rFonts w:ascii="Arial" w:hAnsi="Arial" w:cs="Arial"/>
      <w:b/>
      <w:sz w:val="18"/>
      <w:szCs w:val="20"/>
    </w:rPr>
  </w:style>
  <w:style w:type="paragraph" w:styleId="45">
    <w:name w:val="Основной текст с отступом45"/>
    <w:basedOn w:val="Normal"/>
    <w:qFormat/>
    <w:pPr>
      <w:ind w:firstLine="708" w:left="0" w:right="0"/>
      <w:jc w:val="both"/>
    </w:pPr>
    <w:rPr>
      <w:rFonts w:ascii="Arial" w:hAnsi="Arial" w:cs="Arial"/>
      <w:b/>
      <w:sz w:val="18"/>
      <w:szCs w:val="20"/>
    </w:rPr>
  </w:style>
  <w:style w:type="paragraph" w:styleId="46">
    <w:name w:val="Основной текст с отступом46"/>
    <w:basedOn w:val="Normal"/>
    <w:qFormat/>
    <w:pPr>
      <w:ind w:firstLine="708" w:left="0" w:right="0"/>
      <w:jc w:val="both"/>
    </w:pPr>
    <w:rPr>
      <w:rFonts w:ascii="Arial" w:hAnsi="Arial" w:cs="Arial"/>
      <w:b/>
      <w:sz w:val="18"/>
      <w:szCs w:val="20"/>
    </w:rPr>
  </w:style>
  <w:style w:type="paragraph" w:styleId="47">
    <w:name w:val="Основной текст с отступом47"/>
    <w:basedOn w:val="Normal"/>
    <w:qFormat/>
    <w:pPr>
      <w:ind w:firstLine="708" w:left="0" w:right="0"/>
      <w:jc w:val="both"/>
    </w:pPr>
    <w:rPr>
      <w:rFonts w:ascii="Arial" w:hAnsi="Arial" w:cs="Arial"/>
      <w:b/>
      <w:sz w:val="18"/>
      <w:szCs w:val="20"/>
    </w:rPr>
  </w:style>
  <w:style w:type="paragraph" w:styleId="48">
    <w:name w:val="Основной текст с отступом48"/>
    <w:basedOn w:val="Normal"/>
    <w:qFormat/>
    <w:pPr>
      <w:ind w:firstLine="708" w:left="0" w:right="0"/>
      <w:jc w:val="both"/>
    </w:pPr>
    <w:rPr>
      <w:rFonts w:ascii="Arial" w:hAnsi="Arial" w:cs="Arial"/>
      <w:b/>
      <w:sz w:val="18"/>
      <w:szCs w:val="20"/>
    </w:rPr>
  </w:style>
  <w:style w:type="paragraph" w:styleId="49">
    <w:name w:val="Основной текст с отступом49"/>
    <w:basedOn w:val="Normal"/>
    <w:qFormat/>
    <w:pPr>
      <w:ind w:firstLine="708" w:left="0" w:right="0"/>
      <w:jc w:val="both"/>
    </w:pPr>
    <w:rPr>
      <w:rFonts w:ascii="Arial" w:hAnsi="Arial" w:cs="Arial"/>
      <w:b/>
      <w:sz w:val="18"/>
      <w:szCs w:val="20"/>
    </w:rPr>
  </w:style>
  <w:style w:type="paragraph" w:styleId="50">
    <w:name w:val="Основной текст с отступом50"/>
    <w:basedOn w:val="Normal"/>
    <w:qFormat/>
    <w:pPr>
      <w:ind w:firstLine="708" w:left="0" w:right="0"/>
      <w:jc w:val="both"/>
    </w:pPr>
    <w:rPr>
      <w:rFonts w:ascii="Arial" w:hAnsi="Arial" w:cs="Arial"/>
      <w:b/>
      <w:sz w:val="18"/>
      <w:szCs w:val="20"/>
    </w:rPr>
  </w:style>
  <w:style w:type="paragraph" w:styleId="52">
    <w:name w:val="Основной текст с отступом52"/>
    <w:basedOn w:val="Normal"/>
    <w:qFormat/>
    <w:pPr>
      <w:ind w:firstLine="708" w:left="0" w:right="0"/>
      <w:jc w:val="both"/>
    </w:pPr>
    <w:rPr>
      <w:rFonts w:ascii="Arial" w:hAnsi="Arial" w:cs="Arial"/>
      <w:b/>
      <w:sz w:val="18"/>
      <w:szCs w:val="20"/>
    </w:rPr>
  </w:style>
  <w:style w:type="paragraph" w:styleId="53">
    <w:name w:val="Основной текст с отступом53"/>
    <w:basedOn w:val="Normal"/>
    <w:qFormat/>
    <w:pPr>
      <w:ind w:firstLine="708" w:left="0" w:right="0"/>
      <w:jc w:val="both"/>
    </w:pPr>
    <w:rPr>
      <w:rFonts w:ascii="Arial" w:hAnsi="Arial" w:cs="Arial"/>
      <w:b/>
      <w:sz w:val="18"/>
      <w:szCs w:val="20"/>
    </w:rPr>
  </w:style>
  <w:style w:type="paragraph" w:styleId="54">
    <w:name w:val="Основной текст с отступом54"/>
    <w:basedOn w:val="Normal"/>
    <w:qFormat/>
    <w:pPr>
      <w:ind w:firstLine="708" w:left="0" w:right="0"/>
      <w:jc w:val="both"/>
    </w:pPr>
    <w:rPr>
      <w:rFonts w:ascii="Arial" w:hAnsi="Arial" w:cs="Arial"/>
      <w:b/>
      <w:sz w:val="18"/>
      <w:szCs w:val="20"/>
    </w:rPr>
  </w:style>
  <w:style w:type="paragraph" w:styleId="57">
    <w:name w:val="Основной текст с отступом57"/>
    <w:basedOn w:val="Normal"/>
    <w:qFormat/>
    <w:pPr>
      <w:ind w:firstLine="708" w:left="0" w:right="0"/>
      <w:jc w:val="both"/>
    </w:pPr>
    <w:rPr>
      <w:rFonts w:ascii="Arial" w:hAnsi="Arial" w:cs="Arial"/>
      <w:b/>
      <w:sz w:val="18"/>
      <w:szCs w:val="20"/>
    </w:rPr>
  </w:style>
  <w:style w:type="paragraph" w:styleId="59">
    <w:name w:val="Основной текст с отступом59"/>
    <w:basedOn w:val="Normal"/>
    <w:qFormat/>
    <w:pPr>
      <w:ind w:firstLine="708" w:left="0" w:right="0"/>
      <w:jc w:val="both"/>
    </w:pPr>
    <w:rPr>
      <w:rFonts w:ascii="Arial" w:hAnsi="Arial" w:cs="Arial"/>
      <w:b/>
      <w:sz w:val="18"/>
      <w:szCs w:val="20"/>
    </w:rPr>
  </w:style>
  <w:style w:type="paragraph" w:styleId="60">
    <w:name w:val="Основной текст с отступом60"/>
    <w:basedOn w:val="Normal"/>
    <w:qFormat/>
    <w:pPr>
      <w:ind w:firstLine="708" w:left="0" w:right="0"/>
      <w:jc w:val="both"/>
    </w:pPr>
    <w:rPr>
      <w:rFonts w:ascii="Arial" w:hAnsi="Arial" w:cs="Arial"/>
      <w:b/>
      <w:sz w:val="18"/>
      <w:szCs w:val="20"/>
    </w:rPr>
  </w:style>
  <w:style w:type="paragraph" w:styleId="611">
    <w:name w:val="Основной текст с отступом61"/>
    <w:basedOn w:val="Normal"/>
    <w:qFormat/>
    <w:pPr>
      <w:ind w:firstLine="708" w:left="0" w:right="0"/>
      <w:jc w:val="both"/>
    </w:pPr>
    <w:rPr>
      <w:rFonts w:ascii="Arial" w:hAnsi="Arial" w:cs="Arial"/>
      <w:b/>
      <w:sz w:val="18"/>
      <w:szCs w:val="20"/>
    </w:rPr>
  </w:style>
  <w:style w:type="paragraph" w:styleId="25">
    <w:name w:val="Обычный2"/>
    <w:qFormat/>
    <w:pPr>
      <w:widowControl/>
      <w:bidi w:val="0"/>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cs="Arial"/>
      <w:sz w:val="18"/>
      <w:szCs w:val="20"/>
      <w:lang w:val="ru-RU"/>
    </w:rPr>
  </w:style>
  <w:style w:type="paragraph" w:styleId="222">
    <w:name w:val="Заголовок 22"/>
    <w:basedOn w:val="Normal"/>
    <w:qFormat/>
    <w:pPr/>
    <w:rPr>
      <w:rFonts w:ascii="Arial" w:hAnsi="Arial" w:cs="Arial"/>
      <w:b/>
      <w:caps/>
      <w:sz w:val="16"/>
      <w:szCs w:val="20"/>
      <w:lang w:val="ru-RU"/>
    </w:rPr>
  </w:style>
  <w:style w:type="paragraph" w:styleId="422">
    <w:name w:val="Заголовок 42"/>
    <w:basedOn w:val="Normal"/>
    <w:qFormat/>
    <w:pPr/>
    <w:rPr>
      <w:rFonts w:ascii="Arial" w:hAnsi="Arial" w:cs="Arial"/>
      <w:b/>
      <w:sz w:val="20"/>
      <w:szCs w:val="20"/>
      <w:lang w:val="ru-RU"/>
    </w:rPr>
  </w:style>
  <w:style w:type="paragraph" w:styleId="310">
    <w:name w:val="Обычный3"/>
    <w:qFormat/>
    <w:pPr>
      <w:widowControl/>
      <w:bidi w:val="0"/>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cs="Arial"/>
      <w:sz w:val="18"/>
      <w:szCs w:val="20"/>
      <w:lang w:val="ru-RU"/>
    </w:rPr>
  </w:style>
  <w:style w:type="paragraph" w:styleId="232">
    <w:name w:val="Заголовок 23"/>
    <w:basedOn w:val="Normal"/>
    <w:qFormat/>
    <w:pPr/>
    <w:rPr>
      <w:rFonts w:ascii="Arial" w:hAnsi="Arial" w:cs="Arial"/>
      <w:b/>
      <w:caps/>
      <w:sz w:val="16"/>
      <w:szCs w:val="20"/>
      <w:lang w:val="ru-RU"/>
    </w:rPr>
  </w:style>
  <w:style w:type="paragraph" w:styleId="431">
    <w:name w:val="Заголовок 43"/>
    <w:basedOn w:val="Normal"/>
    <w:qFormat/>
    <w:pPr/>
    <w:rPr>
      <w:rFonts w:ascii="Arial" w:hAnsi="Arial" w:cs="Arial"/>
      <w:b/>
      <w:sz w:val="20"/>
      <w:szCs w:val="20"/>
      <w:lang w:val="ru-RU"/>
    </w:rPr>
  </w:style>
  <w:style w:type="paragraph" w:styleId="BodyTextIndent1">
    <w:name w:val="Body Text Indent1"/>
    <w:basedOn w:val="Normal"/>
    <w:qFormat/>
    <w:pPr>
      <w:spacing w:before="120" w:after="120"/>
    </w:pPr>
    <w:rPr>
      <w:rFonts w:ascii="Arial" w:hAnsi="Arial" w:cs="Arial"/>
      <w:sz w:val="18"/>
      <w:szCs w:val="20"/>
      <w:lang w:val="ru-RU"/>
    </w:rPr>
  </w:style>
  <w:style w:type="paragraph" w:styleId="WW-Heading2">
    <w:name w:val="WW-Heading 2"/>
    <w:basedOn w:val="Normal"/>
    <w:qFormat/>
    <w:pPr/>
    <w:rPr>
      <w:rFonts w:ascii="Arial" w:hAnsi="Arial" w:cs="Arial"/>
      <w:b/>
      <w:caps/>
      <w:sz w:val="16"/>
      <w:szCs w:val="20"/>
      <w:lang w:val="ru-RU"/>
    </w:rPr>
  </w:style>
  <w:style w:type="paragraph" w:styleId="WW-Heading4">
    <w:name w:val="WW-Heading 4"/>
    <w:basedOn w:val="Normal"/>
    <w:qFormat/>
    <w:pPr/>
    <w:rPr>
      <w:rFonts w:ascii="Arial" w:hAnsi="Arial" w:cs="Arial"/>
      <w:b/>
      <w:sz w:val="20"/>
      <w:szCs w:val="20"/>
      <w:lang w:val="ru-RU"/>
    </w:rPr>
  </w:style>
  <w:style w:type="paragraph" w:styleId="62">
    <w:name w:val="Основной текст с отступом62"/>
    <w:basedOn w:val="Normal"/>
    <w:qFormat/>
    <w:pPr>
      <w:ind w:firstLine="708" w:left="0" w:right="0"/>
      <w:jc w:val="both"/>
    </w:pPr>
    <w:rPr>
      <w:rFonts w:ascii="Arial" w:hAnsi="Arial" w:cs="Arial"/>
      <w:b/>
      <w:sz w:val="18"/>
      <w:szCs w:val="20"/>
    </w:rPr>
  </w:style>
  <w:style w:type="paragraph" w:styleId="64">
    <w:name w:val="Основной текст с отступом64"/>
    <w:basedOn w:val="Normal"/>
    <w:qFormat/>
    <w:pPr>
      <w:ind w:firstLine="708" w:left="0" w:right="0"/>
      <w:jc w:val="both"/>
    </w:pPr>
    <w:rPr>
      <w:rFonts w:ascii="Arial" w:hAnsi="Arial" w:cs="Arial"/>
      <w:b/>
      <w:sz w:val="18"/>
      <w:szCs w:val="20"/>
    </w:rPr>
  </w:style>
  <w:style w:type="paragraph" w:styleId="63">
    <w:name w:val="Основной текст с отступом63"/>
    <w:basedOn w:val="Normal"/>
    <w:qFormat/>
    <w:pPr>
      <w:ind w:firstLine="708" w:left="0" w:right="0"/>
      <w:jc w:val="both"/>
    </w:pPr>
    <w:rPr>
      <w:rFonts w:ascii="Arial" w:hAnsi="Arial" w:cs="Arial"/>
      <w:b/>
      <w:sz w:val="18"/>
      <w:szCs w:val="20"/>
    </w:rPr>
  </w:style>
  <w:style w:type="paragraph" w:styleId="65">
    <w:name w:val="Основной текст с отступом65"/>
    <w:basedOn w:val="Normal"/>
    <w:qFormat/>
    <w:pPr>
      <w:ind w:firstLine="708" w:left="0" w:right="0"/>
      <w:jc w:val="both"/>
    </w:pPr>
    <w:rPr>
      <w:rFonts w:ascii="Arial" w:hAnsi="Arial" w:cs="Arial"/>
      <w:b/>
      <w:sz w:val="18"/>
      <w:szCs w:val="20"/>
    </w:rPr>
  </w:style>
  <w:style w:type="paragraph" w:styleId="66">
    <w:name w:val="Основной текст с отступом66"/>
    <w:basedOn w:val="Normal"/>
    <w:qFormat/>
    <w:pPr>
      <w:ind w:firstLine="708" w:left="0" w:right="0"/>
      <w:jc w:val="both"/>
    </w:pPr>
    <w:rPr>
      <w:rFonts w:ascii="Arial" w:hAnsi="Arial" w:cs="Arial"/>
      <w:b/>
      <w:sz w:val="18"/>
      <w:szCs w:val="20"/>
    </w:rPr>
  </w:style>
  <w:style w:type="paragraph" w:styleId="67">
    <w:name w:val="Основной текст с отступом67"/>
    <w:basedOn w:val="Normal"/>
    <w:qFormat/>
    <w:pPr>
      <w:ind w:firstLine="708" w:left="0" w:right="0"/>
      <w:jc w:val="both"/>
    </w:pPr>
    <w:rPr>
      <w:rFonts w:ascii="Arial" w:hAnsi="Arial" w:cs="Arial"/>
      <w:b/>
      <w:sz w:val="18"/>
      <w:szCs w:val="20"/>
    </w:rPr>
  </w:style>
  <w:style w:type="paragraph" w:styleId="68">
    <w:name w:val="Основной текст с отступом68"/>
    <w:basedOn w:val="Normal"/>
    <w:qFormat/>
    <w:pPr>
      <w:ind w:firstLine="708" w:left="0" w:right="0"/>
      <w:jc w:val="both"/>
    </w:pPr>
    <w:rPr>
      <w:rFonts w:ascii="Arial" w:hAnsi="Arial" w:cs="Arial"/>
      <w:b/>
      <w:sz w:val="18"/>
      <w:szCs w:val="20"/>
    </w:rPr>
  </w:style>
  <w:style w:type="paragraph" w:styleId="69">
    <w:name w:val="Основной текст с отступом69"/>
    <w:basedOn w:val="Normal"/>
    <w:qFormat/>
    <w:pPr>
      <w:ind w:firstLine="708" w:left="0" w:right="0"/>
      <w:jc w:val="both"/>
    </w:pPr>
    <w:rPr>
      <w:rFonts w:ascii="Arial" w:hAnsi="Arial" w:cs="Arial"/>
      <w:b/>
      <w:sz w:val="18"/>
      <w:szCs w:val="20"/>
    </w:rPr>
  </w:style>
  <w:style w:type="paragraph" w:styleId="70">
    <w:name w:val="Основной текст с отступом70"/>
    <w:basedOn w:val="Normal"/>
    <w:qFormat/>
    <w:pPr>
      <w:ind w:firstLine="708" w:left="0" w:right="0"/>
      <w:jc w:val="both"/>
    </w:pPr>
    <w:rPr>
      <w:rFonts w:ascii="Arial" w:hAnsi="Arial" w:cs="Arial"/>
      <w:b/>
      <w:sz w:val="18"/>
      <w:szCs w:val="20"/>
    </w:rPr>
  </w:style>
  <w:style w:type="paragraph" w:styleId="71">
    <w:name w:val="Основной текст с отступом71"/>
    <w:basedOn w:val="Normal"/>
    <w:qFormat/>
    <w:pPr>
      <w:ind w:firstLine="708" w:left="0" w:right="0"/>
      <w:jc w:val="both"/>
    </w:pPr>
    <w:rPr>
      <w:rFonts w:ascii="Arial" w:hAnsi="Arial" w:cs="Arial"/>
      <w:b/>
      <w:sz w:val="18"/>
      <w:szCs w:val="20"/>
    </w:rPr>
  </w:style>
  <w:style w:type="paragraph" w:styleId="72">
    <w:name w:val="Основной текст с отступом72"/>
    <w:basedOn w:val="Normal"/>
    <w:qFormat/>
    <w:pPr>
      <w:ind w:firstLine="708" w:left="0" w:right="0"/>
      <w:jc w:val="both"/>
    </w:pPr>
    <w:rPr>
      <w:rFonts w:ascii="Arial" w:hAnsi="Arial" w:cs="Arial"/>
      <w:b/>
      <w:sz w:val="18"/>
      <w:szCs w:val="20"/>
    </w:rPr>
  </w:style>
  <w:style w:type="paragraph" w:styleId="142">
    <w:name w:val="Основной текст (14)"/>
    <w:basedOn w:val="Normal"/>
    <w:qFormat/>
    <w:pPr>
      <w:widowControl w:val="false"/>
      <w:shd w:fill="FFFFFF" w:val="clear"/>
      <w:spacing w:lineRule="exact" w:line="278"/>
      <w:jc w:val="center"/>
    </w:pPr>
    <w:rPr>
      <w:rFonts w:eastAsia="Calibri"/>
      <w:sz w:val="21"/>
      <w:szCs w:val="21"/>
    </w:rPr>
  </w:style>
  <w:style w:type="paragraph" w:styleId="73">
    <w:name w:val="Основной текст с отступом73"/>
    <w:basedOn w:val="Normal"/>
    <w:qFormat/>
    <w:pPr>
      <w:ind w:firstLine="708" w:left="0" w:right="0"/>
      <w:jc w:val="both"/>
    </w:pPr>
    <w:rPr>
      <w:rFonts w:ascii="Arial" w:hAnsi="Arial" w:cs="Arial"/>
      <w:b/>
      <w:sz w:val="18"/>
      <w:szCs w:val="20"/>
    </w:rPr>
  </w:style>
  <w:style w:type="paragraph" w:styleId="74">
    <w:name w:val="Основной текст с отступом74"/>
    <w:basedOn w:val="Normal"/>
    <w:qFormat/>
    <w:pPr>
      <w:ind w:firstLine="708" w:left="0" w:right="0"/>
      <w:jc w:val="both"/>
    </w:pPr>
    <w:rPr>
      <w:rFonts w:ascii="Arial" w:hAnsi="Arial" w:cs="Arial"/>
      <w:b/>
      <w:sz w:val="18"/>
      <w:szCs w:val="20"/>
    </w:rPr>
  </w:style>
  <w:style w:type="paragraph" w:styleId="75">
    <w:name w:val="Основной текст с отступом75"/>
    <w:basedOn w:val="Normal"/>
    <w:qFormat/>
    <w:pPr>
      <w:ind w:firstLine="708" w:left="0" w:right="0"/>
      <w:jc w:val="both"/>
    </w:pPr>
    <w:rPr>
      <w:rFonts w:ascii="Arial" w:hAnsi="Arial" w:cs="Arial"/>
      <w:b/>
      <w:sz w:val="18"/>
      <w:szCs w:val="20"/>
    </w:rPr>
  </w:style>
  <w:style w:type="paragraph" w:styleId="76">
    <w:name w:val="Основной текст с отступом76"/>
    <w:basedOn w:val="Normal"/>
    <w:qFormat/>
    <w:pPr>
      <w:ind w:firstLine="708" w:left="0" w:right="0"/>
      <w:jc w:val="both"/>
    </w:pPr>
    <w:rPr>
      <w:rFonts w:ascii="Arial" w:hAnsi="Arial" w:cs="Arial"/>
      <w:b/>
      <w:sz w:val="18"/>
      <w:szCs w:val="20"/>
    </w:rPr>
  </w:style>
  <w:style w:type="paragraph" w:styleId="77">
    <w:name w:val="Основной текст с отступом77"/>
    <w:basedOn w:val="Normal"/>
    <w:qFormat/>
    <w:pPr>
      <w:ind w:firstLine="708" w:left="0" w:right="0"/>
      <w:jc w:val="both"/>
    </w:pPr>
    <w:rPr>
      <w:rFonts w:ascii="Arial" w:hAnsi="Arial" w:cs="Arial"/>
      <w:b/>
      <w:sz w:val="18"/>
      <w:szCs w:val="20"/>
    </w:rPr>
  </w:style>
  <w:style w:type="paragraph" w:styleId="78">
    <w:name w:val="Основной текст с отступом78"/>
    <w:basedOn w:val="Normal"/>
    <w:qFormat/>
    <w:pPr>
      <w:ind w:firstLine="708" w:left="0" w:right="0"/>
      <w:jc w:val="both"/>
    </w:pPr>
    <w:rPr>
      <w:rFonts w:ascii="Arial" w:hAnsi="Arial" w:cs="Arial"/>
      <w:b/>
      <w:sz w:val="18"/>
      <w:szCs w:val="20"/>
    </w:rPr>
  </w:style>
  <w:style w:type="paragraph" w:styleId="79">
    <w:name w:val="Основной текст с отступом79"/>
    <w:basedOn w:val="Normal"/>
    <w:qFormat/>
    <w:pPr>
      <w:ind w:firstLine="708" w:left="0" w:right="0"/>
      <w:jc w:val="both"/>
    </w:pPr>
    <w:rPr>
      <w:rFonts w:ascii="Arial" w:hAnsi="Arial" w:cs="Arial"/>
      <w:b/>
      <w:sz w:val="18"/>
      <w:szCs w:val="20"/>
    </w:rPr>
  </w:style>
  <w:style w:type="paragraph" w:styleId="81">
    <w:name w:val="Основной текст с отступом81"/>
    <w:basedOn w:val="Normal"/>
    <w:qFormat/>
    <w:pPr>
      <w:ind w:firstLine="708" w:left="0" w:right="0"/>
      <w:jc w:val="both"/>
    </w:pPr>
    <w:rPr>
      <w:rFonts w:ascii="Arial" w:hAnsi="Arial" w:cs="Arial"/>
      <w:b/>
      <w:sz w:val="18"/>
      <w:szCs w:val="20"/>
    </w:rPr>
  </w:style>
  <w:style w:type="paragraph" w:styleId="82">
    <w:name w:val="Основной текст с отступом82"/>
    <w:basedOn w:val="Normal"/>
    <w:qFormat/>
    <w:pPr>
      <w:ind w:firstLine="708" w:left="0" w:right="0"/>
      <w:jc w:val="both"/>
    </w:pPr>
    <w:rPr>
      <w:rFonts w:ascii="Arial" w:hAnsi="Arial" w:cs="Arial"/>
      <w:b/>
      <w:sz w:val="18"/>
      <w:szCs w:val="20"/>
    </w:rPr>
  </w:style>
  <w:style w:type="paragraph" w:styleId="84">
    <w:name w:val="Основной текст с отступом84"/>
    <w:basedOn w:val="Normal"/>
    <w:qFormat/>
    <w:pPr>
      <w:ind w:firstLine="708" w:left="0" w:right="0"/>
      <w:jc w:val="both"/>
    </w:pPr>
    <w:rPr>
      <w:rFonts w:ascii="Arial" w:hAnsi="Arial" w:cs="Arial"/>
      <w:b/>
      <w:sz w:val="18"/>
      <w:szCs w:val="20"/>
    </w:rPr>
  </w:style>
  <w:style w:type="paragraph" w:styleId="85">
    <w:name w:val="Основной текст с отступом85"/>
    <w:basedOn w:val="Normal"/>
    <w:qFormat/>
    <w:pPr>
      <w:ind w:firstLine="708" w:left="0" w:right="0"/>
      <w:jc w:val="both"/>
    </w:pPr>
    <w:rPr>
      <w:rFonts w:ascii="Arial" w:hAnsi="Arial" w:cs="Arial"/>
      <w:b/>
      <w:sz w:val="18"/>
      <w:szCs w:val="20"/>
    </w:rPr>
  </w:style>
  <w:style w:type="paragraph" w:styleId="86">
    <w:name w:val="Основной текст с отступом86"/>
    <w:basedOn w:val="Normal"/>
    <w:qFormat/>
    <w:pPr>
      <w:ind w:firstLine="708" w:left="0" w:right="0"/>
      <w:jc w:val="both"/>
    </w:pPr>
    <w:rPr>
      <w:rFonts w:ascii="Arial" w:hAnsi="Arial" w:cs="Arial"/>
      <w:b/>
      <w:sz w:val="18"/>
      <w:szCs w:val="20"/>
    </w:rPr>
  </w:style>
  <w:style w:type="paragraph" w:styleId="87">
    <w:name w:val="Основной текст с отступом87"/>
    <w:basedOn w:val="Normal"/>
    <w:qFormat/>
    <w:pPr>
      <w:ind w:firstLine="708" w:left="0" w:right="0"/>
      <w:jc w:val="both"/>
    </w:pPr>
    <w:rPr>
      <w:rFonts w:ascii="Arial" w:hAnsi="Arial" w:cs="Arial"/>
      <w:b/>
      <w:sz w:val="18"/>
      <w:szCs w:val="20"/>
    </w:rPr>
  </w:style>
  <w:style w:type="paragraph" w:styleId="88">
    <w:name w:val="Основной текст с отступом88"/>
    <w:basedOn w:val="Normal"/>
    <w:qFormat/>
    <w:pPr>
      <w:ind w:firstLine="708" w:left="0" w:right="0"/>
      <w:jc w:val="both"/>
    </w:pPr>
    <w:rPr>
      <w:rFonts w:ascii="Arial" w:hAnsi="Arial" w:cs="Arial"/>
      <w:b/>
      <w:sz w:val="18"/>
      <w:szCs w:val="20"/>
    </w:rPr>
  </w:style>
  <w:style w:type="paragraph" w:styleId="89">
    <w:name w:val="Основной текст с отступом89"/>
    <w:basedOn w:val="Normal"/>
    <w:qFormat/>
    <w:pPr>
      <w:ind w:firstLine="708" w:left="0" w:right="0"/>
      <w:jc w:val="both"/>
    </w:pPr>
    <w:rPr>
      <w:rFonts w:ascii="Arial" w:hAnsi="Arial" w:cs="Arial"/>
      <w:b/>
      <w:sz w:val="18"/>
      <w:szCs w:val="20"/>
    </w:rPr>
  </w:style>
  <w:style w:type="paragraph" w:styleId="91">
    <w:name w:val="Основной текст с отступом91"/>
    <w:basedOn w:val="Normal"/>
    <w:qFormat/>
    <w:pPr>
      <w:ind w:firstLine="708" w:left="0" w:right="0"/>
      <w:jc w:val="both"/>
    </w:pPr>
    <w:rPr>
      <w:rFonts w:ascii="Arial" w:hAnsi="Arial" w:cs="Arial"/>
      <w:b/>
      <w:sz w:val="18"/>
      <w:szCs w:val="20"/>
    </w:rPr>
  </w:style>
  <w:style w:type="paragraph" w:styleId="92">
    <w:name w:val="Основной текст с отступом92"/>
    <w:basedOn w:val="Normal"/>
    <w:qFormat/>
    <w:pPr>
      <w:ind w:firstLine="708" w:left="0" w:right="0"/>
      <w:jc w:val="both"/>
    </w:pPr>
    <w:rPr>
      <w:rFonts w:ascii="Arial" w:hAnsi="Arial" w:cs="Arial"/>
      <w:b/>
      <w:sz w:val="18"/>
      <w:szCs w:val="20"/>
    </w:rPr>
  </w:style>
  <w:style w:type="paragraph" w:styleId="93">
    <w:name w:val="Основной текст с отступом93"/>
    <w:basedOn w:val="Normal"/>
    <w:qFormat/>
    <w:pPr>
      <w:ind w:firstLine="708" w:left="0" w:right="0"/>
      <w:jc w:val="both"/>
    </w:pPr>
    <w:rPr>
      <w:rFonts w:ascii="Arial" w:hAnsi="Arial" w:cs="Arial"/>
      <w:b/>
      <w:sz w:val="18"/>
      <w:szCs w:val="20"/>
    </w:rPr>
  </w:style>
  <w:style w:type="paragraph" w:styleId="94">
    <w:name w:val="Основной текст с отступом94"/>
    <w:basedOn w:val="Normal"/>
    <w:qFormat/>
    <w:pPr>
      <w:ind w:firstLine="708" w:left="0" w:right="0"/>
      <w:jc w:val="both"/>
    </w:pPr>
    <w:rPr>
      <w:rFonts w:ascii="Arial" w:hAnsi="Arial" w:cs="Arial"/>
      <w:b/>
      <w:sz w:val="18"/>
      <w:szCs w:val="20"/>
    </w:rPr>
  </w:style>
  <w:style w:type="paragraph" w:styleId="95">
    <w:name w:val="Основной текст с отступом95"/>
    <w:basedOn w:val="Normal"/>
    <w:qFormat/>
    <w:pPr>
      <w:ind w:firstLine="708" w:left="0" w:right="0"/>
      <w:jc w:val="both"/>
    </w:pPr>
    <w:rPr>
      <w:rFonts w:ascii="Arial" w:hAnsi="Arial" w:cs="Arial"/>
      <w:b/>
      <w:sz w:val="18"/>
      <w:szCs w:val="20"/>
    </w:rPr>
  </w:style>
  <w:style w:type="paragraph" w:styleId="97">
    <w:name w:val="Основной текст с отступом97"/>
    <w:basedOn w:val="Normal"/>
    <w:qFormat/>
    <w:pPr>
      <w:ind w:firstLine="708" w:left="0" w:right="0"/>
      <w:jc w:val="both"/>
    </w:pPr>
    <w:rPr>
      <w:rFonts w:ascii="Arial" w:hAnsi="Arial" w:cs="Arial"/>
      <w:b/>
      <w:sz w:val="18"/>
      <w:szCs w:val="20"/>
    </w:rPr>
  </w:style>
  <w:style w:type="paragraph" w:styleId="99">
    <w:name w:val="Основной текст с отступом99"/>
    <w:basedOn w:val="Normal"/>
    <w:qFormat/>
    <w:pPr>
      <w:ind w:firstLine="708" w:left="0" w:right="0"/>
      <w:jc w:val="both"/>
    </w:pPr>
    <w:rPr>
      <w:rFonts w:ascii="Arial" w:hAnsi="Arial" w:cs="Arial"/>
      <w:b/>
      <w:sz w:val="18"/>
      <w:szCs w:val="20"/>
    </w:rPr>
  </w:style>
  <w:style w:type="paragraph" w:styleId="100">
    <w:name w:val="Основной текст с отступом100"/>
    <w:basedOn w:val="Normal"/>
    <w:qFormat/>
    <w:pPr>
      <w:ind w:firstLine="708" w:left="0" w:right="0"/>
      <w:jc w:val="both"/>
    </w:pPr>
    <w:rPr>
      <w:rFonts w:ascii="Arial" w:hAnsi="Arial" w:cs="Arial"/>
      <w:b/>
      <w:sz w:val="18"/>
      <w:szCs w:val="20"/>
    </w:rPr>
  </w:style>
  <w:style w:type="paragraph" w:styleId="101">
    <w:name w:val="Основной текст с отступом101"/>
    <w:basedOn w:val="Normal"/>
    <w:qFormat/>
    <w:pPr>
      <w:ind w:firstLine="708" w:left="0" w:right="0"/>
      <w:jc w:val="both"/>
    </w:pPr>
    <w:rPr>
      <w:rFonts w:ascii="Arial" w:hAnsi="Arial" w:cs="Arial"/>
      <w:b/>
      <w:sz w:val="18"/>
      <w:szCs w:val="20"/>
    </w:rPr>
  </w:style>
  <w:style w:type="paragraph" w:styleId="102">
    <w:name w:val="Основной текст с отступом102"/>
    <w:basedOn w:val="Normal"/>
    <w:qFormat/>
    <w:pPr>
      <w:ind w:firstLine="708" w:left="0" w:right="0"/>
      <w:jc w:val="both"/>
    </w:pPr>
    <w:rPr>
      <w:rFonts w:ascii="Arial" w:hAnsi="Arial" w:cs="Arial"/>
      <w:b/>
      <w:sz w:val="18"/>
      <w:szCs w:val="20"/>
    </w:rPr>
  </w:style>
  <w:style w:type="paragraph" w:styleId="103">
    <w:name w:val="Основной текст с отступом103"/>
    <w:basedOn w:val="Normal"/>
    <w:qFormat/>
    <w:pPr>
      <w:ind w:firstLine="708" w:left="0" w:right="0"/>
      <w:jc w:val="both"/>
    </w:pPr>
    <w:rPr>
      <w:rFonts w:ascii="Arial" w:hAnsi="Arial" w:cs="Arial"/>
      <w:b/>
      <w:sz w:val="18"/>
      <w:szCs w:val="20"/>
    </w:rPr>
  </w:style>
  <w:style w:type="paragraph" w:styleId="104">
    <w:name w:val="Основной текст с отступом104"/>
    <w:basedOn w:val="Normal"/>
    <w:qFormat/>
    <w:pPr>
      <w:ind w:firstLine="708" w:left="0" w:right="0"/>
      <w:jc w:val="both"/>
    </w:pPr>
    <w:rPr>
      <w:rFonts w:ascii="Arial" w:hAnsi="Arial" w:cs="Arial"/>
      <w:b/>
      <w:sz w:val="18"/>
      <w:szCs w:val="20"/>
    </w:rPr>
  </w:style>
  <w:style w:type="paragraph" w:styleId="105">
    <w:name w:val="Основной текст с отступом105"/>
    <w:basedOn w:val="Normal"/>
    <w:qFormat/>
    <w:pPr>
      <w:ind w:firstLine="708" w:left="0" w:right="0"/>
      <w:jc w:val="both"/>
    </w:pPr>
    <w:rPr>
      <w:rFonts w:ascii="Arial" w:hAnsi="Arial" w:cs="Arial"/>
      <w:b/>
      <w:sz w:val="18"/>
      <w:szCs w:val="20"/>
    </w:rPr>
  </w:style>
  <w:style w:type="paragraph" w:styleId="107">
    <w:name w:val="Основной текст с отступом107"/>
    <w:basedOn w:val="Normal"/>
    <w:qFormat/>
    <w:pPr>
      <w:ind w:firstLine="708" w:left="0" w:right="0"/>
      <w:jc w:val="both"/>
    </w:pPr>
    <w:rPr>
      <w:rFonts w:ascii="Arial" w:hAnsi="Arial" w:cs="Arial"/>
      <w:b/>
      <w:sz w:val="18"/>
      <w:szCs w:val="20"/>
    </w:rPr>
  </w:style>
  <w:style w:type="paragraph" w:styleId="109">
    <w:name w:val="Основной текст с отступом109"/>
    <w:basedOn w:val="Normal"/>
    <w:qFormat/>
    <w:pPr>
      <w:ind w:firstLine="708" w:left="0" w:right="0"/>
      <w:jc w:val="both"/>
    </w:pPr>
    <w:rPr>
      <w:rFonts w:ascii="Arial" w:hAnsi="Arial" w:cs="Arial"/>
      <w:b/>
      <w:sz w:val="18"/>
      <w:szCs w:val="20"/>
    </w:rPr>
  </w:style>
  <w:style w:type="paragraph" w:styleId="1111">
    <w:name w:val="Основной текст с отступом111"/>
    <w:basedOn w:val="Normal"/>
    <w:qFormat/>
    <w:pPr>
      <w:ind w:firstLine="708" w:left="0" w:right="0"/>
      <w:jc w:val="both"/>
    </w:pPr>
    <w:rPr>
      <w:rFonts w:ascii="Arial" w:hAnsi="Arial" w:cs="Arial"/>
      <w:b/>
      <w:sz w:val="18"/>
      <w:szCs w:val="20"/>
    </w:rPr>
  </w:style>
  <w:style w:type="paragraph" w:styleId="1121">
    <w:name w:val="Основной текст с отступом112"/>
    <w:basedOn w:val="Normal"/>
    <w:qFormat/>
    <w:pPr>
      <w:ind w:firstLine="708" w:left="0" w:right="0"/>
      <w:jc w:val="both"/>
    </w:pPr>
    <w:rPr>
      <w:rFonts w:ascii="Arial" w:hAnsi="Arial" w:cs="Arial"/>
      <w:b/>
      <w:sz w:val="18"/>
      <w:szCs w:val="20"/>
    </w:rPr>
  </w:style>
  <w:style w:type="paragraph" w:styleId="113">
    <w:name w:val="Основной текст с отступом113"/>
    <w:basedOn w:val="Normal"/>
    <w:qFormat/>
    <w:pPr>
      <w:ind w:firstLine="708" w:left="0" w:right="0"/>
      <w:jc w:val="both"/>
    </w:pPr>
    <w:rPr>
      <w:rFonts w:ascii="Arial" w:hAnsi="Arial" w:cs="Arial"/>
      <w:b/>
      <w:sz w:val="18"/>
      <w:szCs w:val="20"/>
    </w:rPr>
  </w:style>
  <w:style w:type="paragraph" w:styleId="114">
    <w:name w:val="Основной текст с отступом114"/>
    <w:basedOn w:val="Normal"/>
    <w:qFormat/>
    <w:pPr>
      <w:ind w:firstLine="708" w:left="0" w:right="0"/>
      <w:jc w:val="both"/>
    </w:pPr>
    <w:rPr>
      <w:rFonts w:ascii="Arial" w:hAnsi="Arial" w:cs="Arial"/>
      <w:b/>
      <w:sz w:val="18"/>
      <w:szCs w:val="20"/>
    </w:rPr>
  </w:style>
  <w:style w:type="paragraph" w:styleId="115">
    <w:name w:val="Основной текст с отступом115"/>
    <w:basedOn w:val="Normal"/>
    <w:qFormat/>
    <w:pPr>
      <w:ind w:firstLine="708" w:left="0" w:right="0"/>
      <w:jc w:val="both"/>
    </w:pPr>
    <w:rPr>
      <w:rFonts w:ascii="Arial" w:hAnsi="Arial" w:cs="Arial"/>
      <w:b/>
      <w:sz w:val="18"/>
      <w:szCs w:val="20"/>
    </w:rPr>
  </w:style>
  <w:style w:type="paragraph" w:styleId="116">
    <w:name w:val="Основной текст с отступом116"/>
    <w:basedOn w:val="Normal"/>
    <w:qFormat/>
    <w:pPr>
      <w:ind w:firstLine="708" w:left="0" w:right="0"/>
      <w:jc w:val="both"/>
    </w:pPr>
    <w:rPr>
      <w:rFonts w:ascii="Arial" w:hAnsi="Arial" w:cs="Arial"/>
      <w:b/>
      <w:sz w:val="18"/>
      <w:szCs w:val="20"/>
    </w:rPr>
  </w:style>
  <w:style w:type="paragraph" w:styleId="117">
    <w:name w:val="Основной текст с отступом117"/>
    <w:basedOn w:val="Normal"/>
    <w:qFormat/>
    <w:pPr>
      <w:ind w:firstLine="708" w:left="0" w:right="0"/>
      <w:jc w:val="both"/>
    </w:pPr>
    <w:rPr>
      <w:rFonts w:ascii="Arial" w:hAnsi="Arial" w:cs="Arial"/>
      <w:b/>
      <w:sz w:val="18"/>
      <w:szCs w:val="20"/>
    </w:rPr>
  </w:style>
  <w:style w:type="paragraph" w:styleId="118">
    <w:name w:val="Основной текст с отступом118"/>
    <w:basedOn w:val="Normal"/>
    <w:qFormat/>
    <w:pPr>
      <w:ind w:firstLine="708" w:left="0" w:right="0"/>
      <w:jc w:val="both"/>
    </w:pPr>
    <w:rPr>
      <w:rFonts w:ascii="Arial" w:hAnsi="Arial" w:cs="Arial"/>
      <w:b/>
      <w:sz w:val="18"/>
      <w:szCs w:val="20"/>
    </w:rPr>
  </w:style>
  <w:style w:type="paragraph" w:styleId="119">
    <w:name w:val="Основной текст с отступом119"/>
    <w:basedOn w:val="Normal"/>
    <w:qFormat/>
    <w:pPr>
      <w:ind w:firstLine="708" w:left="0" w:right="0"/>
      <w:jc w:val="both"/>
    </w:pPr>
    <w:rPr>
      <w:rFonts w:ascii="Arial" w:hAnsi="Arial" w:cs="Arial"/>
      <w:b/>
      <w:sz w:val="18"/>
      <w:szCs w:val="20"/>
    </w:rPr>
  </w:style>
  <w:style w:type="paragraph" w:styleId="120">
    <w:name w:val="Основной текст с отступом120"/>
    <w:basedOn w:val="Normal"/>
    <w:qFormat/>
    <w:pPr>
      <w:ind w:firstLine="708" w:left="0" w:right="0"/>
      <w:jc w:val="both"/>
    </w:pPr>
    <w:rPr>
      <w:rFonts w:ascii="Arial" w:hAnsi="Arial" w:cs="Arial"/>
      <w:b/>
      <w:sz w:val="18"/>
      <w:szCs w:val="20"/>
    </w:rPr>
  </w:style>
  <w:style w:type="paragraph" w:styleId="1211">
    <w:name w:val="Основной текст с отступом121"/>
    <w:basedOn w:val="Normal"/>
    <w:qFormat/>
    <w:pPr>
      <w:ind w:firstLine="708" w:left="0" w:right="0"/>
      <w:jc w:val="both"/>
    </w:pPr>
    <w:rPr>
      <w:rFonts w:ascii="Arial" w:hAnsi="Arial" w:cs="Arial"/>
      <w:b/>
      <w:sz w:val="18"/>
      <w:szCs w:val="20"/>
    </w:rPr>
  </w:style>
  <w:style w:type="paragraph" w:styleId="122">
    <w:name w:val="Основной текст с отступом122"/>
    <w:basedOn w:val="Normal"/>
    <w:qFormat/>
    <w:pPr>
      <w:ind w:firstLine="708" w:left="0" w:right="0"/>
      <w:jc w:val="both"/>
    </w:pPr>
    <w:rPr>
      <w:rFonts w:ascii="Arial" w:hAnsi="Arial" w:cs="Arial"/>
      <w:b/>
      <w:sz w:val="18"/>
      <w:szCs w:val="20"/>
    </w:rPr>
  </w:style>
  <w:style w:type="paragraph" w:styleId="125">
    <w:name w:val="Основной текст с отступом125"/>
    <w:basedOn w:val="Normal"/>
    <w:qFormat/>
    <w:pPr>
      <w:ind w:firstLine="708" w:left="0" w:right="0"/>
      <w:jc w:val="both"/>
    </w:pPr>
    <w:rPr>
      <w:rFonts w:ascii="Arial" w:hAnsi="Arial" w:cs="Arial"/>
      <w:b/>
      <w:sz w:val="18"/>
      <w:szCs w:val="20"/>
    </w:rPr>
  </w:style>
  <w:style w:type="paragraph" w:styleId="124">
    <w:name w:val="Основной текст с отступом124"/>
    <w:basedOn w:val="Normal"/>
    <w:qFormat/>
    <w:pPr>
      <w:ind w:firstLine="708" w:left="0" w:right="0"/>
      <w:jc w:val="both"/>
    </w:pPr>
    <w:rPr>
      <w:rFonts w:ascii="Arial" w:hAnsi="Arial" w:cs="Arial"/>
      <w:b/>
      <w:sz w:val="18"/>
      <w:szCs w:val="20"/>
    </w:rPr>
  </w:style>
  <w:style w:type="paragraph" w:styleId="126">
    <w:name w:val="Основной текст с отступом126"/>
    <w:basedOn w:val="Normal"/>
    <w:qFormat/>
    <w:pPr>
      <w:ind w:firstLine="708" w:left="0" w:right="0"/>
      <w:jc w:val="both"/>
    </w:pPr>
    <w:rPr>
      <w:rFonts w:ascii="Arial" w:hAnsi="Arial" w:cs="Arial"/>
      <w:b/>
      <w:sz w:val="18"/>
      <w:szCs w:val="20"/>
    </w:rPr>
  </w:style>
  <w:style w:type="paragraph" w:styleId="127">
    <w:name w:val="Основной текст с отступом127"/>
    <w:basedOn w:val="Normal"/>
    <w:qFormat/>
    <w:pPr>
      <w:ind w:firstLine="708" w:left="0" w:right="0"/>
      <w:jc w:val="both"/>
    </w:pPr>
    <w:rPr>
      <w:rFonts w:ascii="Arial" w:hAnsi="Arial" w:cs="Arial"/>
      <w:b/>
      <w:sz w:val="18"/>
      <w:szCs w:val="20"/>
    </w:rPr>
  </w:style>
  <w:style w:type="paragraph" w:styleId="128">
    <w:name w:val="Основной текст с отступом128"/>
    <w:basedOn w:val="Normal"/>
    <w:qFormat/>
    <w:pPr>
      <w:ind w:firstLine="708" w:left="0" w:right="0"/>
      <w:jc w:val="both"/>
    </w:pPr>
    <w:rPr>
      <w:rFonts w:ascii="Arial" w:hAnsi="Arial" w:cs="Arial"/>
      <w:b/>
      <w:sz w:val="18"/>
      <w:szCs w:val="20"/>
    </w:rPr>
  </w:style>
  <w:style w:type="paragraph" w:styleId="129">
    <w:name w:val="Основной текст с отступом129"/>
    <w:basedOn w:val="Normal"/>
    <w:qFormat/>
    <w:pPr>
      <w:ind w:firstLine="708" w:left="0" w:right="0"/>
      <w:jc w:val="both"/>
    </w:pPr>
    <w:rPr>
      <w:rFonts w:ascii="Arial" w:hAnsi="Arial" w:cs="Arial"/>
      <w:b/>
      <w:sz w:val="18"/>
      <w:szCs w:val="20"/>
    </w:rPr>
  </w:style>
  <w:style w:type="paragraph" w:styleId="130">
    <w:name w:val="Основной текст с отступом130"/>
    <w:basedOn w:val="Normal"/>
    <w:qFormat/>
    <w:pPr>
      <w:ind w:firstLine="708" w:left="0" w:right="0"/>
      <w:jc w:val="both"/>
    </w:pPr>
    <w:rPr>
      <w:rFonts w:ascii="Arial" w:hAnsi="Arial" w:cs="Arial"/>
      <w:b/>
      <w:sz w:val="18"/>
      <w:szCs w:val="20"/>
    </w:rPr>
  </w:style>
  <w:style w:type="paragraph" w:styleId="131">
    <w:name w:val="Основной текст с отступом131"/>
    <w:basedOn w:val="Normal"/>
    <w:qFormat/>
    <w:pPr>
      <w:ind w:firstLine="708" w:left="0" w:right="0"/>
      <w:jc w:val="both"/>
    </w:pPr>
    <w:rPr>
      <w:rFonts w:ascii="Arial" w:hAnsi="Arial" w:cs="Arial"/>
      <w:b/>
      <w:sz w:val="18"/>
      <w:szCs w:val="20"/>
    </w:rPr>
  </w:style>
  <w:style w:type="paragraph" w:styleId="133">
    <w:name w:val="Основной текст с отступом133"/>
    <w:basedOn w:val="Normal"/>
    <w:qFormat/>
    <w:pPr>
      <w:ind w:firstLine="708" w:left="0" w:right="0"/>
      <w:jc w:val="both"/>
    </w:pPr>
    <w:rPr>
      <w:rFonts w:ascii="Arial" w:hAnsi="Arial" w:cs="Arial"/>
      <w:b/>
      <w:sz w:val="18"/>
      <w:szCs w:val="20"/>
    </w:rPr>
  </w:style>
  <w:style w:type="paragraph" w:styleId="132">
    <w:name w:val="Основной текст с отступом132"/>
    <w:basedOn w:val="Normal"/>
    <w:qFormat/>
    <w:pPr>
      <w:ind w:firstLine="708" w:left="0" w:right="0"/>
      <w:jc w:val="both"/>
    </w:pPr>
    <w:rPr>
      <w:rFonts w:ascii="Arial" w:hAnsi="Arial" w:cs="Arial"/>
      <w:b/>
      <w:sz w:val="18"/>
      <w:szCs w:val="20"/>
    </w:rPr>
  </w:style>
  <w:style w:type="paragraph" w:styleId="135">
    <w:name w:val="Основной текст с отступом135"/>
    <w:basedOn w:val="Normal"/>
    <w:qFormat/>
    <w:pPr>
      <w:ind w:firstLine="708" w:left="0" w:right="0"/>
      <w:jc w:val="both"/>
    </w:pPr>
    <w:rPr>
      <w:rFonts w:ascii="Arial" w:hAnsi="Arial" w:cs="Arial"/>
      <w:b/>
      <w:sz w:val="18"/>
      <w:szCs w:val="20"/>
    </w:rPr>
  </w:style>
  <w:style w:type="paragraph" w:styleId="136">
    <w:name w:val="Основной текст с отступом136"/>
    <w:basedOn w:val="Normal"/>
    <w:qFormat/>
    <w:pPr>
      <w:ind w:firstLine="708" w:left="0" w:right="0"/>
      <w:jc w:val="both"/>
    </w:pPr>
    <w:rPr>
      <w:rFonts w:ascii="Arial" w:hAnsi="Arial" w:cs="Arial"/>
      <w:b/>
      <w:sz w:val="18"/>
      <w:szCs w:val="20"/>
    </w:rPr>
  </w:style>
  <w:style w:type="paragraph" w:styleId="137">
    <w:name w:val="Основной текст с отступом137"/>
    <w:basedOn w:val="Normal"/>
    <w:qFormat/>
    <w:pPr>
      <w:ind w:firstLine="708" w:left="0" w:right="0"/>
      <w:jc w:val="both"/>
    </w:pPr>
    <w:rPr>
      <w:rFonts w:ascii="Arial" w:hAnsi="Arial" w:cs="Arial"/>
      <w:b/>
      <w:sz w:val="18"/>
      <w:szCs w:val="20"/>
    </w:rPr>
  </w:style>
  <w:style w:type="paragraph" w:styleId="138">
    <w:name w:val="Основной текст с отступом138"/>
    <w:basedOn w:val="Normal"/>
    <w:qFormat/>
    <w:pPr>
      <w:ind w:firstLine="708" w:left="0" w:right="0"/>
      <w:jc w:val="both"/>
    </w:pPr>
    <w:rPr>
      <w:rFonts w:ascii="Arial" w:hAnsi="Arial" w:cs="Arial"/>
      <w:b/>
      <w:sz w:val="18"/>
      <w:szCs w:val="20"/>
    </w:rPr>
  </w:style>
  <w:style w:type="paragraph" w:styleId="139">
    <w:name w:val="Основной текст с отступом139"/>
    <w:basedOn w:val="Normal"/>
    <w:qFormat/>
    <w:pPr>
      <w:ind w:firstLine="708" w:left="0" w:right="0"/>
      <w:jc w:val="both"/>
    </w:pPr>
    <w:rPr>
      <w:rFonts w:ascii="Arial" w:hAnsi="Arial" w:cs="Arial"/>
      <w:b/>
      <w:sz w:val="18"/>
      <w:szCs w:val="20"/>
    </w:rPr>
  </w:style>
  <w:style w:type="paragraph" w:styleId="140">
    <w:name w:val="Основной текст с отступом140"/>
    <w:basedOn w:val="Normal"/>
    <w:qFormat/>
    <w:pPr>
      <w:ind w:firstLine="708" w:left="0" w:right="0"/>
      <w:jc w:val="both"/>
    </w:pPr>
    <w:rPr>
      <w:rFonts w:ascii="Arial" w:hAnsi="Arial" w:cs="Arial"/>
      <w:b/>
      <w:sz w:val="18"/>
      <w:szCs w:val="20"/>
    </w:rPr>
  </w:style>
  <w:style w:type="paragraph" w:styleId="1411">
    <w:name w:val="Основной текст с отступом141"/>
    <w:basedOn w:val="Normal"/>
    <w:qFormat/>
    <w:pPr>
      <w:ind w:firstLine="708" w:left="0" w:right="0"/>
      <w:jc w:val="both"/>
    </w:pPr>
    <w:rPr>
      <w:rFonts w:ascii="Arial" w:hAnsi="Arial" w:cs="Arial"/>
      <w:b/>
      <w:sz w:val="18"/>
      <w:szCs w:val="20"/>
    </w:rPr>
  </w:style>
  <w:style w:type="paragraph" w:styleId="Arial92">
    <w:name w:val="Arial9(без отступов)"/>
    <w:qFormat/>
    <w:pPr>
      <w:widowControl/>
      <w:bidi w:val="0"/>
      <w:ind w:hanging="0" w:left="-113" w:right="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hanging="0" w:left="720" w:right="0"/>
      <w:contextualSpacing/>
    </w:pPr>
    <w:rPr>
      <w:rFonts w:ascii="Arial" w:hAnsi="Arial" w:cs="Arial"/>
      <w:sz w:val="28"/>
      <w:szCs w:val="20"/>
      <w:lang w:val="ru-RU"/>
    </w:rPr>
  </w:style>
  <w:style w:type="paragraph" w:styleId="Arial93">
    <w:name w:val="Arial9(жирн)"/>
    <w:qFormat/>
    <w:pPr>
      <w:keepNext w:val="true"/>
      <w:widowControl/>
      <w:tabs>
        <w:tab w:val="clear" w:pos="708"/>
        <w:tab w:val="left" w:pos="210" w:leader="none"/>
      </w:tabs>
      <w:autoSpaceDE w:val="false"/>
      <w:bidi w:val="0"/>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eastAsia="Calibri" w:cs="Arial"/>
      <w:sz w:val="18"/>
      <w:szCs w:val="20"/>
      <w:lang w:val="en-US"/>
    </w:rPr>
  </w:style>
  <w:style w:type="paragraph" w:styleId="msonormal">
    <w:name w:val="msonormal"/>
    <w:basedOn w:val="Normal"/>
    <w:qFormat/>
    <w:pPr>
      <w:spacing w:before="280" w:after="280"/>
    </w:pPr>
    <w:rPr>
      <w:rFonts w:eastAsia="Calibri"/>
      <w:lang w:val="en-US"/>
    </w:rPr>
  </w:style>
  <w:style w:type="paragraph" w:styleId="27">
    <w:name w:val="Основной текст 2"/>
    <w:basedOn w:val="Normal"/>
    <w:qFormat/>
    <w:pPr/>
    <w:rPr>
      <w:rFonts w:eastAsia="Calibri"/>
      <w:lang w:val="en-US"/>
    </w:rPr>
  </w:style>
  <w:style w:type="paragraph" w:styleId="Style28">
    <w:name w:val="Название"/>
    <w:basedOn w:val="Normal"/>
    <w:qFormat/>
    <w:pPr/>
    <w:rPr>
      <w:rFonts w:ascii="Cambria" w:hAnsi="Cambria" w:eastAsia="Calibri" w:cs="Cambria"/>
      <w:color w:val="17365D"/>
      <w:spacing w:val="5"/>
      <w:sz w:val="20"/>
      <w:szCs w:val="20"/>
      <w:lang w:val="en-US"/>
    </w:rPr>
  </w:style>
  <w:style w:type="paragraph" w:styleId="210">
    <w:name w:val="Верхній колонтитул2"/>
    <w:basedOn w:val="Normal"/>
    <w:qFormat/>
    <w:pPr/>
    <w:rPr>
      <w:rFonts w:ascii="Calibri" w:hAnsi="Calibri" w:eastAsia="Calibri" w:cs="Calibri"/>
      <w:sz w:val="20"/>
      <w:szCs w:val="20"/>
      <w:lang w:val="en-US"/>
    </w:rPr>
  </w:style>
  <w:style w:type="paragraph" w:styleId="213">
    <w:name w:val="Нижній колонтитул2"/>
    <w:basedOn w:val="Normal"/>
    <w:qFormat/>
    <w:pPr/>
    <w:rPr>
      <w:rFonts w:ascii="Calibri" w:hAnsi="Calibri" w:eastAsia="Calibri" w:cs="Calibri"/>
      <w:sz w:val="20"/>
      <w:szCs w:val="20"/>
      <w:lang w:val="en-US"/>
    </w:rPr>
  </w:style>
  <w:style w:type="paragraph" w:styleId="214">
    <w:name w:val="Назва2"/>
    <w:basedOn w:val="Normal"/>
    <w:qFormat/>
    <w:pPr/>
    <w:rPr>
      <w:rFonts w:ascii="Calibri Light" w:hAnsi="Calibri Light" w:eastAsia="Calibri" w:cs="Calibri Light"/>
      <w:spacing w:val="-10"/>
      <w:sz w:val="20"/>
      <w:szCs w:val="20"/>
      <w:lang w:val="en-US"/>
    </w:rPr>
  </w:style>
  <w:style w:type="paragraph" w:styleId="223">
    <w:name w:val="Основний текст 22"/>
    <w:basedOn w:val="Normal"/>
    <w:qFormat/>
    <w:pPr/>
    <w:rPr>
      <w:rFonts w:ascii="Calibri" w:hAnsi="Calibri" w:eastAsia="Calibri" w:cs="Calibri"/>
      <w:sz w:val="20"/>
      <w:szCs w:val="20"/>
      <w:lang w:val="en-US"/>
    </w:rPr>
  </w:style>
  <w:style w:type="paragraph" w:styleId="215">
    <w:name w:val="Текст у виносці2"/>
    <w:basedOn w:val="Normal"/>
    <w:qFormat/>
    <w:pPr/>
    <w:rPr>
      <w:rFonts w:ascii="Segoe UI" w:hAnsi="Segoe UI" w:eastAsia="Calibri" w:cs="Segoe UI"/>
      <w:sz w:val="20"/>
      <w:szCs w:val="20"/>
      <w:lang w:val="en-US"/>
    </w:rPr>
  </w:style>
  <w:style w:type="paragraph" w:styleId="143">
    <w:name w:val="Основной текст с отступом143"/>
    <w:basedOn w:val="Normal"/>
    <w:qFormat/>
    <w:pPr>
      <w:ind w:firstLine="708" w:left="0" w:right="0"/>
      <w:jc w:val="both"/>
    </w:pPr>
    <w:rPr>
      <w:rFonts w:ascii="Arial" w:hAnsi="Arial" w:cs="Arial"/>
      <w:b/>
      <w:sz w:val="18"/>
      <w:szCs w:val="20"/>
      <w:lang w:val="en-US"/>
    </w:rPr>
  </w:style>
  <w:style w:type="paragraph" w:styleId="144">
    <w:name w:val="Основной текст с отступом144"/>
    <w:basedOn w:val="Normal"/>
    <w:qFormat/>
    <w:pPr>
      <w:ind w:firstLine="708" w:left="0" w:right="0"/>
      <w:jc w:val="both"/>
    </w:pPr>
    <w:rPr>
      <w:rFonts w:ascii="Arial" w:hAnsi="Arial" w:cs="Arial"/>
      <w:b/>
      <w:sz w:val="18"/>
      <w:szCs w:val="20"/>
      <w:lang w:val="en-US"/>
    </w:rPr>
  </w:style>
  <w:style w:type="paragraph" w:styleId="145">
    <w:name w:val="Основной текст с отступом145"/>
    <w:basedOn w:val="Normal"/>
    <w:qFormat/>
    <w:pPr>
      <w:ind w:firstLine="708" w:left="0" w:right="0"/>
      <w:jc w:val="both"/>
    </w:pPr>
    <w:rPr>
      <w:rFonts w:ascii="Arial" w:hAnsi="Arial" w:cs="Arial"/>
      <w:b/>
      <w:sz w:val="18"/>
      <w:szCs w:val="20"/>
      <w:lang w:val="en-US"/>
    </w:rPr>
  </w:style>
  <w:style w:type="paragraph" w:styleId="147">
    <w:name w:val="Основной текст с отступом147"/>
    <w:basedOn w:val="Normal"/>
    <w:qFormat/>
    <w:pPr>
      <w:ind w:firstLine="708" w:left="0" w:right="0"/>
      <w:jc w:val="both"/>
    </w:pPr>
    <w:rPr>
      <w:rFonts w:ascii="Arial" w:hAnsi="Arial" w:cs="Arial"/>
      <w:b/>
      <w:sz w:val="18"/>
      <w:szCs w:val="20"/>
      <w:lang w:val="en-US"/>
    </w:rPr>
  </w:style>
  <w:style w:type="paragraph" w:styleId="148">
    <w:name w:val="Основной текст с отступом148"/>
    <w:basedOn w:val="Normal"/>
    <w:qFormat/>
    <w:pPr>
      <w:ind w:firstLine="708" w:left="0" w:right="0"/>
      <w:jc w:val="both"/>
    </w:pPr>
    <w:rPr>
      <w:rFonts w:ascii="Arial" w:hAnsi="Arial" w:cs="Arial"/>
      <w:b/>
      <w:sz w:val="18"/>
      <w:szCs w:val="20"/>
      <w:lang w:val="en-US"/>
    </w:rPr>
  </w:style>
  <w:style w:type="paragraph" w:styleId="149">
    <w:name w:val="Основной текст с отступом149"/>
    <w:basedOn w:val="Normal"/>
    <w:qFormat/>
    <w:pPr>
      <w:ind w:firstLine="708" w:left="0" w:right="0"/>
      <w:jc w:val="both"/>
    </w:pPr>
    <w:rPr>
      <w:rFonts w:ascii="Arial" w:hAnsi="Arial" w:cs="Arial"/>
      <w:b/>
      <w:sz w:val="18"/>
      <w:szCs w:val="20"/>
      <w:lang w:val="en-US"/>
    </w:rPr>
  </w:style>
  <w:style w:type="paragraph" w:styleId="Arial94">
    <w:name w:val="Стиль Arial9(жирн) + не полужирный"/>
    <w:basedOn w:val="Normal"/>
    <w:qFormat/>
    <w:pPr>
      <w:keepNext w:val="true"/>
      <w:tabs>
        <w:tab w:val="clear" w:pos="708"/>
        <w:tab w:val="left" w:pos="210" w:leader="none"/>
      </w:tabs>
      <w:autoSpaceDE w:val="false"/>
      <w:spacing w:before="120" w:after="0"/>
    </w:pPr>
    <w:rPr>
      <w:rFonts w:ascii="Arial" w:hAnsi="Arial" w:eastAsia="Calibri" w:cs="Arial"/>
      <w:b/>
      <w:sz w:val="18"/>
      <w:szCs w:val="20"/>
      <w:lang w:val="en-US"/>
    </w:rPr>
  </w:style>
  <w:style w:type="paragraph" w:styleId="150">
    <w:name w:val="Основной текст с отступом150"/>
    <w:basedOn w:val="Normal"/>
    <w:qFormat/>
    <w:pPr>
      <w:ind w:firstLine="708" w:left="0" w:right="0"/>
      <w:jc w:val="both"/>
    </w:pPr>
    <w:rPr>
      <w:rFonts w:ascii="Arial" w:hAnsi="Arial" w:cs="Arial"/>
      <w:b/>
      <w:sz w:val="18"/>
      <w:szCs w:val="20"/>
      <w:lang w:val="en-US"/>
    </w:rPr>
  </w:style>
  <w:style w:type="paragraph" w:styleId="156">
    <w:name w:val="Основной текст с отступом156"/>
    <w:basedOn w:val="Normal"/>
    <w:qFormat/>
    <w:pPr>
      <w:ind w:firstLine="708" w:left="0" w:right="0"/>
      <w:jc w:val="both"/>
    </w:pPr>
    <w:rPr>
      <w:rFonts w:ascii="Arial" w:hAnsi="Arial" w:cs="Arial"/>
      <w:b/>
      <w:sz w:val="18"/>
      <w:szCs w:val="20"/>
      <w:lang w:val="en-US"/>
    </w:rPr>
  </w:style>
  <w:style w:type="paragraph" w:styleId="157">
    <w:name w:val="Основной текст с отступом157"/>
    <w:basedOn w:val="Normal"/>
    <w:qFormat/>
    <w:pPr>
      <w:ind w:firstLine="708" w:left="0" w:right="0"/>
      <w:jc w:val="both"/>
    </w:pPr>
    <w:rPr>
      <w:rFonts w:ascii="Arial" w:hAnsi="Arial" w:cs="Arial"/>
      <w:b/>
      <w:sz w:val="18"/>
      <w:szCs w:val="20"/>
      <w:lang w:val="en-US"/>
    </w:rPr>
  </w:style>
  <w:style w:type="paragraph" w:styleId="162">
    <w:name w:val="Основной текст с отступом162"/>
    <w:basedOn w:val="Normal"/>
    <w:qFormat/>
    <w:pPr>
      <w:ind w:firstLine="708" w:left="0" w:right="0"/>
      <w:jc w:val="both"/>
    </w:pPr>
    <w:rPr>
      <w:rFonts w:ascii="Arial" w:hAnsi="Arial" w:cs="Arial"/>
      <w:b/>
      <w:sz w:val="18"/>
      <w:szCs w:val="20"/>
      <w:lang w:val="en-US"/>
    </w:rPr>
  </w:style>
  <w:style w:type="paragraph" w:styleId="163">
    <w:name w:val="Основной текст с отступом163"/>
    <w:basedOn w:val="Normal"/>
    <w:qFormat/>
    <w:pPr>
      <w:ind w:firstLine="708" w:left="0" w:right="0"/>
      <w:jc w:val="both"/>
    </w:pPr>
    <w:rPr>
      <w:rFonts w:ascii="Arial" w:hAnsi="Arial" w:cs="Arial"/>
      <w:b/>
      <w:sz w:val="18"/>
      <w:szCs w:val="20"/>
      <w:lang w:val="en-US"/>
    </w:rPr>
  </w:style>
  <w:style w:type="paragraph" w:styleId="165">
    <w:name w:val="Основной текст с отступом165"/>
    <w:basedOn w:val="Normal"/>
    <w:qFormat/>
    <w:pPr>
      <w:ind w:firstLine="708" w:left="0" w:right="0"/>
      <w:jc w:val="both"/>
    </w:pPr>
    <w:rPr>
      <w:rFonts w:ascii="Arial" w:hAnsi="Arial" w:cs="Arial"/>
      <w:b/>
      <w:sz w:val="18"/>
      <w:szCs w:val="20"/>
      <w:lang w:val="en-US"/>
    </w:rPr>
  </w:style>
  <w:style w:type="paragraph" w:styleId="168">
    <w:name w:val="Основной текст с отступом168"/>
    <w:basedOn w:val="Normal"/>
    <w:qFormat/>
    <w:pPr>
      <w:ind w:firstLine="708" w:left="0" w:right="0"/>
      <w:jc w:val="both"/>
    </w:pPr>
    <w:rPr>
      <w:rFonts w:ascii="Arial" w:hAnsi="Arial" w:cs="Arial"/>
      <w:b/>
      <w:sz w:val="18"/>
      <w:szCs w:val="20"/>
      <w:lang w:val="en-US"/>
    </w:rPr>
  </w:style>
  <w:style w:type="paragraph" w:styleId="169">
    <w:name w:val="Основной текст с отступом169"/>
    <w:basedOn w:val="Normal"/>
    <w:qFormat/>
    <w:pPr>
      <w:ind w:firstLine="708" w:left="0" w:right="0"/>
      <w:jc w:val="both"/>
    </w:pPr>
    <w:rPr>
      <w:rFonts w:ascii="Arial" w:hAnsi="Arial" w:cs="Arial"/>
      <w:b/>
      <w:sz w:val="18"/>
      <w:szCs w:val="20"/>
      <w:lang w:val="en-US"/>
    </w:rPr>
  </w:style>
  <w:style w:type="paragraph" w:styleId="170">
    <w:name w:val="Основной текст с отступом170"/>
    <w:basedOn w:val="Normal"/>
    <w:qFormat/>
    <w:pPr>
      <w:ind w:firstLine="708" w:left="0" w:right="0"/>
      <w:jc w:val="both"/>
    </w:pPr>
    <w:rPr>
      <w:rFonts w:ascii="Arial" w:hAnsi="Arial" w:cs="Arial"/>
      <w:b/>
      <w:sz w:val="18"/>
      <w:szCs w:val="20"/>
      <w:lang w:val="en-US"/>
    </w:rPr>
  </w:style>
  <w:style w:type="paragraph" w:styleId="171">
    <w:name w:val="Основной текст с отступом171"/>
    <w:basedOn w:val="Normal"/>
    <w:qFormat/>
    <w:pPr>
      <w:ind w:firstLine="708" w:left="0" w:right="0"/>
      <w:jc w:val="both"/>
    </w:pPr>
    <w:rPr>
      <w:rFonts w:ascii="Arial" w:hAnsi="Arial" w:cs="Arial"/>
      <w:b/>
      <w:sz w:val="18"/>
      <w:szCs w:val="20"/>
      <w:lang w:val="en-US"/>
    </w:rPr>
  </w:style>
  <w:style w:type="paragraph" w:styleId="172">
    <w:name w:val="Основной текст с отступом172"/>
    <w:basedOn w:val="Normal"/>
    <w:qFormat/>
    <w:pPr>
      <w:ind w:firstLine="708" w:left="0" w:right="0"/>
      <w:jc w:val="both"/>
    </w:pPr>
    <w:rPr>
      <w:rFonts w:ascii="Arial" w:hAnsi="Arial" w:cs="Arial"/>
      <w:b/>
      <w:sz w:val="18"/>
      <w:szCs w:val="20"/>
      <w:lang w:val="en-US"/>
    </w:rPr>
  </w:style>
  <w:style w:type="paragraph" w:styleId="173">
    <w:name w:val="Основной текст с отступом173"/>
    <w:basedOn w:val="Normal"/>
    <w:qFormat/>
    <w:pPr>
      <w:ind w:firstLine="708" w:left="0" w:right="0"/>
      <w:jc w:val="both"/>
    </w:pPr>
    <w:rPr>
      <w:rFonts w:ascii="Arial" w:hAnsi="Arial" w:cs="Arial"/>
      <w:b/>
      <w:sz w:val="18"/>
      <w:szCs w:val="20"/>
      <w:lang w:val="en-US"/>
    </w:rPr>
  </w:style>
  <w:style w:type="paragraph" w:styleId="174">
    <w:name w:val="Основной текст с отступом174"/>
    <w:basedOn w:val="Normal"/>
    <w:qFormat/>
    <w:pPr>
      <w:ind w:firstLine="708" w:left="0" w:right="0"/>
      <w:jc w:val="both"/>
    </w:pPr>
    <w:rPr>
      <w:rFonts w:ascii="Arial" w:hAnsi="Arial" w:cs="Arial"/>
      <w:b/>
      <w:sz w:val="18"/>
      <w:szCs w:val="20"/>
      <w:lang w:val="en-US"/>
    </w:rPr>
  </w:style>
  <w:style w:type="paragraph" w:styleId="175">
    <w:name w:val="Основной текст с отступом175"/>
    <w:basedOn w:val="Normal"/>
    <w:qFormat/>
    <w:pPr>
      <w:ind w:firstLine="708" w:left="0" w:right="0"/>
      <w:jc w:val="both"/>
    </w:pPr>
    <w:rPr>
      <w:rFonts w:ascii="Arial" w:hAnsi="Arial" w:cs="Arial"/>
      <w:b/>
      <w:sz w:val="18"/>
      <w:szCs w:val="20"/>
      <w:lang w:val="en-US"/>
    </w:rPr>
  </w:style>
  <w:style w:type="paragraph" w:styleId="176">
    <w:name w:val="Основной текст с отступом176"/>
    <w:basedOn w:val="Normal"/>
    <w:qFormat/>
    <w:pPr>
      <w:ind w:firstLine="708" w:left="0" w:right="0"/>
      <w:jc w:val="both"/>
    </w:pPr>
    <w:rPr>
      <w:rFonts w:ascii="Arial" w:hAnsi="Arial" w:cs="Arial"/>
      <w:b/>
      <w:sz w:val="18"/>
      <w:szCs w:val="20"/>
      <w:lang w:val="en-US"/>
    </w:rPr>
  </w:style>
  <w:style w:type="paragraph" w:styleId="177">
    <w:name w:val="Основной текст с отступом177"/>
    <w:basedOn w:val="Normal"/>
    <w:qFormat/>
    <w:pPr>
      <w:ind w:firstLine="708" w:left="0" w:right="0"/>
      <w:jc w:val="both"/>
    </w:pPr>
    <w:rPr>
      <w:rFonts w:ascii="Arial" w:hAnsi="Arial" w:cs="Arial"/>
      <w:b/>
      <w:sz w:val="18"/>
      <w:szCs w:val="20"/>
      <w:lang w:val="en-US"/>
    </w:rPr>
  </w:style>
  <w:style w:type="paragraph" w:styleId="178">
    <w:name w:val="Основной текст с отступом178"/>
    <w:basedOn w:val="Normal"/>
    <w:qFormat/>
    <w:pPr>
      <w:ind w:firstLine="708" w:left="0" w:right="0"/>
      <w:jc w:val="both"/>
    </w:pPr>
    <w:rPr>
      <w:rFonts w:ascii="Arial" w:hAnsi="Arial" w:cs="Arial"/>
      <w:b/>
      <w:sz w:val="18"/>
      <w:szCs w:val="20"/>
      <w:lang w:val="en-US"/>
    </w:rPr>
  </w:style>
  <w:style w:type="paragraph" w:styleId="179">
    <w:name w:val="Основной текст с отступом179"/>
    <w:basedOn w:val="Normal"/>
    <w:qFormat/>
    <w:pPr>
      <w:ind w:firstLine="708" w:left="0" w:right="0"/>
      <w:jc w:val="both"/>
    </w:pPr>
    <w:rPr>
      <w:rFonts w:ascii="Arial" w:hAnsi="Arial" w:cs="Arial"/>
      <w:b/>
      <w:sz w:val="18"/>
      <w:szCs w:val="20"/>
      <w:lang w:val="en-US"/>
    </w:rPr>
  </w:style>
  <w:style w:type="paragraph" w:styleId="180">
    <w:name w:val="Основной текст с отступом180"/>
    <w:basedOn w:val="Normal"/>
    <w:qFormat/>
    <w:pPr>
      <w:ind w:firstLine="708" w:left="0" w:right="0"/>
      <w:jc w:val="both"/>
    </w:pPr>
    <w:rPr>
      <w:rFonts w:ascii="Arial" w:hAnsi="Arial" w:cs="Arial"/>
      <w:b/>
      <w:sz w:val="18"/>
      <w:szCs w:val="20"/>
      <w:lang w:val="en-US"/>
    </w:rPr>
  </w:style>
  <w:style w:type="paragraph" w:styleId="181">
    <w:name w:val="Основной текст с отступом181"/>
    <w:basedOn w:val="Normal"/>
    <w:qFormat/>
    <w:pPr>
      <w:ind w:firstLine="708" w:left="0" w:right="0"/>
      <w:jc w:val="both"/>
    </w:pPr>
    <w:rPr>
      <w:rFonts w:ascii="Arial" w:hAnsi="Arial" w:cs="Arial"/>
      <w:b/>
      <w:sz w:val="18"/>
      <w:szCs w:val="20"/>
      <w:lang w:val="en-US"/>
    </w:rPr>
  </w:style>
  <w:style w:type="paragraph" w:styleId="182">
    <w:name w:val="Основной текст с отступом182"/>
    <w:basedOn w:val="Normal"/>
    <w:qFormat/>
    <w:pPr>
      <w:ind w:firstLine="708" w:left="0" w:right="0"/>
      <w:jc w:val="both"/>
    </w:pPr>
    <w:rPr>
      <w:rFonts w:ascii="Arial" w:hAnsi="Arial" w:cs="Arial"/>
      <w:b/>
      <w:sz w:val="18"/>
      <w:szCs w:val="20"/>
      <w:lang w:val="en-US"/>
    </w:rPr>
  </w:style>
  <w:style w:type="paragraph" w:styleId="123">
    <w:name w:val="Верхній колонтитул1"/>
    <w:basedOn w:val="Normal"/>
    <w:qFormat/>
    <w:pPr/>
    <w:rPr>
      <w:rFonts w:ascii="Calibri" w:hAnsi="Calibri" w:eastAsia="Calibri" w:cs="Calibri"/>
      <w:sz w:val="20"/>
      <w:szCs w:val="20"/>
      <w:lang w:val="en-US"/>
    </w:rPr>
  </w:style>
  <w:style w:type="paragraph" w:styleId="134">
    <w:name w:val="Нижній колонтитул1"/>
    <w:basedOn w:val="Normal"/>
    <w:qFormat/>
    <w:pPr/>
    <w:rPr>
      <w:rFonts w:ascii="Calibri" w:hAnsi="Calibri" w:eastAsia="Calibri" w:cs="Calibri"/>
      <w:sz w:val="20"/>
      <w:szCs w:val="20"/>
      <w:lang w:val="en-US"/>
    </w:rPr>
  </w:style>
  <w:style w:type="paragraph" w:styleId="146">
    <w:name w:val="Назва1"/>
    <w:basedOn w:val="Normal"/>
    <w:qFormat/>
    <w:pPr/>
    <w:rPr>
      <w:rFonts w:ascii="Calibri Light" w:hAnsi="Calibri Light" w:eastAsia="Calibri" w:cs="Calibri Light"/>
      <w:spacing w:val="-10"/>
      <w:sz w:val="20"/>
      <w:szCs w:val="20"/>
      <w:lang w:val="en-US"/>
    </w:rPr>
  </w:style>
  <w:style w:type="paragraph" w:styleId="216">
    <w:name w:val="Основний текст 21"/>
    <w:basedOn w:val="Normal"/>
    <w:qFormat/>
    <w:pPr/>
    <w:rPr>
      <w:rFonts w:ascii="Calibri" w:hAnsi="Calibri" w:eastAsia="Calibri" w:cs="Calibri"/>
      <w:sz w:val="20"/>
      <w:szCs w:val="20"/>
      <w:lang w:val="en-US"/>
    </w:rPr>
  </w:style>
  <w:style w:type="paragraph" w:styleId="151">
    <w:name w:val="Текст у виносці1"/>
    <w:basedOn w:val="Normal"/>
    <w:qFormat/>
    <w:pPr/>
    <w:rPr>
      <w:rFonts w:ascii="Segoe UI" w:hAnsi="Segoe UI" w:eastAsia="Calibri" w:cs="Segoe UI"/>
      <w:sz w:val="20"/>
      <w:szCs w:val="20"/>
      <w:lang w:val="en-US"/>
    </w:rPr>
  </w:style>
  <w:style w:type="paragraph" w:styleId="164">
    <w:name w:val="Основной текст с отступом164"/>
    <w:basedOn w:val="Normal"/>
    <w:qFormat/>
    <w:pPr>
      <w:ind w:firstLine="708" w:left="0" w:right="0"/>
      <w:jc w:val="both"/>
    </w:pPr>
    <w:rPr>
      <w:rFonts w:ascii="Arial" w:hAnsi="Arial" w:cs="Arial"/>
      <w:b/>
      <w:sz w:val="18"/>
      <w:szCs w:val="20"/>
      <w:lang w:val="en-US"/>
    </w:rPr>
  </w:style>
  <w:style w:type="paragraph" w:styleId="arial95">
    <w:name w:val="arial9(жирнбез интерв)"/>
    <w:basedOn w:val="Normal"/>
    <w:qFormat/>
    <w:pPr/>
    <w:rPr>
      <w:rFonts w:ascii="Arial" w:hAnsi="Arial" w:eastAsia="Calibri" w:cs="Arial"/>
      <w:b/>
      <w:sz w:val="18"/>
      <w:szCs w:val="20"/>
      <w:lang w:val="ru-RU"/>
    </w:rPr>
  </w:style>
  <w:style w:type="paragraph" w:styleId="203">
    <w:name w:val="Основной текст с отступом203"/>
    <w:basedOn w:val="Normal"/>
    <w:qFormat/>
    <w:pPr>
      <w:ind w:firstLine="708" w:left="0" w:right="0"/>
      <w:jc w:val="both"/>
    </w:pPr>
    <w:rPr>
      <w:rFonts w:ascii="Arial" w:hAnsi="Arial" w:cs="Arial"/>
      <w:b/>
      <w:sz w:val="18"/>
      <w:szCs w:val="20"/>
      <w:lang w:val="en-US"/>
    </w:rPr>
  </w:style>
  <w:style w:type="paragraph" w:styleId="204">
    <w:name w:val="Основной текст с отступом204"/>
    <w:basedOn w:val="Normal"/>
    <w:qFormat/>
    <w:pPr>
      <w:ind w:firstLine="708" w:left="0" w:right="0"/>
      <w:jc w:val="both"/>
    </w:pPr>
    <w:rPr>
      <w:rFonts w:ascii="Arial" w:hAnsi="Arial" w:cs="Arial"/>
      <w:b/>
      <w:sz w:val="18"/>
      <w:szCs w:val="20"/>
      <w:lang w:val="en-US"/>
    </w:rPr>
  </w:style>
  <w:style w:type="paragraph" w:styleId="217">
    <w:name w:val="Основний текст з відступом2"/>
    <w:basedOn w:val="Normal"/>
    <w:qFormat/>
    <w:pPr>
      <w:ind w:firstLine="708" w:left="0" w:right="0"/>
      <w:jc w:val="both"/>
    </w:pPr>
    <w:rPr>
      <w:rFonts w:ascii="Arial" w:hAnsi="Arial" w:cs="Arial"/>
      <w:b/>
      <w:sz w:val="18"/>
      <w:szCs w:val="20"/>
      <w:lang w:val="en-US"/>
    </w:rPr>
  </w:style>
  <w:style w:type="paragraph" w:styleId="152">
    <w:name w:val="Основний текст з відступом1"/>
    <w:basedOn w:val="Normal"/>
    <w:qFormat/>
    <w:pPr>
      <w:ind w:firstLine="708" w:left="0" w:right="0"/>
      <w:jc w:val="both"/>
    </w:pPr>
    <w:rPr>
      <w:rFonts w:ascii="Arial" w:hAnsi="Arial" w:cs="Arial"/>
      <w:b/>
      <w:sz w:val="18"/>
      <w:szCs w:val="20"/>
      <w:lang w:val="en-US"/>
    </w:rPr>
  </w:style>
  <w:style w:type="paragraph" w:styleId="207">
    <w:name w:val="Основной текст с отступом207"/>
    <w:basedOn w:val="Normal"/>
    <w:qFormat/>
    <w:pPr>
      <w:ind w:firstLine="708" w:left="0" w:right="0"/>
      <w:jc w:val="both"/>
    </w:pPr>
    <w:rPr>
      <w:rFonts w:ascii="Arial" w:hAnsi="Arial" w:cs="Arial"/>
      <w:b/>
      <w:sz w:val="18"/>
      <w:szCs w:val="20"/>
      <w:lang w:val="en-US"/>
    </w:rPr>
  </w:style>
  <w:style w:type="paragraph" w:styleId="2101">
    <w:name w:val="Основной текст с отступом210"/>
    <w:basedOn w:val="Normal"/>
    <w:qFormat/>
    <w:pPr>
      <w:ind w:firstLine="708" w:left="0" w:right="0"/>
      <w:jc w:val="both"/>
    </w:pPr>
    <w:rPr>
      <w:rFonts w:ascii="Arial" w:hAnsi="Arial" w:cs="Arial"/>
      <w:b/>
      <w:sz w:val="18"/>
      <w:szCs w:val="20"/>
      <w:lang w:val="en-US"/>
    </w:rPr>
  </w:style>
  <w:style w:type="paragraph" w:styleId="312">
    <w:name w:val="Основний текст з відступом3"/>
    <w:basedOn w:val="Normal"/>
    <w:qFormat/>
    <w:pPr>
      <w:ind w:firstLine="708" w:left="0" w:right="0"/>
      <w:jc w:val="both"/>
    </w:pPr>
    <w:rPr>
      <w:rFonts w:ascii="Arial" w:hAnsi="Arial" w:cs="Arial"/>
      <w:b/>
      <w:sz w:val="18"/>
      <w:szCs w:val="20"/>
      <w:lang w:val="en-US"/>
    </w:rPr>
  </w:style>
  <w:style w:type="paragraph" w:styleId="2171">
    <w:name w:val="Основной текст с отступом217"/>
    <w:basedOn w:val="Normal"/>
    <w:qFormat/>
    <w:pPr>
      <w:ind w:firstLine="708" w:left="0" w:right="0"/>
      <w:jc w:val="both"/>
    </w:pPr>
    <w:rPr>
      <w:rFonts w:ascii="Arial" w:hAnsi="Arial" w:cs="Arial"/>
      <w:b/>
      <w:sz w:val="18"/>
      <w:szCs w:val="20"/>
      <w:lang w:val="en-US"/>
    </w:rPr>
  </w:style>
  <w:style w:type="paragraph" w:styleId="218">
    <w:name w:val="Основной текст с отступом218"/>
    <w:basedOn w:val="Normal"/>
    <w:qFormat/>
    <w:pPr>
      <w:ind w:firstLine="708" w:left="0" w:right="0"/>
      <w:jc w:val="both"/>
    </w:pPr>
    <w:rPr>
      <w:rFonts w:ascii="Arial" w:hAnsi="Arial" w:cs="Arial"/>
      <w:b/>
      <w:sz w:val="18"/>
      <w:szCs w:val="20"/>
      <w:lang w:val="en-US"/>
    </w:rPr>
  </w:style>
  <w:style w:type="paragraph" w:styleId="219">
    <w:name w:val="Основной текст с отступом219"/>
    <w:basedOn w:val="Normal"/>
    <w:qFormat/>
    <w:pPr>
      <w:ind w:firstLine="708" w:left="0" w:right="0"/>
      <w:jc w:val="both"/>
    </w:pPr>
    <w:rPr>
      <w:rFonts w:ascii="Arial" w:hAnsi="Arial" w:cs="Arial"/>
      <w:b/>
      <w:sz w:val="18"/>
      <w:szCs w:val="20"/>
      <w:lang w:val="en-US"/>
    </w:rPr>
  </w:style>
  <w:style w:type="paragraph" w:styleId="220">
    <w:name w:val="Основной текст с отступом220"/>
    <w:basedOn w:val="Normal"/>
    <w:qFormat/>
    <w:pPr>
      <w:ind w:firstLine="708" w:left="0" w:right="0"/>
      <w:jc w:val="both"/>
    </w:pPr>
    <w:rPr>
      <w:rFonts w:ascii="Arial" w:hAnsi="Arial" w:cs="Arial"/>
      <w:b/>
      <w:sz w:val="18"/>
      <w:szCs w:val="20"/>
      <w:lang w:val="en-US"/>
    </w:rPr>
  </w:style>
  <w:style w:type="paragraph" w:styleId="Style29">
    <w:name w:val="Без интервала"/>
    <w:qFormat/>
    <w:pPr>
      <w:widowControl/>
      <w:bidi w:val="0"/>
    </w:pPr>
    <w:rPr>
      <w:rFonts w:ascii="Times New Roman" w:hAnsi="Times New Roman" w:eastAsia="Times New Roman" w:cs="Times New Roman"/>
      <w:color w:val="auto"/>
      <w:sz w:val="24"/>
      <w:szCs w:val="24"/>
      <w:lang w:val="ru-RU" w:bidi="ar-SA" w:eastAsia="zh-CN"/>
    </w:rPr>
  </w:style>
  <w:style w:type="paragraph" w:styleId="2211">
    <w:name w:val="Основной текст с отступом221"/>
    <w:basedOn w:val="Normal"/>
    <w:qFormat/>
    <w:pPr>
      <w:ind w:firstLine="708" w:left="0" w:right="0"/>
      <w:jc w:val="both"/>
    </w:pPr>
    <w:rPr>
      <w:rFonts w:ascii="Arial" w:hAnsi="Arial" w:cs="Arial"/>
      <w:b/>
      <w:sz w:val="18"/>
      <w:szCs w:val="20"/>
      <w:lang w:val="en-US"/>
    </w:rPr>
  </w:style>
  <w:style w:type="paragraph" w:styleId="2231">
    <w:name w:val="Основной текст с отступом223"/>
    <w:basedOn w:val="Normal"/>
    <w:qFormat/>
    <w:pPr>
      <w:ind w:firstLine="708" w:left="0" w:right="0"/>
      <w:jc w:val="both"/>
    </w:pPr>
    <w:rPr>
      <w:rFonts w:ascii="Arial" w:hAnsi="Arial" w:cs="Arial"/>
      <w:b/>
      <w:sz w:val="18"/>
      <w:szCs w:val="20"/>
      <w:lang w:val="en-US"/>
    </w:rPr>
  </w:style>
  <w:style w:type="paragraph" w:styleId="410">
    <w:name w:val="Основний текст з відступом4"/>
    <w:basedOn w:val="Normal"/>
    <w:qFormat/>
    <w:pPr>
      <w:ind w:firstLine="708" w:left="0" w:right="0"/>
      <w:jc w:val="both"/>
    </w:pPr>
    <w:rPr>
      <w:rFonts w:ascii="Arial" w:hAnsi="Arial" w:cs="Arial"/>
      <w:b/>
      <w:sz w:val="18"/>
      <w:szCs w:val="20"/>
      <w:lang w:val="en-US"/>
    </w:rPr>
  </w:style>
  <w:style w:type="paragraph" w:styleId="51">
    <w:name w:val="Основний текст з відступом5"/>
    <w:basedOn w:val="Normal"/>
    <w:qFormat/>
    <w:pPr>
      <w:ind w:firstLine="708" w:left="0" w:right="0"/>
      <w:jc w:val="both"/>
    </w:pPr>
    <w:rPr>
      <w:rFonts w:ascii="Arial" w:hAnsi="Arial" w:cs="Arial"/>
      <w:b/>
      <w:sz w:val="18"/>
      <w:szCs w:val="20"/>
      <w:lang w:val="en-U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hocc.no/atc_ddd_index/" TargetMode="External"/><Relationship Id="rId3" Type="http://schemas.openxmlformats.org/officeDocument/2006/relationships/hyperlink" Target="https://www.whocc.no/atc_ddd_index/"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yperlink" Target="https://www.whocc.no/atc_ddd_index/" TargetMode="Externa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74</TotalTime>
  <Application>LibreOffice/25.2.3.2$Linux_X86_64 LibreOffice_project/520$Build-2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2026-10-21T14:49:00Z</dcterms:created>
  <dc:creator>Vitaliya</dc:creator>
  <dc:description/>
  <cp:keywords/>
  <dc:language>en-US</dc:language>
  <cp:lastModifiedBy>Пермінова Тетяна Миколаївна</cp:lastModifiedBy>
  <cp:lastPrinted>2021-12-06T14:34:00Z</cp:lastPrinted>
  <dcterms:modified xsi:type="dcterms:W3CDTF">2026-10-21T16:03:00Z</dcterms:modified>
  <cp:revision>18</cp:revision>
  <dc:subject/>
  <dc:title/>
</cp:coreProperties>
</file>