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2.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Arial" w:hAnsi="Arial" w:eastAsia="Times New Roman" w:cs="Arial"/>
          <w:b/>
          <w:b/>
          <w:sz w:val="24"/>
          <w:szCs w:val="24"/>
          <w:lang w:val="uk-UA" w:eastAsia="uk-UA"/>
        </w:rPr>
      </w:pPr>
      <w:r>
        <w:rPr>
          <w:rFonts w:eastAsia="Times New Roman" w:cs="Arial" w:ascii="Arial" w:hAnsi="Arial"/>
          <w:b/>
          <w:sz w:val="24"/>
          <w:szCs w:val="24"/>
          <w:lang w:val="uk-UA" w:eastAsia="uk-UA"/>
        </w:rPr>
        <w:t>ПЕРЕЛІК</w:t>
      </w:r>
    </w:p>
    <w:p>
      <w:pPr>
        <w:pStyle w:val="Normal"/>
        <w:spacing w:lineRule="auto" w:line="240" w:before="0" w:after="0"/>
        <w:jc w:val="center"/>
        <w:rPr>
          <w:rFonts w:ascii="Arial" w:hAnsi="Arial" w:eastAsia="Times New Roman" w:cs="Arial"/>
          <w:b/>
          <w:b/>
          <w:sz w:val="24"/>
          <w:szCs w:val="24"/>
          <w:u w:val="single"/>
          <w:lang w:val="uk-UA" w:eastAsia="uk-UA"/>
        </w:rPr>
      </w:pPr>
      <w:r>
        <w:rPr>
          <w:rFonts w:eastAsia="Times New Roman" w:cs="Arial" w:ascii="Arial" w:hAnsi="Arial"/>
          <w:b/>
          <w:sz w:val="24"/>
          <w:szCs w:val="24"/>
          <w:lang w:val="uk-UA" w:eastAsia="uk-UA"/>
        </w:rPr>
        <w:t xml:space="preserve">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 </w:t>
      </w:r>
      <w:r>
        <w:rPr>
          <w:rFonts w:eastAsia="Times New Roman" w:cs="Arial" w:ascii="Arial" w:hAnsi="Arial"/>
          <w:b/>
          <w:sz w:val="24"/>
          <w:szCs w:val="24"/>
          <w:u w:val="single"/>
          <w:lang w:val="uk-UA" w:eastAsia="uk-UA"/>
        </w:rPr>
        <w:t>ЯКІ ЗАРЕЄСТРОВАНІ</w:t>
      </w:r>
      <w:r>
        <w:rPr>
          <w:rFonts w:eastAsia="Times New Roman" w:cs="Arial" w:ascii="Arial" w:hAnsi="Arial"/>
          <w:b/>
          <w:sz w:val="24"/>
          <w:szCs w:val="24"/>
          <w:lang w:val="uk-UA" w:eastAsia="uk-UA"/>
        </w:rPr>
        <w:t xml:space="preserve"> </w:t>
      </w:r>
      <w:r>
        <w:rPr>
          <w:rFonts w:eastAsia="Times New Roman" w:cs="Arial" w:ascii="Arial" w:hAnsi="Arial"/>
          <w:b/>
          <w:sz w:val="24"/>
          <w:szCs w:val="24"/>
          <w:u w:val="single"/>
          <w:lang w:val="uk-UA" w:eastAsia="uk-UA"/>
        </w:rPr>
        <w:t>КОМПЕТЕНТНИМИ ОРГАНАМИ СПОЛУЧЕНИХ ШТАТІВ АМЕРИКИ</w:t>
      </w:r>
      <w:r>
        <w:rPr>
          <w:rFonts w:eastAsia="Times New Roman" w:cs="Arial" w:ascii="Arial" w:hAnsi="Arial"/>
          <w:b/>
          <w:sz w:val="24"/>
          <w:szCs w:val="24"/>
          <w:lang w:val="uk-UA" w:eastAsia="uk-UA"/>
        </w:rPr>
        <w:t xml:space="preserve">, </w:t>
      </w:r>
      <w:r>
        <w:rPr>
          <w:rFonts w:cs="Arial" w:ascii="Arial" w:hAnsi="Arial"/>
          <w:b/>
          <w:sz w:val="24"/>
          <w:szCs w:val="24"/>
          <w:lang w:val="uk-UA" w:eastAsia="ru-RU"/>
        </w:rPr>
        <w:t>ВЕЛИКОЇ БРИТАНІЇ</w:t>
      </w:r>
      <w:r>
        <w:rPr>
          <w:rFonts w:cs="Arial" w:ascii="Arial" w:hAnsi="Arial"/>
          <w:sz w:val="24"/>
          <w:szCs w:val="24"/>
          <w:lang w:val="uk-UA" w:eastAsia="ru-RU"/>
        </w:rPr>
        <w:t xml:space="preserve">, </w:t>
      </w:r>
      <w:r>
        <w:rPr>
          <w:rFonts w:eastAsia="Times New Roman" w:cs="Arial" w:ascii="Arial" w:hAnsi="Arial"/>
          <w:b/>
          <w:sz w:val="24"/>
          <w:szCs w:val="24"/>
          <w:lang w:val="uk-UA"/>
        </w:rPr>
        <w:t>ШВЕЙЦАРСЬКОЇ КОНФЕДЕРАЦІЇ</w:t>
      </w:r>
      <w:r>
        <w:rPr>
          <w:rFonts w:eastAsia="Times New Roman" w:cs="Arial" w:ascii="Arial" w:hAnsi="Arial"/>
          <w:b/>
          <w:sz w:val="24"/>
          <w:szCs w:val="24"/>
          <w:lang w:val="uk-UA" w:eastAsia="uk-UA"/>
        </w:rPr>
        <w:t>, ЯПОНІЇ, АВСТРАЛІЇ, КАНАДИ, ЛІКАРСЬКИХ ЗАСОБІВ, ЩО ЗА ЦЕНТРАЛІЗОВАНОЮ ПРОЦЕДУРОЮ ЗАРЕЄСТРОВАНІ КОМПЕТЕНТНИМ ОРГАНОМ ЄВРОПЕЙСЬКОГО СОЮЗУ</w:t>
      </w:r>
    </w:p>
    <w:p>
      <w:pPr>
        <w:pStyle w:val="Normal"/>
        <w:spacing w:lineRule="auto" w:line="240" w:before="0" w:after="0"/>
        <w:jc w:val="center"/>
        <w:rPr>
          <w:rFonts w:ascii="Arial" w:hAnsi="Arial" w:eastAsia="Times New Roman" w:cs="Arial"/>
          <w:b/>
          <w:b/>
          <w:sz w:val="24"/>
          <w:szCs w:val="24"/>
          <w:u w:val="single"/>
          <w:lang w:val="uk-UA" w:eastAsia="uk-UA"/>
        </w:rPr>
      </w:pPr>
      <w:r>
        <w:rPr>
          <w:rFonts w:eastAsia="Times New Roman" w:cs="Arial" w:ascii="Arial" w:hAnsi="Arial"/>
          <w:b/>
          <w:sz w:val="24"/>
          <w:szCs w:val="24"/>
          <w:u w:val="single"/>
          <w:lang w:val="uk-UA" w:eastAsia="uk-UA"/>
        </w:rPr>
      </w:r>
    </w:p>
    <w:tbl>
      <w:tblPr>
        <w:tblW w:w="15745"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1"/>
        <w:gridCol w:w="1282"/>
        <w:gridCol w:w="992"/>
        <w:gridCol w:w="993"/>
        <w:gridCol w:w="708"/>
        <w:gridCol w:w="1843"/>
        <w:gridCol w:w="1276"/>
        <w:gridCol w:w="1134"/>
        <w:gridCol w:w="1417"/>
        <w:gridCol w:w="1134"/>
        <w:gridCol w:w="1701"/>
        <w:gridCol w:w="1134"/>
        <w:gridCol w:w="1570"/>
      </w:tblGrid>
      <w:tr>
        <w:trPr>
          <w:tblHeader w:val="true"/>
        </w:trPr>
        <w:tc>
          <w:tcPr>
            <w:tcW w:w="56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cs="Arial"/>
                <w:b/>
                <w:b/>
                <w:i/>
                <w:i/>
                <w:sz w:val="16"/>
                <w:szCs w:val="16"/>
                <w:lang w:val="uk-UA" w:eastAsia="uk-UA"/>
              </w:rPr>
            </w:pPr>
            <w:r>
              <w:rPr>
                <w:rFonts w:eastAsia="Times New Roman" w:cs="Arial" w:ascii="Arial" w:hAnsi="Arial"/>
                <w:b/>
                <w:i/>
                <w:sz w:val="16"/>
                <w:szCs w:val="16"/>
                <w:lang w:val="uk-UA" w:eastAsia="uk-UA"/>
              </w:rPr>
              <w:t>№</w:t>
            </w:r>
            <w:r>
              <w:rPr>
                <w:rFonts w:eastAsia="Arial" w:cs="Arial" w:ascii="Arial" w:hAnsi="Arial"/>
                <w:b/>
                <w:i/>
                <w:sz w:val="16"/>
                <w:szCs w:val="16"/>
                <w:lang w:val="uk-UA" w:eastAsia="uk-UA"/>
              </w:rPr>
              <w:t xml:space="preserve"> </w:t>
            </w:r>
            <w:r>
              <w:rPr>
                <w:rFonts w:eastAsia="Times New Roman" w:cs="Arial" w:ascii="Arial" w:hAnsi="Arial"/>
                <w:b/>
                <w:i/>
                <w:sz w:val="16"/>
                <w:szCs w:val="16"/>
                <w:lang w:val="uk-UA" w:eastAsia="uk-UA"/>
              </w:rPr>
              <w:t>п/п</w:t>
            </w:r>
          </w:p>
        </w:tc>
        <w:tc>
          <w:tcPr>
            <w:tcW w:w="128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160"/>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3"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160"/>
              <w:jc w:val="center"/>
              <w:rPr>
                <w:rFonts w:ascii="Arial" w:hAnsi="Arial" w:cs="Arial"/>
                <w:b/>
                <w:b/>
                <w:i/>
                <w:i/>
                <w:sz w:val="16"/>
                <w:szCs w:val="16"/>
              </w:rPr>
            </w:pPr>
            <w:r>
              <w:rPr>
                <w:rFonts w:cs="Arial" w:ascii="Arial" w:hAnsi="Arial"/>
                <w:b/>
                <w:i/>
                <w:sz w:val="16"/>
                <w:szCs w:val="16"/>
              </w:rPr>
              <w:t>Назва діючої речовини</w:t>
            </w:r>
          </w:p>
        </w:tc>
        <w:tc>
          <w:tcPr>
            <w:tcW w:w="708"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160"/>
              <w:jc w:val="center"/>
              <w:rPr>
                <w:rFonts w:ascii="Arial" w:hAnsi="Arial" w:cs="Arial"/>
                <w:b/>
                <w:b/>
                <w:i/>
                <w:i/>
                <w:sz w:val="16"/>
                <w:szCs w:val="16"/>
              </w:rPr>
            </w:pPr>
            <w:r>
              <w:rPr>
                <w:rFonts w:cs="Arial" w:ascii="Arial" w:hAnsi="Arial"/>
                <w:b/>
                <w:i/>
                <w:sz w:val="16"/>
                <w:szCs w:val="16"/>
              </w:rPr>
              <w:t>Код АТХ</w:t>
            </w:r>
          </w:p>
        </w:tc>
        <w:tc>
          <w:tcPr>
            <w:tcW w:w="1843"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Форма випуску (лікарська форма, упаковка)</w:t>
            </w:r>
          </w:p>
        </w:tc>
        <w:tc>
          <w:tcPr>
            <w:tcW w:w="1276"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Заявник</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Країна</w:t>
            </w:r>
          </w:p>
        </w:tc>
        <w:tc>
          <w:tcPr>
            <w:tcW w:w="1417"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Виробник</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Країна</w:t>
            </w:r>
          </w:p>
        </w:tc>
        <w:tc>
          <w:tcPr>
            <w:tcW w:w="170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Умови відпуску</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Номер реєстраційного посвідчення</w:t>
            </w:r>
          </w:p>
        </w:tc>
      </w:tr>
      <w:tr>
        <w:trPr>
          <w:trHeight w:val="433" w:hRule="atLeast"/>
        </w:trPr>
        <w:tc>
          <w:tcPr>
            <w:tcW w:w="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1"/>
              </w:numPr>
              <w:tabs>
                <w:tab w:val="left" w:pos="12600" w:leader="none"/>
              </w:tabs>
              <w:snapToGrid w:val="false"/>
              <w:spacing w:lineRule="auto" w:line="240" w:before="0" w:after="0"/>
              <w:contextualSpacing/>
              <w:rPr>
                <w:rFonts w:ascii="Arial" w:hAnsi="Arial" w:eastAsia="Times New Roman" w:cs="Arial"/>
                <w:b/>
                <w:b/>
                <w:i/>
                <w:i/>
                <w:sz w:val="16"/>
                <w:szCs w:val="16"/>
                <w:lang w:val="uk-UA" w:eastAsia="ru-RU"/>
              </w:rPr>
            </w:pPr>
            <w:r>
              <w:rPr>
                <w:rFonts w:eastAsia="Times New Roman" w:cs="Arial" w:ascii="Arial" w:hAnsi="Arial"/>
                <w:b/>
                <w:i/>
                <w:sz w:val="16"/>
                <w:szCs w:val="16"/>
                <w:lang w:val="uk-UA" w:eastAsia="ru-RU"/>
              </w:rPr>
            </w:r>
          </w:p>
        </w:tc>
        <w:tc>
          <w:tcPr>
            <w:tcW w:w="128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spacing w:lineRule="auto" w:line="276"/>
              <w:jc w:val="center"/>
              <w:rPr>
                <w:rFonts w:ascii="Arial" w:hAnsi="Arial" w:cs="Arial"/>
                <w:b/>
                <w:b/>
                <w:i/>
                <w:i/>
                <w:color w:val="000000"/>
                <w:sz w:val="16"/>
                <w:szCs w:val="16"/>
                <w:lang w:val="uk-UA"/>
              </w:rPr>
            </w:pPr>
            <w:r>
              <w:rPr>
                <w:rFonts w:cs="Arial" w:ascii="Arial" w:hAnsi="Arial"/>
                <w:b/>
                <w:sz w:val="16"/>
                <w:szCs w:val="16"/>
              </w:rPr>
              <w:t>АЛЬТРЕНО</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Style18"/>
              <w:tabs>
                <w:tab w:val="left" w:pos="12600" w:leader="none"/>
              </w:tabs>
              <w:spacing w:lineRule="auto" w:line="276"/>
              <w:jc w:val="center"/>
              <w:rPr>
                <w:rFonts w:ascii="Arial" w:hAnsi="Arial" w:cs="Arial"/>
                <w:color w:val="000000"/>
                <w:sz w:val="16"/>
                <w:szCs w:val="16"/>
              </w:rPr>
            </w:pPr>
            <w:r>
              <w:rPr>
                <w:rFonts w:cs="Arial" w:ascii="Arial" w:hAnsi="Arial"/>
                <w:color w:val="000000"/>
                <w:sz w:val="16"/>
                <w:szCs w:val="16"/>
              </w:rPr>
              <w:t>Tretinoin</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spacing w:lineRule="auto" w:line="276"/>
              <w:jc w:val="center"/>
              <w:rPr>
                <w:rFonts w:ascii="Arial" w:hAnsi="Arial" w:cs="Arial"/>
                <w:color w:val="000000"/>
                <w:sz w:val="16"/>
                <w:szCs w:val="16"/>
              </w:rPr>
            </w:pPr>
            <w:r>
              <w:rPr>
                <w:rFonts w:cs="Arial" w:ascii="Arial" w:hAnsi="Arial"/>
                <w:color w:val="000000"/>
                <w:sz w:val="16"/>
                <w:szCs w:val="16"/>
              </w:rPr>
              <w:t>третиноїн</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spacing w:lineRule="auto" w:line="276"/>
              <w:jc w:val="center"/>
              <w:rPr>
                <w:rFonts w:ascii="Arial" w:hAnsi="Arial" w:cs="Arial"/>
                <w:color w:val="000000"/>
                <w:sz w:val="16"/>
                <w:szCs w:val="16"/>
              </w:rPr>
            </w:pPr>
            <w:r>
              <w:rPr>
                <w:rFonts w:cs="Arial" w:ascii="Arial" w:hAnsi="Arial"/>
                <w:color w:val="000000"/>
                <w:sz w:val="16"/>
                <w:szCs w:val="16"/>
              </w:rPr>
              <w:t>D10AD01</w:t>
            </w:r>
          </w:p>
        </w:tc>
        <w:tc>
          <w:tcPr>
            <w:tcW w:w="184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spacing w:lineRule="auto" w:line="276"/>
              <w:jc w:val="center"/>
              <w:rPr>
                <w:rFonts w:ascii="Arial" w:hAnsi="Arial" w:cs="Arial"/>
                <w:color w:val="000000"/>
                <w:sz w:val="16"/>
                <w:szCs w:val="16"/>
                <w:lang w:val="ru-RU"/>
              </w:rPr>
            </w:pPr>
            <w:r>
              <w:rPr>
                <w:rFonts w:cs="Arial" w:ascii="Arial" w:hAnsi="Arial"/>
                <w:color w:val="000000"/>
                <w:sz w:val="16"/>
                <w:szCs w:val="16"/>
                <w:lang w:val="ru-RU"/>
              </w:rPr>
              <w:t>лосьйон, 0,05 %; по 45 г у тубі; по 1 тубі в картонній коробці</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spacing w:lineRule="auto" w:line="276"/>
              <w:jc w:val="center"/>
              <w:rPr>
                <w:rFonts w:ascii="Arial" w:hAnsi="Arial" w:cs="Arial"/>
                <w:color w:val="000000"/>
                <w:sz w:val="16"/>
                <w:szCs w:val="16"/>
              </w:rPr>
            </w:pPr>
            <w:r>
              <w:rPr>
                <w:rFonts w:cs="Arial" w:ascii="Arial" w:hAnsi="Arial"/>
                <w:color w:val="000000"/>
                <w:sz w:val="16"/>
                <w:szCs w:val="16"/>
              </w:rPr>
              <w:t xml:space="preserve">ТОВ "БАУШ ХЕЛС УКРАЇНА" </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spacing w:lineRule="auto" w:line="276"/>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spacing w:lineRule="auto" w:line="276"/>
              <w:jc w:val="center"/>
              <w:rPr/>
            </w:pPr>
            <w:r>
              <w:rPr>
                <w:rFonts w:cs="Arial" w:ascii="Arial" w:hAnsi="Arial"/>
                <w:color w:val="000000"/>
                <w:sz w:val="16"/>
                <w:szCs w:val="16"/>
              </w:rPr>
              <w:t xml:space="preserve">Виробництво, тестування вихідної сировини, пакування, маркування, випуск серії та дослідження стабільності: </w:t>
              <w:br/>
              <w:t xml:space="preserve">Бауш Хелс Компаніс Інк., Канада </w:t>
              <w:br/>
              <w:br/>
              <w:t xml:space="preserve">Альтернативна дільниця, на якій проводяться тестування вихідної сировини, випуск серії та дослідження стабільності (випуск серій, вироблених тільки для клінічних досліджень): </w:t>
              <w:br/>
              <w:t xml:space="preserve">Бауш Хелс Америкас Інк., Сполучені Штати Америки </w:t>
              <w:br/>
              <w:br/>
              <w:t>Альтернативна дільниця, на якій проводяться мікробіологічні дослідження:</w:t>
              <w:br/>
              <w:t xml:space="preserve">Пасифік БіоЛабс, Сполучені Штати Америки </w:t>
              <w:br/>
              <w:br/>
              <w:t>Дільниця, на якій проводяться випробування розміру крапель емульсії та розміру часток:</w:t>
              <w:br/>
              <w:t xml:space="preserve">Партикал Текнолоджи Лабс, Сполучені Штати Америки </w:t>
              <w:br/>
              <w:br/>
              <w:t>Альтернативні дільниці, на яких проводяться випробування допоміжних речовин:</w:t>
              <w:br/>
              <w:t>Елемент Матіріалс Текнолоджи Канада Інк., Канада</w:t>
              <w:br/>
              <w:br/>
              <w:t>ЕсДжіЕс Канада Інк., Канада</w:t>
              <w:br/>
              <w:br/>
              <w:t>ЕсДжіЕс Канада Інк., Канада</w:t>
              <w:br/>
              <w:br/>
              <w:t>Неофарм Лабс Інк., Канада</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spacing w:lineRule="auto" w:line="276"/>
              <w:jc w:val="center"/>
              <w:rPr>
                <w:rFonts w:ascii="Arial" w:hAnsi="Arial" w:cs="Arial"/>
                <w:color w:val="000000"/>
                <w:sz w:val="16"/>
                <w:szCs w:val="16"/>
              </w:rPr>
            </w:pPr>
            <w:r>
              <w:rPr>
                <w:rFonts w:cs="Arial" w:ascii="Arial" w:hAnsi="Arial"/>
                <w:color w:val="000000"/>
                <w:sz w:val="16"/>
                <w:szCs w:val="16"/>
              </w:rPr>
              <w:t>Канада/ Сполучені Штати Америки</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spacing w:lineRule="auto" w:line="276"/>
              <w:jc w:val="center"/>
              <w:rPr>
                <w:rFonts w:ascii="Arial" w:hAnsi="Arial" w:cs="Arial"/>
                <w:color w:val="000000"/>
                <w:sz w:val="16"/>
                <w:szCs w:val="16"/>
              </w:rPr>
            </w:pPr>
            <w:r>
              <w:rPr>
                <w:rFonts w:cs="Arial" w:ascii="Arial" w:hAnsi="Arial"/>
                <w:color w:val="000000"/>
                <w:sz w:val="16"/>
                <w:szCs w:val="16"/>
              </w:rPr>
              <w:t>1. Додавання дільниці Елемент Матіріалс Текнолоджи Канада Інк., 2599 Спікман Драйв, Офіс 200, 210, Місісога, Онтаріо, L5K 1В1, Канада (Element Materials Technology Canada Inc., 2599 Speakman Drive, Suite 200, 210, Mississauga, Ontario, L5K 1B1. Canada), функціями якої є: альтернативна дільниця, на якій проводяться випробування допоміжних речовин та альтернативна дільниця, на якій проводяться випробування АФІ.</w:t>
              <w:br/>
              <w:t>2. Видалення дільниці Елемент Матіріалс Текнолоджи Канада Інк., 2395 Спікман Драйв Місісога, Онтаріо, Канада, L5K 1ВЗ, Канада, функціями якої є: альтернативна дільниця, на якій проводяться випробування допоміжних речовин та альтернативна дільниця, на якій проводяться випробування АФІ.</w:t>
              <w:br/>
              <w:t>Відповідно оновлено розділи досьє 3.2.Р.3.1. Manufacturer(s) та 3.2.S.2.1. Manufacturer(s).</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spacing w:lineRule="auto" w:line="276"/>
              <w:ind w:left="-185" w:hanging="0"/>
              <w:jc w:val="center"/>
              <w:rPr>
                <w:rFonts w:ascii="Arial" w:hAnsi="Arial" w:cs="Arial"/>
                <w:i/>
                <w:i/>
                <w:sz w:val="16"/>
                <w:szCs w:val="16"/>
              </w:rPr>
            </w:pPr>
            <w:r>
              <w:rPr>
                <w:rFonts w:cs="Arial" w:ascii="Arial" w:hAnsi="Arial"/>
                <w:i/>
                <w:sz w:val="16"/>
                <w:szCs w:val="16"/>
              </w:rPr>
              <w:t xml:space="preserve">за </w:t>
            </w:r>
          </w:p>
          <w:p>
            <w:pPr>
              <w:pStyle w:val="Style18"/>
              <w:tabs>
                <w:tab w:val="left" w:pos="12600" w:leader="none"/>
              </w:tabs>
              <w:spacing w:lineRule="auto" w:line="276"/>
              <w:ind w:left="-185" w:hanging="0"/>
              <w:jc w:val="center"/>
              <w:rPr>
                <w:rFonts w:ascii="Arial" w:hAnsi="Arial" w:cs="Arial"/>
                <w:b/>
                <w:b/>
                <w:i/>
                <w:i/>
                <w:color w:val="000000"/>
                <w:sz w:val="16"/>
                <w:szCs w:val="16"/>
              </w:rPr>
            </w:pPr>
            <w:r>
              <w:rPr>
                <w:rFonts w:cs="Arial" w:ascii="Arial" w:hAnsi="Arial"/>
                <w:i/>
                <w:sz w:val="16"/>
                <w:szCs w:val="16"/>
              </w:rPr>
              <w:t>рецептом</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18"/>
              <w:tabs>
                <w:tab w:val="left" w:pos="12600" w:leader="none"/>
              </w:tabs>
              <w:spacing w:lineRule="auto" w:line="276"/>
              <w:jc w:val="center"/>
              <w:rPr>
                <w:rFonts w:ascii="Arial" w:hAnsi="Arial" w:cs="Arial"/>
                <w:sz w:val="16"/>
                <w:szCs w:val="16"/>
              </w:rPr>
            </w:pPr>
            <w:r>
              <w:rPr>
                <w:rFonts w:cs="Arial" w:ascii="Arial" w:hAnsi="Arial"/>
                <w:sz w:val="16"/>
                <w:szCs w:val="16"/>
              </w:rPr>
              <w:t>UA/18447/01/01</w:t>
            </w:r>
          </w:p>
        </w:tc>
      </w:tr>
    </w:tbl>
    <w:p>
      <w:pPr>
        <w:pStyle w:val="Normal"/>
        <w:spacing w:lineRule="auto" w:line="240" w:before="0" w:after="0"/>
        <w:rPr>
          <w:rFonts w:ascii="Arial" w:hAnsi="Arial" w:cs="Arial"/>
          <w:sz w:val="16"/>
          <w:szCs w:val="16"/>
        </w:rPr>
      </w:pPr>
      <w:r>
        <w:rPr>
          <w:rFonts w:cs="Arial" w:ascii="Arial" w:hAnsi="Arial"/>
          <w:sz w:val="16"/>
          <w:szCs w:val="16"/>
        </w:rPr>
      </w:r>
    </w:p>
    <w:sectPr>
      <w:footerReference w:type="default" r:id="rId2"/>
      <w:footerReference w:type="first" r:id="rId3"/>
      <w:type w:val="nextPage"/>
      <w:pgSz w:orient="landscape" w:w="16838" w:h="11906"/>
      <w:pgMar w:left="851" w:right="851" w:header="0" w:top="1134" w:footer="709" w:bottom="851"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cc"/>
    <w:family w:val="swiss"/>
    <w:pitch w:val="variable"/>
  </w:font>
  <w:font w:name="Segoe UI">
    <w:charset w:val="cc"/>
    <w:family w:val="swiss"/>
    <w:pitch w:val="variable"/>
  </w:font>
  <w:font w:name="Liberation Sans">
    <w:altName w:val="Arial"/>
    <w:charset w:val="01"/>
    <w:family w:val="swiss"/>
    <w:pitch w:val="variable"/>
  </w:font>
  <w:font w:name="Times New Roman">
    <w:charset w:val="cc"/>
    <w:family w:val="roman"/>
    <w:pitch w:val="variable"/>
  </w:font>
  <w:font w:name="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instrText> PAGE </w:instrText>
    </w:r>
    <w:r>
      <w:fldChar w:fldCharType="separate"/>
    </w:r>
    <w:r>
      <w:t>3</w:t>
    </w:r>
    <w:r>
      <w:fldChar w:fldCharType="end"/>
    </w:r>
  </w:p>
  <w:p>
    <w:pPr>
      <w:pStyle w:val="Footer"/>
      <w:tabs>
        <w:tab w:val="center" w:pos="4844" w:leader="none"/>
        <w:tab w:val="right" w:pos="9689" w:leader="none"/>
      </w:tabs>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enter" w:pos="4844" w:leader="none"/>
        <w:tab w:val="right" w:pos="9689" w:leader="none"/>
      </w:tabs>
      <w:spacing w:before="0" w:after="16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spacing w:lineRule="auto" w:line="256" w:before="0" w:after="160"/>
    </w:pPr>
    <w:rPr>
      <w:rFonts w:ascii="Calibri" w:hAnsi="Calibri" w:eastAsia="Calibri" w:cs="Times New Roman"/>
      <w:color w:val="auto"/>
      <w:sz w:val="22"/>
      <w:szCs w:val="22"/>
      <w:lang w:val="en-US" w:bidi="ar-SA" w:eastAsia="zh-CN"/>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cs="Times New Roman"/>
    </w:rPr>
  </w:style>
  <w:style w:type="character" w:styleId="Style14">
    <w:name w:val="Основной шрифт абзаца"/>
    <w:qFormat/>
    <w:rPr/>
  </w:style>
  <w:style w:type="character" w:styleId="Style15">
    <w:name w:val="Текст выноски Знак"/>
    <w:qFormat/>
    <w:rPr>
      <w:rFonts w:ascii="Segoe UI" w:hAnsi="Segoe UI" w:cs="Segoe UI"/>
      <w:sz w:val="18"/>
      <w:szCs w:val="18"/>
    </w:rPr>
  </w:style>
  <w:style w:type="character" w:styleId="InternetLink">
    <w:name w:val="Internet Link"/>
    <w:rPr>
      <w:color w:val="0000FF"/>
      <w:u w:val="single"/>
    </w:rPr>
  </w:style>
  <w:style w:type="character" w:styleId="Style16">
    <w:name w:val="Верхний колонтитул Знак"/>
    <w:qFormat/>
    <w:rPr>
      <w:sz w:val="22"/>
      <w:szCs w:val="22"/>
    </w:rPr>
  </w:style>
  <w:style w:type="character" w:styleId="Style17">
    <w:name w:val="Нижний колонтитул Знак"/>
    <w:qFormat/>
    <w:rPr>
      <w:sz w:val="22"/>
      <w:szCs w:val="22"/>
    </w:rPr>
  </w:style>
  <w:style w:type="character" w:styleId="2">
    <w:name w:val="Основной текст (2)_"/>
    <w:qFormat/>
    <w:rPr>
      <w:sz w:val="22"/>
      <w:szCs w:val="22"/>
      <w:shd w:fill="FFFFFF" w:val="clear"/>
    </w:rPr>
  </w:style>
  <w:style w:type="paragraph" w:styleId="Heading">
    <w:name w:val="Heading"/>
    <w:basedOn w:val="Normal"/>
    <w:next w:val="TextBody"/>
    <w:qFormat/>
    <w:pPr>
      <w:keepNext w:val="true"/>
      <w:spacing w:before="240" w:after="120"/>
    </w:pPr>
    <w:rPr>
      <w:rFonts w:ascii="Liberation Sans" w:hAnsi="Liberation Sans" w:eastAsia="DejaVu Sans" w:cs="DejaVu San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tyle18">
    <w:name w:val="Звичайний"/>
    <w:qFormat/>
    <w:pPr>
      <w:widowControl/>
    </w:pPr>
    <w:rPr>
      <w:rFonts w:ascii="Times New Roman" w:hAnsi="Times New Roman" w:eastAsia="Times New Roman" w:cs="Times New Roman"/>
      <w:color w:val="auto"/>
      <w:sz w:val="24"/>
      <w:szCs w:val="24"/>
      <w:lang w:val="en-US" w:bidi="ar-SA" w:eastAsia="zh-CN"/>
    </w:rPr>
  </w:style>
  <w:style w:type="paragraph" w:styleId="Style19">
    <w:name w:val="Текст выноски"/>
    <w:basedOn w:val="Normal"/>
    <w:qFormat/>
    <w:pPr>
      <w:spacing w:lineRule="auto" w:line="240" w:before="0" w:after="0"/>
    </w:pPr>
    <w:rPr>
      <w:rFonts w:ascii="Segoe UI" w:hAnsi="Segoe UI" w:cs="Segoe UI"/>
      <w:sz w:val="18"/>
      <w:szCs w:val="18"/>
    </w:rPr>
  </w:style>
  <w:style w:type="paragraph" w:styleId="Header">
    <w:name w:val="Header"/>
    <w:basedOn w:val="Normal"/>
    <w:pPr>
      <w:tabs>
        <w:tab w:val="center" w:pos="4844" w:leader="none"/>
        <w:tab w:val="right" w:pos="9689" w:leader="none"/>
      </w:tabs>
    </w:pPr>
    <w:rPr/>
  </w:style>
  <w:style w:type="paragraph" w:styleId="Footer">
    <w:name w:val="Footer"/>
    <w:basedOn w:val="Normal"/>
    <w:pPr>
      <w:tabs>
        <w:tab w:val="center" w:pos="4844" w:leader="none"/>
        <w:tab w:val="right" w:pos="9689" w:leader="none"/>
      </w:tabs>
    </w:pPr>
    <w:rPr/>
  </w:style>
  <w:style w:type="paragraph" w:styleId="21">
    <w:name w:val="Основной текст (2)1"/>
    <w:basedOn w:val="Normal"/>
    <w:qFormat/>
    <w:pPr>
      <w:widowControl w:val="false"/>
      <w:shd w:fill="FFFFFF" w:val="clear"/>
      <w:spacing w:lineRule="exact" w:line="250" w:before="0" w:after="480"/>
      <w:ind w:hanging="600"/>
      <w:jc w:val="both"/>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2026-10-13T13:00:00Z</dcterms:created>
  <dc:creator>RePack by Diakov</dc:creator>
  <dc:description/>
  <dc:language>ru-RU</dc:language>
  <cp:lastModifiedBy>Сайчук Світлана Анатоліївна</cp:lastModifiedBy>
  <cp:lastPrinted>2022-04-14T11:34:00Z</cp:lastPrinted>
  <dcterms:modified xsi:type="dcterms:W3CDTF">2026-10-13T13:00:00Z</dcterms:modified>
  <cp:revision>3</cp:revision>
  <dc:subject/>
  <dc:title/>
</cp:coreProperties>
</file>