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CA4562" w:rsidRDefault="00A32349" w:rsidP="00674BA1">
      <w:pPr>
        <w:spacing w:after="120"/>
        <w:jc w:val="center"/>
        <w:rPr>
          <w:rFonts w:ascii="Times New Roman CYR" w:hAnsi="Times New Roman CYR"/>
          <w:lang w:val="uk-UA"/>
        </w:rPr>
      </w:pPr>
      <w:bookmarkStart w:id="0" w:name="_GoBack"/>
      <w:bookmarkEnd w:id="0"/>
      <w:r w:rsidRPr="00CA4562">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5pt;height:44.25pt;visibility:visible">
            <v:imagedata r:id="rId8" o:title="" gain="86232f" blacklevel="-3932f"/>
          </v:shape>
        </w:pict>
      </w:r>
    </w:p>
    <w:p w:rsidR="00674BA1" w:rsidRPr="00CA4562" w:rsidRDefault="00674BA1" w:rsidP="00674BA1">
      <w:pPr>
        <w:jc w:val="center"/>
        <w:outlineLvl w:val="0"/>
        <w:rPr>
          <w:b/>
          <w:sz w:val="32"/>
          <w:szCs w:val="32"/>
          <w:lang w:val="uk-UA"/>
        </w:rPr>
      </w:pPr>
      <w:r w:rsidRPr="00CA4562">
        <w:rPr>
          <w:b/>
          <w:sz w:val="32"/>
          <w:szCs w:val="32"/>
          <w:lang w:val="uk-UA"/>
        </w:rPr>
        <w:t>МІНІСТЕРСТВО ОХОРОНИ ЗДОРОВ’Я УКРАЇНИ</w:t>
      </w:r>
    </w:p>
    <w:p w:rsidR="00674BA1" w:rsidRPr="00CA4562" w:rsidRDefault="00674BA1" w:rsidP="00674BA1">
      <w:pPr>
        <w:rPr>
          <w:lang w:val="uk-UA"/>
        </w:rPr>
      </w:pPr>
    </w:p>
    <w:p w:rsidR="008C4BFD" w:rsidRPr="00CA4562" w:rsidRDefault="008C4BFD" w:rsidP="008C4BFD">
      <w:pPr>
        <w:jc w:val="center"/>
        <w:outlineLvl w:val="0"/>
        <w:rPr>
          <w:b/>
          <w:spacing w:val="60"/>
          <w:sz w:val="30"/>
          <w:szCs w:val="30"/>
          <w:lang w:val="uk-UA"/>
        </w:rPr>
      </w:pPr>
      <w:r w:rsidRPr="00CA4562">
        <w:rPr>
          <w:b/>
          <w:spacing w:val="60"/>
          <w:sz w:val="30"/>
          <w:szCs w:val="30"/>
          <w:lang w:val="uk-UA"/>
        </w:rPr>
        <w:t>НАКАЗ</w:t>
      </w:r>
    </w:p>
    <w:p w:rsidR="008C4BFD" w:rsidRPr="00CA4562"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8C4BFD" w:rsidRPr="00CA4562" w:rsidTr="00DB39C2">
        <w:tc>
          <w:tcPr>
            <w:tcW w:w="3271" w:type="dxa"/>
          </w:tcPr>
          <w:p w:rsidR="00DB39C2" w:rsidRPr="00CA4562" w:rsidRDefault="00DB39C2" w:rsidP="00A93E77">
            <w:pPr>
              <w:rPr>
                <w:sz w:val="28"/>
                <w:szCs w:val="28"/>
                <w:lang w:val="uk-UA"/>
              </w:rPr>
            </w:pPr>
          </w:p>
          <w:p w:rsidR="004E5F69" w:rsidRPr="00CA4562" w:rsidRDefault="00DB39C2" w:rsidP="00A93E77">
            <w:pPr>
              <w:rPr>
                <w:sz w:val="28"/>
                <w:szCs w:val="28"/>
                <w:lang w:val="uk-UA"/>
              </w:rPr>
            </w:pPr>
            <w:r w:rsidRPr="00CA4562">
              <w:rPr>
                <w:sz w:val="28"/>
                <w:szCs w:val="28"/>
                <w:lang w:val="uk-UA"/>
              </w:rPr>
              <w:t>28 травня 2022 року</w:t>
            </w:r>
          </w:p>
          <w:p w:rsidR="008C4BFD" w:rsidRPr="00CA4562" w:rsidRDefault="008C4BFD" w:rsidP="00A93E77">
            <w:pPr>
              <w:rPr>
                <w:color w:val="FFFFFF"/>
                <w:sz w:val="28"/>
                <w:szCs w:val="28"/>
                <w:lang w:val="uk-UA"/>
              </w:rPr>
            </w:pPr>
            <w:r w:rsidRPr="00CA4562">
              <w:rPr>
                <w:color w:val="FFFFFF"/>
                <w:sz w:val="28"/>
                <w:szCs w:val="28"/>
                <w:lang w:val="uk-UA"/>
              </w:rPr>
              <w:t xml:space="preserve">.05.20200      </w:t>
            </w:r>
          </w:p>
        </w:tc>
        <w:tc>
          <w:tcPr>
            <w:tcW w:w="2129" w:type="dxa"/>
          </w:tcPr>
          <w:p w:rsidR="008C4BFD" w:rsidRPr="00CA4562" w:rsidRDefault="00B943B1" w:rsidP="00B943B1">
            <w:pPr>
              <w:jc w:val="center"/>
              <w:rPr>
                <w:sz w:val="24"/>
                <w:szCs w:val="24"/>
                <w:lang w:val="uk-UA"/>
              </w:rPr>
            </w:pPr>
            <w:r w:rsidRPr="00CA4562">
              <w:rPr>
                <w:sz w:val="24"/>
                <w:szCs w:val="24"/>
                <w:lang w:val="uk-UA"/>
              </w:rPr>
              <w:t xml:space="preserve">                    </w:t>
            </w:r>
            <w:r w:rsidR="008C4BFD" w:rsidRPr="00CA4562">
              <w:rPr>
                <w:sz w:val="24"/>
                <w:szCs w:val="24"/>
                <w:lang w:val="uk-UA"/>
              </w:rPr>
              <w:t>Київ</w:t>
            </w:r>
          </w:p>
        </w:tc>
        <w:tc>
          <w:tcPr>
            <w:tcW w:w="4783" w:type="dxa"/>
          </w:tcPr>
          <w:p w:rsidR="00DB39C2" w:rsidRPr="00CA4562" w:rsidRDefault="00DB39C2" w:rsidP="00A93E77">
            <w:pPr>
              <w:ind w:firstLine="72"/>
              <w:jc w:val="center"/>
              <w:rPr>
                <w:sz w:val="28"/>
                <w:szCs w:val="28"/>
                <w:lang w:val="uk-UA"/>
              </w:rPr>
            </w:pPr>
          </w:p>
          <w:p w:rsidR="004E5F69" w:rsidRPr="00CA4562" w:rsidRDefault="00DB39C2" w:rsidP="00A93E77">
            <w:pPr>
              <w:ind w:firstLine="72"/>
              <w:jc w:val="center"/>
              <w:rPr>
                <w:sz w:val="28"/>
                <w:szCs w:val="28"/>
                <w:lang w:val="uk-UA"/>
              </w:rPr>
            </w:pPr>
            <w:r w:rsidRPr="00CA4562">
              <w:rPr>
                <w:sz w:val="28"/>
                <w:szCs w:val="28"/>
                <w:lang w:val="uk-UA"/>
              </w:rPr>
              <w:t xml:space="preserve">                                          № 895</w:t>
            </w:r>
          </w:p>
          <w:p w:rsidR="008C4BFD" w:rsidRPr="00CA4562" w:rsidRDefault="004E5F69" w:rsidP="00A93E77">
            <w:pPr>
              <w:ind w:firstLine="72"/>
              <w:jc w:val="center"/>
              <w:rPr>
                <w:sz w:val="28"/>
                <w:szCs w:val="28"/>
                <w:lang w:val="uk-UA"/>
              </w:rPr>
            </w:pPr>
            <w:r w:rsidRPr="00CA4562">
              <w:rPr>
                <w:sz w:val="28"/>
                <w:szCs w:val="28"/>
                <w:lang w:val="uk-UA"/>
              </w:rPr>
              <w:t xml:space="preserve">                                                </w:t>
            </w:r>
          </w:p>
          <w:p w:rsidR="008C4BFD" w:rsidRPr="00CA4562" w:rsidRDefault="008C4BFD" w:rsidP="00A93E77">
            <w:pPr>
              <w:ind w:firstLine="72"/>
              <w:jc w:val="center"/>
              <w:rPr>
                <w:sz w:val="28"/>
                <w:szCs w:val="28"/>
                <w:lang w:val="uk-UA"/>
              </w:rPr>
            </w:pPr>
            <w:r w:rsidRPr="00CA4562">
              <w:rPr>
                <w:color w:val="FFFFFF"/>
                <w:sz w:val="28"/>
                <w:szCs w:val="28"/>
                <w:lang w:val="uk-UA"/>
              </w:rPr>
              <w:t>2284</w:t>
            </w:r>
          </w:p>
        </w:tc>
      </w:tr>
    </w:tbl>
    <w:p w:rsidR="008C4BFD" w:rsidRPr="00CA4562" w:rsidRDefault="008C4BFD" w:rsidP="008C4BFD">
      <w:pPr>
        <w:jc w:val="both"/>
        <w:rPr>
          <w:sz w:val="28"/>
          <w:szCs w:val="28"/>
          <w:lang w:val="en-US"/>
        </w:rPr>
      </w:pPr>
    </w:p>
    <w:p w:rsidR="002252BE" w:rsidRPr="00CA4562" w:rsidRDefault="002252BE" w:rsidP="00FF071A">
      <w:pPr>
        <w:jc w:val="both"/>
        <w:rPr>
          <w:b/>
          <w:sz w:val="28"/>
          <w:szCs w:val="28"/>
          <w:lang w:val="uk-UA"/>
        </w:rPr>
      </w:pPr>
    </w:p>
    <w:p w:rsidR="00FF071A" w:rsidRPr="00CA4562" w:rsidRDefault="00FF071A" w:rsidP="00FF071A">
      <w:pPr>
        <w:jc w:val="both"/>
        <w:rPr>
          <w:b/>
          <w:sz w:val="28"/>
          <w:szCs w:val="28"/>
          <w:lang w:val="uk-UA"/>
        </w:rPr>
      </w:pPr>
      <w:r w:rsidRPr="00CA456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Pr="00CA4562" w:rsidRDefault="00674BA1" w:rsidP="00674BA1">
      <w:pPr>
        <w:ind w:firstLine="720"/>
        <w:jc w:val="both"/>
        <w:rPr>
          <w:sz w:val="16"/>
          <w:szCs w:val="16"/>
          <w:lang w:val="uk-UA"/>
        </w:rPr>
      </w:pPr>
    </w:p>
    <w:p w:rsidR="00917598" w:rsidRPr="00CA4562" w:rsidRDefault="00917598" w:rsidP="00FC73F7">
      <w:pPr>
        <w:ind w:firstLine="720"/>
        <w:jc w:val="both"/>
        <w:rPr>
          <w:sz w:val="16"/>
          <w:szCs w:val="16"/>
          <w:lang w:val="uk-UA"/>
        </w:rPr>
      </w:pPr>
    </w:p>
    <w:p w:rsidR="00F4602B" w:rsidRPr="00CA4562" w:rsidRDefault="00F4602B" w:rsidP="00FC73F7">
      <w:pPr>
        <w:ind w:firstLine="720"/>
        <w:jc w:val="both"/>
        <w:rPr>
          <w:sz w:val="16"/>
          <w:szCs w:val="16"/>
          <w:lang w:val="uk-UA"/>
        </w:rPr>
      </w:pPr>
    </w:p>
    <w:p w:rsidR="00B64FF6" w:rsidRPr="00CA4562" w:rsidRDefault="00B64FF6" w:rsidP="00FC73F7">
      <w:pPr>
        <w:ind w:firstLine="720"/>
        <w:jc w:val="both"/>
        <w:rPr>
          <w:sz w:val="16"/>
          <w:szCs w:val="16"/>
          <w:lang w:val="uk-UA"/>
        </w:rPr>
      </w:pPr>
    </w:p>
    <w:p w:rsidR="00F4602B" w:rsidRPr="00CA4562" w:rsidRDefault="00F4602B" w:rsidP="00FC73F7">
      <w:pPr>
        <w:ind w:firstLine="720"/>
        <w:jc w:val="both"/>
        <w:rPr>
          <w:sz w:val="16"/>
          <w:szCs w:val="16"/>
          <w:lang w:val="uk-UA"/>
        </w:rPr>
      </w:pPr>
    </w:p>
    <w:p w:rsidR="00051C9D" w:rsidRPr="00CA4562" w:rsidRDefault="00957C7E" w:rsidP="00051C9D">
      <w:pPr>
        <w:pStyle w:val="HTML"/>
        <w:ind w:firstLine="720"/>
        <w:jc w:val="both"/>
        <w:rPr>
          <w:rFonts w:ascii="Times New Roman" w:hAnsi="Times New Roman"/>
          <w:sz w:val="28"/>
          <w:szCs w:val="28"/>
          <w:lang w:val="uk-UA"/>
        </w:rPr>
      </w:pPr>
      <w:r w:rsidRPr="00CA4562">
        <w:rPr>
          <w:rFonts w:ascii="Times New Roman" w:hAnsi="Times New Roman"/>
          <w:sz w:val="28"/>
          <w:szCs w:val="28"/>
          <w:lang w:val="uk-UA"/>
        </w:rPr>
        <w:t xml:space="preserve">Відповідно до статті 9 Закону України «Про лікарські засоби», пунктів </w:t>
      </w:r>
      <w:r w:rsidR="003E30C2" w:rsidRPr="00CA4562">
        <w:rPr>
          <w:rFonts w:ascii="Times New Roman" w:hAnsi="Times New Roman"/>
          <w:sz w:val="28"/>
          <w:szCs w:val="28"/>
          <w:lang w:val="uk-UA"/>
        </w:rPr>
        <w:t xml:space="preserve">5, 7, </w:t>
      </w:r>
      <w:r w:rsidR="000D32CE" w:rsidRPr="00CA4562">
        <w:rPr>
          <w:rFonts w:ascii="Times New Roman" w:hAnsi="Times New Roman"/>
          <w:sz w:val="28"/>
          <w:szCs w:val="28"/>
          <w:lang w:val="uk-UA"/>
        </w:rPr>
        <w:t xml:space="preserve">9, </w:t>
      </w:r>
      <w:r w:rsidR="003E30C2" w:rsidRPr="00CA4562">
        <w:rPr>
          <w:rFonts w:ascii="Times New Roman" w:hAnsi="Times New Roman"/>
          <w:sz w:val="28"/>
          <w:szCs w:val="28"/>
          <w:lang w:val="uk-UA"/>
        </w:rPr>
        <w:t>10</w:t>
      </w:r>
      <w:r w:rsidR="00144F5C" w:rsidRPr="00CA4562">
        <w:rPr>
          <w:rFonts w:ascii="Times New Roman" w:hAnsi="Times New Roman"/>
          <w:sz w:val="28"/>
          <w:szCs w:val="28"/>
          <w:lang w:val="uk-UA"/>
        </w:rPr>
        <w:t xml:space="preserve"> </w:t>
      </w:r>
      <w:r w:rsidRPr="00CA4562">
        <w:rPr>
          <w:rFonts w:ascii="Times New Roman" w:hAnsi="Times New Roman"/>
          <w:sz w:val="28"/>
          <w:szCs w:val="28"/>
          <w:lang w:val="uk-UA"/>
        </w:rPr>
        <w:t xml:space="preserve">Порядку державної реєстрації (перереєстрації) лікарських засобів, затвердженого постановою Кабінету Міністрів України від 26 травня 2005 року № 376, </w:t>
      </w:r>
      <w:r w:rsidR="00051C9D" w:rsidRPr="00CA4562">
        <w:rPr>
          <w:rFonts w:ascii="Times New Roman" w:hAnsi="Times New Roman"/>
          <w:sz w:val="28"/>
          <w:szCs w:val="28"/>
          <w:lang w:val="uk-UA"/>
        </w:rPr>
        <w:t>абзацу двадцять сьомого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експертизи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його до державної реєстрації (перереєстрації) або внесення змін до реєстраційних матеріалів</w:t>
      </w:r>
    </w:p>
    <w:p w:rsidR="000C1B57" w:rsidRPr="00CA4562" w:rsidRDefault="000C1B57" w:rsidP="00051C9D">
      <w:pPr>
        <w:pStyle w:val="HTML"/>
        <w:ind w:firstLine="720"/>
        <w:jc w:val="both"/>
        <w:rPr>
          <w:b/>
          <w:bCs/>
          <w:sz w:val="28"/>
          <w:szCs w:val="28"/>
          <w:lang w:val="uk-UA"/>
        </w:rPr>
      </w:pPr>
    </w:p>
    <w:p w:rsidR="00FC73F7" w:rsidRPr="00CA4562" w:rsidRDefault="00FC73F7" w:rsidP="00FC73F7">
      <w:pPr>
        <w:pStyle w:val="31"/>
        <w:ind w:left="0"/>
        <w:rPr>
          <w:b/>
          <w:bCs/>
          <w:sz w:val="28"/>
          <w:szCs w:val="28"/>
          <w:lang w:val="uk-UA"/>
        </w:rPr>
      </w:pPr>
      <w:r w:rsidRPr="00CA4562">
        <w:rPr>
          <w:b/>
          <w:bCs/>
          <w:sz w:val="28"/>
          <w:szCs w:val="28"/>
          <w:lang w:val="uk-UA"/>
        </w:rPr>
        <w:t>НАКАЗУЮ:</w:t>
      </w:r>
    </w:p>
    <w:p w:rsidR="00B64FF6" w:rsidRPr="00CA4562" w:rsidRDefault="00B64FF6" w:rsidP="00FC73F7">
      <w:pPr>
        <w:pStyle w:val="31"/>
        <w:ind w:left="0"/>
        <w:rPr>
          <w:b/>
          <w:bCs/>
          <w:sz w:val="28"/>
          <w:szCs w:val="28"/>
          <w:lang w:val="uk-UA"/>
        </w:rPr>
      </w:pPr>
    </w:p>
    <w:p w:rsidR="00CB6908" w:rsidRPr="00CA4562" w:rsidRDefault="00CB6908" w:rsidP="00D33F8D">
      <w:pPr>
        <w:tabs>
          <w:tab w:val="left" w:pos="1080"/>
        </w:tabs>
        <w:ind w:firstLine="720"/>
        <w:jc w:val="both"/>
        <w:rPr>
          <w:sz w:val="28"/>
          <w:szCs w:val="28"/>
          <w:lang w:val="uk-UA"/>
        </w:rPr>
      </w:pPr>
      <w:r w:rsidRPr="00CA4562">
        <w:rPr>
          <w:sz w:val="28"/>
          <w:szCs w:val="28"/>
          <w:lang w:val="uk-UA"/>
        </w:rPr>
        <w:t xml:space="preserve">1. Зареєструвати та внести до Державного реєстру лікарських засобів України </w:t>
      </w:r>
      <w:r w:rsidRPr="00CA4562">
        <w:rPr>
          <w:noProof/>
          <w:sz w:val="28"/>
          <w:szCs w:val="28"/>
          <w:lang w:val="uk-UA"/>
        </w:rPr>
        <w:t>лікарські засоби</w:t>
      </w:r>
      <w:r w:rsidRPr="00CA4562">
        <w:rPr>
          <w:sz w:val="28"/>
          <w:szCs w:val="28"/>
          <w:lang w:val="uk-UA"/>
        </w:rPr>
        <w:t xml:space="preserve"> (медичні імунобіологічні препарати) згідно з переліком (додаток 1).</w:t>
      </w:r>
    </w:p>
    <w:p w:rsidR="00927311" w:rsidRPr="00CA4562" w:rsidRDefault="00927311" w:rsidP="00D33F8D">
      <w:pPr>
        <w:tabs>
          <w:tab w:val="left" w:pos="1080"/>
        </w:tabs>
        <w:ind w:firstLine="720"/>
        <w:jc w:val="both"/>
        <w:rPr>
          <w:sz w:val="28"/>
          <w:szCs w:val="28"/>
          <w:lang w:val="uk-UA"/>
        </w:rPr>
      </w:pPr>
    </w:p>
    <w:p w:rsidR="00927311" w:rsidRPr="00CA4562" w:rsidRDefault="00CB6908" w:rsidP="00D33F8D">
      <w:pPr>
        <w:tabs>
          <w:tab w:val="left" w:pos="1080"/>
        </w:tabs>
        <w:ind w:firstLine="720"/>
        <w:jc w:val="both"/>
        <w:rPr>
          <w:sz w:val="28"/>
          <w:szCs w:val="28"/>
          <w:lang w:val="uk-UA"/>
        </w:rPr>
      </w:pPr>
      <w:r w:rsidRPr="00CA4562">
        <w:rPr>
          <w:sz w:val="28"/>
          <w:szCs w:val="28"/>
          <w:lang w:val="uk-UA"/>
        </w:rPr>
        <w:t>2</w:t>
      </w:r>
      <w:r w:rsidR="00927311" w:rsidRPr="00CA4562">
        <w:rPr>
          <w:sz w:val="28"/>
          <w:szCs w:val="28"/>
          <w:lang w:val="uk-UA"/>
        </w:rPr>
        <w:t xml:space="preserve">. Перереєструвати та внести до Державного реєстру лікарських засобів України </w:t>
      </w:r>
      <w:r w:rsidR="00927311" w:rsidRPr="00CA4562">
        <w:rPr>
          <w:noProof/>
          <w:sz w:val="28"/>
          <w:szCs w:val="28"/>
          <w:lang w:val="uk-UA"/>
        </w:rPr>
        <w:t>лікарські засоби</w:t>
      </w:r>
      <w:r w:rsidR="00927311" w:rsidRPr="00CA4562">
        <w:rPr>
          <w:sz w:val="28"/>
          <w:szCs w:val="28"/>
          <w:lang w:val="uk-UA"/>
        </w:rPr>
        <w:t xml:space="preserve"> (медичні імунобіологічні препарат</w:t>
      </w:r>
      <w:r w:rsidR="00643EFB" w:rsidRPr="00CA4562">
        <w:rPr>
          <w:sz w:val="28"/>
          <w:szCs w:val="28"/>
          <w:lang w:val="uk-UA"/>
        </w:rPr>
        <w:t>и) згідно з переліком (додаток 2</w:t>
      </w:r>
      <w:r w:rsidR="00927311" w:rsidRPr="00CA4562">
        <w:rPr>
          <w:sz w:val="28"/>
          <w:szCs w:val="28"/>
          <w:lang w:val="uk-UA"/>
        </w:rPr>
        <w:t>).</w:t>
      </w:r>
    </w:p>
    <w:p w:rsidR="00927311" w:rsidRPr="00CA4562" w:rsidRDefault="00927311" w:rsidP="00D33F8D">
      <w:pPr>
        <w:tabs>
          <w:tab w:val="left" w:pos="1080"/>
        </w:tabs>
        <w:ind w:firstLine="720"/>
        <w:jc w:val="both"/>
        <w:rPr>
          <w:sz w:val="16"/>
          <w:szCs w:val="16"/>
          <w:lang w:val="uk-UA"/>
        </w:rPr>
      </w:pPr>
    </w:p>
    <w:p w:rsidR="00FC73F7" w:rsidRPr="00CA4562" w:rsidRDefault="00CB6908" w:rsidP="000C1B57">
      <w:pPr>
        <w:tabs>
          <w:tab w:val="left" w:pos="1080"/>
        </w:tabs>
        <w:ind w:firstLine="720"/>
        <w:jc w:val="both"/>
        <w:rPr>
          <w:sz w:val="28"/>
          <w:szCs w:val="28"/>
          <w:lang w:val="uk-UA"/>
        </w:rPr>
      </w:pPr>
      <w:r w:rsidRPr="00CA4562">
        <w:rPr>
          <w:sz w:val="28"/>
          <w:szCs w:val="28"/>
          <w:lang w:val="uk-UA"/>
        </w:rPr>
        <w:lastRenderedPageBreak/>
        <w:t>3</w:t>
      </w:r>
      <w:r w:rsidR="00FC73F7" w:rsidRPr="00CA4562">
        <w:rPr>
          <w:sz w:val="28"/>
          <w:szCs w:val="28"/>
          <w:lang w:val="uk-UA"/>
        </w:rPr>
        <w:t xml:space="preserve">. </w:t>
      </w:r>
      <w:r w:rsidR="00FA65F6" w:rsidRPr="00CA4562">
        <w:rPr>
          <w:sz w:val="28"/>
          <w:szCs w:val="28"/>
          <w:lang w:val="uk-UA"/>
        </w:rPr>
        <w:t>Внести</w:t>
      </w:r>
      <w:r w:rsidR="00FC73F7" w:rsidRPr="00CA4562">
        <w:rPr>
          <w:sz w:val="28"/>
          <w:szCs w:val="28"/>
          <w:lang w:val="uk-UA"/>
        </w:rPr>
        <w:t xml:space="preserve"> зміни до реєстраційних матеріалів та Державного реєстру лікарських засобів України </w:t>
      </w:r>
      <w:r w:rsidR="00FA65F6" w:rsidRPr="00CA4562">
        <w:rPr>
          <w:sz w:val="28"/>
          <w:szCs w:val="28"/>
          <w:lang w:val="uk-UA"/>
        </w:rPr>
        <w:t xml:space="preserve">на </w:t>
      </w:r>
      <w:r w:rsidR="00FC73F7" w:rsidRPr="00CA4562">
        <w:rPr>
          <w:noProof/>
          <w:sz w:val="28"/>
          <w:szCs w:val="28"/>
          <w:lang w:val="uk-UA"/>
        </w:rPr>
        <w:t>лікарські засоби</w:t>
      </w:r>
      <w:r w:rsidR="00FC73F7" w:rsidRPr="00CA4562">
        <w:rPr>
          <w:sz w:val="28"/>
          <w:szCs w:val="28"/>
          <w:lang w:val="uk-UA"/>
        </w:rPr>
        <w:t xml:space="preserve"> (медичні імунобіологічні препарати) згідно з переліком  (додаток </w:t>
      </w:r>
      <w:r w:rsidR="00643EFB" w:rsidRPr="00CA4562">
        <w:rPr>
          <w:sz w:val="28"/>
          <w:szCs w:val="28"/>
          <w:lang w:val="uk-UA"/>
        </w:rPr>
        <w:t>3</w:t>
      </w:r>
      <w:r w:rsidR="00FC73F7" w:rsidRPr="00CA4562">
        <w:rPr>
          <w:sz w:val="28"/>
          <w:szCs w:val="28"/>
          <w:lang w:val="uk-UA"/>
        </w:rPr>
        <w:t>).</w:t>
      </w:r>
    </w:p>
    <w:p w:rsidR="000D32CE" w:rsidRPr="00CA4562" w:rsidRDefault="000D32CE" w:rsidP="000C1B57">
      <w:pPr>
        <w:tabs>
          <w:tab w:val="left" w:pos="1080"/>
        </w:tabs>
        <w:ind w:firstLine="720"/>
        <w:jc w:val="both"/>
        <w:rPr>
          <w:sz w:val="28"/>
          <w:szCs w:val="28"/>
          <w:lang w:val="uk-UA"/>
        </w:rPr>
      </w:pPr>
    </w:p>
    <w:p w:rsidR="000D32CE" w:rsidRPr="00CA4562" w:rsidRDefault="000D32CE" w:rsidP="000D32CE">
      <w:pPr>
        <w:tabs>
          <w:tab w:val="left" w:pos="1080"/>
        </w:tabs>
        <w:ind w:firstLine="720"/>
        <w:jc w:val="both"/>
        <w:rPr>
          <w:sz w:val="28"/>
          <w:szCs w:val="28"/>
          <w:lang w:val="uk-UA"/>
        </w:rPr>
      </w:pPr>
      <w:r w:rsidRPr="00CA4562">
        <w:rPr>
          <w:sz w:val="28"/>
          <w:szCs w:val="28"/>
          <w:lang w:val="uk-UA"/>
        </w:rPr>
        <w:t>4. Відмовити у державній реєстрації/перереєстрації та внесенні змін до реєстраційних матеріалів та Державного реєстру лікарських засобів України лікарських засобів згідно з переліком  (додаток 4).</w:t>
      </w:r>
    </w:p>
    <w:p w:rsidR="003E30C2" w:rsidRPr="00CA4562" w:rsidRDefault="003E30C2" w:rsidP="000C1B57">
      <w:pPr>
        <w:tabs>
          <w:tab w:val="left" w:pos="1080"/>
        </w:tabs>
        <w:ind w:firstLine="720"/>
        <w:jc w:val="both"/>
        <w:rPr>
          <w:sz w:val="28"/>
          <w:szCs w:val="28"/>
          <w:lang w:val="uk-UA"/>
        </w:rPr>
      </w:pPr>
    </w:p>
    <w:p w:rsidR="000D32CE" w:rsidRPr="00CA4562" w:rsidRDefault="000D32CE" w:rsidP="000D32CE">
      <w:pPr>
        <w:tabs>
          <w:tab w:val="left" w:pos="720"/>
          <w:tab w:val="left" w:pos="1080"/>
        </w:tabs>
        <w:ind w:firstLine="720"/>
        <w:jc w:val="both"/>
        <w:rPr>
          <w:sz w:val="28"/>
          <w:szCs w:val="28"/>
          <w:lang w:val="uk-UA"/>
        </w:rPr>
      </w:pPr>
      <w:r w:rsidRPr="00CA4562">
        <w:rPr>
          <w:sz w:val="28"/>
          <w:szCs w:val="28"/>
          <w:lang w:val="uk-UA"/>
        </w:rPr>
        <w:t>5. Контроль за виконанням цього наказу покласти на першого заступника Міністра Комаріду О.О.</w:t>
      </w:r>
    </w:p>
    <w:p w:rsidR="000D32CE" w:rsidRPr="00CA4562" w:rsidRDefault="000D32CE" w:rsidP="000D32CE">
      <w:pPr>
        <w:pStyle w:val="31"/>
        <w:spacing w:after="0"/>
        <w:rPr>
          <w:sz w:val="28"/>
          <w:szCs w:val="28"/>
          <w:lang w:val="uk-UA"/>
        </w:rPr>
      </w:pPr>
    </w:p>
    <w:p w:rsidR="000D32CE" w:rsidRPr="00CA4562" w:rsidRDefault="000D32CE" w:rsidP="000D32CE">
      <w:pPr>
        <w:pStyle w:val="31"/>
        <w:spacing w:after="0"/>
        <w:rPr>
          <w:sz w:val="28"/>
          <w:szCs w:val="28"/>
          <w:lang w:val="uk-UA"/>
        </w:rPr>
      </w:pPr>
    </w:p>
    <w:p w:rsidR="000D32CE" w:rsidRPr="00CA4562" w:rsidRDefault="000D32CE" w:rsidP="000D32CE">
      <w:pPr>
        <w:pStyle w:val="31"/>
        <w:spacing w:after="0"/>
        <w:rPr>
          <w:sz w:val="28"/>
          <w:szCs w:val="28"/>
          <w:lang w:val="uk-UA"/>
        </w:rPr>
      </w:pPr>
    </w:p>
    <w:p w:rsidR="000D32CE" w:rsidRPr="00CA4562" w:rsidRDefault="000D32CE" w:rsidP="000D32CE">
      <w:pPr>
        <w:rPr>
          <w:b/>
          <w:sz w:val="28"/>
          <w:szCs w:val="28"/>
          <w:lang w:val="uk-UA"/>
        </w:rPr>
      </w:pPr>
      <w:r w:rsidRPr="00CA4562">
        <w:rPr>
          <w:b/>
          <w:sz w:val="28"/>
          <w:szCs w:val="28"/>
          <w:lang w:val="uk-UA"/>
        </w:rPr>
        <w:t>Міністр                                                                                            Віктор ЛЯШКО</w:t>
      </w:r>
    </w:p>
    <w:p w:rsidR="00F955CB" w:rsidRPr="00CA4562" w:rsidRDefault="00F955CB" w:rsidP="000D32CE">
      <w:pPr>
        <w:rPr>
          <w:b/>
          <w:sz w:val="28"/>
          <w:szCs w:val="28"/>
          <w:lang w:val="uk-UA"/>
        </w:rPr>
        <w:sectPr w:rsidR="00F955CB" w:rsidRPr="00CA4562" w:rsidSect="00274F8B">
          <w:headerReference w:type="even" r:id="rId9"/>
          <w:headerReference w:type="default" r:id="rId10"/>
          <w:footerReference w:type="even" r:id="rId11"/>
          <w:footerReference w:type="default" r:id="rId12"/>
          <w:pgSz w:w="11906" w:h="16838"/>
          <w:pgMar w:top="899" w:right="567" w:bottom="1134" w:left="1701" w:header="709" w:footer="709" w:gutter="0"/>
          <w:cols w:space="708"/>
          <w:titlePg/>
          <w:docGrid w:linePitch="360"/>
        </w:sectPr>
      </w:pPr>
    </w:p>
    <w:p w:rsidR="00F955CB" w:rsidRPr="00CA4562" w:rsidRDefault="00F955CB" w:rsidP="00F955CB"/>
    <w:tbl>
      <w:tblPr>
        <w:tblW w:w="3825" w:type="dxa"/>
        <w:tblInd w:w="11448" w:type="dxa"/>
        <w:tblLayout w:type="fixed"/>
        <w:tblLook w:val="04A0" w:firstRow="1" w:lastRow="0" w:firstColumn="1" w:lastColumn="0" w:noHBand="0" w:noVBand="1"/>
      </w:tblPr>
      <w:tblGrid>
        <w:gridCol w:w="3825"/>
      </w:tblGrid>
      <w:tr w:rsidR="00F955CB" w:rsidRPr="00CA4562" w:rsidTr="004843E9">
        <w:tc>
          <w:tcPr>
            <w:tcW w:w="3825" w:type="dxa"/>
            <w:hideMark/>
          </w:tcPr>
          <w:p w:rsidR="00F955CB" w:rsidRPr="00CA4562" w:rsidRDefault="00F955CB" w:rsidP="00D70033">
            <w:pPr>
              <w:pStyle w:val="4"/>
              <w:tabs>
                <w:tab w:val="left" w:pos="12600"/>
              </w:tabs>
              <w:spacing w:before="0" w:after="0"/>
              <w:rPr>
                <w:rFonts w:cs="Arial"/>
                <w:sz w:val="18"/>
                <w:szCs w:val="18"/>
              </w:rPr>
            </w:pPr>
            <w:r w:rsidRPr="00CA4562">
              <w:rPr>
                <w:rFonts w:cs="Arial"/>
                <w:sz w:val="18"/>
                <w:szCs w:val="18"/>
              </w:rPr>
              <w:t>Додаток 1</w:t>
            </w:r>
          </w:p>
          <w:p w:rsidR="00F955CB" w:rsidRPr="00CA4562" w:rsidRDefault="00F955CB" w:rsidP="00D70033">
            <w:pPr>
              <w:pStyle w:val="4"/>
              <w:tabs>
                <w:tab w:val="left" w:pos="12600"/>
              </w:tabs>
              <w:spacing w:before="0" w:after="0"/>
              <w:rPr>
                <w:rFonts w:cs="Arial"/>
                <w:sz w:val="18"/>
                <w:szCs w:val="18"/>
              </w:rPr>
            </w:pPr>
            <w:r w:rsidRPr="00CA4562">
              <w:rPr>
                <w:rFonts w:cs="Arial"/>
                <w:sz w:val="18"/>
                <w:szCs w:val="18"/>
              </w:rPr>
              <w:t>до наказу Міністерства охорони</w:t>
            </w:r>
          </w:p>
          <w:p w:rsidR="00F955CB" w:rsidRPr="00CA4562" w:rsidRDefault="00F955CB" w:rsidP="00D70033">
            <w:pPr>
              <w:pStyle w:val="4"/>
              <w:tabs>
                <w:tab w:val="left" w:pos="12600"/>
              </w:tabs>
              <w:spacing w:before="0" w:after="0"/>
              <w:rPr>
                <w:rFonts w:cs="Arial"/>
                <w:sz w:val="18"/>
                <w:szCs w:val="18"/>
              </w:rPr>
            </w:pPr>
            <w:r w:rsidRPr="00CA4562">
              <w:rPr>
                <w:rFonts w:cs="Arial"/>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F955CB" w:rsidRPr="00CA4562" w:rsidRDefault="00F955CB" w:rsidP="00D70033">
            <w:pPr>
              <w:pStyle w:val="4"/>
              <w:tabs>
                <w:tab w:val="left" w:pos="12600"/>
              </w:tabs>
              <w:spacing w:before="0" w:after="0"/>
              <w:rPr>
                <w:rFonts w:cs="Arial"/>
                <w:sz w:val="18"/>
                <w:szCs w:val="18"/>
              </w:rPr>
            </w:pPr>
            <w:r w:rsidRPr="00CA4562">
              <w:rPr>
                <w:rFonts w:cs="Arial"/>
                <w:bCs w:val="0"/>
                <w:iCs/>
                <w:sz w:val="18"/>
                <w:szCs w:val="18"/>
                <w:u w:val="single"/>
              </w:rPr>
              <w:t xml:space="preserve">від 28 травня 2022 року № 895   </w:t>
            </w:r>
          </w:p>
        </w:tc>
      </w:tr>
    </w:tbl>
    <w:p w:rsidR="00F955CB" w:rsidRPr="00CA4562" w:rsidRDefault="00F955CB" w:rsidP="00F955CB">
      <w:pPr>
        <w:pStyle w:val="2"/>
        <w:tabs>
          <w:tab w:val="left" w:pos="12600"/>
        </w:tabs>
        <w:jc w:val="center"/>
        <w:rPr>
          <w:sz w:val="24"/>
          <w:szCs w:val="24"/>
        </w:rPr>
      </w:pPr>
    </w:p>
    <w:p w:rsidR="00F955CB" w:rsidRPr="00CA4562" w:rsidRDefault="00F955CB" w:rsidP="00F955CB">
      <w:pPr>
        <w:keepNext/>
        <w:tabs>
          <w:tab w:val="left" w:pos="12600"/>
        </w:tabs>
        <w:jc w:val="center"/>
        <w:outlineLvl w:val="1"/>
        <w:rPr>
          <w:rFonts w:ascii="Arial" w:hAnsi="Arial" w:cs="Arial"/>
          <w:b/>
          <w:sz w:val="26"/>
          <w:szCs w:val="26"/>
        </w:rPr>
      </w:pPr>
      <w:r w:rsidRPr="00CA4562">
        <w:rPr>
          <w:rFonts w:ascii="Arial" w:hAnsi="Arial" w:cs="Arial"/>
          <w:b/>
          <w:caps/>
          <w:sz w:val="26"/>
          <w:szCs w:val="26"/>
        </w:rPr>
        <w:t>ПЕРЕЛІК</w:t>
      </w:r>
    </w:p>
    <w:p w:rsidR="00F955CB" w:rsidRPr="00CA4562" w:rsidRDefault="00F955CB" w:rsidP="00F955CB">
      <w:pPr>
        <w:tabs>
          <w:tab w:val="left" w:pos="12600"/>
        </w:tabs>
        <w:jc w:val="center"/>
        <w:rPr>
          <w:rFonts w:ascii="Arial" w:hAnsi="Arial"/>
          <w:b/>
          <w:caps/>
          <w:sz w:val="26"/>
          <w:szCs w:val="26"/>
        </w:rPr>
      </w:pPr>
      <w:r w:rsidRPr="00CA4562">
        <w:rPr>
          <w:rFonts w:ascii="Arial" w:hAnsi="Arial"/>
          <w:b/>
          <w:caps/>
          <w:sz w:val="26"/>
          <w:szCs w:val="26"/>
        </w:rPr>
        <w:t>ЗАРЕЄСТРОВАНИХ ЛІКАРСЬКИХ ЗАСОБІВ (МЕДИЧНИХ ІМУНОБІОЛОГІЧНИХ ПРЕПАРАТІВ), ЯКІ ВНОСЯТЬСЯ ДО ДЕРЖАВНОГО РЕЄСТРУ ЛІКАРСЬКИХ ЗАСОБІВ УКРАЇНИ</w:t>
      </w:r>
    </w:p>
    <w:p w:rsidR="00F955CB" w:rsidRPr="00CA4562" w:rsidRDefault="00F955CB" w:rsidP="00F955CB">
      <w:pPr>
        <w:tabs>
          <w:tab w:val="left" w:pos="12600"/>
        </w:tabs>
        <w:jc w:val="center"/>
        <w:rPr>
          <w:rFonts w:ascii="Arial" w:hAnsi="Arial" w:cs="Arial"/>
          <w:b/>
          <w:sz w:val="28"/>
          <w:szCs w:val="28"/>
        </w:rPr>
      </w:pPr>
    </w:p>
    <w:tbl>
      <w:tblPr>
        <w:tblW w:w="15593" w:type="dxa"/>
        <w:tblInd w:w="-17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417"/>
        <w:gridCol w:w="2127"/>
        <w:gridCol w:w="1276"/>
        <w:gridCol w:w="992"/>
        <w:gridCol w:w="1701"/>
        <w:gridCol w:w="992"/>
        <w:gridCol w:w="2551"/>
        <w:gridCol w:w="1134"/>
        <w:gridCol w:w="993"/>
        <w:gridCol w:w="1842"/>
      </w:tblGrid>
      <w:tr w:rsidR="00F955CB" w:rsidRPr="00CA4562" w:rsidTr="0093788C">
        <w:trPr>
          <w:tblHeader/>
        </w:trPr>
        <w:tc>
          <w:tcPr>
            <w:tcW w:w="568" w:type="dxa"/>
            <w:tcBorders>
              <w:top w:val="single" w:sz="4" w:space="0" w:color="000000"/>
            </w:tcBorders>
            <w:shd w:val="clear" w:color="auto" w:fill="D9D9D9"/>
            <w:hideMark/>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 п/п</w:t>
            </w:r>
          </w:p>
        </w:tc>
        <w:tc>
          <w:tcPr>
            <w:tcW w:w="1417"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Назва лікарського засобу</w:t>
            </w:r>
          </w:p>
        </w:tc>
        <w:tc>
          <w:tcPr>
            <w:tcW w:w="2127"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Форма випуску (лікарська форма, упаковка)</w:t>
            </w:r>
          </w:p>
        </w:tc>
        <w:tc>
          <w:tcPr>
            <w:tcW w:w="1276"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Заявник</w:t>
            </w:r>
          </w:p>
        </w:tc>
        <w:tc>
          <w:tcPr>
            <w:tcW w:w="992"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Країна заявника</w:t>
            </w:r>
          </w:p>
        </w:tc>
        <w:tc>
          <w:tcPr>
            <w:tcW w:w="1701"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Виробник</w:t>
            </w:r>
          </w:p>
        </w:tc>
        <w:tc>
          <w:tcPr>
            <w:tcW w:w="992" w:type="dxa"/>
            <w:tcBorders>
              <w:top w:val="single" w:sz="4" w:space="0" w:color="000000"/>
            </w:tcBorders>
            <w:shd w:val="clear" w:color="auto" w:fill="D9D9D9"/>
          </w:tcPr>
          <w:p w:rsidR="00F955CB" w:rsidRPr="00CA4562" w:rsidRDefault="00F955CB" w:rsidP="004843E9">
            <w:pPr>
              <w:tabs>
                <w:tab w:val="left" w:pos="12600"/>
              </w:tabs>
              <w:ind w:left="-111"/>
              <w:jc w:val="center"/>
              <w:rPr>
                <w:rFonts w:ascii="Arial" w:hAnsi="Arial" w:cs="Arial"/>
                <w:b/>
                <w:i/>
                <w:sz w:val="16"/>
                <w:szCs w:val="16"/>
              </w:rPr>
            </w:pPr>
            <w:r w:rsidRPr="00CA4562">
              <w:rPr>
                <w:rFonts w:ascii="Arial" w:hAnsi="Arial" w:cs="Arial"/>
                <w:b/>
                <w:i/>
                <w:sz w:val="16"/>
                <w:szCs w:val="16"/>
              </w:rPr>
              <w:t>Країна виробника</w:t>
            </w:r>
          </w:p>
        </w:tc>
        <w:tc>
          <w:tcPr>
            <w:tcW w:w="2551"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Умови відпуску</w:t>
            </w:r>
          </w:p>
        </w:tc>
        <w:tc>
          <w:tcPr>
            <w:tcW w:w="993"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Рекламування</w:t>
            </w:r>
          </w:p>
        </w:tc>
        <w:tc>
          <w:tcPr>
            <w:tcW w:w="1842" w:type="dxa"/>
            <w:tcBorders>
              <w:top w:val="single" w:sz="4" w:space="0" w:color="000000"/>
            </w:tcBorders>
            <w:shd w:val="clear" w:color="auto" w:fill="D9D9D9"/>
          </w:tcPr>
          <w:p w:rsidR="00F955CB" w:rsidRPr="00CA4562" w:rsidRDefault="00F955CB" w:rsidP="004843E9">
            <w:pPr>
              <w:tabs>
                <w:tab w:val="left" w:pos="12600"/>
              </w:tabs>
              <w:jc w:val="center"/>
              <w:rPr>
                <w:rFonts w:ascii="Arial" w:hAnsi="Arial" w:cs="Arial"/>
                <w:b/>
                <w:i/>
                <w:sz w:val="16"/>
                <w:szCs w:val="16"/>
              </w:rPr>
            </w:pPr>
            <w:r w:rsidRPr="00CA4562">
              <w:rPr>
                <w:rFonts w:ascii="Arial" w:hAnsi="Arial" w:cs="Arial"/>
                <w:b/>
                <w:i/>
                <w:sz w:val="16"/>
                <w:szCs w:val="16"/>
              </w:rPr>
              <w:t>Номер реєстраційного посвідчення</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6-МЕТИЛУРАЦИЛ</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порошок (субстанція) у подвійних пакетах з плівки поліетиленової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АТ "Лубнифарм"</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Шицзячжуан Джинчі Кемікал Індастрі Ко., Лтд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Китай</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UA/19433/01/01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L-ЯБЛУЧНА КИСЛОТА</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кристалічний порошок (субстанція) у подвійних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ТОВ "АРТЕРІУМ ЛТД"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Аміно ГмбХ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Німеччина</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UA/19434/01/01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ВІЛДАГЛІПТИН</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 xml:space="preserve">порошок кристалічний (субстанція) у подвійних </w:t>
            </w:r>
            <w:r w:rsidRPr="00CA4562">
              <w:rPr>
                <w:rFonts w:ascii="Arial" w:hAnsi="Arial" w:cs="Arial"/>
                <w:sz w:val="16"/>
                <w:szCs w:val="16"/>
              </w:rPr>
              <w:t>Індія</w:t>
            </w:r>
            <w:r w:rsidRPr="00CA4562">
              <w:rPr>
                <w:rFonts w:ascii="Arial" w:hAnsi="Arial" w:cs="Arial"/>
                <w:sz w:val="16"/>
                <w:szCs w:val="16"/>
                <w:lang w:val="ru-RU"/>
              </w:rPr>
              <w:t xml:space="preserve">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rPr>
              <w:t>М.БІОТЕК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ОПТРІКС ЛАБОРАТОРІЗ ПРАЙВІТ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Індія</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UA/19435/01/01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ВІРОСТАТ®</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вкриті плівковою оболонкою, по 500 мг по 7 таблеток у блістері, по 3 блістери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АТ "КИЇВСЬКИЙ ВІТАМІННИЙ ЗАВОД"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АТ "КИЇВСЬКИЙ ВІТАМІННИЙ ЗАВОД"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lang w:val="ru-RU"/>
              </w:rPr>
              <w:t>Україна</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UA/19436/01/02</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ВІРОСТАТ®</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вкриті плівковою оболонкою, по 250 мг по 7 таблеток у блістері, по 3 блістери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АТ "КИЇВСЬКИЙ ВІТАМІННИЙ ЗАВОД"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АТ "КИЇВСЬКИЙ ВІТАМІННИЙ ЗАВОД"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lang w:val="ru-RU"/>
              </w:rPr>
              <w:t>Україна</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UA/19436/01/01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ЕВІНОПОН-ВФ</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розчин для ін'єкцій 25 мг/мл, по 3 мл в ампулі, по 5 ампул у блістері, по 1 блістеру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Приватне акціонерне товариство "Лекхім-Харків"</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Приватне акціонерне товариство "Лекхім-Харків"</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lang w:val="ru-RU"/>
              </w:rPr>
            </w:pPr>
            <w:r w:rsidRPr="00CA4562">
              <w:rPr>
                <w:rFonts w:ascii="Arial" w:hAnsi="Arial" w:cs="Arial"/>
                <w:sz w:val="16"/>
                <w:szCs w:val="16"/>
                <w:lang w:val="ru-RU"/>
              </w:rPr>
              <w:t>Україна</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реєстрація на 5 років</w:t>
            </w:r>
            <w:r w:rsidRPr="00CA4562">
              <w:rPr>
                <w:rFonts w:ascii="Arial" w:hAnsi="Arial" w:cs="Arial"/>
                <w:sz w:val="16"/>
                <w:szCs w:val="16"/>
                <w:lang w:val="ru-RU"/>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UA/19439/01/01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КАРБОЦИСТЕЇН</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rPr>
            </w:pPr>
            <w:r w:rsidRPr="00CA4562">
              <w:rPr>
                <w:rFonts w:ascii="Arial" w:hAnsi="Arial" w:cs="Arial"/>
                <w:sz w:val="16"/>
                <w:szCs w:val="16"/>
              </w:rPr>
              <w:t>порошок (субстанція) в пакетах подвійних поліетиленових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ВУХАН ГРАНД ХОЙО КО.,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Китай</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UA/19440/01/01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НАЛБУФІН</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розчин для ін'єкцій, 10 мг/мл по 1 мл або по 2 мл в ампулі, по 5 ампул у блістері, по 1 або 2 блістери в пачці, або по 100 ампул в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Приватне акціонерне товариство "Лекхім-Харків"</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Приватне акціонерне товариство "Лекхім-Харків"</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lang w:val="ru-RU"/>
              </w:rPr>
            </w:pPr>
            <w:r w:rsidRPr="00CA4562">
              <w:rPr>
                <w:rFonts w:ascii="Arial" w:hAnsi="Arial" w:cs="Arial"/>
                <w:sz w:val="16"/>
                <w:szCs w:val="16"/>
                <w:lang w:val="ru-RU"/>
              </w:rPr>
              <w:t>Україна</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реєстрація на 5 років</w:t>
            </w:r>
            <w:r w:rsidRPr="00CA4562">
              <w:rPr>
                <w:rFonts w:ascii="Arial" w:hAnsi="Arial" w:cs="Arial"/>
                <w:sz w:val="16"/>
                <w:szCs w:val="16"/>
                <w:lang w:val="ru-RU"/>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UA/19442/01/01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ПУЛЬМОКЕМ</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ліофілізат для розчину для інфузій по 500 мг; по 1 скляному флакону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Емкур Фармасьютікалс Лтд.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Eмкур Фармасьютікалс Лтд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Індія</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UA/19443/01/01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РЕОДАР®</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розчин для інфузій по 200 мл у флаконі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ПрАТ "Фармацевтична фірма "Дарниця"</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ПрАТ "Фармацевтична фірма "Дарниця"</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Україна</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UA/19444/01/01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РИСПЕРИДОН</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ТОВ "ГЛЕДФАРМ ЛТД"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РПГ Лайф Сайєнс Лімітед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Індія</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UA/19445/01/01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РОЗУМІН</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вкриті плівковою оболонкою, по 20 мг, по 14 таблеток у блістері, по 2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Індія</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UA/19446/01/02</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РОЗУМІН</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вкриті плівковою оболонкою, по 10 мг, по 14 таблеток у блістері, по 2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Індія</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UA/19446/01/01</w:t>
            </w:r>
          </w:p>
        </w:tc>
      </w:tr>
      <w:tr w:rsidR="00F955CB" w:rsidRPr="00CA4562" w:rsidTr="0093788C">
        <w:tc>
          <w:tcPr>
            <w:tcW w:w="568" w:type="dxa"/>
            <w:tcBorders>
              <w:top w:val="single" w:sz="4" w:space="0" w:color="auto"/>
              <w:left w:val="single" w:sz="4" w:space="0" w:color="000000"/>
              <w:bottom w:val="single" w:sz="4" w:space="0" w:color="auto"/>
              <w:right w:val="single" w:sz="4" w:space="0" w:color="000000"/>
            </w:tcBorders>
            <w:shd w:val="clear" w:color="auto" w:fill="auto"/>
          </w:tcPr>
          <w:p w:rsidR="00F955CB" w:rsidRPr="00CA4562" w:rsidRDefault="00F955CB" w:rsidP="00F955CB">
            <w:pPr>
              <w:numPr>
                <w:ilvl w:val="0"/>
                <w:numId w:val="3"/>
              </w:numPr>
              <w:tabs>
                <w:tab w:val="left" w:pos="12600"/>
              </w:tabs>
              <w:jc w:val="center"/>
              <w:rPr>
                <w:rFonts w:ascii="Arial" w:hAnsi="Arial" w:cs="Arial"/>
                <w:b/>
                <w:sz w:val="16"/>
                <w:szCs w:val="16"/>
              </w:rPr>
            </w:pPr>
          </w:p>
        </w:tc>
        <w:tc>
          <w:tcPr>
            <w:tcW w:w="1417" w:type="dxa"/>
            <w:tcBorders>
              <w:top w:val="single" w:sz="4" w:space="0" w:color="auto"/>
              <w:left w:val="single" w:sz="4" w:space="0" w:color="000000"/>
              <w:bottom w:val="single" w:sz="4" w:space="0" w:color="auto"/>
              <w:right w:val="single" w:sz="4" w:space="0" w:color="auto"/>
            </w:tcBorders>
            <w:shd w:val="clear" w:color="auto" w:fill="FFFFFF"/>
          </w:tcPr>
          <w:p w:rsidR="00F955CB" w:rsidRPr="00CA4562" w:rsidRDefault="00F955CB" w:rsidP="004843E9">
            <w:pPr>
              <w:pStyle w:val="11"/>
              <w:tabs>
                <w:tab w:val="left" w:pos="12600"/>
              </w:tabs>
              <w:rPr>
                <w:rFonts w:ascii="Arial" w:hAnsi="Arial" w:cs="Arial"/>
                <w:b/>
                <w:i/>
                <w:sz w:val="16"/>
                <w:szCs w:val="16"/>
              </w:rPr>
            </w:pPr>
            <w:r w:rsidRPr="00CA4562">
              <w:rPr>
                <w:rFonts w:ascii="Arial" w:hAnsi="Arial" w:cs="Arial"/>
                <w:b/>
                <w:sz w:val="16"/>
                <w:szCs w:val="16"/>
              </w:rPr>
              <w:t>РОСЕМІД®</w:t>
            </w:r>
          </w:p>
        </w:tc>
        <w:tc>
          <w:tcPr>
            <w:tcW w:w="2127"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rPr>
                <w:rFonts w:ascii="Arial" w:hAnsi="Arial" w:cs="Arial"/>
                <w:sz w:val="16"/>
                <w:szCs w:val="16"/>
              </w:rPr>
            </w:pPr>
            <w:r w:rsidRPr="00CA4562">
              <w:rPr>
                <w:rFonts w:ascii="Arial" w:hAnsi="Arial" w:cs="Arial"/>
                <w:sz w:val="16"/>
                <w:szCs w:val="16"/>
              </w:rPr>
              <w:t>розчин оральний, 1 мг/мл; по 30 мл або по 100 мл у скляному флаконі з кришкою з контролем першого відкриття; по 30 мл або по 100 мл у скляному флаконі з кришкою недоступною для відкриття дітьми; кожен флакон у картонній упаковці разом з шприцем-дозатором об'ємом 3 мл та адаптером для шприца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ТОВ "ГЛЕДФАРМ ЛТД"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lang w:val="ru-RU"/>
              </w:rPr>
              <w:t>ТОВ "КУСУМ ФАРМ"</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ind w:left="-111"/>
              <w:jc w:val="center"/>
              <w:rPr>
                <w:rFonts w:ascii="Arial" w:hAnsi="Arial" w:cs="Arial"/>
                <w:sz w:val="16"/>
                <w:szCs w:val="16"/>
              </w:rPr>
            </w:pPr>
            <w:r w:rsidRPr="00CA4562">
              <w:rPr>
                <w:rFonts w:ascii="Arial" w:hAnsi="Arial" w:cs="Arial"/>
                <w:sz w:val="16"/>
                <w:szCs w:val="16"/>
              </w:rPr>
              <w:t>Україна</w:t>
            </w:r>
          </w:p>
        </w:tc>
        <w:tc>
          <w:tcPr>
            <w:tcW w:w="2551"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sz w:val="16"/>
                <w:szCs w:val="16"/>
              </w:rPr>
            </w:pPr>
            <w:r w:rsidRPr="00CA4562">
              <w:rPr>
                <w:rFonts w:ascii="Arial" w:hAnsi="Arial" w:cs="Arial"/>
                <w:sz w:val="16"/>
                <w:szCs w:val="16"/>
              </w:rPr>
              <w:t>реєстрація на 5 років</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F955CB" w:rsidRPr="00CA4562" w:rsidRDefault="00F955CB" w:rsidP="004843E9">
            <w:pPr>
              <w:pStyle w:val="11"/>
              <w:tabs>
                <w:tab w:val="left" w:pos="12600"/>
              </w:tabs>
              <w:jc w:val="center"/>
              <w:rPr>
                <w:rFonts w:ascii="Arial" w:hAnsi="Arial" w:cs="Arial"/>
                <w:bCs/>
                <w:sz w:val="16"/>
                <w:szCs w:val="16"/>
              </w:rPr>
            </w:pPr>
            <w:r w:rsidRPr="00CA4562">
              <w:rPr>
                <w:rFonts w:ascii="Arial" w:hAnsi="Arial" w:cs="Arial"/>
                <w:bCs/>
                <w:sz w:val="16"/>
                <w:szCs w:val="16"/>
              </w:rPr>
              <w:t>UA/19447/01/01</w:t>
            </w:r>
          </w:p>
        </w:tc>
      </w:tr>
    </w:tbl>
    <w:p w:rsidR="00F955CB" w:rsidRPr="00CA4562" w:rsidRDefault="00F955CB" w:rsidP="00F955CB"/>
    <w:p w:rsidR="00F955CB" w:rsidRPr="00CA4562" w:rsidRDefault="00F955CB" w:rsidP="00F955CB"/>
    <w:p w:rsidR="00D70033" w:rsidRPr="00CA4562" w:rsidRDefault="00D70033" w:rsidP="00F955CB"/>
    <w:tbl>
      <w:tblPr>
        <w:tblW w:w="15465" w:type="dxa"/>
        <w:tblLayout w:type="fixed"/>
        <w:tblLook w:val="04A0" w:firstRow="1" w:lastRow="0" w:firstColumn="1" w:lastColumn="0" w:noHBand="0" w:noVBand="1"/>
      </w:tblPr>
      <w:tblGrid>
        <w:gridCol w:w="7732"/>
        <w:gridCol w:w="7733"/>
      </w:tblGrid>
      <w:tr w:rsidR="00F955CB" w:rsidRPr="00CA4562" w:rsidTr="004843E9">
        <w:trPr>
          <w:trHeight w:val="812"/>
        </w:trPr>
        <w:tc>
          <w:tcPr>
            <w:tcW w:w="7732" w:type="dxa"/>
            <w:shd w:val="clear" w:color="auto" w:fill="auto"/>
          </w:tcPr>
          <w:p w:rsidR="00F955CB" w:rsidRPr="00CA4562" w:rsidRDefault="00F955CB" w:rsidP="004843E9">
            <w:pPr>
              <w:ind w:right="20"/>
              <w:rPr>
                <w:rStyle w:val="cs95e872d01"/>
                <w:sz w:val="28"/>
                <w:szCs w:val="28"/>
              </w:rPr>
            </w:pPr>
            <w:r w:rsidRPr="00CA4562">
              <w:rPr>
                <w:rStyle w:val="cs7864ebcf1"/>
                <w:color w:val="auto"/>
                <w:sz w:val="28"/>
                <w:szCs w:val="28"/>
              </w:rPr>
              <w:t xml:space="preserve">В.о. Генерального директора Директорату </w:t>
            </w:r>
          </w:p>
          <w:p w:rsidR="00F955CB" w:rsidRPr="00CA4562" w:rsidRDefault="00F955CB" w:rsidP="004843E9">
            <w:pPr>
              <w:ind w:right="20"/>
              <w:rPr>
                <w:rStyle w:val="cs7864ebcf1"/>
                <w:color w:val="auto"/>
                <w:sz w:val="28"/>
                <w:szCs w:val="28"/>
              </w:rPr>
            </w:pPr>
            <w:r w:rsidRPr="00CA4562">
              <w:rPr>
                <w:rStyle w:val="cs7864ebcf1"/>
                <w:color w:val="auto"/>
                <w:sz w:val="28"/>
                <w:szCs w:val="28"/>
              </w:rPr>
              <w:t>фармацевтичного забезпечення</w:t>
            </w:r>
            <w:r w:rsidRPr="00CA4562">
              <w:rPr>
                <w:rStyle w:val="cs188c92b51"/>
                <w:color w:val="auto"/>
                <w:sz w:val="28"/>
                <w:szCs w:val="28"/>
              </w:rPr>
              <w:t>                                    </w:t>
            </w:r>
          </w:p>
        </w:tc>
        <w:tc>
          <w:tcPr>
            <w:tcW w:w="7733" w:type="dxa"/>
            <w:shd w:val="clear" w:color="auto" w:fill="auto"/>
          </w:tcPr>
          <w:p w:rsidR="00F955CB" w:rsidRPr="00CA4562" w:rsidRDefault="00F955CB" w:rsidP="004843E9">
            <w:pPr>
              <w:pStyle w:val="cs95e872d0"/>
              <w:rPr>
                <w:rStyle w:val="cs7864ebcf1"/>
                <w:color w:val="auto"/>
                <w:sz w:val="28"/>
                <w:szCs w:val="28"/>
              </w:rPr>
            </w:pPr>
          </w:p>
          <w:p w:rsidR="00F955CB" w:rsidRPr="00CA4562" w:rsidRDefault="00F955CB" w:rsidP="004843E9">
            <w:pPr>
              <w:pStyle w:val="cs95e872d0"/>
              <w:jc w:val="right"/>
              <w:rPr>
                <w:rStyle w:val="cs7864ebcf1"/>
                <w:color w:val="auto"/>
                <w:sz w:val="28"/>
                <w:szCs w:val="28"/>
                <w:lang w:val="uk-UA"/>
              </w:rPr>
            </w:pPr>
            <w:r w:rsidRPr="00CA4562">
              <w:rPr>
                <w:rStyle w:val="cs7864ebcf1"/>
                <w:color w:val="auto"/>
                <w:sz w:val="28"/>
                <w:szCs w:val="28"/>
                <w:lang w:val="uk-UA"/>
              </w:rPr>
              <w:t>Іван ЗАДВОРНИХ</w:t>
            </w:r>
          </w:p>
        </w:tc>
      </w:tr>
    </w:tbl>
    <w:p w:rsidR="00F955CB" w:rsidRPr="00CA4562" w:rsidRDefault="00F955CB" w:rsidP="000D32CE">
      <w:pPr>
        <w:rPr>
          <w:b/>
          <w:sz w:val="28"/>
          <w:szCs w:val="28"/>
          <w:lang w:val="uk-UA"/>
        </w:rPr>
        <w:sectPr w:rsidR="00F955CB" w:rsidRPr="00CA4562" w:rsidSect="0093788C">
          <w:headerReference w:type="default" r:id="rId13"/>
          <w:pgSz w:w="16838" w:h="11906" w:orient="landscape"/>
          <w:pgMar w:top="851" w:right="1134" w:bottom="907" w:left="1077" w:header="709" w:footer="709"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D35A47" w:rsidRPr="00CA4562" w:rsidTr="004843E9">
        <w:tc>
          <w:tcPr>
            <w:tcW w:w="3828" w:type="dxa"/>
          </w:tcPr>
          <w:p w:rsidR="00D35A47" w:rsidRPr="00CA4562" w:rsidRDefault="00D35A47" w:rsidP="005A5A14">
            <w:pPr>
              <w:pStyle w:val="4"/>
              <w:tabs>
                <w:tab w:val="left" w:pos="12600"/>
              </w:tabs>
              <w:spacing w:before="0" w:after="0"/>
              <w:rPr>
                <w:rFonts w:cs="Arial"/>
                <w:bCs w:val="0"/>
                <w:iCs/>
                <w:sz w:val="18"/>
                <w:szCs w:val="18"/>
              </w:rPr>
            </w:pPr>
            <w:r w:rsidRPr="00CA4562">
              <w:rPr>
                <w:rFonts w:cs="Arial"/>
                <w:bCs w:val="0"/>
                <w:iCs/>
                <w:sz w:val="18"/>
                <w:szCs w:val="18"/>
              </w:rPr>
              <w:t>Додаток 2</w:t>
            </w:r>
          </w:p>
          <w:p w:rsidR="00D35A47" w:rsidRPr="00CA4562" w:rsidRDefault="00D35A47" w:rsidP="005A5A14">
            <w:pPr>
              <w:pStyle w:val="4"/>
              <w:tabs>
                <w:tab w:val="left" w:pos="12600"/>
              </w:tabs>
              <w:spacing w:before="0" w:after="0"/>
              <w:rPr>
                <w:rFonts w:cs="Arial"/>
                <w:bCs w:val="0"/>
                <w:iCs/>
                <w:sz w:val="18"/>
                <w:szCs w:val="18"/>
              </w:rPr>
            </w:pPr>
            <w:r w:rsidRPr="00CA4562">
              <w:rPr>
                <w:rFonts w:cs="Arial"/>
                <w:bCs w:val="0"/>
                <w:iCs/>
                <w:sz w:val="18"/>
                <w:szCs w:val="18"/>
              </w:rPr>
              <w:t>до наказу Міністерства охорони</w:t>
            </w:r>
          </w:p>
          <w:p w:rsidR="00D35A47" w:rsidRPr="00CA4562" w:rsidRDefault="00D35A47" w:rsidP="005A5A14">
            <w:pPr>
              <w:pStyle w:val="4"/>
              <w:tabs>
                <w:tab w:val="left" w:pos="12600"/>
              </w:tabs>
              <w:spacing w:before="0" w:after="0"/>
              <w:rPr>
                <w:rFonts w:cs="Arial"/>
                <w:bCs w:val="0"/>
                <w:iCs/>
                <w:sz w:val="18"/>
                <w:szCs w:val="18"/>
              </w:rPr>
            </w:pPr>
            <w:r w:rsidRPr="00CA4562">
              <w:rPr>
                <w:rFonts w:cs="Arial"/>
                <w:bCs w:val="0"/>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D35A47" w:rsidRPr="00CA4562" w:rsidRDefault="00D35A47" w:rsidP="005A5A14">
            <w:pPr>
              <w:tabs>
                <w:tab w:val="left" w:pos="12600"/>
              </w:tabs>
              <w:rPr>
                <w:rFonts w:ascii="Arial" w:hAnsi="Arial" w:cs="Arial"/>
                <w:b/>
                <w:sz w:val="18"/>
                <w:szCs w:val="18"/>
              </w:rPr>
            </w:pPr>
            <w:r w:rsidRPr="00CA4562">
              <w:rPr>
                <w:rFonts w:ascii="Arial" w:hAnsi="Arial" w:cs="Arial"/>
                <w:b/>
                <w:iCs/>
                <w:sz w:val="18"/>
                <w:szCs w:val="18"/>
                <w:u w:val="single"/>
              </w:rPr>
              <w:t xml:space="preserve">від 28 травня 2022 року № 895   </w:t>
            </w:r>
          </w:p>
        </w:tc>
      </w:tr>
    </w:tbl>
    <w:p w:rsidR="00D35A47" w:rsidRPr="00CA4562" w:rsidRDefault="00D35A47" w:rsidP="00D35A47">
      <w:pPr>
        <w:tabs>
          <w:tab w:val="left" w:pos="12600"/>
        </w:tabs>
        <w:jc w:val="center"/>
        <w:rPr>
          <w:rFonts w:ascii="Arial" w:hAnsi="Arial" w:cs="Arial"/>
          <w:sz w:val="18"/>
          <w:szCs w:val="18"/>
          <w:u w:val="single"/>
        </w:rPr>
      </w:pPr>
    </w:p>
    <w:p w:rsidR="00D35A47" w:rsidRPr="00CA4562" w:rsidRDefault="00D35A47" w:rsidP="00D35A47">
      <w:pPr>
        <w:tabs>
          <w:tab w:val="left" w:pos="12600"/>
        </w:tabs>
        <w:jc w:val="center"/>
        <w:rPr>
          <w:rFonts w:ascii="Arial" w:hAnsi="Arial" w:cs="Arial"/>
          <w:sz w:val="18"/>
          <w:szCs w:val="18"/>
        </w:rPr>
      </w:pPr>
    </w:p>
    <w:p w:rsidR="00D35A47" w:rsidRPr="00CA4562" w:rsidRDefault="00D35A47" w:rsidP="00D35A47">
      <w:pPr>
        <w:keepNext/>
        <w:tabs>
          <w:tab w:val="left" w:pos="12600"/>
        </w:tabs>
        <w:jc w:val="center"/>
        <w:outlineLvl w:val="1"/>
        <w:rPr>
          <w:rFonts w:ascii="Arial" w:hAnsi="Arial" w:cs="Arial"/>
          <w:b/>
          <w:caps/>
          <w:sz w:val="28"/>
          <w:szCs w:val="28"/>
        </w:rPr>
      </w:pPr>
      <w:r w:rsidRPr="00CA4562">
        <w:rPr>
          <w:rFonts w:ascii="Arial" w:hAnsi="Arial" w:cs="Arial"/>
          <w:b/>
          <w:caps/>
          <w:sz w:val="28"/>
          <w:szCs w:val="28"/>
        </w:rPr>
        <w:t>ПЕРЕЛІК</w:t>
      </w:r>
    </w:p>
    <w:p w:rsidR="00D35A47" w:rsidRPr="00CA4562" w:rsidRDefault="00D35A47" w:rsidP="00D35A47">
      <w:pPr>
        <w:tabs>
          <w:tab w:val="left" w:pos="12600"/>
        </w:tabs>
        <w:jc w:val="center"/>
        <w:rPr>
          <w:rFonts w:ascii="Arial" w:hAnsi="Arial" w:cs="Arial"/>
          <w:b/>
          <w:caps/>
          <w:sz w:val="28"/>
          <w:szCs w:val="28"/>
        </w:rPr>
      </w:pPr>
      <w:r w:rsidRPr="00CA4562">
        <w:rPr>
          <w:rFonts w:ascii="Arial" w:hAnsi="Arial"/>
          <w:b/>
          <w:caps/>
          <w:sz w:val="26"/>
          <w:szCs w:val="26"/>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D35A47" w:rsidRPr="00CA4562" w:rsidRDefault="00D35A47" w:rsidP="00D35A47">
      <w:pPr>
        <w:tabs>
          <w:tab w:val="left" w:pos="12600"/>
        </w:tabs>
        <w:jc w:val="center"/>
        <w:rPr>
          <w:rFonts w:ascii="Arial" w:hAnsi="Arial" w:cs="Arial"/>
          <w:b/>
          <w:sz w:val="28"/>
          <w:szCs w:val="28"/>
        </w:rPr>
      </w:pPr>
    </w:p>
    <w:tbl>
      <w:tblPr>
        <w:tblW w:w="16017"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2126"/>
        <w:gridCol w:w="1134"/>
        <w:gridCol w:w="1134"/>
        <w:gridCol w:w="1559"/>
        <w:gridCol w:w="1135"/>
        <w:gridCol w:w="3685"/>
        <w:gridCol w:w="991"/>
        <w:gridCol w:w="851"/>
        <w:gridCol w:w="1559"/>
      </w:tblGrid>
      <w:tr w:rsidR="00D35A47" w:rsidRPr="00CA4562" w:rsidTr="005A5A14">
        <w:trPr>
          <w:tblHeader/>
        </w:trPr>
        <w:tc>
          <w:tcPr>
            <w:tcW w:w="567" w:type="dxa"/>
            <w:tcBorders>
              <w:top w:val="single" w:sz="4" w:space="0" w:color="000000"/>
            </w:tcBorders>
            <w:shd w:val="clear" w:color="auto" w:fill="D9D9D9"/>
            <w:hideMark/>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 п/п</w:t>
            </w:r>
          </w:p>
        </w:tc>
        <w:tc>
          <w:tcPr>
            <w:tcW w:w="1276"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Назва лікарського засобу</w:t>
            </w:r>
          </w:p>
        </w:tc>
        <w:tc>
          <w:tcPr>
            <w:tcW w:w="2126"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Заявник</w:t>
            </w:r>
          </w:p>
        </w:tc>
        <w:tc>
          <w:tcPr>
            <w:tcW w:w="1134"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Країна заявника</w:t>
            </w:r>
          </w:p>
        </w:tc>
        <w:tc>
          <w:tcPr>
            <w:tcW w:w="1559"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Виробник</w:t>
            </w:r>
          </w:p>
        </w:tc>
        <w:tc>
          <w:tcPr>
            <w:tcW w:w="1135"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Країна виробника</w:t>
            </w:r>
          </w:p>
        </w:tc>
        <w:tc>
          <w:tcPr>
            <w:tcW w:w="3685"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Реєстраційна процедура</w:t>
            </w:r>
          </w:p>
        </w:tc>
        <w:tc>
          <w:tcPr>
            <w:tcW w:w="991"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Умови відпуску</w:t>
            </w:r>
          </w:p>
        </w:tc>
        <w:tc>
          <w:tcPr>
            <w:tcW w:w="851"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Рекламування</w:t>
            </w:r>
          </w:p>
        </w:tc>
        <w:tc>
          <w:tcPr>
            <w:tcW w:w="1559" w:type="dxa"/>
            <w:tcBorders>
              <w:top w:val="single" w:sz="4" w:space="0" w:color="000000"/>
            </w:tcBorders>
            <w:shd w:val="clear" w:color="auto" w:fill="D9D9D9"/>
          </w:tcPr>
          <w:p w:rsidR="00D35A47" w:rsidRPr="00CA4562" w:rsidRDefault="00D35A47" w:rsidP="004843E9">
            <w:pPr>
              <w:tabs>
                <w:tab w:val="left" w:pos="12600"/>
              </w:tabs>
              <w:jc w:val="center"/>
              <w:rPr>
                <w:rFonts w:ascii="Arial" w:hAnsi="Arial" w:cs="Arial"/>
                <w:b/>
                <w:i/>
                <w:sz w:val="16"/>
                <w:szCs w:val="16"/>
              </w:rPr>
            </w:pPr>
            <w:r w:rsidRPr="00CA4562">
              <w:rPr>
                <w:rFonts w:ascii="Arial" w:hAnsi="Arial" w:cs="Arial"/>
                <w:b/>
                <w:i/>
                <w:sz w:val="16"/>
                <w:szCs w:val="16"/>
              </w:rPr>
              <w:t>Номер реєстраційного посвідчення</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L-МЕТІОНІН</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кристалічний порошок або кристали (субстанція) у подвійних поліетиленових мішках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firstLine="28"/>
              <w:jc w:val="center"/>
              <w:rPr>
                <w:rFonts w:ascii="Arial" w:hAnsi="Arial" w:cs="Arial"/>
                <w:sz w:val="16"/>
                <w:szCs w:val="16"/>
              </w:rPr>
            </w:pPr>
            <w:r w:rsidRPr="00CA4562">
              <w:rPr>
                <w:rFonts w:ascii="Arial" w:hAnsi="Arial" w:cs="Arial"/>
                <w:sz w:val="16"/>
                <w:szCs w:val="16"/>
              </w:rPr>
              <w:t xml:space="preserve">АМІНО ГмбХ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АМІНО ГмбХ</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UA/16575/01/01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L-ТИРОЗИН</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кристалічний порошок або кристали (субстанція) у подвійних поліетиленових мішках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АМІНО ГмбХ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АМІНО ГмбХ </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UA/16577/01/01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L-ТРЕОНІН</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кристалічний порошок або кристали (субстанція) у подвійних поліетиленових мішках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АМІНО ГмбХ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АМІНО ГмбХ </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UA/16578/01/01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L-ТРИПТОФАН</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кристалічний або аморфний порошок (субстанція) у подвійних поліетиленових мішках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АМІНО ГмбХ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АМІНО ГмбХ</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UA/16579/01/01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АЛЛУНА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10 таблеток у блістері; по 1 або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Амакса ЛТД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за повним циклом: Макс Целлєр Зьоне АГ, Швейцарія; первинне пакування (фасування), вторинне пакування, маркування: Сого Флордіс Інтернешнл Світзерленд СА, Швейцарія; контроль якості: Лабор Цоллінгер АГ, Швейцарія; контроль якості: Інтерлабор Белп АГ, Швейцарія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p w:rsidR="00D35A47" w:rsidRPr="00CA4562" w:rsidRDefault="00D35A47" w:rsidP="004843E9">
            <w:pPr>
              <w:pStyle w:val="11"/>
              <w:tabs>
                <w:tab w:val="left" w:pos="12600"/>
              </w:tabs>
              <w:jc w:val="center"/>
              <w:rPr>
                <w:rFonts w:ascii="Arial" w:hAnsi="Arial" w:cs="Arial"/>
                <w:sz w:val="16"/>
                <w:szCs w:val="16"/>
              </w:rPr>
            </w:pP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з безпеки в інструкції для медичного застосування лікарського засобу у розділах "Фармакологічні властивості" (уточнення інформації), "Особливості застосування", "Передозування", "Побічні реакції" відповідно до матеріалів реєстраційного досьє. </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без рецепта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UA/11711/01/01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 xml:space="preserve">ВАЛСАРТАН </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40 мг; по 10 таблеток у блістері; по 1 блістеру у картонній коробці; по 30 таблеток у контейнері; по 1 контейнеру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"Показання" (редагування),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(Діован®, таблетки, вкриті оболонкою, по 40 мг, 80 мг, 160 мг, 320 мг). </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UA/15787/01/01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 xml:space="preserve">ВАЛСАРТАН </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80 мг; по 10 таблеток у блістері; по 1 блістеру у картонній коробці; по 30 таблеток у контейнері; по 1 контейнеру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"Показання" (редагування),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(Діован®, таблетки, вкриті оболонкою, по 40 мг, 80 мг, 160 мг, 320 мг). </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UA/15787/01/02</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 xml:space="preserve">ВАЛСАРТАН </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160 мг; по 10 таблеток у блістері; по 1 блістеру у картонній коробці; по 30 таблеток у контейнері; по 1 контейнеру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"Показання" (редагування),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(Діован®, таблетки, вкриті оболонкою, по 40 мг, 80 мг, 160 мг, 320 мг). </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UA/15787/01/03</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 xml:space="preserve">ВАЛСАРТАН </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320 мг; по 10 таблеток у блістері; по 1 блістеру у картонній коробці; по 30 таблеток у контейнері; по 1 контейнеру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Гетеро Лабз Лімітед</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"Показання" (редагування), "Протипоказання", "Взаємодія з іншими лікарськими засобами та інші види взаємодій", "Особливості застосування", "Побічні реакції"" відповідно до інформації референтного лікарського засобу (Діован®, таблетки, вкриті оболонкою, по 40 мг, 80 мг, 160 мг, 320 мг). </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UA/15787/01/04</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ГАЙНЕКС®</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супозиторії вагінальні по 7 супозиторіїв у стрипі; по 2 стрипи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ТОВ "ГЛЕДФАРМ ЛТД"</w:t>
            </w:r>
            <w:r w:rsidRPr="00CA4562">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КУСУМ ХЕЛТХКЕР ПВТ ЛТД</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w:t>
            </w:r>
            <w:r w:rsidRPr="00CA4562">
              <w:rPr>
                <w:rFonts w:ascii="Arial" w:hAnsi="Arial" w:cs="Arial"/>
                <w:sz w:val="16"/>
                <w:szCs w:val="16"/>
              </w:rPr>
              <w:br/>
              <w:t>Оновлено інформацію в інструкції для медичного застосування лікарського засобу у розділах "Фармакологічні властивості" (щодо безпеки), "Побічні реакції" відповідно до оновленої інформації з безпеки діючої речовини</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UA/16291/01/01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ГАЙНЕКС® ФОРТЕ</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супозиторії вагінальні по 7 супозиторіїв у стрипі; по 1 стрипу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ТОВ "ГЛЕДФАРМ ЛТД"</w:t>
            </w:r>
            <w:r w:rsidRPr="00CA4562">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КУСУМ ХЕЛТХКЕР ПВТ ЛТД</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r w:rsidRPr="00CA4562">
              <w:rPr>
                <w:rFonts w:ascii="Arial" w:hAnsi="Arial" w:cs="Arial"/>
                <w:sz w:val="16"/>
                <w:szCs w:val="16"/>
              </w:rPr>
              <w:br/>
              <w:t>Оновлено інформацію в інструкції для медичного застосування лікарського засобу у розділах "Фармакологічні властивості" (щодо безпеки), "Побічні реакції" відповідно до оновленої інформації з безпеки діючої речовини</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UA/16292/01/01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ЕПЛЕРЕНОН СТАДА®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вкриті плівковою оболонкою, по 25 мг, по 10 таблеток у блістерах,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lang w:val="ru-RU"/>
              </w:rPr>
            </w:pPr>
            <w:r w:rsidRPr="00CA4562">
              <w:rPr>
                <w:rFonts w:ascii="Arial" w:hAnsi="Arial" w:cs="Arial"/>
                <w:sz w:val="16"/>
                <w:szCs w:val="16"/>
              </w:rPr>
              <w:t>СТАДА Арцнайміттель АГ</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випуск серій: СТАДА Арцнайміттель АГ, Німеччина; виробництво нерозфасованого продукту, первинне та вторинне пакування, контроль серій: Лабораторіос Ліконса, С.А., Іспанiя</w:t>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Іспанiя</w:t>
            </w:r>
            <w:r w:rsidRPr="00CA4562">
              <w:rPr>
                <w:rFonts w:ascii="Arial" w:hAnsi="Arial" w:cs="Arial"/>
                <w:sz w:val="16"/>
                <w:szCs w:val="16"/>
              </w:rPr>
              <w:br/>
            </w:r>
          </w:p>
          <w:p w:rsidR="00D35A47" w:rsidRPr="00CA4562" w:rsidRDefault="00D35A47" w:rsidP="004843E9">
            <w:pPr>
              <w:pStyle w:val="11"/>
              <w:tabs>
                <w:tab w:val="left" w:pos="12600"/>
              </w:tabs>
              <w:jc w:val="center"/>
              <w:rPr>
                <w:rFonts w:ascii="Arial" w:hAnsi="Arial" w:cs="Arial"/>
                <w:sz w:val="16"/>
                <w:szCs w:val="16"/>
              </w:rPr>
            </w:pP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r w:rsidRPr="00CA4562">
              <w:rPr>
                <w:rFonts w:ascii="Arial" w:hAnsi="Arial" w:cs="Arial"/>
                <w:sz w:val="16"/>
                <w:szCs w:val="16"/>
              </w:rPr>
              <w:br/>
              <w:t>Оновлено інформацію в інструкції для медичного застосування лікарського засобу у розділі "Протипоказання" відповідно до інформації щодо медичного застосування референтного лікарського засобу (ІНСПРА, таблетки, вкриті плівковою оболонкою).</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UA/15535/01/01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ЕПЛЕРЕНОН СТАДА®</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50 мг, по 10 таблеток у блістерах,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СТАДА Арцнайміттель АГ</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випуск серій: СТАДА Арцнайміттель АГ, Німеччина; виробництво нерозфасованого продукту, первинне та вторинне пакування, контроль серій: Лабораторіос Ліконса, С.А., Іспанiя</w:t>
            </w:r>
          </w:p>
          <w:p w:rsidR="00D35A47" w:rsidRPr="00CA4562" w:rsidRDefault="00D35A47" w:rsidP="004843E9">
            <w:pPr>
              <w:pStyle w:val="11"/>
              <w:tabs>
                <w:tab w:val="left" w:pos="12600"/>
              </w:tabs>
              <w:jc w:val="center"/>
              <w:rPr>
                <w:rFonts w:ascii="Arial" w:hAnsi="Arial" w:cs="Arial"/>
                <w:sz w:val="16"/>
                <w:szCs w:val="16"/>
              </w:rPr>
            </w:pP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 Іспанiя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r w:rsidRPr="00CA4562">
              <w:rPr>
                <w:rFonts w:ascii="Arial" w:hAnsi="Arial" w:cs="Arial"/>
                <w:sz w:val="16"/>
                <w:szCs w:val="16"/>
              </w:rPr>
              <w:br/>
              <w:t>Оновлено інформацію в інструкції для медичного застосування лікарського засобу у розділі "Протипоказання" відповідно до інформації щодо медичного застосування референтного лікарського засобу (ІНСПРА, таблетки, вкриті плівковою оболонкою).</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UA/15535/01/02</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МАДІНЕТ®</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плівковою оболонкою, по 0,03 мг/2 мг; по 21 таблетці у блістері; по 1 або по 3, або по 6 блістерів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мібе ГмбХ Арцнайміттель</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мібе ГмбХ Арцнайміттель</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5 років. Оновлено інформацію в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UA/15840/01/01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СУМАМЕД®</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що диспергуються, по 125 мг, по 6 таблеток у блістері; по 1 блістеру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ПЛІВА Хрватска д.о.о.</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Хорватія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в розділах "Фармакологічні властивості" (редагування тексту та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(редагування тексту та уточнення інформації), "Здатність впливати на швидкість реакції при керуванні автотранспортом або іншими механізмами" (редагування тексту та уточнення інформації), "Спосіб застосування та дози" (редагування тексту та уточнення інформації), "Діти" (редагування тексту та уточнення інформації), "Побічні реакції" відповідно до матеріалів реєстраційного досьє. </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UA/15994/01/01</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СУМАМЕД®</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що диспергуються, по 250 мг, по 6 таблеток у блістері; по 1 блістеру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ПЛІВА Хрватска д.о.о.</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Хорватія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в розділах "Фармакологічні властивості" (редагування тексту та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(редагування тексту та уточнення інформації), "Здатність впливати на швидкість реакції при керуванні автотранспортом або іншими механізмами" (редагування тексту та уточнення інформації), "Спосіб застосування та дози" (редагування тексту та уточнення інформації), "Діти" (редагування тексту та уточнення інформації), "Побічні реакції" відповідно до матеріалів реєстраційного досьє. </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UA/15994/01/02</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СУМАМЕД®</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що диспергуються, по 500 мг; по 3 таблетки у блістері; по 1 або по 2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ПЛІВА Хрватска д.о.о.</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Хорватія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в розділах "Фармакологічні властивості" (редагування тексту та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(редагування тексту та уточнення інформації), "Здатність впливати на швидкість реакції при керуванні автотранспортом або іншими механізмами" (редагування тексту та уточнення інформації), "Спосіб застосування та дози" (редагування тексту та уточнення інформації), "Діти" (редагування тексту та уточнення інформації), "Побічні реакції" відповідно до матеріалів реєстраційного досьє. </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UA/15994/01/03</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СУМАМЕД®</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таблетки, що диспергуються, по 1000 мг; по 1 таблетці у блістері; по 1 або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ПЛІВА Хрватска д.о.о.</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Хорватія</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Перереєстрація на необмежений термін. Оновлено інформацію в інструкції для медичного застосування лікарського засобу в розділах "Фармакологічні властивості" (редагування тексту та уточнення інформації),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(редагування тексту та уточнення інформації), "Здатність впливати на швидкість реакції при керуванні автотранспортом або іншими механізмами" (редагування тексту та уточнення інформації), "Спосіб застосування та дози" (редагування тексту та уточнення інформації), "Діти" (редагування тексту та уточнення інформації), "Побічні реакції" відповідно до матеріалів реєстраційного досьє. </w:t>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за рецептом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UA/15994/01/04</w:t>
            </w:r>
          </w:p>
        </w:tc>
      </w:tr>
      <w:tr w:rsidR="00D35A47" w:rsidRPr="00CA4562" w:rsidTr="005A5A14">
        <w:tc>
          <w:tcPr>
            <w:tcW w:w="567" w:type="dxa"/>
            <w:tcBorders>
              <w:top w:val="single" w:sz="4" w:space="0" w:color="auto"/>
              <w:left w:val="single" w:sz="4" w:space="0" w:color="000000"/>
              <w:bottom w:val="single" w:sz="4" w:space="0" w:color="auto"/>
              <w:right w:val="single" w:sz="4" w:space="0" w:color="000000"/>
            </w:tcBorders>
            <w:shd w:val="clear" w:color="auto" w:fill="auto"/>
          </w:tcPr>
          <w:p w:rsidR="00D35A47" w:rsidRPr="00CA4562" w:rsidRDefault="00D35A47" w:rsidP="00D35A47">
            <w:pPr>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D35A47" w:rsidRPr="00CA4562" w:rsidRDefault="00D35A47" w:rsidP="004843E9">
            <w:pPr>
              <w:pStyle w:val="11"/>
              <w:tabs>
                <w:tab w:val="left" w:pos="12600"/>
              </w:tabs>
              <w:rPr>
                <w:rFonts w:ascii="Arial" w:hAnsi="Arial" w:cs="Arial"/>
                <w:b/>
                <w:i/>
                <w:sz w:val="16"/>
                <w:szCs w:val="16"/>
              </w:rPr>
            </w:pPr>
            <w:r w:rsidRPr="00CA4562">
              <w:rPr>
                <w:rFonts w:ascii="Arial" w:hAnsi="Arial" w:cs="Arial"/>
                <w:b/>
                <w:sz w:val="16"/>
                <w:szCs w:val="16"/>
              </w:rPr>
              <w:t>ХЛОРГЕКСИДИН</w:t>
            </w: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rPr>
                <w:rFonts w:ascii="Arial" w:hAnsi="Arial" w:cs="Arial"/>
                <w:sz w:val="16"/>
                <w:szCs w:val="16"/>
              </w:rPr>
            </w:pPr>
            <w:r w:rsidRPr="00CA4562">
              <w:rPr>
                <w:rFonts w:ascii="Arial" w:hAnsi="Arial" w:cs="Arial"/>
                <w:sz w:val="16"/>
                <w:szCs w:val="16"/>
              </w:rPr>
              <w:t>розчин для зовнішнього застосування 0,05 % по 100 мл, 200 мл у флаконах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"Фарма Черкас"</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"Фарма Черкас"</w:t>
            </w:r>
            <w:r w:rsidRPr="00CA4562">
              <w:rPr>
                <w:rFonts w:ascii="Arial" w:hAnsi="Arial" w:cs="Arial"/>
                <w:sz w:val="16"/>
                <w:szCs w:val="16"/>
              </w:rPr>
              <w:br/>
            </w:r>
          </w:p>
        </w:tc>
        <w:tc>
          <w:tcPr>
            <w:tcW w:w="113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3685"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Перереєстрація на необмежений термін</w:t>
            </w:r>
            <w:r w:rsidRPr="00CA4562">
              <w:rPr>
                <w:rFonts w:ascii="Arial" w:hAnsi="Arial" w:cs="Arial"/>
                <w:sz w:val="16"/>
                <w:szCs w:val="16"/>
              </w:rPr>
              <w:br/>
              <w:t xml:space="preserve">Оновлено інформацію в інструкції для медичного застосування лікарського засобу у розділ "Особливості застосування" інформації щодо безпеки діючої речовини лікарського засобу. </w:t>
            </w:r>
            <w:r w:rsidRPr="00CA4562">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ind w:left="-107"/>
              <w:jc w:val="center"/>
              <w:rPr>
                <w:rFonts w:ascii="Arial" w:hAnsi="Arial" w:cs="Arial"/>
                <w:b/>
                <w:i/>
                <w:sz w:val="16"/>
                <w:szCs w:val="16"/>
              </w:rPr>
            </w:pPr>
            <w:r w:rsidRPr="00CA4562">
              <w:rPr>
                <w:rFonts w:ascii="Arial" w:hAnsi="Arial" w:cs="Arial"/>
                <w:i/>
                <w:sz w:val="16"/>
                <w:szCs w:val="16"/>
              </w:rPr>
              <w:t>без рецепта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i/>
                <w:sz w:val="16"/>
                <w:szCs w:val="16"/>
              </w:rPr>
            </w:pPr>
            <w:r w:rsidRPr="00CA4562">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D35A47" w:rsidRPr="00CA4562" w:rsidRDefault="00D35A47" w:rsidP="004843E9">
            <w:pPr>
              <w:pStyle w:val="11"/>
              <w:tabs>
                <w:tab w:val="left" w:pos="12600"/>
              </w:tabs>
              <w:jc w:val="center"/>
              <w:rPr>
                <w:rFonts w:ascii="Arial" w:hAnsi="Arial" w:cs="Arial"/>
                <w:sz w:val="16"/>
                <w:szCs w:val="16"/>
              </w:rPr>
            </w:pPr>
            <w:r w:rsidRPr="00CA4562">
              <w:rPr>
                <w:rFonts w:ascii="Arial" w:hAnsi="Arial" w:cs="Arial"/>
                <w:sz w:val="16"/>
                <w:szCs w:val="16"/>
              </w:rPr>
              <w:t>UA/16324/01/01</w:t>
            </w:r>
          </w:p>
        </w:tc>
      </w:tr>
    </w:tbl>
    <w:p w:rsidR="00D35A47" w:rsidRPr="00CA4562" w:rsidRDefault="00D35A47" w:rsidP="00D35A47"/>
    <w:p w:rsidR="00D35A47" w:rsidRPr="00CA4562" w:rsidRDefault="00D35A47" w:rsidP="00D35A47"/>
    <w:p w:rsidR="00D35A47" w:rsidRPr="00CA4562" w:rsidRDefault="00D35A47" w:rsidP="00D35A47"/>
    <w:tbl>
      <w:tblPr>
        <w:tblW w:w="14843" w:type="dxa"/>
        <w:tblLayout w:type="fixed"/>
        <w:tblLook w:val="04A0" w:firstRow="1" w:lastRow="0" w:firstColumn="1" w:lastColumn="0" w:noHBand="0" w:noVBand="1"/>
      </w:tblPr>
      <w:tblGrid>
        <w:gridCol w:w="7421"/>
        <w:gridCol w:w="7422"/>
      </w:tblGrid>
      <w:tr w:rsidR="00D35A47" w:rsidRPr="00CA4562" w:rsidTr="004843E9">
        <w:tc>
          <w:tcPr>
            <w:tcW w:w="7421" w:type="dxa"/>
            <w:shd w:val="clear" w:color="auto" w:fill="auto"/>
          </w:tcPr>
          <w:p w:rsidR="00D35A47" w:rsidRPr="00CA4562" w:rsidRDefault="00D35A47" w:rsidP="004843E9">
            <w:pPr>
              <w:ind w:right="20"/>
              <w:rPr>
                <w:rStyle w:val="cs95e872d01"/>
                <w:sz w:val="28"/>
                <w:szCs w:val="28"/>
              </w:rPr>
            </w:pPr>
            <w:r w:rsidRPr="00CA4562">
              <w:rPr>
                <w:rStyle w:val="cs7864ebcf1"/>
                <w:color w:val="auto"/>
                <w:sz w:val="28"/>
                <w:szCs w:val="28"/>
              </w:rPr>
              <w:t xml:space="preserve">В.о. Генерального директора Директорату </w:t>
            </w:r>
          </w:p>
          <w:p w:rsidR="00D35A47" w:rsidRPr="00CA4562" w:rsidRDefault="00D35A47" w:rsidP="004843E9">
            <w:pPr>
              <w:ind w:right="20"/>
              <w:rPr>
                <w:rStyle w:val="cs7864ebcf1"/>
                <w:color w:val="auto"/>
                <w:sz w:val="28"/>
                <w:szCs w:val="28"/>
              </w:rPr>
            </w:pPr>
            <w:r w:rsidRPr="00CA4562">
              <w:rPr>
                <w:rStyle w:val="cs7864ebcf1"/>
                <w:color w:val="auto"/>
                <w:sz w:val="28"/>
                <w:szCs w:val="28"/>
              </w:rPr>
              <w:t>фармацевтичного забезпечення</w:t>
            </w:r>
            <w:r w:rsidRPr="00CA4562">
              <w:rPr>
                <w:rStyle w:val="cs188c92b51"/>
                <w:color w:val="auto"/>
                <w:sz w:val="28"/>
                <w:szCs w:val="28"/>
              </w:rPr>
              <w:t>                                    </w:t>
            </w:r>
          </w:p>
        </w:tc>
        <w:tc>
          <w:tcPr>
            <w:tcW w:w="7422" w:type="dxa"/>
            <w:shd w:val="clear" w:color="auto" w:fill="auto"/>
          </w:tcPr>
          <w:p w:rsidR="00D35A47" w:rsidRPr="00CA4562" w:rsidRDefault="00D35A47" w:rsidP="004843E9">
            <w:pPr>
              <w:pStyle w:val="cs95e872d0"/>
              <w:rPr>
                <w:rStyle w:val="cs7864ebcf1"/>
                <w:color w:val="auto"/>
                <w:sz w:val="28"/>
                <w:szCs w:val="28"/>
              </w:rPr>
            </w:pPr>
          </w:p>
          <w:p w:rsidR="00D35A47" w:rsidRPr="00CA4562" w:rsidRDefault="00D35A47" w:rsidP="004843E9">
            <w:pPr>
              <w:pStyle w:val="cs95e872d0"/>
              <w:jc w:val="right"/>
              <w:rPr>
                <w:rStyle w:val="cs7864ebcf1"/>
                <w:color w:val="auto"/>
                <w:sz w:val="28"/>
                <w:szCs w:val="28"/>
                <w:lang w:val="uk-UA"/>
              </w:rPr>
            </w:pPr>
            <w:r w:rsidRPr="00CA4562">
              <w:rPr>
                <w:rStyle w:val="cs7864ebcf1"/>
                <w:color w:val="auto"/>
                <w:sz w:val="28"/>
                <w:szCs w:val="28"/>
                <w:lang w:val="uk-UA"/>
              </w:rPr>
              <w:t>Іван ЗАДВОРНИХ</w:t>
            </w:r>
          </w:p>
        </w:tc>
      </w:tr>
    </w:tbl>
    <w:p w:rsidR="00D35A47" w:rsidRPr="00CA4562" w:rsidRDefault="00D35A47" w:rsidP="00D35A47">
      <w:pPr>
        <w:tabs>
          <w:tab w:val="left" w:pos="12600"/>
        </w:tabs>
        <w:jc w:val="center"/>
        <w:rPr>
          <w:rFonts w:ascii="Arial" w:hAnsi="Arial" w:cs="Arial"/>
          <w:b/>
        </w:rPr>
      </w:pPr>
    </w:p>
    <w:p w:rsidR="00D35A47" w:rsidRPr="00CA4562" w:rsidRDefault="00D35A47" w:rsidP="000D32CE">
      <w:pPr>
        <w:rPr>
          <w:b/>
          <w:sz w:val="28"/>
          <w:szCs w:val="28"/>
          <w:lang w:val="uk-UA"/>
        </w:rPr>
        <w:sectPr w:rsidR="00D35A47" w:rsidRPr="00CA4562" w:rsidSect="004843E9">
          <w:headerReference w:type="default" r:id="rId14"/>
          <w:footerReference w:type="default" r:id="rId15"/>
          <w:pgSz w:w="16838" w:h="11906" w:orient="landscape"/>
          <w:pgMar w:top="90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45369C" w:rsidRPr="00CA4562" w:rsidTr="004843E9">
        <w:tc>
          <w:tcPr>
            <w:tcW w:w="3828" w:type="dxa"/>
          </w:tcPr>
          <w:p w:rsidR="0045369C" w:rsidRPr="00CA4562" w:rsidRDefault="0045369C" w:rsidP="009355EC">
            <w:pPr>
              <w:pStyle w:val="4"/>
              <w:tabs>
                <w:tab w:val="left" w:pos="12600"/>
              </w:tabs>
              <w:spacing w:before="0" w:after="0"/>
              <w:rPr>
                <w:rFonts w:cs="Arial"/>
                <w:bCs w:val="0"/>
                <w:iCs/>
                <w:sz w:val="18"/>
                <w:szCs w:val="18"/>
              </w:rPr>
            </w:pPr>
            <w:r w:rsidRPr="00CA4562">
              <w:rPr>
                <w:rFonts w:cs="Arial"/>
                <w:bCs w:val="0"/>
                <w:iCs/>
                <w:sz w:val="18"/>
                <w:szCs w:val="18"/>
              </w:rPr>
              <w:t>Додаток 3</w:t>
            </w:r>
          </w:p>
          <w:p w:rsidR="0045369C" w:rsidRPr="00CA4562" w:rsidRDefault="0045369C" w:rsidP="009355EC">
            <w:pPr>
              <w:pStyle w:val="4"/>
              <w:tabs>
                <w:tab w:val="left" w:pos="12600"/>
              </w:tabs>
              <w:spacing w:before="0" w:after="0"/>
              <w:rPr>
                <w:rFonts w:cs="Arial"/>
                <w:bCs w:val="0"/>
                <w:iCs/>
                <w:sz w:val="18"/>
                <w:szCs w:val="18"/>
              </w:rPr>
            </w:pPr>
            <w:r w:rsidRPr="00CA4562">
              <w:rPr>
                <w:rFonts w:cs="Arial"/>
                <w:bCs w:val="0"/>
                <w:iCs/>
                <w:sz w:val="18"/>
                <w:szCs w:val="18"/>
              </w:rPr>
              <w:t>до наказу Міністерства охорони</w:t>
            </w:r>
          </w:p>
          <w:p w:rsidR="0045369C" w:rsidRPr="00CA4562" w:rsidRDefault="0045369C" w:rsidP="009355EC">
            <w:pPr>
              <w:pStyle w:val="4"/>
              <w:tabs>
                <w:tab w:val="left" w:pos="12600"/>
              </w:tabs>
              <w:spacing w:before="0" w:after="0"/>
              <w:rPr>
                <w:rFonts w:cs="Arial"/>
                <w:bCs w:val="0"/>
                <w:iCs/>
                <w:sz w:val="18"/>
                <w:szCs w:val="18"/>
              </w:rPr>
            </w:pPr>
            <w:r w:rsidRPr="00CA4562">
              <w:rPr>
                <w:rFonts w:cs="Arial"/>
                <w:bCs w:val="0"/>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45369C" w:rsidRPr="00CA4562" w:rsidRDefault="0045369C" w:rsidP="009355EC">
            <w:pPr>
              <w:tabs>
                <w:tab w:val="left" w:pos="12600"/>
              </w:tabs>
              <w:rPr>
                <w:rFonts w:ascii="Arial" w:hAnsi="Arial" w:cs="Arial"/>
                <w:b/>
                <w:sz w:val="18"/>
                <w:szCs w:val="18"/>
              </w:rPr>
            </w:pPr>
            <w:r w:rsidRPr="00CA4562">
              <w:rPr>
                <w:rFonts w:ascii="Arial" w:hAnsi="Arial" w:cs="Arial"/>
                <w:b/>
                <w:bCs/>
                <w:iCs/>
                <w:sz w:val="18"/>
                <w:szCs w:val="18"/>
                <w:u w:val="single"/>
              </w:rPr>
              <w:t>від 28 травня 2022 року № 895</w:t>
            </w:r>
            <w:r w:rsidRPr="00CA4562">
              <w:rPr>
                <w:rFonts w:cs="Arial"/>
                <w:bCs/>
                <w:iCs/>
                <w:sz w:val="18"/>
                <w:szCs w:val="18"/>
                <w:u w:val="single"/>
              </w:rPr>
              <w:t xml:space="preserve">   </w:t>
            </w:r>
          </w:p>
        </w:tc>
      </w:tr>
    </w:tbl>
    <w:p w:rsidR="009355EC" w:rsidRPr="00CA4562" w:rsidRDefault="009355EC" w:rsidP="0045369C">
      <w:pPr>
        <w:pStyle w:val="3a"/>
        <w:jc w:val="center"/>
        <w:rPr>
          <w:rFonts w:ascii="Arial" w:hAnsi="Arial" w:cs="Arial"/>
          <w:b/>
          <w:caps/>
          <w:sz w:val="26"/>
          <w:szCs w:val="26"/>
          <w:lang w:eastAsia="uk-UA"/>
        </w:rPr>
      </w:pPr>
    </w:p>
    <w:p w:rsidR="0045369C" w:rsidRPr="00CA4562" w:rsidRDefault="0045369C" w:rsidP="0045369C">
      <w:pPr>
        <w:pStyle w:val="3a"/>
        <w:jc w:val="center"/>
        <w:rPr>
          <w:rFonts w:ascii="Arial" w:hAnsi="Arial" w:cs="Arial"/>
          <w:b/>
          <w:caps/>
          <w:sz w:val="26"/>
          <w:szCs w:val="26"/>
          <w:lang w:eastAsia="uk-UA"/>
        </w:rPr>
      </w:pPr>
      <w:r w:rsidRPr="00CA4562">
        <w:rPr>
          <w:rFonts w:ascii="Arial" w:hAnsi="Arial" w:cs="Arial"/>
          <w:b/>
          <w:caps/>
          <w:sz w:val="26"/>
          <w:szCs w:val="26"/>
          <w:lang w:eastAsia="uk-UA"/>
        </w:rPr>
        <w:t>ПЕРЕЛІК</w:t>
      </w:r>
    </w:p>
    <w:p w:rsidR="0045369C" w:rsidRPr="00CA4562" w:rsidRDefault="0045369C" w:rsidP="0045369C">
      <w:pPr>
        <w:pStyle w:val="3a"/>
        <w:jc w:val="center"/>
        <w:rPr>
          <w:rFonts w:ascii="Arial" w:hAnsi="Arial" w:cs="Arial"/>
          <w:b/>
          <w:caps/>
          <w:sz w:val="26"/>
          <w:szCs w:val="26"/>
          <w:lang w:eastAsia="uk-UA"/>
        </w:rPr>
      </w:pPr>
      <w:r w:rsidRPr="00CA4562">
        <w:rPr>
          <w:rFonts w:ascii="Arial" w:hAnsi="Arial" w:cs="Arial"/>
          <w:b/>
          <w:caps/>
          <w:sz w:val="26"/>
          <w:szCs w:val="26"/>
          <w:lang w:eastAsia="uk-UA"/>
        </w:rPr>
        <w:t xml:space="preserve">ЛІКАРСЬКИХ ЗАСОБІВ (МЕДИЧНИХ ІМУНОБІОЛОГІЧНИХ ПРЕПАРАТІВ), ЩОДО ЯКИХ БУЛИ ВНЕСЕНІ ЗМІНИ ДО </w:t>
      </w:r>
      <w:r w:rsidRPr="00CA4562">
        <w:rPr>
          <w:rFonts w:ascii="Arial" w:hAnsi="Arial" w:cs="Arial"/>
          <w:b/>
          <w:caps/>
          <w:sz w:val="26"/>
          <w:szCs w:val="26"/>
        </w:rPr>
        <w:t>реєстраційних матеріалів</w:t>
      </w:r>
      <w:r w:rsidRPr="00CA4562">
        <w:rPr>
          <w:rFonts w:ascii="Arial" w:hAnsi="Arial" w:cs="Arial"/>
          <w:b/>
          <w:caps/>
          <w:sz w:val="26"/>
          <w:szCs w:val="26"/>
          <w:lang w:eastAsia="uk-UA"/>
        </w:rPr>
        <w:t>, ЯКІ ВНОСЯТЬСЯ ДО ДЕРЖАВНОГО РЕЄСТРУ ЛІКАРСЬКИХ ЗАСОБІВ УКРАЇНИ</w:t>
      </w:r>
    </w:p>
    <w:p w:rsidR="0045369C" w:rsidRPr="00CA4562" w:rsidRDefault="0045369C" w:rsidP="0045369C">
      <w:pPr>
        <w:jc w:val="center"/>
        <w:rPr>
          <w:rFonts w:ascii="Arial" w:hAnsi="Arial" w:cs="Arial"/>
          <w:sz w:val="26"/>
          <w:szCs w:val="26"/>
          <w:lang w:val="uk-UA"/>
        </w:rPr>
      </w:pPr>
    </w:p>
    <w:tbl>
      <w:tblPr>
        <w:tblW w:w="15877" w:type="dxa"/>
        <w:tblInd w:w="-31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8"/>
        <w:gridCol w:w="1418"/>
        <w:gridCol w:w="1701"/>
        <w:gridCol w:w="992"/>
        <w:gridCol w:w="992"/>
        <w:gridCol w:w="1701"/>
        <w:gridCol w:w="1134"/>
        <w:gridCol w:w="4678"/>
        <w:gridCol w:w="1134"/>
        <w:gridCol w:w="1559"/>
      </w:tblGrid>
      <w:tr w:rsidR="0045369C" w:rsidRPr="00CA4562" w:rsidTr="009355EC">
        <w:trPr>
          <w:tblHeader/>
        </w:trPr>
        <w:tc>
          <w:tcPr>
            <w:tcW w:w="568"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 п/п</w:t>
            </w:r>
          </w:p>
        </w:tc>
        <w:tc>
          <w:tcPr>
            <w:tcW w:w="1418"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Назва лікарського засобу</w:t>
            </w:r>
          </w:p>
        </w:tc>
        <w:tc>
          <w:tcPr>
            <w:tcW w:w="1701"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Форма випуску (лікарська форма, упаковка)</w:t>
            </w:r>
          </w:p>
        </w:tc>
        <w:tc>
          <w:tcPr>
            <w:tcW w:w="992"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Заявник</w:t>
            </w:r>
          </w:p>
        </w:tc>
        <w:tc>
          <w:tcPr>
            <w:tcW w:w="992"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Країна заявника</w:t>
            </w:r>
          </w:p>
        </w:tc>
        <w:tc>
          <w:tcPr>
            <w:tcW w:w="1701"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Виробник</w:t>
            </w:r>
          </w:p>
        </w:tc>
        <w:tc>
          <w:tcPr>
            <w:tcW w:w="1134"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Країна виробника</w:t>
            </w:r>
          </w:p>
        </w:tc>
        <w:tc>
          <w:tcPr>
            <w:tcW w:w="4678"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Умови відпуску</w:t>
            </w:r>
          </w:p>
        </w:tc>
        <w:tc>
          <w:tcPr>
            <w:tcW w:w="1559" w:type="dxa"/>
            <w:tcBorders>
              <w:top w:val="single" w:sz="4" w:space="0" w:color="000000"/>
            </w:tcBorders>
            <w:shd w:val="clear" w:color="auto" w:fill="D9D9D9"/>
          </w:tcPr>
          <w:p w:rsidR="0045369C" w:rsidRPr="00CA4562" w:rsidRDefault="0045369C" w:rsidP="004843E9">
            <w:pPr>
              <w:tabs>
                <w:tab w:val="left" w:pos="12600"/>
              </w:tabs>
              <w:jc w:val="center"/>
              <w:rPr>
                <w:rFonts w:ascii="Arial" w:hAnsi="Arial" w:cs="Arial"/>
                <w:b/>
                <w:i/>
                <w:sz w:val="16"/>
                <w:szCs w:val="16"/>
              </w:rPr>
            </w:pPr>
            <w:r w:rsidRPr="00CA4562">
              <w:rPr>
                <w:rFonts w:ascii="Arial" w:hAnsi="Arial" w:cs="Arial"/>
                <w:b/>
                <w:i/>
                <w:sz w:val="16"/>
                <w:szCs w:val="16"/>
              </w:rPr>
              <w:t>Номер реєстраційного посвідчення</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 xml:space="preserve">АЗИБІОТ®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500 мг; по 3 таблетки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 Словенія; КРКА Польща Сп. з о.о., Польща</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 Польща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з незначними корекціями опису методів та специфікації. </w:t>
            </w:r>
            <w:r w:rsidRPr="00CA4562">
              <w:rPr>
                <w:rFonts w:ascii="Arial" w:hAnsi="Arial" w:cs="Arial"/>
                <w:sz w:val="16"/>
                <w:szCs w:val="16"/>
              </w:rPr>
              <w:br/>
              <w:t>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2007-119 - Rev 05 (затверджено: R1-CEP 2007-119 - Rev 03) для діючої речовини Azithromycin Dihydrate від вже затвердженого виробника JUBILANT GENERICS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2007-230 - Rev 03 (затверджено: R1-CEP 2007-230 - Rev 02) для діючої речовини Azithromycin Dihydrate від вже затвердженого виробника HEC PHARM CO., LTD, Китай. Зміни І типу - Адміністративні зміни. Зміна назви АФІ або допоміжної речовини - зміна назви допоміжної речовини Calcium hydrogen phosphate, anhydrous (кальцію гідрофосфат безводний) на Calcium hydrogen phosphate (кальцію гідрофосфат). Зміни внесені до інструкції для медичного застосування лікарського засобу у розділ "Склад" щодо зміни назви допоміжної речовини.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"Фармакологічні властивості", "Особливості застосування", "Застосування у період вагітності або годування груддю" згідно з інформацією щодо медичного застосування референтного лікарського засобу (Zitromax®, coated tablets for oral administration 500 mg).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CA4562">
              <w:rPr>
                <w:rFonts w:ascii="Arial" w:hAnsi="Arial" w:cs="Arial"/>
                <w:sz w:val="16"/>
                <w:szCs w:val="16"/>
              </w:rPr>
              <w:br/>
              <w:t>Зміни внесені до інструкції для медичного застосування лікарського засобу у розділи "Показання" (уточнення інформації), "Спосіб застосування та дози" згідно з матеріалами реєстраційного досьє.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UA/13452/01/01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АЛЬПЕКІД ІМУНО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150 таблеток у флаконі; по 1 флакону в картонній коробці; по 30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Альпен Фарма ГмбХ</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Др. Густав Кляйн ГмбХ &amp; Ко. КГ</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Імунокінд Immunokind® Запропоновано: АльпеКід Імуно AlpeKid®Immuno;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лікарського засобу Дойче Хомеопаті-Уніон ДХУ- Арцнайміттель ГмбХ &amp; Ко. КГ, Німеччина. Затверджені виробники, що залишились Др. Густав Кляйн ГмбХ &amp; Ко. КГ, Німеччина – виконують ті самі функції, що вилучений. Зміни внесено в інструкцію для медичного застосування лікарського засобу щодо вилучення виробника (найменування та місцезнаходження) з відповідними змінами у тексті маркування упаковки лікарського засобу; зміни І типу - Зміни щодо безпеки/ефективності та фармаконагляду (інші зміни) - внесення змін до р. «Маркування» МКЯ ЛЗ;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 введення додаткового виду упаковки (блістери (PVC/Alu)) до вже затвердженого (флакону), з відповідними змінами до р. «Упаковка». Зміни внесено в інструкцію для медичного застосування лікарського засобу у розділ «Упаковка» з відповідними змінами у тексті маркування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UA/5397/01/01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АМОКСИКЛАВ® 2S</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 xml:space="preserve">порошок для оральної суспензії (400 мг/57 мг в 5 мл), по 5,70 г (35 мл ) або по 11,0 г (70 мл) порошку у флаконі; по 1 флакону разом з мірною ложкою або мірним шприцем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Сандоз ГмбХ - Виробнича дільниця Антиінфекційні ГЛЗ та Хімічні Операції Кундль (АІХО ГЛЗ Кундль)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Австрія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написання реєстраційної процедури в наказі МОЗ України № 814 від 16.05.2022</w:t>
            </w:r>
            <w:r w:rsidRPr="00CA4562">
              <w:rPr>
                <w:rFonts w:ascii="Arial" w:hAnsi="Arial" w:cs="Arial"/>
                <w:sz w:val="16"/>
                <w:szCs w:val="16"/>
              </w:rPr>
              <w:t xml:space="preserve"> - 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маси/об'єму вмісту контейнера багатодозового лікарського засобу для непарентерального застосування (або однодозового, часткового використання)) -  Маса наповнення контейнера (пляшки) змінюється у зв'язку з перенесенням виробництва ГЛЗ на іншу дільницю, затверджено мінімальне наповнення 8,75 г (35 мл); 17,5 г (70 мл) запропоновано однорідність маси для 35 мл суспензії середня маса наповнення 5,4 г- 6,0 г індивідуальні маси наповнення мінімум не менше 5,1г; максимум не більше 6,3 г; для 70 мл суспензії середня маса наповнення 10,5г - 11,6 г індивідуальні маси наповнення мінімум не менше 9,9 г; максимум не більше 12,1г у зв'язку зі зміною маси наповнення контейнера змінюється кількість води, що додається до флакону при приготуванні готової для використання суспензії, (затверджено: 29,5 мл води необхідно додати для вживання суспензії (35 мл); 59 мл води необхідно додати для вживання суспензії ( 70 мл); запропоновано: варіант наповнення 35 мл: після додавання 34 мл води до 5,70 г порошку буде отримано 38,5 мл готової до вживання суспензії. варіант наповнення 70 мл: після додавання 66 мл води до 11,0 г порошку буде отримано 74 мл готової до вживання суспензії).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Заміна дільниці первинного пакування ГЛЗ Лек Фармацевтична компанія д. д., Словенія (виробничій сайт у м. Превальє) на Сандоз ГмбХ - Виробнича дільниця Антиінфекційні ГЛЗ та Хімічні Операції Кундль (АІХО ГЛЗ Кундль), Австрія.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заміна дільниці для вторинного пакування ГЛЗ Лек Фармацевтична компанія д. д., Словенія (виробничій сайт у м. Превальє) на Сандоз ГмбХ - Виробнича дільниця Антиінфекційні ГЛЗ та Хімічні Операції Кундль (АІХО ГЛЗ Кундль), Австрія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заміна дільниці, що здійснює випуск серії ГЛЗ Лек Фармацевтична компанія д. д., Словенія (виробничій сайт у м. Превальє) на Сандоз ГмбХ - Виробнича дільниця Антиінфекційні ГЛЗ та Хімічні Операції Кундль (АІХО ГЛЗ Кундль), Австрія.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дільниці, що здійснює випуск серії ГЛЗ Лек Фармацевтична компанія д. д., Словенія (виробничій сайт у м. Любляна).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Доповнення методів контролю готового лікарського засобу методом ідентифікація діючих речовин з використанням УФ спектроскопії. Оновлення тексту методів контролю, а саме викладання українською мовою; редакційні правки.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Доповнення методів контролю готового лікарського засобу новим показником – ідентифікація діючих речовин з використанням тонкошарової хроматографії (ТШХ).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новим показником з відповідним методом випробування – визначення полімеру клавуланату і інших флуоресцентних домішок не більше 5,0% ( виконується при дослідження стабільності).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«Однорідність маси доз, що витягається із багатодозових контейнерів».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допустимих меж готового лікарського засобу для параметру «Супутні домішки» у зв'язку із заміною виробника продукції in bulk, відповідно до вимог референтного ЛЗ Augmentin 400mg +57 mg/5 ml POS Glaxo Smith Kline; Монографії ЕР; затверджено на термін придатності: сума: не більше 4,0%; окремі домішки: не більше 1,0 %, піразиновий етил не більше 1,0 %; запропоновано на термін придатності: амоксицилін пеніцилойні кислоти не більше 1,0%; амоксицилін пенілойні кислоти не більше 1,0%; дикетопіперазин (амоксицилін) не більше 1,0%; димерний амоксицилін не більше 1,0%; тримерний амоксицилін не більше 0,5 %; специфіковані (кислоти клавуланової) 3-етил-2,5 – біс (2-гідрокси-етил)- піразин не більше 0,5%; неспецифіковані будь-яка інша домішка (найбільша) не більше 0,2%; специфіковані і неспецифіковані сума не більше 3,0 %; не більше 4,0 %;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допустимих меж готового лікарського засобу для параметру рН у зв'язку із заміною виробника продукції in bulk, затверджено: 3,8-5,6 запропоновано:5,0-7,5.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затвердженого методу ідентифікації діючих речовин з використанням методу ВЕРХ на аналогічний метод, який використовується новим виробником «in bulk» (ВЕРХ, EP2.2.29)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методу випробування для визначення супутніх домішок з методу HPLC, Lek на метод HPLC, 2.2.29 або метод UHLC, EP 2.2.29.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методу випробування кількісного визначення діючих речовин з методу HPLC, USP на метод HPLC, 2.2.29 або метод UHLC, EP 2.2.29.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Зміни технічної характеристики скляної пляшки, яку використовує новий виробник in bulk для первинного пакування.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Внесено опис дозуючих пристроїв, які можуть бути присутні у вторинній упаковці ГЛЗ нового виробника (затверджено: dosing pipette 0.4-5 ml; запропоновано: measuring syringe 5 ml, spoon 1.25/2.5/5ml).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Зміни умов зберігання, затверджено: зберігати при температурі не вище 25◦С; запропоновано: зберігати при температурі не вище 30 ◦С відповідно до даних стабільності.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АФІ. (інші зміни). У зв'язку з заміною виробника продукцiї in bulk відбулося вилучення з розділу 3.2.S.dpm (АФІ - Амоксицілину тригідрат) інформації для виробника Лек Фармацевтична компанія д.д., Словенія. Введення змін протягом 6-ти місяців після затвердження. Зміни І типу - Зміни з якості. АФІ. (інші зміни). У зв'язку з заміною виробника продукцiї in bulk вилучення з розділу 3.2.S.dpm (АФІ - Калію клавуланат ) інформації для виробника Лек Фармацевтична компанія д.д., Словенія.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Введення оновленого сертифікату від уже затвердженого виробника Lek Lendava АФІ (кислота клавуланова у формі калієвої солі (калію клавуланат) (затверджено: R1-CEP 2003-262-Rev 02; запропоновано: R1-CEP 2003-262-Rev 03).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т.Кількісне визначення Кислота клавуланової на основі даних досліджень, вимог для референтного ЛЗ та монографії ВР «Co-amoxiclav Oral Suspension» затверджено: при випуску 57,00мг/5мл;-5%,+15% (54,15-65,55 мг/5мл); на термін придатності: 57,00мг/5мл;-5%,+15% (51,30 - 71,25 мг/5мл); запропоновано: кількісне визначення (свіжоприготована готова до вживання суспензія) : при випуску (58,0-64,1 мг/5мл); на термін придатності: (54,9-64,1 мг/5мл).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Заміна виробника продукції in bulk Лек Фармацевтична компанія д. д., Словенія (виробничій сайт у м. Превальє) на Сандоз ГмбХ - Виробнича дільниця Антиінфекційні ГЛЗ та Хімічні Операції Кундль (АІХО ГЛЗ Кундль), Австрія. Оновлення розділу 3.2.Р.1 враховуючи різний надлишок діючої речовини Кислота клавуланова ( у формі клавуланату) для діючої речовини Лек Фармацевтична компанія д. д.,Словенія (10%) та нового виробника Сандоз ГмбХ – Виробнича дільниця Антиінфекційні ГЛЗ та Хімічні Операції Кундль (АІХО ГЛЗ Кундль), Австрія (7%), Затверджено: Composition of amoksiklav 457mg/5 ml powder for oral suspension Component amount per unit (5 ml) Amoxicillin 400.00mg Clavulanic acid 57.00mg + stability overage 5.70 mg (10%). запропоновано Composition of amoxicillin + Clavulanic acid 400 mg+57mg/5 ml powder for oral suspension Component amount per unit (5 ml) Amoxicillin 400.001) mg Corresponding to 459.24 mg Amoxicillin Trigydrate Clavulanic acid 57.00 2) mg corresponding to 72.69 mg 60.99 2)3)mg Potassium Clavulanate 1)Drug substance is used in the form of Amoxicillin Trihydrate on the basis of assay 2)Drug substance is used in the form of Potassium Clavulanate on the basis of assay 3)Including a stability overage of 7% Введення змін протягом 6-ти місяців після затвердження.</w:t>
            </w:r>
          </w:p>
          <w:p w:rsidR="0045369C" w:rsidRPr="00CA4562" w:rsidRDefault="0045369C" w:rsidP="004843E9">
            <w:pPr>
              <w:jc w:val="center"/>
              <w:rPr>
                <w:rFonts w:ascii="Arial" w:hAnsi="Arial" w:cs="Arial"/>
                <w:sz w:val="16"/>
                <w:szCs w:val="16"/>
              </w:rPr>
            </w:pPr>
            <w:r w:rsidRPr="00CA4562">
              <w:rPr>
                <w:rFonts w:ascii="Arial" w:hAnsi="Arial" w:cs="Arial"/>
                <w:sz w:val="16"/>
                <w:szCs w:val="16"/>
              </w:rPr>
              <w:t>Зміни II типу - Зміни з якості. Готовий лікарський засіб. Опис та склад. Зміна у складі (допоміжних речовинах) готового лікарського засобу (інші зміни). Зміна у складі допоміжних речовин відповідно до вимог референтного ЛЗ Augmentin 400mg +57 mg/5 ml POS Glaxo Smith Kline.  Зміни внесені в інструкцію для медичного застосування лікарського засобу у розділи "Склад", "Лікарська форма" (основні фізико-хімічні властивості), "Умови зберігання", "Упаковка", як наслідок у розділі "Спосіб застосування та дози,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 xml:space="preserve">Зміни </w:t>
            </w:r>
            <w:r w:rsidRPr="00CA4562">
              <w:rPr>
                <w:rFonts w:ascii="Arial" w:hAnsi="Arial" w:cs="Arial"/>
                <w:sz w:val="16"/>
                <w:szCs w:val="16"/>
              </w:rPr>
              <w:t>II</w:t>
            </w:r>
            <w:r w:rsidRPr="00CA4562">
              <w:rPr>
                <w:rFonts w:ascii="Arial" w:hAnsi="Arial" w:cs="Arial"/>
                <w:sz w:val="16"/>
                <w:szCs w:val="16"/>
                <w:lang w:val="ru-RU"/>
              </w:rPr>
              <w:t xml:space="preserve">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Зміни допустимих меж параметру специфікації «Вміст води» у зв'язку з заміною виробника продукції «</w:t>
            </w:r>
            <w:r w:rsidRPr="00CA4562">
              <w:rPr>
                <w:rFonts w:ascii="Arial" w:hAnsi="Arial" w:cs="Arial"/>
                <w:sz w:val="16"/>
                <w:szCs w:val="16"/>
              </w:rPr>
              <w:t>in</w:t>
            </w:r>
            <w:r w:rsidRPr="00CA4562">
              <w:rPr>
                <w:rFonts w:ascii="Arial" w:hAnsi="Arial" w:cs="Arial"/>
                <w:sz w:val="16"/>
                <w:szCs w:val="16"/>
                <w:lang w:val="ru-RU"/>
              </w:rPr>
              <w:t xml:space="preserve"> </w:t>
            </w:r>
            <w:r w:rsidRPr="00CA4562">
              <w:rPr>
                <w:rFonts w:ascii="Arial" w:hAnsi="Arial" w:cs="Arial"/>
                <w:sz w:val="16"/>
                <w:szCs w:val="16"/>
              </w:rPr>
              <w:t>bulk</w:t>
            </w:r>
            <w:r w:rsidRPr="00CA4562">
              <w:rPr>
                <w:rFonts w:ascii="Arial" w:hAnsi="Arial" w:cs="Arial"/>
                <w:sz w:val="16"/>
                <w:szCs w:val="16"/>
                <w:lang w:val="ru-RU"/>
              </w:rPr>
              <w:t xml:space="preserve">», (затверджено: </w:t>
            </w:r>
            <w:r w:rsidRPr="00CA4562">
              <w:rPr>
                <w:rFonts w:ascii="Arial" w:hAnsi="Arial" w:cs="Arial"/>
                <w:sz w:val="16"/>
                <w:szCs w:val="16"/>
              </w:rPr>
              <w:t>NMT</w:t>
            </w:r>
            <w:r w:rsidRPr="00CA4562">
              <w:rPr>
                <w:rFonts w:ascii="Arial" w:hAnsi="Arial" w:cs="Arial"/>
                <w:sz w:val="16"/>
                <w:szCs w:val="16"/>
                <w:lang w:val="ru-RU"/>
              </w:rPr>
              <w:t xml:space="preserve"> 8.5 %, запропоновано: </w:t>
            </w:r>
            <w:r w:rsidRPr="00CA4562">
              <w:rPr>
                <w:rFonts w:ascii="Arial" w:hAnsi="Arial" w:cs="Arial"/>
                <w:sz w:val="16"/>
                <w:szCs w:val="16"/>
              </w:rPr>
              <w:t>NMT</w:t>
            </w:r>
            <w:r w:rsidRPr="00CA4562">
              <w:rPr>
                <w:rFonts w:ascii="Arial" w:hAnsi="Arial" w:cs="Arial"/>
                <w:sz w:val="16"/>
                <w:szCs w:val="16"/>
                <w:lang w:val="ru-RU"/>
              </w:rPr>
              <w:t xml:space="preserve"> 10.2 %), Введення змін протягом 6-ти місяців після затвердження. Зміни </w:t>
            </w:r>
            <w:r w:rsidRPr="00CA4562">
              <w:rPr>
                <w:rFonts w:ascii="Arial" w:hAnsi="Arial" w:cs="Arial"/>
                <w:sz w:val="16"/>
                <w:szCs w:val="16"/>
              </w:rPr>
              <w:t>II</w:t>
            </w:r>
            <w:r w:rsidRPr="00CA4562">
              <w:rPr>
                <w:rFonts w:ascii="Arial" w:hAnsi="Arial" w:cs="Arial"/>
                <w:sz w:val="16"/>
                <w:szCs w:val="16"/>
                <w:lang w:val="ru-RU"/>
              </w:rPr>
              <w:t xml:space="preserve">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Зміни до п. Кількісне визначення у зв’язку зі зміною показника на Кількісне визначення (свіжоприготована готова до вживання суспензія4)) вноситься зноска 4) «кількісне визначення: допустимі норми, що відносяться до тестування свіжоприготованої готової до вживання суспензії. Примітка: тестування готової для використання суспензії після 4 і 7 днів зберігання при температурі 2-8◦С проводять тільки під час розробки. Для тестування готової для використання суспензії через 4 дні та 7 днів зберігання при темературі 2-8◦С застосовують таке нормування: Амоксицилін </w:t>
            </w:r>
            <w:r w:rsidRPr="00CA4562">
              <w:rPr>
                <w:rFonts w:ascii="Arial" w:hAnsi="Arial" w:cs="Arial"/>
                <w:sz w:val="16"/>
                <w:szCs w:val="16"/>
              </w:rPr>
              <w:t>NLT</w:t>
            </w:r>
            <w:r w:rsidRPr="00CA4562">
              <w:rPr>
                <w:rFonts w:ascii="Arial" w:hAnsi="Arial" w:cs="Arial"/>
                <w:sz w:val="16"/>
                <w:szCs w:val="16"/>
                <w:lang w:val="ru-RU"/>
              </w:rPr>
              <w:t xml:space="preserve"> 360 мг/5 мл; Кислота клавуланова: </w:t>
            </w:r>
            <w:r w:rsidRPr="00CA4562">
              <w:rPr>
                <w:rFonts w:ascii="Arial" w:hAnsi="Arial" w:cs="Arial"/>
                <w:sz w:val="16"/>
                <w:szCs w:val="16"/>
              </w:rPr>
              <w:t>NLT</w:t>
            </w:r>
            <w:r w:rsidRPr="00CA4562">
              <w:rPr>
                <w:rFonts w:ascii="Arial" w:hAnsi="Arial" w:cs="Arial"/>
                <w:sz w:val="16"/>
                <w:szCs w:val="16"/>
                <w:lang w:val="ru-RU"/>
              </w:rPr>
              <w:t xml:space="preserve"> 48,5 мг/5 мл. </w:t>
            </w:r>
            <w:r w:rsidRPr="00CA4562">
              <w:rPr>
                <w:rFonts w:ascii="Arial" w:hAnsi="Arial" w:cs="Arial"/>
                <w:sz w:val="16"/>
                <w:szCs w:val="16"/>
              </w:rP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UA/15213/01/01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АМОКСИКЛАВ® КВІКТАБ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що диспергуються, 875 мг/125 мг; по 2 таблетки у блістері; по 5 або по 7 блістерів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Лек Фармацевтична компанія д.д.,Словенiя</w:t>
            </w:r>
            <w:r w:rsidRPr="00CA4562">
              <w:rPr>
                <w:rFonts w:ascii="Arial" w:hAnsi="Arial" w:cs="Arial"/>
                <w:sz w:val="16"/>
                <w:szCs w:val="16"/>
              </w:rPr>
              <w:br/>
              <w:t>(дозвіл на випуск серії; виробництво за повним циклом)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ЄФ R1-CEP 2003-262-Rev 03 (затверджений R1-CEP 2003-262-Rev 02) для АФІ Кислота клавуланова у формі калієвої солі (калію клавуланат) від вже затвердженого виробника Lek Pharmaceuticals D.D., Slovenia, як наслідок: - зміни в виробничому процесі: технологічне обладнання необхідне для кристалізації, фільтрації, сушіння та пакування клавуланату DIPEDA, буде перенесено до нової будівлі; впроваджено нове обладнання (кристалізаційна ємність, інвертована центрифуга та конічна вакуумна сушарка); - зміни в процедурах тестування: зміна опису параметрів сировинного гліцерину; перегляд специфікацій на вихідну сировину та матеріали в процесі виробництва для виробництва клавуланату калію; зміна в системі контейнер/закупорювальний засіб: впровадження альтернативної третинної упаковки кінцевої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UA/3011/04/01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АМОКСИЛ® ДТ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що диспергуються, по 500 мг, по 10 таблеток у блістері; по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ПАТ "Київмедпрепарат"</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ПАТ "Київмедпрепарат"</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"Фармакологічні властивості", "Показання" (редагування), "Протипоказання", "Особливості застосування", "Застосування у період вагітності або годування груддю", "Діти" (уточнення), "Побічні реакції" згідно з інформацією щодо медичного застосування референтного лікарського засобу (ФЛЕМОКСИН СОЛЮТАБ®, таблетки, що диспергуються по 125 мг; по 250 мг; по 500 мг; по 1000 мг).Введення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UA/12288/01/01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АНАУРАН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краплі вушні; по 25 мл у флаконі з кришкою-крапельницею; по 1 флакону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Замбон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Замбон С.П.А.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1999-184 - Rev 03 (затверджено: R1-CEP 1999-184 - Rev 02) для АФІ неоміцину сульфату від вже затвердженого виробника PHARMACIA &amp; UPJOHN COMPANY, USA, та, як наслідок, уточнення у адресі та назві виробника (стало: PHARMACIA &amp; UPJOHN COMPANY LLC, USA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UA/11664/01/01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АРГЕДИН БОСНАЛЕК®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крем 1 % по 40 г у тубах;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Босналек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Боснiя i Герцеговина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Босналек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Боснія і Герцеговина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Супутня зміна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Зміни з якості. Готовий лікарський засіб. Система контейнер/закупорювальний засіб (інші зміни) перенесення виробництва рідких та напівтвердих лікарських форм з виробничої дільниці 1 на виробничу дільницю 2, що розташована за тією ж самою адресою: 71000, Сараєво, Юкічева, 53, Боснія і Герцоговина. Як наслідок зміни місця виробництва: - збільшення розміру серії ГЛЗ з 240 кг (6 000 туб) на 480 кг (12 000 туб); - незначні зміни у виробничому процесі, зміни допустимих меж параметрів технологічного процесу; - незначне збільшення розміру вторинної упаковки (картонної коробки) з 147 х 37 х 30 мм на 147 х 37,5 х 30 мм.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UA/4768/01/01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АТЕНАТИВ 1000 МО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та розчинник для розчину для інфузій, 50 МО/мл; 1 флакон з порошком (1000 МО) та 1 флакон з розчинником (20 мл) в картонній коробці з маркуванням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 Браун Медікал, С.А., Іспанiя (виробництво розчинника); Октафарма АБ, Швеція (виробництво від плазми до in bulk продукту, первинна упаковка та маркування порошку для розчину для інфузій, випуск серії кінцевого продукту (порошок для розчину для інфузій та розчинник)); Октафарма Дессау ГмбХ, Німеччина (випробування щодо візуального контролю, перевірки цілісності для порошку для розчину для інфузій, маркування, вторинне пакування кінцевого продукту (порошок для розчину для інфузій та розчинник)); Октафарма Фармацевтика Продуктіонсгес м.б.Х., Австрія (випробування щодо візуального контролю, перевірки цілісності для порошку для розчину для інфузій); Солюфарм Фармацойтіше Ерцойгніссе ГмбХ, Німеччина (виробництво розчинника)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Іспанiя/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Оновлено план управління ризиками, версія 03.4. Резюме плану управління ризиками версія 03.4 додається. Заявником надано оновлений план управління ризиками версія 03.4. Зміни внесено до частин: І «Загальна інформація», II «Специфікація з безпеки», ІІІ «План з фармаконагляду», V «Заходи з мінімізації ризиків», VI «Резюме плану управління ризиками», VII «Додатки» у зв’язку з оновленням структури ПУРа відповідно до рекомендацій Guideline on good pharmacovigilance practices (GVP) Module V – Risk management systems (Rev 2).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UA/17557/01/02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АТЕНАТИВ 500 МО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та розчинник для розчину для інфузій, 50 МО/мл; 1 флакон з порошком (500 МО) та 1 флакон з розчинником (10 мл) в картонній коробці з маркуванням українською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Октафарма Фармацевтика Продуктіонсгес.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 Браун Медікал, С.А., Іспанiя (виробництво розчинника); Октафарма АБ, Швеція (виробництво від плазми до in bulk продукту, первинна упаковка та маркування порошку для розчину для інфузій, випуск серії кінцевого продукту (порошок для розчину для інфузій та розчинник)); Октафарма Дессау ГмбХ, Німеччина (випробування щодо візуального контролю, перевірки цілісності для порошку для розчину для інфузій, маркування, вторинне пакування кінцевого продукту (порошок для розчину для інфузій та розчинник)); Октафарма Фармацевтика Продуктіонсгес м.б.Х., Австрія (випробування щодо візуального контролю, перевірки цілісності для порошку для розчину для інфузій); Солюфарм Фармацойтіше Ерцойгніссе ГмбХ, Німеччина (виробництво розчинника)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Іспанiя/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Оновлено план управління ризиками, версія 03.4. Резюме плану управління ризиками версія 03.4 додається. Заявником надано оновлений план управління ризиками версія 03.4. Зміни внесено до частин: І «Загальна інформація», II «Специфікація з безпеки», ІІІ «План з фармаконагляду», V «Заходи з мінімізації ризиків», VI «Резюме плану управління ризиками», VII «Додатки» у зв’язку з оновленням структури ПУРа відповідно до рекомендацій Guideline on good pharmacovigilance practices (GVP) Module V – Risk management systems (Rev 2).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UA/17557/01/01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 xml:space="preserve">АТОРВАСТАТИН–ДАРНИЦЯ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оболонкою, по 10 мг; по 10 таблеток у контурній чарунковій упаковці; по 3 контурні чарункові упаковки у пачці; по 14 таблеток у контурній чарунковій упаковці; по 2 контурні чарункові упаковки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Зміна у параметрах специфікації, а саме вилучення показника «Важкі метали».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Внесено незначні зміни та уточнення до розділу "Мікробіологічна чистота", а саме посилання на діюче видання ЄФ, без зміни нормування та методики контролю якості.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редакційних правок та уточнень до розділу «Енантіомерна чистота» відповідно до вимог матеріалів фірми-виробника, рекомендацій ДФУ та Європейської фармакопеї.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Новий сертифікат від вже затвердженого виробника АФІ Аторвастатин кальцію Biocon Limited, India CEP №R1-СЕР 2011-009-Rev 02, як наслідок вносяться зміни до вхідного контролю на діючу речовину до розділі «Супровідні домішки», «Залишкова кількість органічних розчинників», внесено новий показник «Оцтова кислота» та «термін придатності-3 роки» змінено на «термін переконтролю-2 роки».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UA/15437/01/01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 xml:space="preserve">АТОРВАСТАТИН–ДАРНИЦЯ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оболонкою, по 20 мг; по 10 таблеток у контурній чарунковій упаковці; по 3 контурні чарункові упаковки у пачці; по 14 таблеток у контурній чарунковій упаковці; по 2 контурні чарункові упаковки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Зміна у параметрах специфікації, а саме вилучення показника «Важкі метали».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Внесено незначні зміни та уточнення до розділу "Мікробіологічна чистота", а саме посилання на діюче видання ЄФ, без зміни нормування та методики контролю якості.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редакційних правок та уточнень до розділу «Енантіомерна чистота» відповідно до вимог матеріалів фірми-виробника, рекомендацій ДФУ та Європейської фармакопеї.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Новий сертифікат від вже затвердженого виробника АФІ Аторвастатин кальцію Biocon Limited, India CEP №R1-СЕР 2011-009-Rev 02, як наслідок вносяться зміни до вхідного контролю на діючу речовину до розділі «Супровідні домішки», «Залишкова кількість органічних розчинників», внесено новий показник «Оцтова кислота» та «термін придатності-3 роки» змінено на «термін переконтролю-2 роки».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UA/15437/01/02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АТОРИС®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10 мг по 10 таблеток у блістері, по 3 або по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 Кемілаб д.о.о., Словенія</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вовчакового синдрому.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розриву м'язів.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щодо ризику розвитку рабдоміолізу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"Діти" (редагування), "Побічні реакції"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UA/5302/01/02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АТОРИС®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20 мг по 10 таблеток у блістері, по 3 або по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 Кемілаб д.о.о., Словенія</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вовчакового синдрому.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розриву м'язів.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щодо ризику розвитку рабдоміолізу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"Діти" (редагування), "Побічні реакції"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UA/5302/01/03</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АТОРИС®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30 мг, по 10 таблеток у блістері; по 3 або по 6, або по 9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 Кемілаб д.о.о., Словенія</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вовчакового синдрому.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розриву м'язів.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щодо ризику розвитку рабдоміолізу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"Діти" (редагування), "Побічні реакції"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UA/8671/01/02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АТОРИС®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40 мг по 10 таблеток у блістері, по 1 або по 3 або по 9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 Кемілаб д.о.о., Словенія</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вовчакового синдрому.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розриву м'язів.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щодо ризику розвитку рабдоміолізу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"Діти" (редагування), "Побічні реакції"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UA/8671/01/01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АТОРИС®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60 мг, по 10 таблеток у блістері; по 3 або по 6, або по 9 блістерів в картонній коробціі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 Кемілаб д.о.о., Словенія</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вовчакового синдрому.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розриву м'язів.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щодо ризику розвитку рабдоміолізу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"Діти" (редагування), "Побічні реакції"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UA/8671/01/03</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АТОРИС®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80 мг, по 10 таблеток у блістері; по 3 або по 6, або по 9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 Кемілаб д.о.о., Словенія</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"Спосіб застосування та дози"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вовчакового синдрому.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розділи "Побічні реакції" відповідно до оновленої інформації з безпеки діючої речовини щодо розриву м'язів.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щодо ризику розвитку рабдоміолізу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"Діти" (редагування), "Побічні реакції" згідно з інформацією щодо медичного застосування референтного лікарського засобу (Ліпримар®, таблетки, вкриті плівковою оболонкою, по 10 мг, 20 мг, по 40 мг, 80 мг).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UA/8671/01/04</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АЦЕРБІН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мазь по 30 г або 100 г мазі в тубі; по 1 тубі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Фармацеутіше фабрік Монтавіт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Фармацеутіше фабрік Монтавіт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Dr. Eva Maizner. Пропонована редакція: Dr. Barbara Posch. Зміна контактних даних уповноваженої особи заявника,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UA/15260/01/01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 xml:space="preserve">БАРАТОН®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по 5 мг; по 14 таблеток у блістері, по 2 або 6 блістерів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"ГЛЕДФАРМ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додаткових розмірів серії ГЛЗ. Затверджено: Дозування 5 мг: 100 000 таблеток Запропоновано: Дозування 5 мг: 100 000 таблеток 300 000 таблеток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UA/18781/01/01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 xml:space="preserve">БАРАТОН®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по 10 мг; по 14 таблеток у блістері, по 2 або 6 блістерів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"ГЛЕДФАРМ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додаткових розмірів серії ГЛЗ. Затверджено: Дозування 10 мг: 100 000 таблеток Запропоновано: Дозування 10 мг: 100 000 таблеток 150 000 таблеток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UA/18781/01/02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БІОСЕПТ 70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зовнішнього застосування 70 % по 100 мл у флаконах або банках скляних; по 1 л у каністрах полімерних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"Українська фармацевтична компанія"</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"Біолік"</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введення додаткового типу упаковки – каністри полімерної. </w:t>
            </w:r>
            <w:r w:rsidRPr="00CA4562">
              <w:rPr>
                <w:rFonts w:ascii="Arial" w:hAnsi="Arial" w:cs="Arial"/>
                <w:sz w:val="16"/>
                <w:szCs w:val="16"/>
              </w:rPr>
              <w:br/>
              <w:t>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маси/об'єму вмісту контейнера багатодозового лікарського засобу для непарентерального застосування (або однодозового, часткового використання)) введення додаткового розміру упаковки 1 л обумовлено вимогою споживачів. Діюча редакція: по 100 мл у флаконах або банках; Пропонована редакція: по 100 мл у флаконах або банках скляних; по 1 л у каністрах полімерних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UA/13166/01/02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БОРНА МАЗЬ 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мазь 5 %; по 25 г у тубах; по 25 г у тубі; по 1 тубі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"Тернофарм"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ТОВ "Тернофарм"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Внесення додаткового виробника активної субстанції кислоти борної «SUJATA CHEMICALS», Індія (затверджено: ЗАТ «ГКХ Бор», Російська Федерація; запропоновано: ЗАТ «ГКХ Бор», Російська Федерація; «SUJATA CHEMICALS»,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UA/8718/01/01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БОРОМЕНТОЛ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мазь по 25 г у тубі алюмінієвій; по 1 тубі в пачці з картону; по 25 г у тубах алюмінієвих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"Тернофарм"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"Тернофарм"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Внесення додаткового виробника активної субстанції кислоти борної «SUJATA CHEMICALS», Індія з наданням мастер-файла на АФІ, (затверджено:ЗАТ « ГХК Бор», Російська федерація запропоновано: ЗАТ « ГХК Бор», Російська федерація; «SUJATA CHEMICALS»,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UA/8619/01/01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БОТОКС® КОМПЛЕКС БОТУЛІНІЧНОГО ТОКСИНУ ТИПУ А (ВІД CLOSTRIDIUM BOTULINUM)</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розчину для ін'єкцій по 100 одиниць-Аллерган або по 200 одиниць-Аллерган; 1 флакон з порошком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Аллерган Фармасьютікалз Ірландія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Ірландiя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Аллерган Фармасьютікалз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Ірландія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(ПУР) версія 9.2. Зміни внесено до частин: II «Специфікація з безпеки», VII «Додатки»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UA/16656/01/01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БРАЙДАН®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100 мг/мл, по 2 мл у флаконі; по 10 флаконів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Мерк Шарп і Доум ІДЕА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нерозфасованої продукції, первинне пакування, контроль серії в первинному пакуванні та під час випробувань стабільності: Патеон Мануфекчурінг Сервісез Ел. Ел. Сі., США; Виробництво за повним циклом, включаючи дозвіл на випуск серії: Н.В. Органон, Нідерланди; тестування стабільності* (*тестування цілісності закриття контейнера для виробничої дільниці Patheon Manufacturing Services LLC, USA): Вест Аналітікал Сервісез, США</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Нідерланди</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План управління ризиками версія 8.0. Зміни внесені до усіх частин Плану управління ризиками у зв’язку з завершенням клінічних досліджень PN089, PN146, PN145 та імплементації ПУР до структури відповідно до GVP Module V Rev 2.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UA/10458/01/01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ВЕРОШПІРОН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по 50 мг по 10 капсул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ВАТ "Гедеон Ріхтер"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CA4562">
              <w:rPr>
                <w:rFonts w:ascii="Arial" w:hAnsi="Arial" w:cs="Arial"/>
                <w:sz w:val="16"/>
                <w:szCs w:val="16"/>
              </w:rPr>
              <w:br/>
              <w:t>Подання оновленого Сертифікату відповідності: R1-CEP 2000-005-Rev 05 (попередня версія R1-CEP 2000-005-Rev 04) на АФІ cпіронолактон мікронізований від вже затвердженого виробника Gedeon Richter Plc.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R1-CEP 2003-175-Rev 05 (попередня версія R1-CEP 2003-175-Rev 04) на АФІ cпіронолактон від вже затвердженого виробника Zhejiang Shenzhou Pharmaceutical Cо. Ltd Як наслідок, в рамках даної зміни EDQM було схвалено зміни в Специфікації діючої речовини, а саме: параметр «Хром» було виключено із Специфікації.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сертифікату відповідності Європейській фармакопеї № R1-CEP 2004-203-Rev 01 від нового виробника Zhejiang Langhua Pharmaceutical Co., LTD. активної речовини спіронолактону.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внесення змін до специфікації, а саме- до показника «Втрати при сушінні», у зв’язку з приведенням до Європейської фармакопеї. Внаслідок вищезгаданих змін посилання на виробника Zhejiang Shenzhou було видалено з виноски специфікації активної речовини в документації виробника готової продукції Gedeon Richter Plc. Посилання на метод ідентифікації аналітичної процедури IR для активної речовини в документації виробника готової продукції Gedeon Richter Plc. було замінено з № C5-00-02 на No C5-00-01. Єдина відмінність між методами полягає в тому, що посилання на недійсну версію Російської фармакопеї було видалено. Як наслідок, зміни в специфікації діючої речовини, а саме-зміна посилання на метод виробника (кодування) та відповідно номер специфікації. Критерії прийнятності залишилися незмінними. Затверджено Показник «Втрата в масі при сушінні» Посилання на метод виробника (кодування) 1-00273-Е3-06-01 Показник «IR spectrum» Посилання на метод виробника (кодування) С5-00-02 Номер специфікації No. 1-00273-Q6-01-04 Запропоновано Показник «Втрата в масі при сушінні» Посилання на метод виробника (кодування) 1-00273-Е3-06-02 Показник «IR spectrum» Посилання на метод виробника (кодування) С5-00-01 Номер специфікації No. 1-00273-Q1-06-01.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(Б.I.б.1. (в) ІА)</w:t>
            </w:r>
            <w:r w:rsidRPr="00CA4562">
              <w:rPr>
                <w:rFonts w:ascii="Arial" w:hAnsi="Arial" w:cs="Arial"/>
                <w:sz w:val="16"/>
                <w:szCs w:val="16"/>
              </w:rPr>
              <w:br/>
              <w:t xml:space="preserve">зміни у параметрах специфікації активної речовини виробника Zhejiang Shenzhou Pharmaceutical Cо. Ltd, а саме: доповнення специфікації новим показником якості та відповідним методом випробування - додавання параметра «Мікробіологічна чистота». Як наслідок, зміна • номеру специфікації активної речовини виробника Zhejiang Shenzhou Pharmaceutical Cо. Ltd, • з документації виробника активної речовини Zhejiang Shenzhou видалені всі розділи, які містять тільки посилання на CEP і не містять ніякої додаткової інформації. Розділи 3.2.S.2.1 і 3.2.S.7.1 також вилучені, тому що виробничі майданчики, період повторних випробувань і умови зберігання включені в CEP. Відповідне керівництво - це Керівництво по зведенню вимог до активних речовин в частині якості досьє CHMP/QWP/297/97 Rev 1 Corr, EMEA/CVMP/1069/02.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частоти тестування параметра специфікації, а саме зміна частоти тестування показника «Мікробіологічна чистота». Як наслідок, зміна номеру специфікації активної речовини виробника Також, з документації виробника активної речовини Gedeon Richter видалено всі розділи, які містять лише посилання на CEP та не містять жодної додаткової інформації. Розділи 3.2.S.2.1 та 3.2.S.7.1 також видаляються, оскільки виробничі майданчики, період повторного тестування та умови зберігання включені до CEP. Відповідним керівництвом є Настанова щодо короткого викладу вимог до активних речовин у частині якості досьє CHMP/QWP/297/97 Rev 1 Corr, EMEA/CVMP/1069/02. Затверджено Мікробіологічна чистота??? ? ? ?Одна серія на кожну виробничу кампанію, але принаймні одна серія на рік, протестована на момент випуску Затверджена специфікація No. 1-00273-Q6-01-04 Запропоновано </w:t>
            </w:r>
            <w:r w:rsidRPr="00CA4562">
              <w:rPr>
                <w:rFonts w:ascii="Arial" w:hAnsi="Arial" w:cs="Arial"/>
                <w:sz w:val="16"/>
                <w:szCs w:val="16"/>
              </w:rPr>
              <w:br/>
              <w:t xml:space="preserve">Мікробіологічна чистота??? ? Тестується принаймні одна серія на рік Пропонована специфікація No. 1-00273-Q1-06-01 </w:t>
            </w:r>
            <w:r w:rsidRPr="00CA4562">
              <w:rPr>
                <w:rFonts w:ascii="Arial" w:hAnsi="Arial" w:cs="Arial"/>
                <w:sz w:val="16"/>
                <w:szCs w:val="16"/>
              </w:rPr>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CA4562">
              <w:rPr>
                <w:rFonts w:ascii="Arial" w:hAnsi="Arial" w:cs="Arial"/>
                <w:sz w:val="16"/>
                <w:szCs w:val="16"/>
              </w:rPr>
              <w:br/>
              <w:t xml:space="preserve">Внесення незначних змін у затверджені методи випробування, а саме-тест «Супутні домішки». Як наслідок, в специфікації діючої речовини зміна посилання на метод виробника (кодування) та відповідно номер специфікації. Критерії прийнятності залишилися незмінними. У документацію виробника готового продукту було внесено деякі невеликі зміни для «Супутніх домішок» для активної речовини: · Додана можливість використання речовини для ідентифікації домішок для ідентифікації придатності системи. · Додано детальний процес приготування розчину щодо придатності системи. · Допускається використання альтернативних колонок · Розчин для визначення чутливості був включений разом з його критерієм прийнятності та стабільністю розчину. · Метод був доповнений двома додатковими критеріями придатності системи, що відповідають зміні чинного регламенту. · Додана запропонована послідовність випробувань. Критерії прийняття та сам метод не змінилися.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UA/2775/01/01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ВЕРОШПІРОН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по 100 мг по 10 капсул у блістері; по 3 блістери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ВАТ "Гедеон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CA4562">
              <w:rPr>
                <w:rFonts w:ascii="Arial" w:hAnsi="Arial" w:cs="Arial"/>
                <w:sz w:val="16"/>
                <w:szCs w:val="16"/>
              </w:rPr>
              <w:br/>
              <w:t>Подання оновленого Сертифікату відповідності: R1-CEP 2000-005-Rev 05 (попередня версія R1-CEP 2000-005-Rev 04) на АФІ cпіронолактон мікронізований від вже затвердженого виробника Gedeon Richter Plc.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R1-CEP 2003-175-Rev 05 (попередня версія R1-CEP 2003-175-Rev 04) на АФІ cпіронолактон від вже затвердженого виробника Zhejiang Shenzhou Pharmaceutical Cо. Ltd Як наслідок, в рамках даної зміни EDQM було схвалено зміни в Специфікації діючої речовини, а саме: параметр «Хром» було виключено із Специфікації.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сертифікату відповідності Європейській фармакопеї № R1-CEP 2004-203-Rev 01 від нового виробника Zhejiang Langhua Pharmaceutical Co., LTD. активної речовини спіронолактону.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внесення змін до специфікації, а саме- до показника «Втрати при сушінні», у зв’язку з приведенням до Європейської фармакопеї. Внаслідок вищезгаданих змін посилання на виробника Zhejiang Shenzhou було видалено з виноски специфікації активної речовини в документації виробника готової продукції Gedeon Richter Plc. Посилання на метод ідентифікації аналітичної процедури IR для активної речовини в документації виробника готової продукції Gedeon Richter Plc. було замінено з № C5-00-02 на No C5-00-01. Єдина відмінність між методами полягає в тому, що посилання на недійсну версію Російської фармакопеї було видалено. Як наслідок, зміни в специфікації діючої речовини, а саме-зміна посилання на метод виробника (кодування) та відповідно номер специфікації. Критерії прийнятності залишилися незмінними. Затверджено Показник «Втрата в масі при сушінні» Посилання на метод виробника (кодування) 1-00273-Е3-06-01 Показник «IR spectrum» Посилання на метод виробника (кодування) С5-00-02 Номер специфікації No. 1-00273-Q6-01-04 Запропоновано Показник «Втрата в масі при сушінні» Посилання на метод виробника (кодування) 1-00273-Е3-06-02 Показник «IR spectrum» Посилання на метод виробника (кодування) С5-00-01 Номер специфікації No. 1-00273-Q1-06-01.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(Б.I.б.1. (в) ІА)</w:t>
            </w:r>
            <w:r w:rsidRPr="00CA4562">
              <w:rPr>
                <w:rFonts w:ascii="Arial" w:hAnsi="Arial" w:cs="Arial"/>
                <w:sz w:val="16"/>
                <w:szCs w:val="16"/>
              </w:rPr>
              <w:br/>
              <w:t xml:space="preserve">зміни у параметрах специфікації активної речовини виробника Zhejiang Shenzhou Pharmaceutical Cо. Ltd, а саме: доповнення специфікації новим показником якості та відповідним методом випробування - додавання параметра «Мікробіологічна чистота». Як наслідок, зміна • номеру специфікації активної речовини виробника Zhejiang Shenzhou Pharmaceutical Cо. Ltd, • з документації виробника активної речовини Zhejiang Shenzhou видалені всі розділи, які містять тільки посилання на CEP і не містять ніякої додаткової інформації. Розділи 3.2.S.2.1 і 3.2.S.7.1 також вилучені, тому що виробничі майданчики, період повторних випробувань і умови зберігання включені в CEP. Відповідне керівництво - це Керівництво по зведенню вимог до активних речовин в частині якості досьє CHMP/QWP/297/97 Rev 1 Corr, EMEA/CVMP/1069/02.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частоти тестування параметра специфікації, а саме зміна частоти тестування показника «Мікробіологічна чистота». Як наслідок, зміна номеру специфікації активної речовини виробника Також, з документації виробника активної речовини Gedeon Richter видалено всі розділи, які містять лише посилання на CEP та не містять жодної додаткової інформації. Розділи 3.2.S.2.1 та 3.2.S.7.1 також видаляються, оскільки виробничі майданчики, період повторного тестування та умови зберігання включені до CEP. Відповідним керівництвом є Настанова щодо короткого викладу вимог до активних речовин у частині якості досьє CHMP/QWP/297/97 Rev 1 Corr, EMEA/CVMP/1069/02. Затверджено Мікробіологічна чистота??? ? ? ?Одна серія на кожну виробничу кампанію, але принаймні одна серія на рік, протестована на момент випуску Затверджена специфікація No. 1-00273-Q6-01-04 Запропоновано </w:t>
            </w:r>
            <w:r w:rsidRPr="00CA4562">
              <w:rPr>
                <w:rFonts w:ascii="Arial" w:hAnsi="Arial" w:cs="Arial"/>
                <w:sz w:val="16"/>
                <w:szCs w:val="16"/>
              </w:rPr>
              <w:br/>
              <w:t xml:space="preserve">Мікробіологічна чистота Тестується принаймні одна серія на рік Пропонована специфікація No. 1-00273-Q1-06-01 </w:t>
            </w:r>
            <w:r w:rsidRPr="00CA4562">
              <w:rPr>
                <w:rFonts w:ascii="Arial" w:hAnsi="Arial" w:cs="Arial"/>
                <w:sz w:val="16"/>
                <w:szCs w:val="16"/>
              </w:rPr>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CA4562">
              <w:rPr>
                <w:rFonts w:ascii="Arial" w:hAnsi="Arial" w:cs="Arial"/>
                <w:sz w:val="16"/>
                <w:szCs w:val="16"/>
              </w:rPr>
              <w:br/>
              <w:t xml:space="preserve">Внесення незначних змін у затверджені методи випробування, а саме-тест «Супутні домішки». Як наслідок, в специфікації діючої речовини зміна посилання на метод виробника (кодування) та відповідно номер специфікації. Критерії прийнятності залишилися незмінними. У документацію виробника готового продукту було внесено деякі невеликі зміни для «Супутніх домішок» для активної речовини: · Додана можливість використання речовини для ідентифікації домішок для ідентифікації придатності системи. · Додано детальний процес приготування розчину щодо придатності системи. · Допускається використання альтернативних колонок · Розчин для визначення чутливості був включений разом з його критерієм прийнятності та стабільністю розчину. · Метод був доповнений двома додатковими критеріями придатності системи, що відповідають зміні чинного регламенту. · Додана запропонована послідовність випробувань. Критерії прийняття та сам метод не змінилися.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UA/2775/01/02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ВИДАНОЛ®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оболонкою, по 500 мг по 10 таблеток у блістері; по 3 або по 6 блістерів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"ГЛЕДФАРМ ЛТД"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КУСУМ ХЕЛТХКЕР ПВТ ЛТД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Затверджено: КУСУМ ХЕЛТХКЕР ПВТ ЛТД, Індія. Запропановано: ТОВ «ГЛЕДФАРМ ЛТД» Україна.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w:t>
            </w:r>
            <w:r w:rsidRPr="00CA4562">
              <w:rPr>
                <w:rFonts w:ascii="Arial" w:hAnsi="Arial" w:cs="Arial"/>
                <w:sz w:val="16"/>
                <w:szCs w:val="16"/>
              </w:rPr>
              <w:br/>
              <w:t>Діюча редакція: Dr. Sanjay Kumar Mishra. Пропонована редакція: Призимирська Тамара Володимирівна.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UA/14215/01/01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ВОЛЮЛАЙТ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розчин для інфузій; по 250 або 500 мл у мішку freeflex; </w:t>
            </w:r>
            <w:r w:rsidRPr="00CA4562">
              <w:rPr>
                <w:rFonts w:ascii="Arial" w:hAnsi="Arial" w:cs="Arial"/>
                <w:sz w:val="16"/>
                <w:szCs w:val="16"/>
              </w:rPr>
              <w:br/>
              <w:t>по 250 або 500 мл у мішку freeflex; по 20 або 30 мішків freeflex в груповій коробці із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Фрезеніус Кабі Дойчланд ГмбХ</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Фрезеніус Кабі Дойчланд ГмбХ</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уточнення формулювання комплектності вже затверджених упаковок в реєстраційних матеріалах (МКЯ ЛЗ; РП) Затверджено: Р. Упаковка. Мішок freeflex по 250 або 500 мл. По 20, 30 мішків freeflex разом з інструкцією для медичного застосування в груповій коробці із картону. Запропоновано: Мішок freeflex по 250 або 500 мл разом з необхідною кількістю інструкцією для медичного застосування. Мішок freeflex по 250 або 500 мл. По 20, 30 мішків freeflex разом з необхідною кількістю інструкцією для медичного застосування в груповій коробці із картону. Зміни внесено в інструкцію для медичного застосування лікарського засобу у розділ «Упаковка».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UA/14192/01/01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ГЕЛЬМІНТОКС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суспензія оральна, 125 мг/2,5 мл по 15 мл у флаконі по 1 флакону з мірною ложкою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Лабораторія Іннотек Інтернасьйональ</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відповідальний за контроль та випуск серії: Іннотера Шузі, Франція; Виробник, відповідальний за виробництво in bulk та пакування: Тепеньє Фарма &amp; Косметікс, Франція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Франція </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Зазначення виробників та їх відповідальності у виробничому процесі в реєстраційному посвідченні та МКЯ (на титульному листі).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UA/10172/01/01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ГЕМАКСАМ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50 мг/мл по 5 мл в ампулі, по 10 або 50 ампул у пачці з картону, по 10 мл в ампулі, по 5 або 10 ампул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«ФАРМАСЕЛ»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Контроль, випуск серії: ТОВ «ФАРМАСЕЛ», Україна; Вторинна упаковка, контроль: ХОЛОПАК Ферпакунгстехнік ГмбХ, Німеччина; Виробництво нерозфасованої продукції, первинна та вторинна упаковка, контроль: ХОЛОПАК Ферпакунгстехнік ГмбХ, Німеччина</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Проценко Галина Анатоліївна.</w:t>
            </w:r>
            <w:r w:rsidRPr="00CA4562">
              <w:rPr>
                <w:rFonts w:ascii="Arial" w:hAnsi="Arial" w:cs="Arial"/>
                <w:sz w:val="16"/>
                <w:szCs w:val="16"/>
              </w:rPr>
              <w:br/>
              <w:t>Пропонована редакція: Супрун Едуард Володимирович. Зміна контактних даних уповноваженої особи, відповідальної за фармаконагляд. Зміна номера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UA/13418/01/01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ГЕПАЦЕФ КОМБІ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розчину для ін'єкцій по 1,0/1,0 г; по 2,0 г у флаконі; по 1 флакону в пачці; по 2,0 г у флаконі; по 10 флаконів у контурній чарунковій упаковці; по 1 контурній чарунковій упаковці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ПАТ "Київмедпрепарат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ПАТ "Київмедпрепарат"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внесені до інструкції для медичного застосування лікарського засобу у розділи: "Фармакологічні властивості", "Протипоказання", "Особливості застосування", "Побічні реакції" згідно з інформацією щодо медичного застосування референтного лікарського засобу (СУЛЬПЕРАЗОН®, порошок для розчину для ін’єкцій по 1000 мг/1000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UA/10752/01/01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ГІДРОХЛОРТІАЗИД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25 мг, по 10 таблеток у блістері; по 2 блістери в пачці; по 20 таблеток у блістері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за повним циклом: Публічне акціонерне товариство "Науково-виробничий центр "Борщагівський хіміко-фармацевтичний завод", Україна; виробництво, пакування, випуск серій: Товариство з обмеженою відповідальністю "Агрофарм", Україна; контроль серій: Товариство з обмеженою відповідальністю "Натур+",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вилучення зі специфікації проміжного продукту на стадії "Маса для таблетування" показника "Якість просіювання та змішування". Відповідно р. 3.2.Р.3.3. Опис виробничого процесу та контролю на стадії "ДР 2. Підготова сировини" проводять розтарювання та просіювання, що входить до складу препарату. На цій стадії проводять візуальний контроль якості просіювання (однорідність, відсутність грудочок). На стадії "ТП 3.4. Сухе гранулювання" проводять суху грануляцію (калібрування маси через сито з відповідним розміром отворів), а на операції "ТП 3.5.Опудрювання" лише додають опудрюючі речовини, попередньо просіяні на ДР 2 та проводять змішування;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внесення змін до специфікації проміжного продукту на стадії "Маса для таблетування", зокрема: за показником "Опис"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UA/6721/01/01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ГІКАМТИН™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тверді по 0,25 мг; по 10 капсул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ГлаксоСмітКляйн Мануфактуринг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6.0. Зміни внесені до частин І «Загальна інформація», ІІ «Специфікація з безпеки» (Модулі SI, SII, SIII, SIV, SV, SVI, SVII, SVII), ІІІ «План з фармаконагляду», IV План щодо післяреєстраційних досліджень ефективності, V «Заходи з мінімізації ризиків», VI «Резюме плану управління ризиками», VII «Додатки» у зв’язку з рекомендаціями PRAC на підставі інформації наданої у періодично оновлюваному звіті з безпеки (PSUR).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UA/9121/02/01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ГІКАМТИН™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тверді по 1 мг; по 10 капсул 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ГлаксоСмітКляйн Мануфактуринг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6.0. Зміни внесені до частин І «Загальна інформація», ІІ «Специфікація з безпеки» (Модулі SI, SII, SIII, SIV, SV, SVI, SVII, SVII), ІІІ «План з фармаконагляду», IV План щодо післяреєстраційних досліджень ефективності, V «Заходи з мінімізації ризиків», VI «Резюме плану управління ризиками», VII «Додатки» у зв’язку з рекомендаціями PRAC на підставі інформації наданої у періодично оновлюваному звіті з безпеки (PSUR).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UA/9121/02/02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ГЛІЯТОН®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м’які по 400 мг, по 10 капсул у блістері; по 3 або 6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(доповнення або заміна випробування в процесі виробництва за результатами досліджень з безпеки або якості) - внесення змін до контролю під час виробництва готового лікарського засобу, зокрема: зазначення проведення контролю показника "Якість шва оболонки" капсул з капсульної машини для валідаційних серій препарату.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UA/14536/01/01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ДАРІЛІЯ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3 мг/0,02 мг, по 28 (24+4) таблеток у блістері; по 1 (1х24+4) або по 3 (3х24+4) блістери разом з пласким картонним футляром для зберігання блістера, тижневим календарем-стікером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ВАТ "Гедеон Ріхтер"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ВАТ "Гедеон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(R1-СЕР 2001-400-Rev 02) від уже затвердженого виробника ВАТ «Гедеон Ріхтер», Угорщина (Gedeon Richter Plc., Hungary) на АФІ – етинілестрадіол (затверджений СЕР: R1-СЕР 2001-400-Rev 01);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Зменшення - зменшення періоду повторних випробувань АФІ Ethinylestradiol micronized (затверджено: 2 роки; запропоновано: 1 рік);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Більш жорсткі умови зберігання - зміна умов зберігання АФІ Ethinylestradiol micronized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UA/11801/01/01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ДИГОКСИН-ЗДОРОВ'Я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0,25 мг по 10 таблеток у блістері; по 5 блістерів у картонній коробці; по 50 таблеток у блістері; по 1 блістеру в картонній коробці, по 50 таблеток у блістерах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Товариство з обмеженою відповідальністю "Фармацевтична компанія "Здоров'я"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2010-298-Rev 01 (затверджено: R1-CEP 2010-298-Rev 00) для АФІ Дигоксину від DECCAN NUTRACEUTICALS PVT LTD (PART OF ALKALOIDS CORPORATION), Індія, унаслідок уточнення діючої методики визначення показника “Залишкові кількості органічних розчинників”; додавання альтернативної методики визначення показника “Залишкові кількості органічних розчинників”; внесення показника “Розмір частинок” до СЕР; уточнення періоду проведення переконтролю субстанції (стало: Для мікронізованої субстанції 2 роки; Для немікронізованої субстанції 3 роки).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2010-042-Rev 04 (затверджено: R1-CEP 2010-042-Rev 00) для АФІ Дигоксину від затвердженого виробника NOBILUS ENT, Poland, унаслідок уточнення адреси виробника та уточнення у інформації щодо вторинного пакування.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та методів вхідного контролю АФІ Дигоксину показником «Розмір часток» згідно документації виробника АФІ. Процес виробництва та схема синтезу АФІ залишаються незмінними.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UA/4231/01/01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ДІОКОР 160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плівковою оболонкою, по 160 мг/12,5 мг по 10 таблеток в блістері; по 1, по 3, по 4 або по 9 блістерів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"Фарма Старт"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CA4562">
              <w:rPr>
                <w:rFonts w:ascii="Arial" w:hAnsi="Arial" w:cs="Arial"/>
                <w:sz w:val="16"/>
                <w:szCs w:val="16"/>
              </w:rPr>
              <w:br/>
              <w:t>внесення змін до матеріалів реєстраційного досьє на ЛЗ ДІОКОР 80, ДІОКОР 160, у зв'язку з отриманням оновленого сертифікату відповідності Європейській фармакопеї від діючого виробника АФІ гідрохлоротіазид CHANGZHOU PHARMACEUTICAL FACTORY,China (№ R1-CEP 2006-011-Rev 02) замість зареєстрованого раніше СЕР № R1-CEP 2006-011-Rev 01. Специфікація та методи контролю АФІ залишились без змін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UA/8318/01/01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ДІОКОР 80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плівковою оболонкою, по 80 мг/12,5 мг по 10 таблеток в блістері; по 1, по 3, по 4 або по 9 блістерів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"Фарма Старт"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CA4562">
              <w:rPr>
                <w:rFonts w:ascii="Arial" w:hAnsi="Arial" w:cs="Arial"/>
                <w:sz w:val="16"/>
                <w:szCs w:val="16"/>
              </w:rPr>
              <w:br/>
              <w:t>внесення змін до матеріалів реєстраційного досьє на ЛЗ ДІОКОР 80, ДІОКОР 160, у зв'язку з отриманням оновленого сертифікату відповідності Європейській фармакопеї від діючого виробника АФІ гідрохлоротіазид CHANGZHOU PHARMACEUTICAL FACTORY,China (№ R1-CEP 2006-011-Rev 02) замість зареєстрованого раніше СЕР № R1-CEP 2006-011-Rev 01. Специфікація та методи контролю АФІ залишились без змін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UA/8318/01/02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ДОЛАРЕН®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гель по 20 г або по 50 г у тубі; по 1 тубі у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Наброс Фарма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Наброс Фарма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технічна помилка (згідно наказу МОЗ від 23.07.2015 № 460) виправлення технічної помилки у МКЯ, яка була допущена при реєстрації ГЛЗ (наказ № 399 від 05.03.2021 р.), при перенесенні інформації з реєстраційного досьє (р.3.2.P.5.1) в розділі «6. Середня маса вмісту туби» специфікації МКЯ ЛЗ зазначено некоректний переклад допустимих меж, а саме: замість «не менше» помилково вказано «відповідає номінальній».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UA/18576/01/01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ДУАКЛІР® ДЖЕНУЕЙР®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інгаляцій, 340 мкг/12 мкг; по 60 доз порошку для інгаляцій в інгаляторі; по 1 або по 3 інгалятори в алюмінієвому ламінованому пакеті кожен, разом із пакетиком з осушувачем та інструкцією для медичного застосування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БЕРЛІН-ХЕМІ АГ</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Індастріас Фармасеутікас Алмірал С.А.</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видалення кількох незначних параметрів специфікації для попередньо зібраного картриджа та розширення допустимих меж специфікацій внутрішнього діаметра корпусу картриджа;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видалення кількох незначних параметрів специфікації для кришки картриджа та розширення діаметра кришки картриджа в межах специфікації матеріалів ущільнювачів колодок;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видалення кількох незначних парамтерів специфікації для засувної кришки;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 незначні зміни, у тому числі редакційні, були внесені до наступних методів випробування первинної упаковки готового лікарського засобу – процедура перевірки зовнішнього вигляду заздалегідь зібраного картриджа, кришки картриджа та засувної кришки;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 незначні зміни, у тому числі редакційні, були внесені до наступних методів випробування первинної упаковки готового лікарського засобу – Ідентичність пластику задалегідь зібраного картриджа та кришечки картриджа методом FT-IR;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 незначні зміни, у тому числі редакційні, були внесені до наступних методів випробування первинної упаковки готового лікарського засобу – Процедура перевірки розмірів заздалегідь зібраного картриджа та кришечки картриджа (а саме, процедура перевірки внутрішнього діаметра корпусу картриджа L та процедура перевірки розмірів кришечки картриджа L);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 незначні зміни, у тому числі редакційні, були внесені до наступних методів випробування первинної упаковки готового лікарського засобу - Процедура перевірки функціональності кільцевого лічильника заздалегідь зібраного картриджа;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 незначні зміни, у тому числі редакційні, були внесені до наступних методів випробування первинної упаковки готового лікарського засобу - Процедура МБЧ перевірки заздалегідь зібраного картриджа та кришечки картриджа;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 зміна якісного складу у первинній упаковці готового лікарського засобу з полістиролу (PS) на крилонітрилбутадієнстирол (ABS), як альтернативний матеріал;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ЄФ R1-CEP 2008-042 Rev 01 для Formoterol fumarate dihydrate від виробника Sicor S.r.l. (попередня версія R1-CEP 2008-042 Rev 00);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запропоновано зміну адреси місця провадження діяльності виробника аклідинію броміду RANKE QUIMICA, S.A., а саме. Виробнича дільниця залишається незмінною;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місця провадження діяльності виробника ГЛЗ, відповідального за повний цикл виробництва Індастріас Фармасеутікас Алмірал С.А., Іспанія. Виробнича дільниця залишається незмінною; зміни внесено до інструкції для медичного застосування лікарського засобу до розділу "Місцезнаходження виробника та його адреса місця провадження діяльності" та відповідні зміни до тексту маркування упаковки лікарського засобу.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затверджених методах випробування дози дрібнодисперсних часток для ГЛЗ, додання інформації про середнє значення для усіх трьох періодів використання інгалятора (початок/середина/кінець) для аклідинію броміду.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"Спосіб застосування та дози", "Побічні реакції". Введення змін протягом 6-ти місяців після затвердження; зміни II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Спейсер для дозованих інгаляторів або інші пристрої, які можуть мати значний вплив на доставку АФІ у лікарській формі (наприклад небулайзер) - зміна форми та розмірів циклонного елемента та мундштука. На додаток, запропоновано змінити формат розділу 3.2.Р.7. Система упаковка/укупорка специфікацію на гранули, аналітичні методики та аналіз партій. Розділ 3.2.Р.5.1.Специфікація(-ї) був приведений у відповідність до схваленого стандарту внутрішнього технічного досьє, формулювання «власний» було видалено з інформації щодо методів тестування. Введення змін протягом 6-ти місяців після затвердження;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 зміна допустимих меж ГЛЗ для аеродинамічної оцінки дрібних часток - дози дрібнодисперсних часток (?5 мкм) (FPD).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UA/17698/01/01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ЕВЕРОЛІМУС-ВІСТА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2,5 мг, по 5 таблеток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Містрал Кепітал Менеджмент Лімітед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первинне, вторинне пакування, контроль якості, випуск серії: Сінтон Хіспанія, С. Л., Іспанія; виробництво, первинне, вторинне пакування: Сінтон Чилі Лтда., Чилі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Іспанія/Чилі</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внесені до інструкції для медичного застосування лікарського засобу у розділи: "Фармакологічні властивості", "Показання" (редагування) ,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(редагування), "Передозування", "Побічні реакції" згідно з інформацією щодо медичного застосування референтного лікарського засобу (АФІНІТОР, таблетки по 2,5 мг, 5 мг, 10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UA/17149/01/01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ЕВЕРОЛІМУС-ВІСТА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10 мг, по 5 таблеток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Містрал Кепітал Менеджмент Лімітед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первинне, вторинне пакування, контроль якості, випуск серії: Сінтон Хіспанія, С. Л., Іспанія;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первинне, вторинне пакування: Сінтон Чилі Лтда., Чилі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Іспанія/Чилі</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внесені до інструкції для медичного застосування лікарського засобу у розділи: "Фармакологічні властивості", "Показання" (редагування) ,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(редагування), "Передозування", "Побічні реакції" згідно з інформацією щодо медичного застосування референтного лікарського засобу (АФІНІТОР, таблетки по 2,5 мг, 5 мг, 10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UA/17149/01/03</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ЕВЕРОЛІМУС-ВІСТА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5 мг, по 5 таблеток у блістері; по 6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Містрал Кепітал Менеджмент Лімітед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первинне, вторинне пакування, контроль якості, випуск серії: Сінтон Хіспанія, С. Л., Іспанія; виробництво, первинне, вторинне пакування: Сінтон Чилі Лтда., Чилі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Іспанія/Чилі</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 Зміни внесені до інструкції для медичного застосування лікарського засобу у розділи: "Фармакологічні властивості", "Показання" (редагування) ,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(редагування), "Передозування", "Побічні реакції" згідно з інформацією щодо медичного застосування референтного лікарського засобу (АФІНІТОР, таблетки по 2,5 мг, 5 мг, 10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UA/17149/01/02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ЕЛІДЕЛ®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крем для зовнішнього застосування 1 %; по 15 г, 30 г, 60 г або 100 г у тубі; по 1 тубі в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МЕДА Фарма ГмбХ енд Ко.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МЕДА  Меньюфекчеринг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Францiя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Зміна стосується деяких незначних змін до методу ВЕРХ для ідентифікації пімекролімусу, його кількісного визначення та визначення продуктів розпаду в лікарському засобі Елідел 10 мг/г,</w:t>
            </w:r>
            <w:r w:rsidRPr="00CA4562">
              <w:rPr>
                <w:rFonts w:ascii="Arial" w:hAnsi="Arial" w:cs="Arial"/>
                <w:sz w:val="16"/>
                <w:szCs w:val="16"/>
              </w:rPr>
              <w:br/>
              <w:t>- Склад рухомої фази та температура колонки були дещо адаптовані.</w:t>
            </w:r>
            <w:r w:rsidRPr="00CA4562">
              <w:rPr>
                <w:rFonts w:ascii="Arial" w:hAnsi="Arial" w:cs="Arial"/>
                <w:sz w:val="16"/>
                <w:szCs w:val="16"/>
              </w:rPr>
              <w:br/>
              <w:t>- Для покращення обробки зразків було дещо змінено процедуру екстракції. В специфікацію готового продукту не було внесено жодних змін, тобто модуль 3.2.P.5.1 не змінений. Оскільки оригінальний розділ 3.2.Р.5.2 був оновлений, відповідно оновлюються методи контролю якості, затверджені в Україні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UA/7137/01/01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ЕНТЕРОЖЕРМІНА®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суспензія оральна; № 10; № 20 (10х2): по 5 мл у флаконі; по 10 флаконів, з’єднаних між собою поліетиленовою перемичкою, у касеті; по 1 або 2 касети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"Опелла Хелскеа Україна"</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ЛАБОРАТОРІЇ ЮНІТЕР, Франція; Санофі С.р.л., Італія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Франція/Італія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дільниці ГЛЗ та уточнення адреси виробництва, без зміни місця виробництва: Введення змін протягом 6-ти місяців після затвердження.</w:t>
            </w:r>
            <w:r w:rsidRPr="00CA4562">
              <w:rPr>
                <w:rFonts w:ascii="Arial" w:hAnsi="Arial" w:cs="Arial"/>
                <w:sz w:val="16"/>
                <w:szCs w:val="16"/>
              </w:rPr>
              <w:b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(суміш спор полірезистентного штаму Bacillus clausii - 2 х 109) з Sanofi S.p.A., Italy на Sanofi S.r.l., Italy, без зміни місця виробництва. Введення змін протягом 6-ти місяців після затвердження.</w:t>
            </w:r>
            <w:r w:rsidRPr="00CA4562">
              <w:rPr>
                <w:rFonts w:ascii="Arial" w:hAnsi="Arial" w:cs="Arial"/>
                <w:sz w:val="16"/>
                <w:szCs w:val="16"/>
              </w:rPr>
              <w:b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(суміш спор полірезистентного штаму Bacillus clausii - 2 х 109), без зміни місця виробництва: Затверджено: Sanofi-Aventis S.p.A., Italy Запропоновано: Sanofi S.p.A., Italy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UA/4234/01/01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ЕСПА-КАРБ®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по 5 мг; по 25 таблеток у блістері, по 2 або по 4 блістери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Еспарма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еспарма Фарма Сервісез ГмбХ, Німеччина (вторинне пакування); Ліндофарм ГмбХ, Німеччина (виробництво bulk, первинне пакування, вторинне пакування, контроль якості,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внесення змін до р. 3.2.Р.7. Система контейнер/ закупорювальний засіб, а саме зміна інформації про постачальника алюмінієвої фольги (в досьє вноситься інформація, що може використовуватись фольга від будь-якого постачальника, якщо вона відповідає вимогам специфікації).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w:t>
            </w:r>
            <w:r w:rsidRPr="00CA4562">
              <w:rPr>
                <w:rFonts w:ascii="Arial" w:hAnsi="Arial" w:cs="Arial"/>
                <w:sz w:val="16"/>
                <w:szCs w:val="16"/>
              </w:rPr>
              <w:br/>
              <w:t>внесення змін до р. 3.2.Р.7. Система контейнер/ закупорювальний засіб, а саме зміна інформації про постачальника PVC/PVdC плівки (в досьє вноситься інформація, що може використовуватись термоплівки від будь-якого постачальника, якщо вона відповідає вимогам специфікації)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UA/12191/01/01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ЕСПА-КАРБ®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по 10 мг; по 25 таблеток у блістері, по 2 або по 4 блістери у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Еспарма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еспарма Фарма Сервісез ГмбХ, Німеччина (вторинне пакування); Ліндофарм ГмбХ, Німеччина (виробництво bulk, первинне пакування, вторинне пакування, контроль якості,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внесення змін до р. 3.2.Р.7. Система контейнер/ закупорювальний засіб, а саме зміна інформації про постачальника алюмінієвої фольги (в досьє вноситься інформація, що може використовуватись фольга від будь-якого постачальника, якщо вона відповідає вимогам специфікації).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w:t>
            </w:r>
            <w:r w:rsidRPr="00CA4562">
              <w:rPr>
                <w:rFonts w:ascii="Arial" w:hAnsi="Arial" w:cs="Arial"/>
                <w:sz w:val="16"/>
                <w:szCs w:val="16"/>
              </w:rPr>
              <w:br/>
              <w:t>внесення змін до р. 3.2.Р.7. Система контейнер/ закупорювальний засіб, а саме зміна інформації про постачальника PVC/PVdC плівки (в досьє вноситься інформація, що може використовуватись термоплівки від будь-якого постачальника, якщо вона відповідає вимогам специфікації)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UA/12191/01/02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ЕТИЛОВИЙ ЕФІР Α-БРОМІЗОВАЛЕРІАНОВОЇ КИСЛОТИ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рідина (субстанція) у флаконах скляних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у Специфікацію/Методів випробування АФІ Етиловий ефір ? -Бромізовалеріанової кислоти, зокрема: за показником "Густина" вилученння зазначення посилання на метод 1. Врахочуючи те, що густину препарату визначають методом 1 або на сертифікованому автоматичному цифровому густиномірі (з точністтю вимірювання 0,0001 г/см3), тому в даному тесті залишається посилання тільки на ДФУ*, 2.2.5.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UA/14901/01/01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ЗОКСОН® 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2 мг: № 10: по 10 таблеток у блістері; по 1 блістеру в картонній коробці; № 30 (15х2): по 15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Чеська Республiка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CA4562">
              <w:rPr>
                <w:rFonts w:ascii="Arial" w:hAnsi="Arial" w:cs="Arial"/>
                <w:sz w:val="16"/>
                <w:szCs w:val="16"/>
              </w:rPr>
              <w:br/>
              <w:t>Подання оновленого сертифікату відповідності ЄФ № R1-CEP 2011-097-Rev 02 (затверджено № R1-CEP 2011-097-Rev 01) від уже затвердженого виробника АФІ Saneca Pharmaceuticals, a.s., Словацька Республіка, із подовженням терміну щодо повторного тестування АФІ з 36 до 60 місяців.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UA/6300/01/02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ЗОКСОН® 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4 мг; № 30 (15х2): по 15 таблеток у блістері;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Чеська Республiка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CA4562">
              <w:rPr>
                <w:rFonts w:ascii="Arial" w:hAnsi="Arial" w:cs="Arial"/>
                <w:sz w:val="16"/>
                <w:szCs w:val="16"/>
              </w:rPr>
              <w:br/>
              <w:t>Подання оновленого сертифікату відповідності ЄФ № R1-CEP 2011-097-Rev 02 (затверджено № R1-CEP 2011-097-Rev 01) від уже затвердженого виробника АФІ Saneca Pharmaceuticals, a.s., Словацька Республіка, із подовженням терміну щодо повторного тестування АФІ з 36 до 60 місяців.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UA/6300/01/03</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ЗОПІКЛОН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(субстанція) у подвійних поліетиленових пакетах для виробництва нестерильних лікарських форм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ВЕЗ Фармахем д.о.о.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Хорватія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Центаур Фармасеутікалз Пріват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Зміна умов зберігання АФІ - Зміна умов зберігання АФІ Зопіклону. Затверджено: Зберігати субстанцію в щільно закритих барабанах при температурі нижче 25?С, в захищеному від світла місці. Запропоновано: Зберігати субстанцію в щільно закритих барабанах при температурі не вище 30?С, в захищеному від світла місці.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UA/7721/01/01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ІБРАНС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по 75 мг; по 7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Пфайзер Менюфекчуринг Дойчленд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Зміни внесено до розділу "Особливості застосування" інструкції для медичного застосування та короткої характеристки лікарського засобу щодо оновленої інформації стосовно допоміжних речовин.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UA/15747/01/01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ІБРАНС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по 100 мг; по 7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Пфайзер Менюфекчуринг Дойчленд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Зміни внесено до розділу "Особливості застосування" інструкції для медичного застосування та короткої характеристки лікарського засобу щодо оновленої інформації стосовно допоміжних речовин.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UA/15747/01/02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ІБРАНС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по 125 мг; по 7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Пфайзер Менюфекчуринг Дойчленд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Зміни внесено до розділу "Особливості застосування" інструкції для медичного застосування та короткої характеристки лікарського засобу щодо оновленої інформації стосовно допоміжних речовин.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UA/15747/01/03</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ІЛАРІС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розчину для ін`єкцій по 150 мг; 1 флакон з порошком у коробці; 1 флакон з порошком у коробці; по 4 коробки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контроль якості, первинне та вторинне пакування, випуск серії: Новартіс Фарма Штейн АГ, Швейцарія; контроль якості: Делфарм Хюнінг САС, Франція; біоаналіз:</w:t>
            </w:r>
            <w:r w:rsidRPr="00CA4562">
              <w:rPr>
                <w:rFonts w:ascii="Arial" w:hAnsi="Arial" w:cs="Arial"/>
                <w:sz w:val="16"/>
                <w:szCs w:val="16"/>
              </w:rPr>
              <w:br/>
              <w:t>Новартіс Фарма АГ,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Франція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 Зміни внесено в інструкцію для медичного застосування лікарського засобу до розділу "Особливості застосування" згідно з рекомендаціями PRAC.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UA/14525/01/01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ІМФІНЗІ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концентрат для розчину для інфузій, 50 мг/мл; 1 флакон (120 мг/2,4 мл) з пробкою та ковпачком «flip-off» у картонній коробці або 1 флакон (500 мг/10 мл) з пробкою та ковпачком «flip-off»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АстраЗенека АБ, Швеція (вторинне пакування); АстраЗенека АБ, Швеція (контроль якості (за винятком стерильності), випуск серії лікарського засобу); АстраЗенека Фармасьютикалс ЛП, США (контроль якості (за винятком стерильності і ендотоксину)); Веттер Фарма-Фертигун ГмбХ та Ко. КГ, Німеччина (виробництво лікарського засобу, контроль якості (тільки стерильність і ендотоксини)); Каталент Індіана, ЛЛС, США (виробництво лікарського засобу, вторинне пакування); МедІмун ЮК Лімітед, Велика Британiя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CA4562">
              <w:rPr>
                <w:rFonts w:ascii="Arial" w:hAnsi="Arial" w:cs="Arial"/>
                <w:sz w:val="16"/>
                <w:szCs w:val="16"/>
              </w:rPr>
              <w:br/>
              <w:t xml:space="preserve">Незначні зміни до аналітичної методики АФІ методом газової хроматографії яка використовується для визначення полісорбату 80 у дурвалумабі. Зміна стосується робочих параметрів термостату, встановлених для кроків підвищення температури для очищення колонки. Редакційні правки в аналітичній методиці. Немає змін в обладнанні, реагентах, буферах.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UA/18578/01/01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ІТІРЕС ЗАЛ СПАГ. ПЄКА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мазь, по 35 г у тубі; по 1 тубі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ПЕКАНА НАТУРХАЙЛЬМІТТЕЛЬ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ПЕКАНА НАТУРХАЙЛЬМІТТЕЛЬ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внесення зміни до розділу «Маркування» в МКЯ ЛЗ: Затверджено: МАРКИРОВКА. Прилагается. Запропоновано: МАРКУВАННЯ. Відповідно до затвердженого тексту маркування.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UA/16275/01/01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КАНДИБІОТИК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краплі вушні, по 5 мл у флаконі; по 1 флакону разом з піпеткою-ковпачком вкладеному у поліетиленовий пакетик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та "Побічні реакції" відповідно до оновленої інформації з безпеки застосування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UA/8208/01/01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КАРБАМАЗЕПІН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ВЕЗ Фармахем д.о.о.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Хорватія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Амолі Органікс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w:t>
            </w:r>
            <w:r w:rsidRPr="00CA4562">
              <w:rPr>
                <w:rFonts w:ascii="Arial" w:hAnsi="Arial" w:cs="Arial"/>
                <w:sz w:val="16"/>
                <w:szCs w:val="16"/>
              </w:rPr>
              <w:br/>
              <w:t>подання нового сертифіката відповідності Європейській фармакопеї № R0-CEP 2021-129 - Rev 00. Як наслідок вилучення показника «Важкі метали».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UA/15413/01/01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КАСОДЕКС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50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АстраЗенека ЮК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відповідальний за виробництво "in bulk", контроль якості: Корден Фарма ГмбХ, Німеччина; Виробник, відповідальний за первинне та вторинне пакування, випуск серії: АстраЗенека ЮК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 Велика Британія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у методах випробування АФІ, а саме – використання автоматизованого методу (HEL) для визначення питомої поверхні бікалутаміду;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виробника АФІ з Excella GmbH на Excella GmbH &amp; Co. KG, без зміни місця виробництва;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R1-CEP 2012-270-Rev 00 для АФІ від вже затвердженого виробника Excella GmbH &amp; Co. KG, Німеччина, з додаванням виробника (Menadiona SL) для проміжного продукту та зазначення вже затвердженого альтернативного сайту для мікронізації Valdepharm, France;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для AФI бікалутаміду CEP No. R1-CEP 2012-270-Rev 02 (попередня версія CEP No. R1-CEP 2012-270-Rev 00) від вже затвердженого виробника Excella GmbH &amp; Co. KG,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UA/0185/01/01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КАСОДЕКС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150 мг; по 14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відповідальний за виробництво "in bulk", контроль якості: Корден Фарма ГмбХ, Німеччина; Виробник, відповідальний за первинне та вторинне пакування, випуск серії: АстраЗенека ЮК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у методах випробування АФІ, а саме – використання автоматизованого методу (HEL) для визначення питомої поверхні бікалутаміду;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найменування виробника АФІ з Excella GmbH на Excella GmbH &amp; Co. KG, без зміни місця виробництва;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R1-CEP 2012-270-Rev 00 для АФІ від вже затвердженого виробника Excella GmbH &amp; Co. KG, Німеччина, з додаванням виробника (Menadiona SL) для проміжного продукту та зазначення вже затвердженого альтернативного сайту для мікронізації Valdepharm, France;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Європейської фармакопеї для AФI бікалутаміду CEP No. R1-CEP 2012-270-Rev 02 (попередня версія CEP No. R1-CEP 2012-270-Rev 00) від вже затвердженого виробника Excella GmbH &amp; Co. KG,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UA/0185/01/02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КАТЕДЖЕЛЬ З ЛІДОКАЇНОМ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гель по 12,5 г по 12,5 г у гофрованому шприці-тубі; по 1 гофрованому шприцу-тубі у блістері; по 1, або по 5, або по 25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Фармацеутіше Фабрік Монтавіт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Фармацеутіше фабрік Монтавіт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CA4562">
              <w:rPr>
                <w:rFonts w:ascii="Arial" w:hAnsi="Arial" w:cs="Arial"/>
                <w:sz w:val="16"/>
                <w:szCs w:val="16"/>
              </w:rPr>
              <w:br/>
              <w:t>Діюча редакція: Dr. Eva Maizner. Пропонована редакція: Dr. Barbara Posch. Зміна контактних даних уповноваженої особи заявника,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UA/4660/01/01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КОМБІГАН®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краплі очні; по 5 мл у флаконі-крапельниці; по 1 або 3 флакони-крапельниці в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Аллерган Фармасьютікалз Ірландія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Ірландiя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Аллерган Фармасьютікалз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Ірландiя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в інструкцію для медичного застосування лікарського засобу до розділу "Особливості застосування" відповідно до оновленої інформації щодо безпеки застосування допоміжних речовин.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UA/11289/01/01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КОРВАЛТАБ</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10 таблеток у блістерах; по 10 таблеток у блістері; по 2 або 10 блістерів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ТОВ "АСІНО УКРАЇНА"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"Фарма Старт"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"Передозування", "Побічні реакції" щодо безпеки застосування діючих та допоміжних речовин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 – № 10 та № 10х2; за рецептом – № 10х10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UA/1028/01/01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КОСОПТ БК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краплі очні, розчин; по 10 мл у флаконі з дозатором та кришкою; по 1 флакону з дозатором та кришкою з контролем першого розкриття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Сантен 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Фiнляндiя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Сантен АТ, Фiнляндiя (виробник, відповідальний за випуск серії); Тyбілюкс Фарма С.П.А., Італiя (виробник, відповідальний за виробництво in-bulk, первинну та вторинну упаковку, випробування щодо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Фiнляндiя/Італiя </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додавання додаткової виробничої дільниці для стерилізації пустих флаконів з відповідними змінами в р. 3.2.Р.7. Система контейнер/закупорювальний засіб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UA/18106/01/01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КРАМПАЛІКА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250 мг; по 10 таблеток у блістері; по 3 блістери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альтернативна первинна упаковка, вторинна упаковка: ФАРМАТЕН ІНТЕРНЕШНЛ СА, Грецiя; виробництво готової лікарської форми, первинна та вторинна упаковка, контроль серії, випуск серії: Фарматен СА, Греція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Греція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(інші зміни) - уточнення в методах контролю якості, щодо помилково пропущеного посилання на розділ «Маркування» та викладення в редакції (Згідно затвердженого тексту маркування) та уточнення щодо назви розділу «Умови зберігання»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UA/18941/01/01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КРАМПАЛІКА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500 мг; по 10 таблеток у блістері; по 3 блістери в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альтернативна первинна упаковка, вторинна упаковка: ФАРМАТЕН ІНТЕРНЕШНЛ СА, Грецiя; виробництво готової лікарської форми, первинна та вторинна упаковка, контроль серії, випуск серії: Фарматен СА, Греція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Греція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(інші зміни) - уточнення в методах контролю якості, щодо помилково пропущеного посилання на розділ «Маркування» та викладення в редакції (Згідно затвердженого тексту маркування) та уточнення щодо назви розділу «Умови зберігання»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UA/18941/01/02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КУПРЕНІЛ®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плівковою оболонкою, по 250 мг; по 100 таблеток у пляшці; по 1 пляшці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Оперейшнз Поланд, Польща (виробництво за повним циклом)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Польща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меж для домішки А (пеніциламіну дисульфіт) у специфікації АФІ з «небільше 1%» до «не більше 1,0%», відповідно до змін в оновленому ДМФ від виробника АФІ.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 приведення вимог специфікації АФІ у відповідність до вимог Європейської фармакопеї, а саме вилучення показника «Важкі метали» зі специфікації АФІ.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w:t>
            </w:r>
            <w:r w:rsidRPr="00CA4562">
              <w:rPr>
                <w:rFonts w:ascii="Arial" w:hAnsi="Arial" w:cs="Arial"/>
                <w:sz w:val="16"/>
                <w:szCs w:val="16"/>
              </w:rPr>
              <w:br/>
              <w:t>доповнення специфікації АФІ новим показником «Вміст свинцю» з межами «небільше 1,4 ppm» з відповідним методам випробування на підставі звіту з оцінку ризиків стосовно елементних домішок відповідно до настанови ICH Q3D.</w:t>
            </w:r>
            <w:r w:rsidRPr="00CA4562">
              <w:rPr>
                <w:rFonts w:ascii="Arial" w:hAnsi="Arial" w:cs="Arial"/>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методу випробування для визначення вмісту домішок дисульфіду пеніциламіну (Євр. ф. Домішка А), що є методом ВЕРХ згідно Євр. Фарм. На новий метод випробування ВЕРХ, який буде використовуватися для визначення вмісту домішки дисульфіду пеніциламіну (Євр. ф. Домішка А) та невідомих домішок.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UA/8546/01/01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ЛЕВОКСИМЕД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інфузій, 500 мг/100 мл по 100 мл у флаконі з маркуванням українською мовою; по 1 флакону у картонній коробці з маркуванням українською та російською мовами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ТОВ "УОРЛД МЕДИЦИН"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Мефар Ілач Сан. А.Ш.</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Туреччина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матеріалів:зміна заявника (власника реєстраційного посвідчення) (згідно наказу МОЗ від 23.07.2015 № 460): Затверджено: УОРЛД МЕДИЦИН ІЛАЧ САН. ВЕ ТІДЖ. A.Ш., Туреччина. Запропоновано: ТОВ «УОРЛД МЕДИЦИН», Україна.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Мевсім Ількбахар Дінчель / Mrs. Mevsim Ilkbahar Dincel. Пропонована редакція: Пудло Ганна Станіславівна.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UA/14634/01/01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ЛЕРКАНІДИПІН-ТЕВА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вкриті плівковою оболонкою, по 10 мг по 14 таблеток у блістері; по 2 або по 4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sz w:val="16"/>
                <w:szCs w:val="16"/>
              </w:rPr>
            </w:pPr>
            <w:r w:rsidRPr="00CA4562">
              <w:rPr>
                <w:rFonts w:ascii="Arial" w:hAnsi="Arial" w:cs="Arial"/>
                <w:b/>
                <w:sz w:val="16"/>
                <w:szCs w:val="16"/>
              </w:rPr>
              <w:t xml:space="preserve">Балканфарма-Дупниця АТ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Болгарія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виробника та реєстраційного номера в наказі МОз України № 753 від 05.05.2022 в процесі внесення змін</w:t>
            </w:r>
            <w:r w:rsidRPr="00CA4562">
              <w:rPr>
                <w:rFonts w:ascii="Arial" w:hAnsi="Arial" w:cs="Arial"/>
                <w:sz w:val="16"/>
                <w:szCs w:val="16"/>
              </w:rPr>
              <w:t xml:space="preserve">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Лерканідипіну гідрохлориду з Glenmark Pharmaceuticals Limited (India) на Glenmark Life Sciences Limited (India). Введення змін протягом 6-ти місяців після затвердження.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введення розміру серії АФІ Лерканідипіну гідрохлорид - 105,00 кг.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контролю за показником "Важкі метали" зі специфікації АФІ Лерканідипіну гідрохлорид від виробника Glenmark Life Sciences Limited (India) та зі специфікації виробника ГЛЗ.</w:t>
            </w:r>
            <w:r w:rsidRPr="00CA4562">
              <w:rPr>
                <w:rFonts w:ascii="Arial" w:hAnsi="Arial" w:cs="Arial"/>
                <w:sz w:val="16"/>
                <w:szCs w:val="16"/>
              </w:rPr>
              <w:br/>
              <w:t>Введення змін протягом 6-ти місяців після затвердження). Редакція в наказі: виробник - Тева Фармацевтікал Індастріз Лтд., Ізраїль; номер реєстраційного посвідчення - UA/16781/01/01. Вірна редакція: виробник - Балканфарма-Дупниця АТ, Болгарія; номер реєстраційного посвідчення - UA/16977/01/02.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sz w:val="16"/>
                <w:szCs w:val="16"/>
              </w:rPr>
            </w:pPr>
            <w:r w:rsidRPr="00CA4562">
              <w:rPr>
                <w:rFonts w:ascii="Arial" w:hAnsi="Arial" w:cs="Arial"/>
                <w:b/>
                <w:sz w:val="16"/>
                <w:szCs w:val="16"/>
              </w:rPr>
              <w:t>UA/16977/01/02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ЛЕРКАНІДИПІН-ТЕВА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вкриті плівковою оболонкою, по 20 мг по 14 таблеток у блістері; по 2 або по 4 блістери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sz w:val="16"/>
                <w:szCs w:val="16"/>
              </w:rPr>
            </w:pPr>
            <w:r w:rsidRPr="00CA4562">
              <w:rPr>
                <w:rFonts w:ascii="Arial" w:hAnsi="Arial" w:cs="Arial"/>
                <w:b/>
                <w:sz w:val="16"/>
                <w:szCs w:val="16"/>
              </w:rPr>
              <w:t xml:space="preserve">Балканфарма-Дупниця АТ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Болгарія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виробника та реєстраційного номера в наказі МОз України № 753 від 05.05.2022 в процесі внесення змін</w:t>
            </w:r>
            <w:r w:rsidRPr="00CA4562">
              <w:rPr>
                <w:rFonts w:ascii="Arial" w:hAnsi="Arial" w:cs="Arial"/>
                <w:sz w:val="16"/>
                <w:szCs w:val="16"/>
              </w:rPr>
              <w:t xml:space="preserve">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Лерканідипіну гідрохлориду з Glenmark Pharmaceuticals Limited (India) на Glenmark Life Sciences Limited (India). Введення змін протягом 6-ти місяців після затвердження.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введення розміру серії АФІ Лерканідипіну гідрохлорид - 105,00 кг.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контролю за показником "Важкі метали" зі специфікації АФІ Лерканідипіну гідрохлорид від виробника Glenmark Life Sciences Limited (India) та зі специфікації виробника ГЛЗ.</w:t>
            </w:r>
            <w:r w:rsidRPr="00CA4562">
              <w:rPr>
                <w:rFonts w:ascii="Arial" w:hAnsi="Arial" w:cs="Arial"/>
                <w:sz w:val="16"/>
                <w:szCs w:val="16"/>
              </w:rPr>
              <w:br/>
              <w:t>Введення змін протягом 6-ти місяців після затвердження). Редакція в наказі: виробник - Тева Фармацевтікал Індастріз Лтд., Ізраїль; номер реєстраційного посвідчення - UA/16781/01/02. Вірна редакція: виробник - Балканфарма-Дупниця АТ, Болгарія; номер реєстраційного посвідчення - UA/16977/01/01.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sz w:val="16"/>
                <w:szCs w:val="16"/>
              </w:rPr>
            </w:pPr>
            <w:r w:rsidRPr="00CA4562">
              <w:rPr>
                <w:rFonts w:ascii="Arial" w:hAnsi="Arial" w:cs="Arial"/>
                <w:b/>
                <w:sz w:val="16"/>
                <w:szCs w:val="16"/>
              </w:rPr>
              <w:t>UA/16977/01/01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ЛІПОЇКА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концентрат для розчину для інфузій, 600 мг/20 мл; по 20 мл в ампулі, по 5 ампул у контурній чарунковій упаковці, по 1 контурній чарунковій упаковці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ЄФ № R1-CEP 2009-004-Rev 04 (затверджено R1-CEP 2009-004-Rev 01) для АФІ Тіоктової кислоти від вже затвердженого виробника OLON S.P.A., Italy, та як наслідок перенесення нормування тесту «Температура плавлення» до розділу «Загальні властивості»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UA/17024/01/02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ЛІПОЇКА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концентрат для розчину для інфузій, 300 мг/10 мл; по 10 мл в ампулі, по 5 ампул у контурній чарунковій упаковці, по 1 контурній чарунковій упаковці у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ЄФ № R1-CEP 2009-004-Rev 04 (затверджено R1-CEP 2009-004-Rev 01) для АФІ Тіоктової кислоти від вже затвердженого виробника OLON S.P.A., Italy, та як наслідок перенесення нормування тесту «Температура плавлення» до розділу «Загальні властивості»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UA/17024/01/01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МАВЕНКЛАД®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10 мг; по 1, 4 або 6 таблеток в алюмінієвому блістері, запечатаному у картонну обкладинку, яку вміщують у контурну чарункову упаковку та вкладають у картонну коробку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Арес Трейдінг С.А.</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(виробництво нерозфасованого препарату, первинне та вторинне пакування, контроль якості, випуск серій): НерФарМа С.Р.Л., Італія; Виробник (контроль якості: визначення елементних домішок): Єврофінс Біолаб С.Р.Л.,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Італія </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внесення змін до виробничого процесу та контролю процесу, зокрема: збільшення терміну зберігання нерозфасованого продукту (in bulk) з 12 місяців до 24 місяців;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 збільшення терміну придатності готового лікарського засобу з 3 років до 4 років. Зміни внесено до інструкції для медичного застосування лікарського засобу до розділу "Термін придатності" щодо збільшення терміну придатності готового лікарського засобу.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w:t>
            </w:r>
            <w:r w:rsidRPr="00CA4562">
              <w:rPr>
                <w:rFonts w:ascii="Arial" w:hAnsi="Arial" w:cs="Arial"/>
                <w:sz w:val="16"/>
                <w:szCs w:val="16"/>
              </w:rPr>
              <w:br/>
              <w:t>Супутня зміна</w:t>
            </w:r>
            <w:r w:rsidRPr="00CA4562">
              <w:rPr>
                <w:rFonts w:ascii="Arial" w:hAnsi="Arial" w:cs="Arial"/>
                <w:sz w:val="16"/>
                <w:szCs w:val="16"/>
              </w:rPr>
              <w:br/>
              <w:t xml:space="preserve">-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 Зміни внесено до інструкції для медичного застосування лікарського засобу до розділів "Особливості застосування", "Побічні реакції". Заявником надано оновлений План управління ризиками версія 1.7. </w:t>
            </w:r>
            <w:r w:rsidRPr="00CA4562">
              <w:rPr>
                <w:rFonts w:ascii="Arial" w:hAnsi="Arial" w:cs="Arial"/>
                <w:sz w:val="16"/>
                <w:szCs w:val="16"/>
              </w:rPr>
              <w:br/>
              <w:t>Зміни внесені до частин: II. Специфікація з безпеки (Модуль CVIII. Резюме проблем безпеки), Частини III. План з фармаконагляду, Частини V. Заходи з мінімізації ризиків, Частини VI. Резюме плану управління ризиками, Частини VII. Додатки у зв’язку з перекваліфікацією важливого ризику «Ураження печінки» та введенням додаткових заходів з мінімізації ризиків, що стосувались цього питання з безпеки на підставі отриманих результатів досліджень.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UA/17515/01/01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МАДІНЕТ®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0,03 мг/2 мг; по 21 таблетці у блістері; по 1 або по 3, або по 6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мібе ГмбХ Арцнайміттель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мібе ГмбХ Арцнайміттель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Оновлено План управління ризиками, версія 2.2. Зміни внесено до специфікації з безпеки та заходів з мінімізації ризиків у зв'язку з урахуванням оновленої інформації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UA/15840/01/01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МЕТИЛУРАЦИЛ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супозиторії ректальні по 0,5 г по 5 супозиторіїв у стрипі; по 2 стрипи у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ПАТ "Монфарм"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ПАТ "Монфарм"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субстанції метилурацил «Luquan Taihang Pharmaceutical Intermediate Co., Ltd», Китай, в зв’язку з відсутністю виробника на ринку.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Заміна виробника субстанції метилурацилу “Noveon Diamalt Private Limited”, Індія на «PharmaZell (India) Private Limited», Індія пов’язана з відсутністю виробника на ринку.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UA/6754/02/01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МЕТИЛУРАЦИЛ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0,5 г по 10 таблеток у стрипі; по 1 стрипу в паперовому конверті; по 10 таблеток у стрипі; по 2 або по 10 стрипів у пачці з картону; по 10 таблеток у блістері; по 1, або по 2, або по 10 блістерів у пачці з картону; по 10 таблеток у стрипах або у блістерах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ПАТ "Монфарм"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ПАТ "Монфарм"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субстанції метилурацил «Luquan Taihang Pharmaceutical Intermediate Co., Ltd», Китай, в зв’язку з відсутністю виробника на ринку.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Заміна виробника субстанції метилурацилу “Noveon Diamalt Private Limited”, Індія на «PharmaZell (India) Private Limited», Індія пов’язана з відсутністю виробника на ринку.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 xml:space="preserve">без рецепта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UA/6754/01/01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МЕТОДЖЕКТ®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Медак Гезельшафт фюр клініше Шпеціальпрепарате 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що відповідає за вторинне пакування, маркування, контроль/випробування серії та за випуск серії: 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Онкотек Фарма Продакшн ГмбХ, Німеччина; виробник, що відповідає за вторинне пакування: Штегеманн Лонферпакунг унд Логістішер Сервіс е.К., Німеччина</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а саме: викладення тексту державною мовою згідно сучасних вимог.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UA/5873/01/02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МИРЦЕРА®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розчин для ін’єкцій по 50 мкг/0,3 мл; 1 попередньо наповнений шприц разом з голкою для ін’єкцій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Ф.Хоффманн-Ля Рош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Біоессей-Лабор фюр біологіше Аналітік ГмбХ, Німеччина (випробування контролю якості активності для визначення (тільки випробування методом біологічного аналізу "Активність in vivo, на нормоцитемічній миші" для дослідження стабільності)); Рош Діагностикс ГмбХ, Німеччина (виробництво нерозфасованої продукції, первинне пакування, вторинне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 випуск серії); Ф.Хоффманн-Ля Рош Лтд, Швейцарія (виробництво нерозфасовааної продукції, первинне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реєстраційного номера в наказі МОЗ України № 814 від 16.05.2022 в процесі внесення змін</w:t>
            </w:r>
            <w:r w:rsidRPr="00CA4562">
              <w:rPr>
                <w:rFonts w:ascii="Arial" w:hAnsi="Arial" w:cs="Arial"/>
                <w:sz w:val="16"/>
                <w:szCs w:val="16"/>
              </w:rPr>
              <w:t xml:space="preserve"> (Технічна помилка (згідно наказу МОЗ від 23.07.2015 № 460). Виправлення технічної помилки, яка пов'язана із зазначенням критерію прийнятності в специфікації та методах контролю за показником якості «Чистота»: методом обернено-фазової ВЕРХ та методом ексклюзивної хроматографії у МКЯ ЛЗ. Діюча редакція: Чистота Метод обернено-фазової ВЕРХ. Пік метокси поліетилен гліколь-епоетину бета має бути не менше 96,5 % (при випуску) та не менше 95,0 % (протягом терміну придатності) загальної площі піків Метод ексклюзивної хроматографії Пік метокси поліетилен гліколь-епоетину бета має бути не менше 97,0 % (при випуску) та не менше 94,0 % (протягом терміну придатності) загальної площі піків. Пропонована редакція: Чистота Метод обернено-фазової ВЕРХ Пік метокси поліетилен гліколь-епоетину бета має бути не менше 95,0 % загальної площі піків Метод ексклюзивної хроматографії Пік метокси поліетилен гліколь-епоетину бета має бути не менше 94,0 % загальної площі піків Зазначене виправлення відповідає матеріалам реєстраційного досьє). Редакція в наказі - UA/16434/01/01. </w:t>
            </w:r>
            <w:r w:rsidRPr="00CA4562">
              <w:rPr>
                <w:rFonts w:ascii="Arial" w:hAnsi="Arial" w:cs="Arial"/>
                <w:b/>
                <w:sz w:val="16"/>
                <w:szCs w:val="16"/>
              </w:rPr>
              <w:t>Вірна редакція - UA/16434/01/02.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sz w:val="16"/>
                <w:szCs w:val="16"/>
              </w:rPr>
            </w:pPr>
            <w:r w:rsidRPr="00CA4562">
              <w:rPr>
                <w:rFonts w:ascii="Arial" w:hAnsi="Arial" w:cs="Arial"/>
                <w:b/>
                <w:sz w:val="16"/>
                <w:szCs w:val="16"/>
              </w:rPr>
              <w:t>UA/16434/01/02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МИРЦЕРА®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розчин для ін’єкцій по 75 мкг/0,3 мл; 1 попередньо наповнений шприц разом з голкою для ін’єкцій у картонній упаковці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Ф.Хоффманн-Ля Рош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Біоессей-Лабор фюр біологіше Аналітік ГмбХ, Німеччина (випробування контролю якості активності для визначення (тільки випробування методом біологічного аналізу "Активність in vivo, на нормоцитемічній миші" для дослідження стабільності)); Рош Діагностикс ГмбХ, Німеччина (виробництво нерозфасованої продукції, первинне пакування, вторинне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 випуск серії); Ф.Хоффманн-Ля Рош Лтд, Швейцарія (виробництво нерозфасовааної продукції, первинне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реєстраційного номера в наказі МОЗ України № 814 від 16.05.2022 в процесі внесення змін</w:t>
            </w:r>
            <w:r w:rsidRPr="00CA4562">
              <w:rPr>
                <w:rFonts w:ascii="Arial" w:hAnsi="Arial" w:cs="Arial"/>
                <w:sz w:val="16"/>
                <w:szCs w:val="16"/>
              </w:rPr>
              <w:t xml:space="preserve"> (Технічна помилка (згідно наказу МОЗ від 23.07.2015 № 460). Виправлення технічної помилки, яка пов'язана із зазначенням критерію прийнятності в специфікації та методах контролю за показником якості «Чистота»: методом обернено-фазової ВЕРХ та методом ексклюзивної хроматографії у МКЯ ЛЗ. Діюча редакція: Чистота Метод обернено-фазової ВЕРХ. Пік метокси поліетилен гліколь-епоетину бета має бути не менше 96,5 % (при випуску) та не менше 95,0 % (протягом терміну придатності) загальної площі піків Метод ексклюзивної хроматографії Пік метокси поліетилен гліколь-епоетину бета має бути не менше 97,0 % (при випуску) та не менше 94,0 % (протягом терміну придатності) загальної площі піків. Пропонована редакція: Чистота Метод обернено-фазової ВЕРХ Пік метокси поліетилен гліколь-епоетину бета має бути не менше 95,0 % загальної площі піків Метод ексклюзивної хроматографії Пік метокси поліетилен гліколь-епоетину бета має бути не менше 94,0 % загальної площі піків Зазначене виправлення відповідає матеріалам реєстраційного досьє). Редакція в наказі - UA/16434/01/02. </w:t>
            </w:r>
            <w:r w:rsidRPr="00CA4562">
              <w:rPr>
                <w:rFonts w:ascii="Arial" w:hAnsi="Arial" w:cs="Arial"/>
                <w:b/>
                <w:sz w:val="16"/>
                <w:szCs w:val="16"/>
              </w:rPr>
              <w:t>Вірна редакція - UA/16434/01/01.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sz w:val="16"/>
                <w:szCs w:val="16"/>
              </w:rPr>
            </w:pPr>
            <w:r w:rsidRPr="00CA4562">
              <w:rPr>
                <w:rFonts w:ascii="Arial" w:hAnsi="Arial" w:cs="Arial"/>
                <w:b/>
                <w:sz w:val="16"/>
                <w:szCs w:val="16"/>
              </w:rPr>
              <w:t>UA/16434/01/01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МІКСТАРД® 30 НМ ФЛЕКСПЕН®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суспензія для ін'єкцій, 100 МО/мл; по 3 мл у картриджі; по 1 картриджу у багатодозовій одноразовій шприц-ручці; по 1 або 5 шприц-ручок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Ново Нордіск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нерозфасованого продукту, первинне пакування; контроль якості продукту в первинному пакуванні (картриджі Пенфіл®) та відповідальний за випуск серії готового продукту (ФлексПен®): А/Т Ново Нордіск, Данiя; Виробник відповідальний за збирання, маркування та вторинне пакування готового продукту (ФлексПен®); контроль якості готового продукту (ФлексПен®): А/Т Ново Нордіск, Данiя; Маркування та вторинне пакування готового продукту (ФлексПен®): А/Т Ново Нордіск, Данія; Виробник продукції за повним циклом: Ново Нордіск Продюксьон САС, Франція; Виробник нерозфасованого продукту, первинне пакування; контроль якості продукту в первинному пакуванні (картриджі Пенфіл®); збирання, маркування та вторинне пакування готового продукту (ФлексПен®); контроль якості готового продукту (ФлексПен®): Ново Нордіск Продукао Фармасеутіка до Бразіль Лтда., Бразилія; Виробник нерозфасованого продукту, наповнення в первинну упаковку: Ново Нордіск (Китай) Фармасьютікалз Ко., Лтд., Китайська Народна Республіка</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Франція/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Бразилія/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Китайська Народна Республіка</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(масштаб для лікарського засобу біологічного/імунологічного походження збільшився/зменшився без зміни виробничого процесу (наприклад дублювання лінії)) введення додаткового розміру серії - 1600 л для виробничої дільниці Ново Нордіск Продюксьон САС, Франція. Затверджено: 1200 л Запропоновано: 1200 л, 1600 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UA/17173/01/01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МІКСТАРД® 30 НМ ФЛЕКСПЕН®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суспензія для ін'єкцій, 100 МО/мл; по 3 мл у картриджі; по 1 картриджу у багатодозовій одноразовій шприц-ручці; по 1 або 5 шприц-ручок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Ново Нордіск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нерозфасованого продукту, первинне пакування; контроль якості продукту в первинному пакуванні (картриджі Пенфіл®) та відповідальний за випуск серії готового продукту (ФлексПен®): А/Т Ново Нордіск, Данiя;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відповідальний за збирання, маркування та вторинне пакування готового продукту (ФлексПен®); контроль якості готового продукту (ФлексПен®): А/Т Ново Нордіск, Данiя; Маркування та вторинне пакування готового продукту (ФлексПен®): А/Т Ново Нордіск, Данія; Виробник продукції за повним циклом: Ново Нордіск Продюксьон САС, Франція; Виробник нерозфасованого продукту, первинне пакування; контроль якості продукту в первинному пакуванні (картриджі Пенфіл®); збирання, маркування та вторинне пакування готового продукту (ФлексПен®); контроль якості готового продукту (ФлексПен®): Ново Нордіск Продукао Фармасеутіка до Бразіль Лтда., Бразилія; Виробник нерозфасованого продукту, наповнення в первинну упаковку: Ново Нордіск (Китай) Фармасьютікалз Ко., Лтд., Китайська Народна Республіка</w:t>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Данiя/Франція/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Бразилія/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Китайська Народна Республіка</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"Особливості застосування", "Побічні реакції" відповідно до рекомендацій PRAC EMA стосовно можливості виникнення амілоїдозу шкіри. Термін введення змін - протягом 6 місяців після затвердження.</w:t>
            </w:r>
            <w:r w:rsidRPr="00CA4562">
              <w:rPr>
                <w:rFonts w:ascii="Arial" w:hAnsi="Arial" w:cs="Arial"/>
                <w:sz w:val="16"/>
                <w:szCs w:val="16"/>
              </w:rPr>
              <w:b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"Застосування у період вагітності або годування груддю", "Спосіб застосування та дози", "Побічні реакції" відповідно до матеріалів реєстраційного досьє.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UA/17173/01/01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МІКСТАРД®30 НМ ПЕНФІЛ®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суспензія для ін'єкцій, 100 МО/мл; по 3 мл у картриджі; по 5 картриджів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Ново Нордіск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нерозфасованого продукту, наповнення в Пенфіл®, первинна упаковка, контроль якості та відповідальний за випуск серій кінцевого продукту:</w:t>
            </w:r>
            <w:r w:rsidRPr="00CA4562">
              <w:rPr>
                <w:rFonts w:ascii="Arial" w:hAnsi="Arial" w:cs="Arial"/>
                <w:sz w:val="16"/>
                <w:szCs w:val="16"/>
              </w:rPr>
              <w:br/>
              <w:t>А/Т Ново Нордіск, Данiя</w:t>
            </w:r>
            <w:r w:rsidRPr="00CA4562">
              <w:rPr>
                <w:rFonts w:ascii="Arial" w:hAnsi="Arial" w:cs="Arial"/>
                <w:sz w:val="16"/>
                <w:szCs w:val="16"/>
              </w:rPr>
              <w:br/>
              <w:t>Виробник нерозфасованого продукту, первинне пакування та контроль балку. Контроль якості балку готового продукту та кінцевого продукту:</w:t>
            </w:r>
            <w:r w:rsidRPr="00CA4562">
              <w:rPr>
                <w:rFonts w:ascii="Arial" w:hAnsi="Arial" w:cs="Arial"/>
                <w:sz w:val="16"/>
                <w:szCs w:val="16"/>
              </w:rPr>
              <w:br/>
              <w:t>Ново Нордіск Продюксьон САС, Франція</w:t>
            </w:r>
            <w:r w:rsidRPr="00CA4562">
              <w:rPr>
                <w:rFonts w:ascii="Arial" w:hAnsi="Arial" w:cs="Arial"/>
                <w:sz w:val="16"/>
                <w:szCs w:val="16"/>
              </w:rPr>
              <w:br/>
              <w:t>Виробник для маркування та упаковки Пенфіл®, вторинного пакування:</w:t>
            </w:r>
            <w:r w:rsidRPr="00CA4562">
              <w:rPr>
                <w:rFonts w:ascii="Arial" w:hAnsi="Arial" w:cs="Arial"/>
                <w:sz w:val="16"/>
                <w:szCs w:val="16"/>
              </w:rPr>
              <w:br/>
              <w:t>А/Т Ново Нордіск, Данія</w:t>
            </w:r>
            <w:r w:rsidRPr="00CA4562">
              <w:rPr>
                <w:rFonts w:ascii="Arial" w:hAnsi="Arial" w:cs="Arial"/>
                <w:sz w:val="16"/>
                <w:szCs w:val="16"/>
              </w:rPr>
              <w:br/>
              <w:t>Виробник нерозфасованої продукції, первинна та вторинна упаковка:</w:t>
            </w:r>
            <w:r w:rsidRPr="00CA4562">
              <w:rPr>
                <w:rFonts w:ascii="Arial" w:hAnsi="Arial" w:cs="Arial"/>
                <w:sz w:val="16"/>
                <w:szCs w:val="16"/>
              </w:rPr>
              <w:br/>
              <w:t>Ново Нордіск Продукао Фармасеутіка до Бразіль Лтда., Бразилія</w:t>
            </w:r>
            <w:r w:rsidRPr="00CA4562">
              <w:rPr>
                <w:rFonts w:ascii="Arial" w:hAnsi="Arial" w:cs="Arial"/>
                <w:sz w:val="16"/>
                <w:szCs w:val="16"/>
              </w:rPr>
              <w:br/>
              <w:t>Виробник нерозфасованого продукту, наповнення в первинну упаковку:</w:t>
            </w:r>
            <w:r w:rsidRPr="00CA4562">
              <w:rPr>
                <w:rFonts w:ascii="Arial" w:hAnsi="Arial" w:cs="Arial"/>
                <w:sz w:val="16"/>
                <w:szCs w:val="16"/>
              </w:rPr>
              <w:br/>
              <w:t>Ново Нордіск (Китай) Фармасьютікалз Ко., Лтд., Китайська Народна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Франція/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Бразилія/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Китайська Народна Республіка</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(масштаб для лікарського засобу біологічного/імунологічного походження збільшився/зменшився без зміни виробничого процесу (наприклад дублювання лінії)) введення додаткового розміру серії - 1600 л для виробничої дільниці Ново Нордіск Продюксьон САС, Франція. Затверджено: 1200 л Запропоновано: 1200 л, 1600 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UA/12612/01/01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МІКСТАРД®30 НМ ПЕНФІЛ®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суспензія для ін'єкцій, 100 МО/мл; по 3 мл у картриджі; по 5 картриджів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Ново Нордіск</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нерозфасованого продукту, наповнення в Пенфіл®, первинна упаковка, контроль якості та відповідальний за випуск серій кінцевого продукту: А/Т Ново Нордіск, Данiя; Виробник нерозфасованого продукту, первинне пакування та контроль балку. Контроль якості балку готового продукту та кінцевого продукту:</w:t>
            </w:r>
            <w:r w:rsidRPr="00CA4562">
              <w:rPr>
                <w:rFonts w:ascii="Arial" w:hAnsi="Arial" w:cs="Arial"/>
                <w:sz w:val="16"/>
                <w:szCs w:val="16"/>
              </w:rPr>
              <w:br/>
              <w:t>Ново Нордіск Продюксьон САС, Франція; Виробник для маркування та упаковки Пенфіл®, вторинного пакування:</w:t>
            </w:r>
            <w:r w:rsidRPr="00CA4562">
              <w:rPr>
                <w:rFonts w:ascii="Arial" w:hAnsi="Arial" w:cs="Arial"/>
                <w:sz w:val="16"/>
                <w:szCs w:val="16"/>
              </w:rPr>
              <w:br/>
              <w:t>А/Т Ново Нордіск, Данія; Виробник нерозфасованої продукції, первинна та вторинна упаковка: Ново Нордіск Продукао Фармасеутіка до Бразіль Лтда., Бразилія; Виробник нерозфасованого продукту, наповнення в первинну упаковку: Ново Нордіск (Китай) Фармасьютікалз Ко., Лтд., Китайська Народна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Данiя/Франція/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Бразилія/</w:t>
            </w:r>
          </w:p>
          <w:p w:rsidR="0045369C" w:rsidRPr="00CA4562" w:rsidRDefault="0045369C" w:rsidP="004843E9">
            <w:pPr>
              <w:pStyle w:val="11"/>
              <w:tabs>
                <w:tab w:val="left" w:pos="12600"/>
              </w:tabs>
              <w:jc w:val="center"/>
              <w:rPr>
                <w:rStyle w:val="csab6e076914"/>
                <w:sz w:val="16"/>
                <w:szCs w:val="16"/>
              </w:rPr>
            </w:pPr>
            <w:r w:rsidRPr="00CA4562">
              <w:rPr>
                <w:rFonts w:ascii="Arial" w:hAnsi="Arial" w:cs="Arial"/>
                <w:sz w:val="16"/>
                <w:szCs w:val="16"/>
              </w:rPr>
              <w:t>Китайська Народна Республіка</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"Особливості застосування", "Побічні реакції" відповідно до рекомендацій PRAC EMA. Термін введення змін -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"Фармакотерапевтична група", "Особливості застосування", "Застосування у період вагітності або годування груддю", "Спосіб застосування та дози", "Побічні реакції" відповідно до матеріалів реєстраційного досьє. Термін введення змін - протягом 6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UA/12612/01/01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МІЛЬГАМА®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по 2 мл в ампулі; по 5 або 10, або 25 ампул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Вьорваг Фарма ГмбХ і Ко. КГ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Солюфарм Фармацойтіше Ерцойгніссе ГмбХ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"Показання", "Взаємодія з іншими лікарськими засобами та інші види взаємодій", "Особливості застосування", "Здатність впливати на швидкість реакції при керуванні автотранспортом або іншими механізмами", "Застосування у період вагітності або годування груддю" (зменшення рекомендованих добових дозувань вітамінів та внесення інших застережень), "Діти" (редакційні правки тексту), "Спосіб застосування та дози" (внесення додаткових застережень), "Побічні реакції", "Несумісність" відповідно до матеріалів реєстраційного досьє. Введення змін протягом 3-х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UA/8049/02/01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МОВАЛІС®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15 мг; по 10 таблеток; по 1 або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Берінгер Інгельхайм Інтернешнл ГмбХ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Берінгер Інгельхайм Фарма ГмбХ і Ко. КГ, Німеччина</w:t>
            </w:r>
            <w:r w:rsidRPr="00CA4562">
              <w:rPr>
                <w:rFonts w:ascii="Arial" w:hAnsi="Arial" w:cs="Arial"/>
                <w:sz w:val="16"/>
                <w:szCs w:val="16"/>
              </w:rPr>
              <w:br/>
              <w:t>або</w:t>
            </w:r>
            <w:r w:rsidRPr="00CA4562">
              <w:rPr>
                <w:rFonts w:ascii="Arial" w:hAnsi="Arial" w:cs="Arial"/>
                <w:sz w:val="16"/>
                <w:szCs w:val="16"/>
              </w:rPr>
              <w:br/>
              <w:t>Берінгер Інгельхайм Хеллас Сингл Мембер С.А., Греція</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 Греція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зміна адреси затвердженого виробника, відповідального за випуск серії з Берінгер Інгельхайм Еллас А. Е. на Берінгер Інгельхайм Хеллас Сингл Мембер С.А.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UA/2683/02/02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МОВАЛІС®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7,5 мг; по 10 таблеток; по 2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Берінгер Інгельхайм Інтернешнл ГмбХ </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Берінгер Інгельхайм Фарма ГмбХ і Ко. КГ, Німеччина</w:t>
            </w:r>
            <w:r w:rsidRPr="00CA4562">
              <w:rPr>
                <w:rFonts w:ascii="Arial" w:hAnsi="Arial" w:cs="Arial"/>
                <w:sz w:val="16"/>
                <w:szCs w:val="16"/>
              </w:rPr>
              <w:br/>
              <w:t>або</w:t>
            </w:r>
            <w:r w:rsidRPr="00CA4562">
              <w:rPr>
                <w:rFonts w:ascii="Arial" w:hAnsi="Arial" w:cs="Arial"/>
                <w:sz w:val="16"/>
                <w:szCs w:val="16"/>
              </w:rPr>
              <w:br/>
              <w:t>Берінгер Інгельхайм Хеллас Сингл Мембер С.А., Греція</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 Греція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зміна адреси затвердженого виробника, відповідального за випуск серії з Берінгер Інгельхайм Еллас А. Е. на Берінгер Інгельхайм Хеллас Сингл Мембер С.А.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UA/2683/02/01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МОНТЕЛУКАСТ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жувальні по 4 мг </w:t>
            </w:r>
            <w:r w:rsidRPr="00CA4562">
              <w:rPr>
                <w:rFonts w:ascii="Arial" w:hAnsi="Arial" w:cs="Arial"/>
                <w:sz w:val="16"/>
                <w:szCs w:val="16"/>
              </w:rPr>
              <w:br/>
              <w:t xml:space="preserve">in bulk: по 42 000 таблеток* у подвійному поліетиленовому пакеті </w:t>
            </w:r>
            <w:r w:rsidRPr="00CA4562">
              <w:rPr>
                <w:rFonts w:ascii="Arial" w:hAnsi="Arial" w:cs="Arial"/>
                <w:sz w:val="16"/>
                <w:szCs w:val="16"/>
              </w:rPr>
              <w:br/>
              <w:t xml:space="preserve">in bulk: по 31 500 таблеток* у подвійному поліетиленовому пакеті </w:t>
            </w:r>
            <w:r w:rsidRPr="00CA4562">
              <w:rPr>
                <w:rFonts w:ascii="Arial" w:hAnsi="Arial" w:cs="Arial"/>
                <w:sz w:val="16"/>
                <w:szCs w:val="16"/>
              </w:rPr>
              <w:br/>
              <w:t xml:space="preserve">in bulk: по 23 500 таблеток* у подвійному поліетиленовому пакеті </w:t>
            </w:r>
            <w:r w:rsidRPr="00CA4562">
              <w:rPr>
                <w:rFonts w:ascii="Arial" w:hAnsi="Arial" w:cs="Arial"/>
                <w:sz w:val="16"/>
                <w:szCs w:val="16"/>
              </w:rPr>
              <w:br/>
              <w:t xml:space="preserve">in bulk: по 17 500 таблеток* у подвійному поліетиленовому пакеті </w:t>
            </w:r>
            <w:r w:rsidRPr="00CA4562">
              <w:rPr>
                <w:rFonts w:ascii="Arial" w:hAnsi="Arial" w:cs="Arial"/>
                <w:sz w:val="16"/>
                <w:szCs w:val="16"/>
              </w:rPr>
              <w:br/>
              <w:t xml:space="preserve">in bulk: по 13 000 таблеток* у подвійному поліетиленовому пакеті </w:t>
            </w:r>
            <w:r w:rsidRPr="00CA4562">
              <w:rPr>
                <w:rFonts w:ascii="Arial" w:hAnsi="Arial" w:cs="Arial"/>
                <w:sz w:val="16"/>
                <w:szCs w:val="16"/>
              </w:rPr>
              <w:br/>
              <w:t xml:space="preserve">in bulk: по 10 000 таблеток* у подвійному поліетиленовому пакеті </w:t>
            </w:r>
            <w:r w:rsidRPr="00CA4562">
              <w:rPr>
                <w:rFonts w:ascii="Arial" w:hAnsi="Arial" w:cs="Arial"/>
                <w:sz w:val="16"/>
                <w:szCs w:val="16"/>
              </w:rPr>
              <w:br/>
              <w:t xml:space="preserve">in bulk: по 7 500 таблеток* у подвійному поліетиленовому пакеті </w:t>
            </w:r>
            <w:r w:rsidRPr="00CA4562">
              <w:rPr>
                <w:rFonts w:ascii="Arial" w:hAnsi="Arial" w:cs="Arial"/>
                <w:sz w:val="16"/>
                <w:szCs w:val="16"/>
              </w:rPr>
              <w:br/>
              <w:t xml:space="preserve">in bulk: по 6 000 таблеток* у подвійному поліетиленовому пакеті </w:t>
            </w:r>
            <w:r w:rsidRPr="00CA4562">
              <w:rPr>
                <w:rFonts w:ascii="Arial" w:hAnsi="Arial" w:cs="Arial"/>
                <w:sz w:val="16"/>
                <w:szCs w:val="16"/>
              </w:rPr>
              <w:br/>
              <w:t>*допустиме відхилення ±15%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аналіз та випуск серій:</w:t>
            </w:r>
            <w:r w:rsidRPr="00CA4562">
              <w:rPr>
                <w:rFonts w:ascii="Arial" w:hAnsi="Arial" w:cs="Arial"/>
                <w:sz w:val="16"/>
                <w:szCs w:val="16"/>
              </w:rPr>
              <w:br/>
              <w:t xml:space="preserve">Сінтон Хіспанія С.Л.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реєстраційного номера в наказі № 814 від 16.05.2022 в процесі перереєстрації.</w:t>
            </w:r>
            <w:r w:rsidRPr="00CA4562">
              <w:rPr>
                <w:rFonts w:ascii="Arial" w:hAnsi="Arial" w:cs="Arial"/>
                <w:sz w:val="16"/>
                <w:szCs w:val="16"/>
              </w:rPr>
              <w:t xml:space="preserve"> Редакція в наказі - UA/16207/02/02. </w:t>
            </w:r>
            <w:r w:rsidRPr="00CA4562">
              <w:rPr>
                <w:rFonts w:ascii="Arial" w:hAnsi="Arial" w:cs="Arial"/>
                <w:b/>
                <w:sz w:val="16"/>
                <w:szCs w:val="16"/>
              </w:rPr>
              <w:t>Вірна редакція - UA/16207/02/01.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UA/16207/02/01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МОНТЕЛУКАСТ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жувальні по 5 мг, in bulk: по 34 000 таблеток* у подвійному поліетиленовому пакеті; in bulk: по 25 500 таблеток* у подвійному поліетиленовому пакеті; in bulk: по 19 000 таблеток* у подвійному поліетиленовому пакеті; in bulk: по 14 500 таблеток* у подвійному поліетиленовому пакеті; in bulk: по 11 000 таблеток* у подвійному поліетиленовому пакеті; in bulk: по 8 500 таблеток* у подвійному поліетиленовому пакеті; in bulk: по 6 500 таблеток* у подвійному поліетиленовому пакеті; in bulk: по 5 000 таблеток* у подвійному поліетиленовому пакеті </w:t>
            </w:r>
            <w:r w:rsidRPr="00CA4562">
              <w:rPr>
                <w:rFonts w:ascii="Arial" w:hAnsi="Arial" w:cs="Arial"/>
                <w:sz w:val="16"/>
                <w:szCs w:val="16"/>
              </w:rPr>
              <w:br/>
              <w:t>*допустиме відхилення ±15%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аналіз та випуск серій:</w:t>
            </w:r>
            <w:r w:rsidRPr="00CA4562">
              <w:rPr>
                <w:rFonts w:ascii="Arial" w:hAnsi="Arial" w:cs="Arial"/>
                <w:sz w:val="16"/>
                <w:szCs w:val="16"/>
              </w:rPr>
              <w:br/>
              <w:t xml:space="preserve">Сінтон Хіспанія С.Л.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lang w:val="ru-RU"/>
              </w:rPr>
              <w:t>уточнення реєстраційного номера в наказі № 814 від 16.05.2022 в процесі перереєстрації.</w:t>
            </w:r>
            <w:r w:rsidRPr="00CA4562">
              <w:rPr>
                <w:rFonts w:ascii="Arial" w:hAnsi="Arial" w:cs="Arial"/>
                <w:sz w:val="16"/>
                <w:szCs w:val="16"/>
                <w:lang w:val="ru-RU"/>
              </w:rPr>
              <w:t xml:space="preserve"> </w:t>
            </w:r>
            <w:r w:rsidRPr="00CA4562">
              <w:rPr>
                <w:rFonts w:ascii="Arial" w:hAnsi="Arial" w:cs="Arial"/>
                <w:sz w:val="16"/>
                <w:szCs w:val="16"/>
              </w:rPr>
              <w:t xml:space="preserve">Редакція в наказі - UA/16207/02/01. </w:t>
            </w:r>
            <w:r w:rsidRPr="00CA4562">
              <w:rPr>
                <w:rFonts w:ascii="Arial" w:hAnsi="Arial" w:cs="Arial"/>
                <w:b/>
                <w:sz w:val="16"/>
                <w:szCs w:val="16"/>
              </w:rPr>
              <w:t>Вірна редакція - UA/16207/02/02.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UA/16207/02/02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МОРФІНУ ГІДРОХЛОРИД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1 %; по 1 мл в ампулі; по 5 ампул у блістері; по 1 або 2, або 20 блістерів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"Харківське фармацевтичне підприємство "Здоров'я народу"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Товариство з обмеженою відповідальністю “Харківське фармацевтичне підприємство “Здоров’я народу”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внесені до інструкції для медичного застосування лікарського засобу у розділи "Протипоказання", "Особливості застосування", "Спосіб застосування та дози", "Діти" відповідно до матеріалів реєстраційнрго досьє. Введення змін протягом 6-ти місяців після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План управління ризиками версія 3.2. Зміни внесено до частин: II «Специфікація з безпеки» (модуль CVI, розділ CVI.6 та CVI.7) , V (розділ V.1, V.3), частину VI (розділ VI.1.4) та частину VII (додаток 2), на підставі до оновленої інформації з безпеки, що міститься в наданих заявником клінічних оглядах.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UA/5174/01/01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МУЛЬТИГРИП БРОНХО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орального розчину по 600 мг; по 3 г у саше; по 2, 10, 20 або 30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Дельта Медікел Промоушнз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Білім Ілач Сан. ве Тід.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Туреччина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CA4562">
              <w:rPr>
                <w:rFonts w:ascii="Arial" w:hAnsi="Arial" w:cs="Arial"/>
                <w:sz w:val="16"/>
                <w:szCs w:val="16"/>
              </w:rPr>
              <w:br/>
              <w:t>Подання оновленого сертифікату відповідності Європейської фармакопеї для AФI ацетилцистеїну CEP No. R1-CEP 2010-092-Rev 02 (попередня версія CEP R1-CEP 2010-092-Rev 01) від вже затвердженого виробника WUHAN GRAND HOYO CO., LTD.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UA/18122/01/01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НЕБІТЕНЗ</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5 мг, по 10 таблеток у блістері, по 3 блістери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ПРОФАРМА Інтернешнл Трейдинг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Мальта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Актавіс Лтд, Мальта або Балканфарма - Дупниця АД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Болгарія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діапазону розміру серії ГЛЗ з "34,8 - 580 кг" (150 000 - 2 500 000 таблеток) на "34,8 - 812 кг" (150 000 - 3 500 000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UA/13347/01/01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НЕІНФЕКЦІЙНІ АЛЕРГЕНИ (МІКСТ-АЛЕРГЕНИ) ПОБУТОВОЇ ГРУПИ У ВИГЛЯДІ ДРАЖЕ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драже, по 15 драже в контейнерах для медичних препаратів та лікарських засобів (5 контейнерів з вмістом алергенів: 0,2 PNU (контейнер №1), 2,0 PNU (контейнер №2), 20,0 PNU (контейнер №3), 200,0 PNU(контейнер №4), 1000,0 PNU (контейнер №5)). Пакують у вигляді комплекту, який включає 75 драже (по 15 драже у контейнерах №1, №2, №3, №4, №5), які розміщено в загальну коробку із картону. До комплекту вкладається інструкція для медичного застосування. Для підтримуючої алерген-специфічної імунотерапії окремо випускають 15 драже у контейнері №5 з вмістом алергенів 1000,0 PNU</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"Імунолог"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"Імунолог"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(інші зміни). Перезатвердження Аналітичної нормативної документації лікарського засобу (АНД) на Методи контролю якості лікарського засобу (МКЯ) з метою приведення до вимог наказу МОЗ України №460 від 23.07.2015 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UA/16140/01/01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НОВІРИН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таблетки по 1000 мг, по 10 таблеток у блістері; по 3 або по 4 блістери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АТ "КИЇВСЬКИЙ ВІТАМІННИЙ ЗАВОД"</w:t>
            </w:r>
            <w:r w:rsidRPr="00CA4562">
              <w:rPr>
                <w:rFonts w:ascii="Arial" w:hAnsi="Arial" w:cs="Arial"/>
                <w:sz w:val="16"/>
                <w:szCs w:val="16"/>
                <w:lang w:val="ru-RU"/>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АТ "КИЇВСЬКИЙ ВІТАМІННИЙ ЗАВОД"</w:t>
            </w:r>
            <w:r w:rsidRPr="00CA4562">
              <w:rPr>
                <w:rFonts w:ascii="Arial" w:hAnsi="Arial" w:cs="Arial"/>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Зміна сили дії, лікарської форми та способу застосування : зміна або додавання нової сили дії / розведення (додавання нової сили дії) (затверджено: Новірин, таблетки по 500 мг)</w:t>
            </w:r>
            <w:r w:rsidRPr="00CA4562">
              <w:rPr>
                <w:rFonts w:ascii="Arial" w:hAnsi="Arial" w:cs="Arial"/>
                <w:sz w:val="16"/>
                <w:szCs w:val="16"/>
              </w:rPr>
              <w:br/>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UA/12436/01/02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НОВОПАРИН®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100 мг (10 000 анти-фактор Ха МО)/мл in bulk: по 0,2 мл (20 мг), або по 0,4 мл (40 мг), або по 0,6 мл (60 мг), або по 0,8 мл (80 мг), або по 1,0 мл (100 мг) у попередньо наповненому шприці, по 2 шприци в блістері, по 100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Велика Британ</w:t>
            </w:r>
            <w:r w:rsidRPr="00CA4562">
              <w:rPr>
                <w:rFonts w:ascii="Arial" w:hAnsi="Arial" w:cs="Arial"/>
                <w:sz w:val="16"/>
                <w:szCs w:val="16"/>
              </w:rPr>
              <w:t>i</w:t>
            </w:r>
            <w:r w:rsidRPr="00CA4562">
              <w:rPr>
                <w:rFonts w:ascii="Arial" w:hAnsi="Arial" w:cs="Arial"/>
                <w:sz w:val="16"/>
                <w:szCs w:val="16"/>
                <w:lang w:val="ru-RU"/>
              </w:rPr>
              <w:t>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 xml:space="preserve">Шенджен Текдоу Фармасьютикал Ко.,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Китай</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lang w:val="ru-RU"/>
              </w:rPr>
              <w:t>уточнення упаковки в наказі МОЗ України № 360 від 23.02.2022 в процесі внесення змін</w:t>
            </w:r>
            <w:r w:rsidRPr="00CA4562">
              <w:rPr>
                <w:rFonts w:ascii="Arial" w:hAnsi="Arial" w:cs="Arial"/>
                <w:sz w:val="16"/>
                <w:szCs w:val="16"/>
                <w:lang w:val="ru-RU"/>
              </w:rPr>
              <w:t xml:space="preserve"> (зміни </w:t>
            </w:r>
            <w:r w:rsidRPr="00CA4562">
              <w:rPr>
                <w:rFonts w:ascii="Arial" w:hAnsi="Arial" w:cs="Arial"/>
                <w:sz w:val="16"/>
                <w:szCs w:val="16"/>
              </w:rPr>
              <w:t>I</w:t>
            </w:r>
            <w:r w:rsidRPr="00CA4562">
              <w:rPr>
                <w:rFonts w:ascii="Arial" w:hAnsi="Arial" w:cs="Arial"/>
                <w:sz w:val="16"/>
                <w:szCs w:val="16"/>
                <w:lang w:val="ru-RU"/>
              </w:rPr>
              <w:t xml:space="preserve"> типу - введення додаткового збільшеного розміру серії готового лікарського засобу. Пропонована редакція 3.2.</w:t>
            </w:r>
            <w:r w:rsidRPr="00CA4562">
              <w:rPr>
                <w:rFonts w:ascii="Arial" w:hAnsi="Arial" w:cs="Arial"/>
                <w:sz w:val="16"/>
                <w:szCs w:val="16"/>
              </w:rPr>
              <w:t>P</w:t>
            </w:r>
            <w:r w:rsidRPr="00CA4562">
              <w:rPr>
                <w:rFonts w:ascii="Arial" w:hAnsi="Arial" w:cs="Arial"/>
                <w:sz w:val="16"/>
                <w:szCs w:val="16"/>
                <w:lang w:val="ru-RU"/>
              </w:rPr>
              <w:t xml:space="preserve">.3.2. Склад на серію. Розмір серії: 42 л, 150 л та 300 л; зміни </w:t>
            </w:r>
            <w:r w:rsidRPr="00CA4562">
              <w:rPr>
                <w:rFonts w:ascii="Arial" w:hAnsi="Arial" w:cs="Arial"/>
                <w:sz w:val="16"/>
                <w:szCs w:val="16"/>
              </w:rPr>
              <w:t>I</w:t>
            </w:r>
            <w:r w:rsidRPr="00CA4562">
              <w:rPr>
                <w:rFonts w:ascii="Arial" w:hAnsi="Arial" w:cs="Arial"/>
                <w:sz w:val="16"/>
                <w:szCs w:val="16"/>
                <w:lang w:val="ru-RU"/>
              </w:rPr>
              <w:t xml:space="preserve"> типу - незначна зміна у затверджених методах випробування за п. "Бактеріальні ендотоксини" та "Стерильність" (корекція перекладу, усунення технічних помилок, викладення та опису методики у відповідності до матеріалів виробника); зміни </w:t>
            </w:r>
            <w:r w:rsidRPr="00CA4562">
              <w:rPr>
                <w:rFonts w:ascii="Arial" w:hAnsi="Arial" w:cs="Arial"/>
                <w:sz w:val="16"/>
                <w:szCs w:val="16"/>
              </w:rPr>
              <w:t>I</w:t>
            </w:r>
            <w:r w:rsidRPr="00CA4562">
              <w:rPr>
                <w:rFonts w:ascii="Arial" w:hAnsi="Arial" w:cs="Arial"/>
                <w:sz w:val="16"/>
                <w:szCs w:val="16"/>
                <w:lang w:val="ru-RU"/>
              </w:rPr>
              <w:t xml:space="preserve"> типу - вилучення застарілого показника «13. Вільні сульфати: ? 0,12 %» зі специфікації ЛЗ; міни </w:t>
            </w:r>
            <w:r w:rsidRPr="00CA4562">
              <w:rPr>
                <w:rFonts w:ascii="Arial" w:hAnsi="Arial" w:cs="Arial"/>
                <w:sz w:val="16"/>
                <w:szCs w:val="16"/>
              </w:rPr>
              <w:t>I</w:t>
            </w:r>
            <w:r w:rsidRPr="00CA4562">
              <w:rPr>
                <w:rFonts w:ascii="Arial" w:hAnsi="Arial" w:cs="Arial"/>
                <w:sz w:val="16"/>
                <w:szCs w:val="16"/>
                <w:lang w:val="ru-RU"/>
              </w:rPr>
              <w:t xml:space="preserve"> типу - внесення уточнення та редакційні виправлення деяких параметрів специфікації ЛЗ - приведення до оригінальних реєстраційних матеріалів виробника ЛЗ; зміни </w:t>
            </w:r>
            <w:r w:rsidRPr="00CA4562">
              <w:rPr>
                <w:rFonts w:ascii="Arial" w:hAnsi="Arial" w:cs="Arial"/>
                <w:sz w:val="16"/>
                <w:szCs w:val="16"/>
              </w:rPr>
              <w:t>II</w:t>
            </w:r>
            <w:r w:rsidRPr="00CA4562">
              <w:rPr>
                <w:rFonts w:ascii="Arial" w:hAnsi="Arial" w:cs="Arial"/>
                <w:sz w:val="16"/>
                <w:szCs w:val="16"/>
                <w:lang w:val="ru-RU"/>
              </w:rPr>
              <w:t xml:space="preserve"> типу - зміна допустимих меж у специфікації під час виробництва ЛЗ. Пропонована редакція. 1. Час витримки між завершенням асептичної фільтрації та початком заповнення 20 год для запропонованого розміру серії 150 л та 300 л. 2. Час заповнення 27 год 55 хв для запропонованого розміру серії 150 л та 48 год для розміру серії 300 л). </w:t>
            </w:r>
            <w:r w:rsidRPr="00CA4562">
              <w:rPr>
                <w:rFonts w:ascii="Arial" w:hAnsi="Arial" w:cs="Arial"/>
                <w:b/>
                <w:sz w:val="16"/>
                <w:szCs w:val="16"/>
                <w:lang w:val="ru-RU"/>
              </w:rPr>
              <w:t>Було пропущено упаковку по 0,2 мл (20 мг), або по 0,4 мл (40 мг), або по 0,6 мл (60 мг), або по 0,8 мл (80 мг), або по 1,0 мл (100 мг) у попередньо наповненому шприці; по 2 шприци в блістері; по 1 блістеру в картонній коробці; по 0,2 мл (20 мг), або по 0,4 мл (40 мг), або по 0,6 мл (60 мг), або по 0,8 мл (80 мг) у попередньо наповненому шприці; по 2 шприци в блістері; по 5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UA/18243/01/01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НОВОПАРИН®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100 мг (10 000 анти-фактор Ха МО)/мл; по 0,2 мл (20 мг), або по 0,4 мл (40 мг), або по 0,6 мл (60 мг), або по 0,8 мл (80 мг), або по 1,0 мл (100 мг) у попередньо наповненому шприці; по 2 шприци в блістері; по 1 блістеру в картонній коробці; по 0,2 мл (20 мг), або по 0,4 мл (40 мг), або по 0,6 мл (60 мг), або по 0,8 мл (80 мг) у попередньо наповненому шприці; по 2 шприци в блістері; по 5 блістерів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Велика Британ</w:t>
            </w:r>
            <w:r w:rsidRPr="00CA4562">
              <w:rPr>
                <w:rFonts w:ascii="Arial" w:hAnsi="Arial" w:cs="Arial"/>
                <w:sz w:val="16"/>
                <w:szCs w:val="16"/>
              </w:rPr>
              <w:t>i</w:t>
            </w:r>
            <w:r w:rsidRPr="00CA4562">
              <w:rPr>
                <w:rFonts w:ascii="Arial" w:hAnsi="Arial" w:cs="Arial"/>
                <w:sz w:val="16"/>
                <w:szCs w:val="16"/>
                <w:lang w:val="ru-RU"/>
              </w:rPr>
              <w:t>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 xml:space="preserve">Шенджен Текдоу Фармасьютикал Ко.,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lang w:val="ru-RU"/>
              </w:rPr>
              <w:t>Китай</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lang w:val="ru-RU"/>
              </w:rPr>
              <w:t>уточнення упаковки в наказі МОЗ України № 360 від 23.02.2022 в процесі внесення змін</w:t>
            </w:r>
            <w:r w:rsidRPr="00CA4562">
              <w:rPr>
                <w:rFonts w:ascii="Arial" w:hAnsi="Arial" w:cs="Arial"/>
                <w:sz w:val="16"/>
                <w:szCs w:val="16"/>
                <w:lang w:val="ru-RU"/>
              </w:rPr>
              <w:t xml:space="preserve"> (зміни </w:t>
            </w:r>
            <w:r w:rsidRPr="00CA4562">
              <w:rPr>
                <w:rFonts w:ascii="Arial" w:hAnsi="Arial" w:cs="Arial"/>
                <w:sz w:val="16"/>
                <w:szCs w:val="16"/>
              </w:rPr>
              <w:t>I</w:t>
            </w:r>
            <w:r w:rsidRPr="00CA4562">
              <w:rPr>
                <w:rFonts w:ascii="Arial" w:hAnsi="Arial" w:cs="Arial"/>
                <w:sz w:val="16"/>
                <w:szCs w:val="16"/>
                <w:lang w:val="ru-RU"/>
              </w:rPr>
              <w:t xml:space="preserve"> типу - введення додаткового збільшеного розміру серії готового лікарського засобу. Пропонована редакція 3.2.</w:t>
            </w:r>
            <w:r w:rsidRPr="00CA4562">
              <w:rPr>
                <w:rFonts w:ascii="Arial" w:hAnsi="Arial" w:cs="Arial"/>
                <w:sz w:val="16"/>
                <w:szCs w:val="16"/>
              </w:rPr>
              <w:t>P</w:t>
            </w:r>
            <w:r w:rsidRPr="00CA4562">
              <w:rPr>
                <w:rFonts w:ascii="Arial" w:hAnsi="Arial" w:cs="Arial"/>
                <w:sz w:val="16"/>
                <w:szCs w:val="16"/>
                <w:lang w:val="ru-RU"/>
              </w:rPr>
              <w:t xml:space="preserve">.3.2. Склад на серію. Розмір серії: 42 л, 150 л та 300 л; зміни </w:t>
            </w:r>
            <w:r w:rsidRPr="00CA4562">
              <w:rPr>
                <w:rFonts w:ascii="Arial" w:hAnsi="Arial" w:cs="Arial"/>
                <w:sz w:val="16"/>
                <w:szCs w:val="16"/>
              </w:rPr>
              <w:t>I</w:t>
            </w:r>
            <w:r w:rsidRPr="00CA4562">
              <w:rPr>
                <w:rFonts w:ascii="Arial" w:hAnsi="Arial" w:cs="Arial"/>
                <w:sz w:val="16"/>
                <w:szCs w:val="16"/>
                <w:lang w:val="ru-RU"/>
              </w:rPr>
              <w:t xml:space="preserve"> типу - незначна зміна у затверджених методах випробування за п. "Бактеріальні ендотоксини" та "Стерильність" (корекція перекладу, усунення технічних помилок, викладення та опису методики у відповідності до матеріалів виробника); зміни </w:t>
            </w:r>
            <w:r w:rsidRPr="00CA4562">
              <w:rPr>
                <w:rFonts w:ascii="Arial" w:hAnsi="Arial" w:cs="Arial"/>
                <w:sz w:val="16"/>
                <w:szCs w:val="16"/>
              </w:rPr>
              <w:t>I</w:t>
            </w:r>
            <w:r w:rsidRPr="00CA4562">
              <w:rPr>
                <w:rFonts w:ascii="Arial" w:hAnsi="Arial" w:cs="Arial"/>
                <w:sz w:val="16"/>
                <w:szCs w:val="16"/>
                <w:lang w:val="ru-RU"/>
              </w:rPr>
              <w:t xml:space="preserve"> типу - вилучення застарілого показника «13. Вільні сульфати: ? 0,12 %» зі специфікації ЛЗ; міни </w:t>
            </w:r>
            <w:r w:rsidRPr="00CA4562">
              <w:rPr>
                <w:rFonts w:ascii="Arial" w:hAnsi="Arial" w:cs="Arial"/>
                <w:sz w:val="16"/>
                <w:szCs w:val="16"/>
              </w:rPr>
              <w:t>I</w:t>
            </w:r>
            <w:r w:rsidRPr="00CA4562">
              <w:rPr>
                <w:rFonts w:ascii="Arial" w:hAnsi="Arial" w:cs="Arial"/>
                <w:sz w:val="16"/>
                <w:szCs w:val="16"/>
                <w:lang w:val="ru-RU"/>
              </w:rPr>
              <w:t xml:space="preserve"> типу - внесення уточнення та редакційні виправлення деяких параметрів специфікації ЛЗ - приведення до оригінальних реєстраційних матеріалів виробника ЛЗ; зміни </w:t>
            </w:r>
            <w:r w:rsidRPr="00CA4562">
              <w:rPr>
                <w:rFonts w:ascii="Arial" w:hAnsi="Arial" w:cs="Arial"/>
                <w:sz w:val="16"/>
                <w:szCs w:val="16"/>
              </w:rPr>
              <w:t>II</w:t>
            </w:r>
            <w:r w:rsidRPr="00CA4562">
              <w:rPr>
                <w:rFonts w:ascii="Arial" w:hAnsi="Arial" w:cs="Arial"/>
                <w:sz w:val="16"/>
                <w:szCs w:val="16"/>
                <w:lang w:val="ru-RU"/>
              </w:rPr>
              <w:t xml:space="preserve"> типу - зміна допустимих меж у специфікації під час виробництва ЛЗ. Пропонована редакція. 1. Час витримки між завершенням асептичної фільтрації та початком заповнення 20 год для запропонованого розміру серії 150 л та 300 л. 2. Час заповнення 27 год 55 хв для запропонованого розміру серії 150 л та 48 год для розміру серії 300 л). </w:t>
            </w:r>
            <w:r w:rsidRPr="00CA4562">
              <w:rPr>
                <w:rFonts w:ascii="Arial" w:hAnsi="Arial" w:cs="Arial"/>
                <w:b/>
                <w:sz w:val="16"/>
                <w:szCs w:val="16"/>
                <w:lang w:val="ru-RU"/>
              </w:rPr>
              <w:t>Було пропущено упаковку по 0,2 мл (20 мг), або по 0,4 мл (40 мг), або по 0,6 мл (60 мг), або по 0,8 мл (80 мг), або по 1,0 мл (100 мг) у попередньо наповненому шприці; по 2 шприци в блістері; по 1 блістеру в картонній коробці; по 0,2 мл (20 мг), або по 0,4 мл (40 мг), або по 0,6 мл (60 мг), або по 0,8 мл (80 мг) у попередньо наповненому шприці; по 2 шприци в блістері; по 5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UA/9061/01/01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НООФЕН®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250 мг, по 10 таблеток у блістері; по 2 блістери у пачці картонній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"Олайнфарм"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Латвiя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"Олайнфарм"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Латвiя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562">
              <w:rPr>
                <w:rFonts w:ascii="Arial" w:hAnsi="Arial" w:cs="Arial"/>
                <w:sz w:val="16"/>
                <w:szCs w:val="16"/>
              </w:rPr>
              <w:br/>
              <w:t xml:space="preserve">продовження терміну зберігання неупакованого продукту в процесі виробництва готового продукту із 30 днів до 6 місяців на основі результатів досліджень стабільності.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доповнення до показника «Механічна міцність» (Hardness), а саме додавання допустимих меж в одиницях розмірності Ньютон (N) (затверджено: кілопонд (kp)) у відповідності до Ph. Eur. 2.9.8.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UA/3773/01/01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ОМЕПРАЗОЛ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капсули тверді кишковорозчинні по 20 мг; по 7 капсул у блістері, по 4 блістери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"АРТЕРІУМ ЛТД"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первинне та вторинне пакування, контроль та випуск серії: Лабораторіос Ліконса, С.А., Іспанія;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ділянка для альтернативного вторинного пакування: Атдіс Фарма, С.Л., Іспанiя; ділянка для альтернативного контролю за показником МБЧ: Лабораторіо Ечеварне, С.А., Іспанiя; ділянка для альтернативного вторинного пакування: Манантіал Інтегра, С.Л.У., Іспанiя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Іспанія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зміни І типу - Зміни з якості. Готовий лікарський засіб. Опис та склад (інші зміни). </w:t>
            </w:r>
            <w:r w:rsidRPr="00CA4562">
              <w:rPr>
                <w:rFonts w:ascii="Arial" w:hAnsi="Arial" w:cs="Arial"/>
                <w:sz w:val="16"/>
                <w:szCs w:val="16"/>
              </w:rPr>
              <w:br/>
              <w:t>Супутня зміна - Зміни щодо безпеки/ефективності та фармаконагляду (інші зміни). Внесення змін до складу кришечки твердої желатинової капсули, а саме – додавання Індиготину-FD &amp; C Blue 2 (E132). Зовнішній вигляд твердої желатинової капсули розміром «4» змінився з твердих желатинових капсул розміром «4», з кришечкою і корпусом білого матового кольору, які містять сферичні пелети білого, майже білого або білого кремового кольору без видимих дефектів до твердих желатинових капсул розміром «4», з кришечкою голубого матового кольору і корпусом білого матового кольору, які містять сферичні пелети білого, майже білого або білого кремового кольору. Зміни внесені в інструкцію для медичного застосування лікарського засобу у розділ "Склад" (капсула).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Введення додаткового матеріалу блістерів Alu-Alu, з відповідними змінами до р. «Упаковка».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Супутня зміна</w:t>
            </w:r>
            <w:r w:rsidRPr="00CA4562">
              <w:rPr>
                <w:rFonts w:ascii="Arial" w:hAnsi="Arial" w:cs="Arial"/>
                <w:sz w:val="16"/>
                <w:szCs w:val="16"/>
              </w:rPr>
              <w:br/>
              <w:t xml:space="preserve">- Зміни щодо безпеки/ефективності та фармаконагляду (інші зміни). Внесення змін до р. «Упаковка», а саме – додавання упаковки по 7 капсул в блістері, по 4 блістери в пачці.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Внесення змін до р. «Упаковка», а саме- вилучення упаковки по 10 капсул в блістері, по 3 блістери в пачці.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UA/17985/01/01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ОФТАГЕЛЬ®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гель очний, 2,5 мг/г, по 10 г у флаконі, по 1 флакону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Сантен 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Фiнляндiя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Сантен АТ, Фiнляндiя (виробник, відповідальний за випуск серії); УРСАФАРМ Арцнайміттель ГмбХ, Німеччина (виробник, відповідальний за виробництво in-bulk, первинне та вторинне пакування,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Фiнляндiя/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Розширення допустимих меж для консервантів відповідно до вимог CPMP/QWP/486/95 та настанови ЄС "3QA11A: Specifications and Control Tests on the finished product", відповідно до яких допустимо мати межі ± 10 % для кількісного визначення консервантів без обґрунтування такого розширення.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UA/6605/01/01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ПАНГАСТРО®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розчину для ін’єкцій по 40 мг, 1, або 5, або 10 флаконів з порошком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Лек Фармацевтична компанія д.д.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Словенія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2009-323 - Rev 02 (затверджено: R1-CEP 2009-323 - Rev 01) для АФІ пантопразолу натрію сесквігідрату від вже затвердженого виробника Moehs Iberica S.L., Spain</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UA/14142/01/01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ПАСТА ТЕЙМУРОВА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паста по 25 г у тубі алюмінієвій;  по 25 г у тубі алюмінієвій; по 1 тубі в пачці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"Тернофарм"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ТОВ "Тернофарм"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Внесення додаткового виробника активної субстанції кислоти борної «SUJATA CHEMICALS», Індія з наданням мастер-файла на АФІ,( затверджено:ЗАТ « ГХК Бор», Російська федерація запропоновано: ЗАТ « ГХК Бор», Російська федерація; «SUJATA CHEMICALS»,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UA/1089/01/01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ПЕРІНДОПРЕС® 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по 4 мг/5 мг по 10 таблеток у контурній чарунковій упаковці; по 3 контурні чарункові упаковки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на основі позитивних результатів довгострокових досліджень стабільності у реальному часі: Затверджено: Термін придатності 1,5 роки. Запропоновано: Термін придатності 2 роки Зміни внесені в інструкцію для медичного застосування лікарського засобу у розділ "Термін придатності".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UA/17768/01/01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ПЕРІНДОПРЕС® 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по 8 мг/10 мг по 10 таблеток у контурній чарунковій упаковці; по 3 контурні чарункові упаковки в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ПрАТ "Фармацевтична фірма "Дарниця"</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на основі позитивних результатів довгострокових досліджень стабільності у реальному часі: Затверджено: Термін придатності 1,5 роки. Запропоновано: Термін придатності 2 роки Зміни внесені в інструкцію для медичного застосування лікарського засобу у розділ "Термін придатності".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UA/17768/01/02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ПРОПОФОЛ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рідина (субстанція) у контейнерах алюмінієвих для фармацевтичного застосування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Бачем СА, Суккурсале де Віонназ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CA4562">
              <w:rPr>
                <w:rFonts w:ascii="Arial" w:hAnsi="Arial" w:cs="Arial"/>
                <w:sz w:val="16"/>
                <w:szCs w:val="16"/>
              </w:rPr>
              <w:br/>
              <w:t xml:space="preserve">внесення змін до методики випробування АФІ Пропофол за показником «Супровідні домішки», а саме: уточнено згідно монографії одиниці вимірювання у приготуваннях розчинів порівняння.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UA/14612/01/01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ПРОТАФАН® НМ ФЛЕКСПЕН®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суспензія для ін'єкцій, 100 МО/мл; по 3 мл у картриджі; по 1 картриджу у багатодозовій одноразовій шприц-ручці; по 1 або 5 шприц-ручок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Ново Нордіск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Виробник нерозфасованого продукту, первинне пакування; контроль якості продукту в первинному пакуванні (картриджі Пенфіл®) та відповідальний за випуск серії готового продукту (ФлексПен®): А/Т Ново Нордіск, Данiя; Виробник відповідальний за збирання, маркування та вторинне пакування готового продукту (ФлексПен®); контроль якості готового продукту (ФлексПен®): А/Т Ново Нордіск, Данія; Маркування та вторинне пакування готового продукту (ФлексПен®): А/Т Ново Нордіск, Данія; Виробник продукції за повним циклом: Ново Нордіск Продюксьон САС, Франція; Виробник нерозфасованого продукту, первинне пакування; контроль якості продукту в первинному пакуванні (картриджі Пенфіл®); збирання, маркування та вторинне пакування готового продукту (ФлексПен®); контроль якості готового продукту (ФлексПен®): Ново Нордіск Продукао Фармасеутіка до Бразіль Лтда., Бразилія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Данiя/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Франція/</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Бразилія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(масштаб для лікарського засобу біологічного/імунологічного походження збільшився/зменшився без зміни виробничого процесу (наприклад дублювання лінії)) введення додаткового розміру серії - 1600 л для виробничої дільниці Ново Нордіск Продюксьон САС, Франція. Затверджено: 1200 л Запропоновано: 1200 л, 1600 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UA/17174/01/01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 xml:space="preserve">РЕВМАЛГИН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розчин для ін'єкцій, 10 мг/мл; </w:t>
            </w:r>
            <w:r w:rsidRPr="00CA4562">
              <w:rPr>
                <w:rFonts w:ascii="Arial" w:hAnsi="Arial" w:cs="Arial"/>
                <w:sz w:val="16"/>
                <w:szCs w:val="16"/>
              </w:rPr>
              <w:br/>
              <w:t>по 1,5 мл у флаконі; по 5 флаконів у контурній чарунковій упаковці; по 1 контурній чарунковій упаковці в пачці;</w:t>
            </w:r>
            <w:r w:rsidRPr="00CA4562">
              <w:rPr>
                <w:rFonts w:ascii="Arial" w:hAnsi="Arial" w:cs="Arial"/>
                <w:sz w:val="16"/>
                <w:szCs w:val="16"/>
              </w:rPr>
              <w:br/>
              <w:t>по 1,5 мл в ампулі; по 5 ампул у блістері; по 1 блістеру в пачці;</w:t>
            </w:r>
            <w:r w:rsidRPr="00CA4562">
              <w:rPr>
                <w:rFonts w:ascii="Arial" w:hAnsi="Arial" w:cs="Arial"/>
                <w:sz w:val="16"/>
                <w:szCs w:val="16"/>
              </w:rPr>
              <w:br/>
              <w:t>по 1,5 мл в ампулі; по 5 ампул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"ФАРМЕКС ГРУП"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"ФАРМЕКС ГРУП", Україна; весь виробничий процес готового лікарського засобу, включаючи вторинне пакування, за винятком випуску серії та контролю якості: ТОВ "Фармацевтична компанія "Здоров'я",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(Б.II.б.4. (а) ІБ)</w:t>
            </w:r>
            <w:r w:rsidRPr="00CA4562">
              <w:rPr>
                <w:rFonts w:ascii="Arial" w:hAnsi="Arial" w:cs="Arial"/>
                <w:sz w:val="16"/>
                <w:szCs w:val="16"/>
              </w:rPr>
              <w:br/>
              <w:t xml:space="preserve">введення додаткового розміру серій ГЛЗ для виробника "Фармацевтична компанія "Здоров'я": 100 л (66,667 тис. ампул). </w:t>
            </w:r>
            <w:r w:rsidRPr="00CA4562">
              <w:rPr>
                <w:rFonts w:ascii="Arial" w:hAnsi="Arial" w:cs="Arial"/>
                <w:sz w:val="16"/>
                <w:szCs w:val="16"/>
              </w:rPr>
              <w:br/>
              <w:t xml:space="preserve">Затверджено: 50 л (33,33 тис. ампул). Запропоновано: 50 л (33,33 тис. ампул) 100 л (66,667 тис. ампул).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UA/11608/02/01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РЕЛВАР™ ЕЛЛІПТА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інгаляцій, дозований по 184 мкг/22 мкг/дозу; по 14 або 30 доз у порошковому інгаляторі; по 1 інгалятору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Глаксо Оперейшнс ЮК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Велика Британiя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562">
              <w:rPr>
                <w:rFonts w:ascii="Arial" w:hAnsi="Arial" w:cs="Arial"/>
                <w:sz w:val="16"/>
                <w:szCs w:val="16"/>
              </w:rPr>
              <w:br/>
              <w:t>Внесення змін до виробничого процесу, зокрема: заміна параметру "тиск ущільнення" (бар) на параметр "сила ущільнення" для процесу герметизації блістерів.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UA/14564/01/01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РИПРОНАТ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 xml:space="preserve">капсули тверді по 250 мг, по 10 капсул в блістері; по 4 </w:t>
            </w:r>
            <w:r w:rsidRPr="00CA4562">
              <w:rPr>
                <w:rFonts w:ascii="Arial" w:hAnsi="Arial" w:cs="Arial"/>
                <w:b/>
                <w:sz w:val="16"/>
                <w:szCs w:val="16"/>
                <w:lang w:val="ru-RU"/>
              </w:rPr>
              <w:t>або 6 блістерів у картонній коробці</w:t>
            </w:r>
            <w:r w:rsidRPr="00CA4562">
              <w:rPr>
                <w:rFonts w:ascii="Arial" w:hAnsi="Arial" w:cs="Arial"/>
                <w:sz w:val="16"/>
                <w:szCs w:val="16"/>
                <w:lang w:val="ru-RU"/>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 xml:space="preserve">ТОВ "УОРЛД МЕДИЦИН"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К.О. Ромфарм Компані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lang w:val="ru-RU"/>
              </w:rPr>
              <w:t>Румунія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написання упаковки в наказі МОЗ України № 813 від 16.05.2022 в процесі внесення змін</w:t>
            </w:r>
            <w:r w:rsidRPr="00CA4562">
              <w:rPr>
                <w:rFonts w:ascii="Arial" w:hAnsi="Arial" w:cs="Arial"/>
                <w:sz w:val="16"/>
                <w:szCs w:val="16"/>
              </w:rPr>
              <w:t xml:space="preserve"> (Зміна заявника (власника реєстраційного посвідчення) (згідно наказу МОЗ від 23.07.2015 № 460): Затверджено: УОРЛД МЕДИЦИН ЛТД, Грузія / WORLD MEDICINE LTD, Georgia Запропоновано: ТОВ «УОРЛД МЕДИЦИН», Україна / WORLD MEDICINE, LLC, Ukraine. </w:t>
            </w:r>
            <w:r w:rsidRPr="00CA4562">
              <w:rPr>
                <w:rFonts w:ascii="Arial" w:hAnsi="Arial" w:cs="Arial"/>
                <w:sz w:val="16"/>
                <w:szCs w:val="16"/>
                <w:lang w:val="ru-RU"/>
              </w:rPr>
              <w:t xml:space="preserve">Зміни внесені в інструкцію для медичного застосування лікарського засобу у розділ "Заявник".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Русудан Есакія / </w:t>
            </w:r>
            <w:r w:rsidRPr="00CA4562">
              <w:rPr>
                <w:rFonts w:ascii="Arial" w:hAnsi="Arial" w:cs="Arial"/>
                <w:sz w:val="16"/>
                <w:szCs w:val="16"/>
              </w:rPr>
              <w:t>Rusudan</w:t>
            </w:r>
            <w:r w:rsidRPr="00CA4562">
              <w:rPr>
                <w:rFonts w:ascii="Arial" w:hAnsi="Arial" w:cs="Arial"/>
                <w:sz w:val="16"/>
                <w:szCs w:val="16"/>
                <w:lang w:val="ru-RU"/>
              </w:rPr>
              <w:t xml:space="preserve"> </w:t>
            </w:r>
            <w:r w:rsidRPr="00CA4562">
              <w:rPr>
                <w:rFonts w:ascii="Arial" w:hAnsi="Arial" w:cs="Arial"/>
                <w:sz w:val="16"/>
                <w:szCs w:val="16"/>
              </w:rPr>
              <w:t>Esakia</w:t>
            </w:r>
            <w:r w:rsidRPr="00CA4562">
              <w:rPr>
                <w:rFonts w:ascii="Arial" w:hAnsi="Arial" w:cs="Arial"/>
                <w:sz w:val="16"/>
                <w:szCs w:val="16"/>
                <w:lang w:val="ru-RU"/>
              </w:rPr>
              <w:t xml:space="preserve">. Пропонована редакція: Пудло Ганна Станіславівна.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 Зміни І типу - Зміни щодо безпеки/ефективності та фармаконагляду (інші зміни) внесення зміни до розділу «Маркування» МКЯ ЛЗ: Діюча редакція: МАРКИРОВКА Текст маркування первинної упаковки лікарського засобу Текст маркування вторинної упаковки лікарського засобу Пропонована редакція: МАРКИРОВКА В соответствии с утвержденным текстом маркировки. Оновлення тексту маркування упаковки лікарського засобу відповідно до вимог наказу МОЗ України від 23.07.2015 р. №460 з внесенням інформації щодо зазначення одиниць вимірювання у системі </w:t>
            </w:r>
            <w:r w:rsidRPr="00CA4562">
              <w:rPr>
                <w:rFonts w:ascii="Arial" w:hAnsi="Arial" w:cs="Arial"/>
                <w:sz w:val="16"/>
                <w:szCs w:val="16"/>
              </w:rPr>
              <w:t>SI</w:t>
            </w:r>
            <w:r w:rsidRPr="00CA4562">
              <w:rPr>
                <w:rFonts w:ascii="Arial" w:hAnsi="Arial" w:cs="Arial"/>
                <w:sz w:val="16"/>
                <w:szCs w:val="16"/>
                <w:lang w:val="ru-RU"/>
              </w:rPr>
              <w:t xml:space="preserve"> та внесення інформації щодо найменування нового заявника. Введення змін протягом 6-ти місяців після затвердження). Редакція в наказі: по 10 капсул у блістері; по 4 блістери у картонній коробці. </w:t>
            </w:r>
            <w:r w:rsidRPr="00CA4562">
              <w:rPr>
                <w:rFonts w:ascii="Arial" w:hAnsi="Arial" w:cs="Arial"/>
                <w:b/>
                <w:sz w:val="16"/>
                <w:szCs w:val="16"/>
                <w:lang w:val="ru-RU"/>
              </w:rPr>
              <w:t>Вірна редакція: по 10 капсул в блістері; по 4 або 6 блістерів у картонній коробці</w:t>
            </w:r>
            <w:r w:rsidRPr="00CA4562">
              <w:rPr>
                <w:rFonts w:ascii="Arial" w:hAnsi="Arial" w:cs="Arial"/>
                <w:sz w:val="16"/>
                <w:szCs w:val="16"/>
                <w:lang w:val="ru-RU"/>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UA/16424/02/01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РІВОДАРОН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по 200 мг; по 10 таблеток у блістері; по 3 блістери в картонній пачці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Рівофарм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"Побічні реакції" відповідно до оновленої інформації з безпеки застосування діючої речовини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UA/17330/01/01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РОЗУЛІП® ПЛЮС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тверді по 20 мг/10 мг по 10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ЗАТ Фармацевтичний завод ЕГІС, Угорщина (повний цикл виробництва, включаючи випуск серії); ЗАТ Фармацевтичний завод ЕГІС, Угорщина (повний цикл виробництва, включаючи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виробника проміжного продукту метилового ефіру розувастатину. </w:t>
            </w:r>
            <w:r w:rsidRPr="00CA4562">
              <w:rPr>
                <w:rFonts w:ascii="Arial" w:hAnsi="Arial" w:cs="Arial"/>
                <w:sz w:val="16"/>
                <w:szCs w:val="16"/>
              </w:rPr>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якості «Важкі метали» зі специфікації «Rosuvastatin Sinthetic route B».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якості «Опис розчину» зі специфікації «Rosuvastatin Sinthetic route B».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введення альтернативної технології виробництва АФІ розувастатину цинку, а саме: синтез 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UA/16807/01/01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РОЗУЛІП® ПЛЮС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тверді по 10 мг/10 мг по 10 капсул у блістері; по 3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ЗАТ Фармацевтичний завод ЕГІС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ЗАТ Фармацевтичний завод ЕГІС, Угорщина (повний цикл виробництва, включаючи випуск серії); ЗАТ Фармацевтичний завод ЕГІС, Угорщина (повний цикл виробництва, включаючи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Угорщина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виробника проміжного продукту метилового ефіру розувастатину: </w:t>
            </w:r>
            <w:r w:rsidRPr="00CA4562">
              <w:rPr>
                <w:rFonts w:ascii="Arial" w:hAnsi="Arial" w:cs="Arial"/>
                <w:sz w:val="16"/>
                <w:szCs w:val="16"/>
              </w:rPr>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якості «Важкі метали» зі специфікації «Rosuvastatin Sinthetic route B».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якості «Опис розчину» зі специфікації «Rosuvastatin Sinthetic route B».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введення альтернативної технології виробництва АФІ розувастатину цинку, а саме: синтез 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UA/16808/01/01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РОФАСТ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плівковою оболонкою, по 20 мг по 10 таблеток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Ауробіндо Фарма Лтд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Ауробіндо Фарма Лімітед- Юніт VII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 </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"Фармакотерапевтична група" (уточнення інформації), "Показання" (уточнення інформації),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"Діти"(уточнення інформації), "Побічні реакції" згідно з інформацією щодо медичного застосування референтного лікарського засобу (КРЕСТОР, таблетки, вкриті плівковою оболонкою).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UA/14580/01/02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РОФАСТ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таблетки, вкриті плівковою оболонкою, по 10 мг по 10 таблеток у блістері; по 3 блістери в картонній коробці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Ауробіндо Фарма Лтд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Ауробіндо Фарма Лімітед- Юніт VII  </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 </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"Фармакотерапевтична група" (уточнення інформації), "Показання" (уточнення інформації),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"Діти"(уточнення інформації), "Побічні реакції" згідно з інформацією щодо медичного застосування референтного лікарського засобу (КРЕСТОР, таблетки, вкриті плівковою оболонкою).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UA/14580/01/01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САНДОСТАТИН®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розчин для ін'єкцій, 0,05 мг/1 мл; по 1 мл в ампулі; по 5 ампул в коробці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Новартіс Фарма Штейн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лікарського засобу.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UA/9821/01/01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САНДОСТАТИН®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розчин для ін'єкцій, 0,1 мг/1 мл; по 1 мл в ампулі; по 5 ампул в коробці з картону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Новартіс Фарма Штейн АГ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лікарського засобу.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UA/9821/01/02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СЕРМІОН®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цукровою оболонкою, по 5 мг; по 15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Апджон ЮС 1 ЛЛС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Пфайзер Італія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"Особливості застосування" щодо оновлення інформації з безпеки допоміжних речовин.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UA/5183/01/02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СЕРМІОН®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цукровою оболонкою, по 10 мг; по 25 таблеток у блістері; по 2 блістери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Апджон ЮС 1 ЛЛС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Пфайзер Італія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"Особливості застосування" щодо оновлення інформації з безпеки допоміжних речовин.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UA/5183/01/03</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СІМПОНІ®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100 мг/мл, по 0,5 мл або 1,0 мл розчину у попередньо наповненoму шприці із скла типу 1 з гумовим наконечником та голкою, вкритою ковпачком, з пристроєм для введення UltraSafe; по 1 шприцу в картонній коробці; по 0,5 мл або 1,0 мл розчину у попередньо наповненoму шприці із скла типу 1 з гумовим наконечником та голкою, вкритою ковпачком, у ручці з автоін'єктором; по 1 ручці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"Джонсон і Джонсон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Бакстер Фармасьютикал Солюшинз ЛЛС, США (виробництво лікарського засобу, первинна упаковка); Сілаг АГ, Швейцарія (виробництво лікарського засобу, первинна упаковка); Сілаг АГ, Швейцарія (вторинна упаковка, випуск серії, контроль якості ГЛ)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США/Швейцарія</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для лікарського засобу біологічного/імунологічного походження та один з методів аналізу, що застосовується на дільниці, є біологічним/імунологічним/імунохімічним методом - Внесення змін до розділу 3.2.P.3.1. Виробники, а саме - додавання функцій до виробника Cilag AG, Hochstrasse 201, CH-8200 Schaffhausen, Швейцарія як альтернативної дільниці, що проводить контроль якості біологічного готового продукту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UA/15841/01/01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СКАЙРІЗІ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 по 150 мг/1 мл; 1 попередньо наповнений скляний шприц, вмонтований у автоінжектор; по одному автоінжектору у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ЕббВі Біофармасьютікалз ГмбХ</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тестування: ЕббВі Біорісерч Сентер Інк, США; виробництво лікарського засобу, тестування, первинне пакування:</w:t>
            </w:r>
            <w:r w:rsidRPr="00CA4562">
              <w:rPr>
                <w:rFonts w:ascii="Arial" w:hAnsi="Arial" w:cs="Arial"/>
                <w:sz w:val="16"/>
                <w:szCs w:val="16"/>
              </w:rPr>
              <w:br/>
              <w:t>ЕббВі Біотекнолоджі ЛТД, США; вторинне пакування, тестування, випуск серії: Еббві Дойчленд ГмбХ і Ко. КГ, Німеччина; тестування: Чарльз Рівер Лабораторіз Джермані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США/Німеччина</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Зміна сили дії, лікарської форми та способу застосування, а саме: додавання нової сили дії по 150 мг </w:t>
            </w:r>
            <w:r w:rsidRPr="00CA4562">
              <w:rPr>
                <w:rFonts w:ascii="Arial" w:hAnsi="Arial" w:cs="Arial"/>
                <w:sz w:val="16"/>
                <w:szCs w:val="16"/>
              </w:rPr>
              <w:br/>
            </w:r>
            <w:r w:rsidRPr="00CA4562">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UA/17970/01/02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СТОПАНГІН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спрей для ротової порожнини, 1,92 мг/мл; по 30 мл у флаконі; по 1 флакону з механічним розпилювачем, аплікатором для ротової порожнини та кришкою, яка захищає розпилювач, в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Тева Чех Індастріз с.р.о.</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Чеська Республіка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оновлення методу випробування за показником "Ідентифікація ефірних олій"(Ph.Eur.2.2.28).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UA/1831/01/01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СТОПТУСИН-ТЕВА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по 10 таблеток у блістері; по 2 блістери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«Тева Україна»</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виробництво за повним циклом: Тева Чех Індастріз с.р.о., Чеська Республіка; виробництво за повним циклом:</w:t>
            </w:r>
            <w:r w:rsidRPr="00CA4562">
              <w:rPr>
                <w:rFonts w:ascii="Arial" w:hAnsi="Arial" w:cs="Arial"/>
                <w:sz w:val="16"/>
                <w:szCs w:val="16"/>
              </w:rPr>
              <w:br/>
              <w:t>ТОВ Тева Оперейшнз Поланд, Польща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Чеська Республіка/ Польща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Заміна параметру ідентифікація бутамірату цитрату та гвайфенезіну методом ТШХ на параметр ідентифікація методом ВЕРХ -ДМД (порівняння УФ-Вид спектрів), редакційні зміни.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(внесення змін у досьє для приведення у відповідність до загальної статті 2.9.40 «Однорідність дозованих одиниць» ДФУ/Європейської фармакопеї замість затверджених загальних статей 2.9.5 «Однорідність маси» та/або 2.9.6 «Однорідність дози»). Приведення у відповідність до загальної статті 2.9.40 «Однорідність дозованих одиниць» ДФУ/Європейської фармакопеї замість затверджених загальних статей 2.9.5 «Однорідність маси» та/або 2.9.6 «Однорідність дози») </w:t>
            </w:r>
            <w:r w:rsidRPr="00CA4562">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«розпадання», наявний п. «розчинення».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Доповнення специфікації показником домішки та продукти розкладу бутамірату цитрату, що контролюються методом ВЕРХ/УЕРХ (МРС019748/4) та відповідно до вимог керівництв ІСН Q3B.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меж домішок та продуктів розкладу гвайфенезину відповідно до поточних вимог моногафії ЕР; ІСН.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r w:rsidRPr="00CA4562">
              <w:rPr>
                <w:rFonts w:ascii="Arial" w:hAnsi="Arial" w:cs="Arial"/>
                <w:sz w:val="16"/>
                <w:szCs w:val="16"/>
              </w:rPr>
              <w:br/>
              <w:t>Заміна методу випробування ВЕРХ для ідентифікації, кількісного вмісту та однорідності вмісту на новий метод ВЕРХ/УЕРХ (МРС0119851/1)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методу випробування ВЕРХ для ідентифікації, кількісного вмісту та однорідності вмісту на новий ВЕРХ/УЕРХ (МРС019748/4).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випробування визначення діетиламіноетоксиетанолу (домішки А бутамірату), а саме вдосконалення опису методу та приведення його у відповідність до валідації аналітичної методики та вимог ІСН.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Зменшення терміну придатності готового лікарського засобу з 5 років до 3 років. Введення змін протягом 6-ти місяців після затвердження не рекомендовано до затвердження, оскільки зміна обумовлена перестрогами щодо стабільності.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UA/2447/03/01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ТАНТУМ РОЗА®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гранули для вагінального розчину по 500 мг; по 10 саше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Азіенде Кіміке Ріуніте Анжеліні Франческо А.К.Р.А.Ф.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Італiя, Італiя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Азіенде Кіміке Ріуніте Анжеліні Франческо А.К.Р.А.Ф.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Італiя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приведення специфікації АФІ у відповідність до вимог монографії ЕР Benzydamine hydrochloride;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звуження допустимої межі у специфікації АФІ для показника 1-бром-3-хлорпропан з nmt 125 ppm до nmt 33.0 ppm, що являє собою вихідний матеріал та потенційну генотоксичну домішку, у відповідності до вимог Керівництва ICH M7;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звуження допустимої межі у специфікації АФІ для показника бензилхлориду з nmt 125 ppm до nmt 125.0 ppm, що являє собою вихідний матеріал та потенційну генотоксичну домішку;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зміна періодичного контролю розчинника на рутинний контроль кожної серії АФІ;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періоду переконтролю АФІ.</w:t>
            </w:r>
            <w:r w:rsidRPr="00CA4562">
              <w:rPr>
                <w:rFonts w:ascii="Arial" w:hAnsi="Arial" w:cs="Arial"/>
                <w:sz w:val="16"/>
                <w:szCs w:val="16"/>
              </w:rPr>
              <w:br/>
              <w:t>Затверджено: 1 рік Запропоновано: 5 років;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 зміна виробника вихідної речовини антранілової кислоти, що використовується у виробничому процесі АФІ бензидаміну гідрохлорид; зміни І типу - Зміни з якості. АФІ. Виробництво. Зміни в процесі виробництва АФІ (незначна зміна у закритій частині мастер-файла на АФІ) - незначна зміна у закритій частині мастер-файла на АФІ, що полягає у можливості змішування двох партій вологого напівпродукту бензидаміну гідрохлориду для отримання подвійного виходу сухого напівпродукту бензидаміну гідрохлориду. Не відбулося жодних змін у схемі синтезу, параметрах процесу;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 введення додаткового випробування для контролю чистоти (TCL) у процесі виробництва для вологого напівпродукту бензидаміну гідрохлориду, для забезпечення гомогенності 2 серій вологого напівпродукту бензидаміну гідрохлорид, які змішуються для отримання подвійного виходу сухого продукту;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 введення додаткового випробування LOD у процесі виробництва для вологого напівпродукту бензидаміну гідрохлориду, для забезпечення гомогенності 2 серій вологого напівпродукту бензидаміну гідрохлорид, які змішуються для отримання подвійного виходу сухого продукту; зміни І типу - Зміни з якості. АФІ. Виробництво. Зміни в процесі виробництва АФІ (незначна зміна у закритій частині мастер-файла на АФІ) - внесення незначних змін щодо використання регенерованих розчинників. Розчинник, що використовуються в процесі виробництва АФІ, є ізобутиловий спирт, ацетон, ксилол та н-гексан. Згідно з останніми вдосконаленням, що були впроваджені в управлінні розчинниками при синтезі АФІ, запропоновано використовувати лише свіжі розчинники ізобутиловий спирт та ацетон (що отримані від постачальників). Для розчинників ксилол та н-гексан залишене використання як свіжих так і регенерованих. Додатково, регенерований розчинник ксилол закріплено (dedicated) лише за процесом виробництва АФІ бензидаміну гідрохлориду, що знижує риск перенесення забруднення у вигляді домішок з від інших процесів виробництва субстанцій;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для відновленого розчинника ксилолу показником «невідомі домішки не більше 1,5%»;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для відновленого розчинника ксилолу зміни до т. Чистота ( затверджено: не більше 93%, сума домішок 7%; запропоновано: сума домішок 2,0%);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для відновленого розчинника н-гексану випробуванням на чистоту з відповідним методом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для вихідного матеріалу диметиламіну (DMA) випробуванням на чистоту з відповідним методом випробування, що обумовлено покращенням характеристик для вихідного матеріалу;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для проміжного продукту солі натрію 1-бензил-3 гідрокси1-Н індазолу нормуванням щодо невідомих домішок та суми домішок до показника «Чистота», що обумовлено покращенням характеристик для проміжних продуктів;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оновлення методу випробування для визначення чистоти проміжного продукту солі натрію 1-бензил-3 гідрокси 1 –Н індазолу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UA/4012/01/01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ТЕСТОСТЕРОНУ ПРОПІОНАТ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lang w:val="ru-RU"/>
              </w:rPr>
            </w:pPr>
            <w:r w:rsidRPr="00CA4562">
              <w:rPr>
                <w:rFonts w:ascii="Arial" w:hAnsi="Arial" w:cs="Arial"/>
                <w:sz w:val="16"/>
                <w:szCs w:val="16"/>
                <w:lang w:val="ru-RU"/>
              </w:rPr>
              <w:t>розчин для ін'єкцій 5 % в етилолеаті по 1 мл в ампулі; по 5 або 10 ампул у пачці з картону; по 1 мл в ампулі; по 5 ампул у блістері; по 1 або 2 блістери в пачці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lang w:val="ru-RU"/>
              </w:rPr>
            </w:pPr>
            <w:r w:rsidRPr="00CA4562">
              <w:rPr>
                <w:rFonts w:ascii="Arial" w:hAnsi="Arial" w:cs="Arial"/>
                <w:sz w:val="16"/>
                <w:szCs w:val="16"/>
              </w:rPr>
              <w:t xml:space="preserve">внесення змін до реєстраційних матеріалів: </w:t>
            </w:r>
            <w:r w:rsidRPr="00CA4562">
              <w:rPr>
                <w:rFonts w:ascii="Arial" w:hAnsi="Arial" w:cs="Arial"/>
                <w:b/>
                <w:sz w:val="16"/>
                <w:szCs w:val="16"/>
              </w:rPr>
              <w:t>уточнення написання завника та виробника в наказі МОЗ України № 813 від 16.05.2022 в процесі внесення змін</w:t>
            </w:r>
            <w:r w:rsidRPr="00CA4562">
              <w:rPr>
                <w:rFonts w:ascii="Arial" w:hAnsi="Arial" w:cs="Arial"/>
                <w:sz w:val="16"/>
                <w:szCs w:val="16"/>
              </w:rPr>
              <w:t xml:space="preserve"> (зміни I типу: Зміни з якості. </w:t>
            </w:r>
            <w:r w:rsidRPr="00CA4562">
              <w:rPr>
                <w:rFonts w:ascii="Arial" w:hAnsi="Arial" w:cs="Arial"/>
                <w:sz w:val="16"/>
                <w:szCs w:val="16"/>
                <w:lang w:val="ru-RU"/>
              </w:rPr>
              <w:t xml:space="preserve">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розділу «Аномальна токсичність». </w:t>
            </w:r>
            <w:r w:rsidRPr="00CA4562">
              <w:rPr>
                <w:rFonts w:ascii="Arial" w:hAnsi="Arial" w:cs="Arial"/>
                <w:sz w:val="16"/>
                <w:szCs w:val="16"/>
                <w:lang w:val="ru-RU"/>
              </w:rPr>
              <w:br/>
              <w:t xml:space="preserve">Зміни </w:t>
            </w:r>
            <w:r w:rsidRPr="00CA4562">
              <w:rPr>
                <w:rFonts w:ascii="Arial" w:hAnsi="Arial" w:cs="Arial"/>
                <w:sz w:val="16"/>
                <w:szCs w:val="16"/>
              </w:rPr>
              <w:t>I</w:t>
            </w:r>
            <w:r w:rsidRPr="00CA4562">
              <w:rPr>
                <w:rFonts w:ascii="Arial" w:hAnsi="Arial" w:cs="Arial"/>
                <w:sz w:val="16"/>
                <w:szCs w:val="16"/>
                <w:lang w:val="ru-RU"/>
              </w:rPr>
              <w:t xml:space="preserve">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 специфікацію ГЛЗ включено показник «Бактеріальні ендотоксини» з нормуванням не більше 350 МО/мл. </w:t>
            </w:r>
            <w:r w:rsidRPr="00CA4562">
              <w:rPr>
                <w:rFonts w:ascii="Arial" w:hAnsi="Arial" w:cs="Arial"/>
                <w:sz w:val="16"/>
                <w:szCs w:val="16"/>
                <w:lang w:val="ru-RU"/>
              </w:rPr>
              <w:br/>
              <w:t xml:space="preserve">Зміни </w:t>
            </w:r>
            <w:r w:rsidRPr="00CA4562">
              <w:rPr>
                <w:rFonts w:ascii="Arial" w:hAnsi="Arial" w:cs="Arial"/>
                <w:sz w:val="16"/>
                <w:szCs w:val="16"/>
              </w:rPr>
              <w:t>I</w:t>
            </w:r>
            <w:r w:rsidRPr="00CA4562">
              <w:rPr>
                <w:rFonts w:ascii="Arial" w:hAnsi="Arial" w:cs="Arial"/>
                <w:sz w:val="16"/>
                <w:szCs w:val="16"/>
                <w:lang w:val="ru-RU"/>
              </w:rPr>
              <w:t xml:space="preserve">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 розділі «Об’єм, що витягається». Вилучено посилання на національну частину ДФУ*, так як в ДФУ, діючого видання для даного розділу відсутня національна частина. Зміни </w:t>
            </w:r>
            <w:r w:rsidRPr="00CA4562">
              <w:rPr>
                <w:rFonts w:ascii="Arial" w:hAnsi="Arial" w:cs="Arial"/>
                <w:sz w:val="16"/>
                <w:szCs w:val="16"/>
              </w:rPr>
              <w:t>I</w:t>
            </w:r>
            <w:r w:rsidRPr="00CA4562">
              <w:rPr>
                <w:rFonts w:ascii="Arial" w:hAnsi="Arial" w:cs="Arial"/>
                <w:sz w:val="16"/>
                <w:szCs w:val="16"/>
                <w:lang w:val="ru-RU"/>
              </w:rPr>
              <w:t xml:space="preserve">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 розділі «Стерильність» посилання на ДФУ 1.4, 2.6.1 замінено на ДФУ*, 2.6.1, так як 1.4 не актуальна. Метод аналізу включено до ДФУ*, тому залишено відповідне посилання на монографію та загальну статтю та вилучено повний виклад методики. Зміни </w:t>
            </w:r>
            <w:r w:rsidRPr="00CA4562">
              <w:rPr>
                <w:rFonts w:ascii="Arial" w:hAnsi="Arial" w:cs="Arial"/>
                <w:sz w:val="16"/>
                <w:szCs w:val="16"/>
              </w:rPr>
              <w:t>I</w:t>
            </w:r>
            <w:r w:rsidRPr="00CA4562">
              <w:rPr>
                <w:rFonts w:ascii="Arial" w:hAnsi="Arial" w:cs="Arial"/>
                <w:sz w:val="16"/>
                <w:szCs w:val="16"/>
                <w:lang w:val="ru-RU"/>
              </w:rPr>
              <w:t xml:space="preserve"> типу: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у розділі «Супровідні домішки» тестостерону пропіонат РСЗ ПАТ «Фармак» замінено на РСЗ АТ «Фармак», згідно Зміні № 2, затвердженої наказом МОЗ України № 60 від 16.01.2021. Зміни </w:t>
            </w:r>
            <w:r w:rsidRPr="00CA4562">
              <w:rPr>
                <w:rFonts w:ascii="Arial" w:hAnsi="Arial" w:cs="Arial"/>
                <w:sz w:val="16"/>
                <w:szCs w:val="16"/>
              </w:rPr>
              <w:t>I</w:t>
            </w:r>
            <w:r w:rsidRPr="00CA4562">
              <w:rPr>
                <w:rFonts w:ascii="Arial" w:hAnsi="Arial" w:cs="Arial"/>
                <w:sz w:val="16"/>
                <w:szCs w:val="16"/>
                <w:lang w:val="ru-RU"/>
              </w:rPr>
              <w:t xml:space="preserve"> типу: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w:t>
            </w:r>
            <w:r w:rsidRPr="00CA4562">
              <w:rPr>
                <w:rFonts w:ascii="Arial" w:hAnsi="Arial" w:cs="Arial"/>
                <w:sz w:val="16"/>
                <w:szCs w:val="16"/>
                <w:lang w:val="ru-RU"/>
              </w:rPr>
              <w:br/>
              <w:t xml:space="preserve">у розділі «Кількісне визначення» тестостерону пропіонат РСЗ ПАТ «Фармак» замінено на РСЗ АТ «Фармак», згідно Зміні № 2, затвердженої наказом МОЗ України № 60 від 16.01.2021). Редакція в наказі - ПАТ "Фармак", Україна. </w:t>
            </w:r>
            <w:r w:rsidRPr="00CA4562">
              <w:rPr>
                <w:rFonts w:ascii="Arial" w:hAnsi="Arial" w:cs="Arial"/>
                <w:b/>
                <w:sz w:val="16"/>
                <w:szCs w:val="16"/>
                <w:lang w:val="ru-RU"/>
              </w:rPr>
              <w:t>Вірна редакція - АТ "Фармак",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 xml:space="preserve">за рецептом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UA/8930/01/02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ТОПЗОЛ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ліофілізат для розчину для ін'єкцій по 40 мг у флаконі, по 10 флаконів у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Аспіро Фарма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Аспіро Фарма Лімітед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Затверджено: ПАНГЕН Запропоновано: ТОПЗОЛ Введення змін протягом 6-ти місяців з дати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UA/18545/01/01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ТРЕНАКСА 250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оболонкою, по 250 мг по 6 таблеток у стрипі; по 2 стрипи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Маклеодс Фармасьютикалс Лімітед, Індія, без зміни місця виробництва: Зміни внесені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 змінами в тексті маркування упаковок.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UA/10181/01/01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ТРЕНАКСА 500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оболонкою, по 500 мг по 6 таблеток у стрипі; по 2 стрипи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Маклеодс Фармасьютикалс Лімітед</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Маклеодс Фармасьютикалс Лімітед, Індія, без зміни місця виробництва: Зміни внесені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 змінами в тексті маркування упаковок.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UA/10181/01/02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УЛЬТРАКАЇН® Д-С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w:t>
            </w:r>
            <w:r w:rsidRPr="00CA4562">
              <w:rPr>
                <w:rFonts w:ascii="Arial" w:hAnsi="Arial" w:cs="Arial"/>
                <w:sz w:val="16"/>
                <w:szCs w:val="16"/>
              </w:rPr>
              <w:br/>
              <w:t xml:space="preserve">для виробника Санофі-Авентіс Дойчланд ГмбХ, Німеччина: </w:t>
            </w:r>
            <w:r w:rsidRPr="00CA4562">
              <w:rPr>
                <w:rFonts w:ascii="Arial" w:hAnsi="Arial" w:cs="Arial"/>
                <w:sz w:val="16"/>
                <w:szCs w:val="16"/>
              </w:rPr>
              <w:br/>
              <w:t xml:space="preserve">ампули: № 100 (10х10): по 2 мл в ампулі; по 10 ампул у картонній чарунковій упаковці; по 1 картонній чарунковій упаковці в картонній коробці; по 10 картонних коробок, обтягнених плівкою цифленовою; </w:t>
            </w:r>
            <w:r w:rsidRPr="00CA4562">
              <w:rPr>
                <w:rFonts w:ascii="Arial" w:hAnsi="Arial" w:cs="Arial"/>
                <w:sz w:val="16"/>
                <w:szCs w:val="16"/>
              </w:rPr>
              <w:br/>
              <w:t>картриджі: № 100 (10х10): по 1,7 мл у картриджі; по 10 картриджів в картонній чарунковій упаковці; по 10 картонних чарункових упаковок у картонній коробці;</w:t>
            </w:r>
            <w:r w:rsidRPr="00CA4562">
              <w:rPr>
                <w:rFonts w:ascii="Arial" w:hAnsi="Arial" w:cs="Arial"/>
                <w:sz w:val="16"/>
                <w:szCs w:val="16"/>
              </w:rPr>
              <w:br/>
              <w:t>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Санофі-Авентіс Дойчланд ГмбХ, Німеччина; ДЕЛЬФАРМ ДІЖОН, Франція</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 Франція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виробника ГЛЗ Санофі-Авентіс Дойчланд ГмбХ, Німеччина, відповідального за повний цикл виробництва, включаючи випуск серії, без зміни місця виробництва;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UA/3406/01/01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УЛЬТРАКАЇН® Д-С ФОРТЕ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розчин для ін'єкцій</w:t>
            </w:r>
            <w:r w:rsidRPr="00CA4562">
              <w:rPr>
                <w:rFonts w:ascii="Arial" w:hAnsi="Arial" w:cs="Arial"/>
                <w:sz w:val="16"/>
                <w:szCs w:val="16"/>
              </w:rPr>
              <w:br/>
              <w:t xml:space="preserve">для виробника Санофі-Авентіс Дойчланд ГмбХ, Німеччина: ампули: № 100 (10х10): по 2 мл в ампулі; по 10 ампул у картонній чарунковій упаковці; по 1 картонній чарунковій упаковці в картонній коробці; по 10 картонних коробок, обтягнених плівкою цифленовою; картриджі: № 100 (10х10): по 1,7 мл у картриджі; по 10 картриджів у картонній чарунковій упаковці; по 10 картонних чарункових упаковок у картонній коробці; </w:t>
            </w:r>
            <w:r w:rsidRPr="00CA4562">
              <w:rPr>
                <w:rFonts w:ascii="Arial" w:hAnsi="Arial" w:cs="Arial"/>
                <w:sz w:val="16"/>
                <w:szCs w:val="16"/>
              </w:rPr>
              <w:br/>
              <w:t>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"Санофі-Авентіс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Санофі-Авентіс Дойчланд ГмбХ, Німеччина; ДЕЛЬФАРМ ДІЖОН, Франція</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 Франція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виробника ГЛЗ Санофі-Авентіс Дойчланд ГмбХ, Німеччина, відповідального за повний цикл виробництва, включаючи випуск серії, без зміни місця виробництва;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UA/3406/01/02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УРОРЕК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тверді по 4 мг; по 10 капсул у блістері; по 1, або по 3, або по 5, або по 9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Ірландiя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Рекордаті Індастріа Хіміка е Фармасевтіка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впровадження термінів зберігання в процесі виробництва лікарського засобу: 30 днів для грануляту, 180 днів (6 місяців) для капсул (for bulk) перед пакуванням для виробничої дільниці Recordati Industria Chimica e Farmaceutica, Milan, Italy. Оновлення результатів та валідаційного протоколу в підрозділі 3.2.Р.3.5. Валідація процесу та/або його оцінка (для дозування по 4 мг)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UA/11926/01/01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УРОРЕК</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капсули тверді по 8 мг; по 10 капсул у блістері; по 1, або по 3, або по 5, або по 9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Ірландiя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Рекордаті Індастріа Хіміка е Фармасевтіка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Італія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впровадження термінів зберігання в процесі виробництва лікарського засобу: 30 днів для грануляту, 180 днів (6 місяців) для капсул (for bulk) перед пакуванням для виробничої дільниці Recordati Industria Chimica e Farmaceutica, Milan, Italy. Оновлення результатів та валідаційного протоколу в підрозділі 3.2.Р.3.5. Валідація процесу та/або його оцінка (для дозування по 8 мг)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UA/11926/01/02</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ФЕРУМБО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сироп, 50 мг/5 мл по 50 мл у флаконі скляному або полімерному; по 1 флакону разом з дозувальним пристроєм в пачці; по 100 мл у флаконі скляному; по 1 флакону разом з дозувальним пристроєм в пачці; по 100 мл у банці; по 1 банці разом з дозувальним пристроєм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 до Специфікації АФІ Залізо (комплекс з полімальтозою), зокрема: - вилучено тести "Арсен", "Мідь", "Цинк"; - змінено назву тесту "Натрію хлорид" на "Хлориди (у вигляді натрію хлориду)".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введення додаткового виробника АФІ Залізо "Dr. Paul Lohmann GmbH &amp; Co. KGaA", Німеччина. Як наслідок зміни в Специфікації/Методах випробування АФІ: - за показниками "Опис", "рН", "Кількісне визначення. Полімальтоза" - зміна критеріїв прийнятності; - за показником "Свинець" - звуження критеріїв прийнятності; - додано контроль за показниками "Кобальт", "Нікель", "Ванадій", "Сульфати".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 xml:space="preserve">за рецептом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UA/2106/01/01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 xml:space="preserve">ФЛАМІАР СПАГ. ПЄКА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 xml:space="preserve">мазь по 35 г у тубі в картонній упаковці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ПЕКАНА НАТУРХАЙЛЬМІТТЕЛЬ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ПЕКАНА НАТУРХАЙЛЬМІТТЕЛЬ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Німеччина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внесення зміни до розділу «Маркування» в МКЯ ЛЗ: Затверджено: МАРКИРОВКА. Прилагается. Запропоновано: МАРКУВАННЯ. Відповідно до затвердженого тексту маркування.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UA/16201/01/01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ФЛАМІДЕЗ®</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10 таблеток у блістері; по 1 або по 3, або по 10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ОРГАНОСИН ЛАЙФСАЄНСИЗ (ЕФ ЗЕТ І)</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ОАЕ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Евертоджен Лайф Саєнсиз  Лімітед, Індія; Сага Лайфсаєнсиз Лімітед, Індія</w:t>
            </w:r>
            <w:r w:rsidRPr="00CA4562">
              <w:rPr>
                <w:rFonts w:ascii="Arial" w:hAnsi="Arial" w:cs="Arial"/>
                <w:sz w:val="16"/>
                <w:szCs w:val="16"/>
              </w:rPr>
              <w:br/>
            </w:r>
          </w:p>
          <w:p w:rsidR="0045369C" w:rsidRPr="00CA4562" w:rsidRDefault="0045369C" w:rsidP="004843E9">
            <w:pPr>
              <w:pStyle w:val="11"/>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дільниці виробництва - Сага Лайфсаєнсиз Лімітед, Індія. Введення змін протягом 6-ти місяців після затвердження</w:t>
            </w:r>
            <w:r w:rsidRPr="00CA4562">
              <w:rPr>
                <w:rFonts w:ascii="Arial" w:hAnsi="Arial" w:cs="Arial"/>
                <w:sz w:val="16"/>
                <w:szCs w:val="16"/>
              </w:rPr>
              <w:br/>
              <w:t>Супутня зміна</w:t>
            </w:r>
            <w:r w:rsidRPr="00CA4562">
              <w:rPr>
                <w:rFonts w:ascii="Arial" w:hAnsi="Arial" w:cs="Arial"/>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w:t>
            </w:r>
            <w:r w:rsidRPr="00CA4562">
              <w:rPr>
                <w:rFonts w:ascii="Arial" w:hAnsi="Arial" w:cs="Arial"/>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w:t>
            </w:r>
            <w:r w:rsidRPr="00CA4562">
              <w:rPr>
                <w:rFonts w:ascii="Arial" w:hAnsi="Arial" w:cs="Arial"/>
                <w:sz w:val="16"/>
                <w:szCs w:val="16"/>
              </w:rPr>
              <w:br/>
              <w:t xml:space="preserve">введення додаткової дільниці виробництва - Сага Лайфсаєнсиз Лімітед, Індія. Введення змін протягом 6-ти місяців після затвердження; </w:t>
            </w:r>
            <w:r w:rsidRPr="00CA4562">
              <w:rPr>
                <w:rFonts w:ascii="Arial" w:hAnsi="Arial" w:cs="Arial"/>
                <w:sz w:val="16"/>
                <w:szCs w:val="16"/>
              </w:rPr>
              <w:br/>
              <w:t xml:space="preserv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виробника відповідального за контроль якості та випуск серії - Сага Лайфсаєнсиз Лімітед, Індія. </w:t>
            </w:r>
            <w:r w:rsidRPr="00CA4562">
              <w:rPr>
                <w:rFonts w:ascii="Arial" w:hAnsi="Arial" w:cs="Arial"/>
                <w:sz w:val="16"/>
                <w:szCs w:val="16"/>
              </w:rPr>
              <w:br/>
              <w:t xml:space="preserve">Введення змін протягом 6-ти місяців після затвердження; </w:t>
            </w:r>
            <w:r w:rsidRPr="00CA4562">
              <w:rPr>
                <w:rFonts w:ascii="Arial" w:hAnsi="Arial" w:cs="Arial"/>
                <w:sz w:val="16"/>
                <w:szCs w:val="16"/>
              </w:rPr>
              <w:br/>
              <w:t>-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додаткового розміру серії готового лікарського засобу 500 000 таблеток для Cага Лайфсаєнсиз Лімітед, Індія (затверджено: 1 000 000 таблеток, запропоновано: 500 000 таблеток, 1 000 000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UA/7061/01/01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ФЛАМІДЕЗ®</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in bulk: по 2500 таблеток у пакетах із фольги алюмінієвої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ОРГАНОСИН ЛАЙФСАЄНСИЗ (ЕФ ЗЕТ І)</w:t>
            </w:r>
            <w:r w:rsidRPr="00CA4562">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ОАЕ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Евертоджен Лайф Саєнсиз  Лімітед, Індія; Сага Лайфсаєнсиз Лімітед, Індія</w:t>
            </w:r>
            <w:r w:rsidRPr="00CA456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дільниці виробництва - Сага Лайфсаєнсиз Лімітед, Індія. Введення змін протягом 6-ти місяців після затвердження</w:t>
            </w:r>
            <w:r w:rsidRPr="00CA4562">
              <w:rPr>
                <w:rFonts w:ascii="Arial" w:hAnsi="Arial" w:cs="Arial"/>
                <w:sz w:val="16"/>
                <w:szCs w:val="16"/>
              </w:rPr>
              <w:br/>
              <w:t>Супутня зміна</w:t>
            </w:r>
            <w:r w:rsidRPr="00CA4562">
              <w:rPr>
                <w:rFonts w:ascii="Arial" w:hAnsi="Arial" w:cs="Arial"/>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w:t>
            </w:r>
            <w:r w:rsidRPr="00CA4562">
              <w:rPr>
                <w:rFonts w:ascii="Arial" w:hAnsi="Arial" w:cs="Arial"/>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w:t>
            </w:r>
            <w:r w:rsidRPr="00CA4562">
              <w:rPr>
                <w:rFonts w:ascii="Arial" w:hAnsi="Arial" w:cs="Arial"/>
                <w:sz w:val="16"/>
                <w:szCs w:val="16"/>
              </w:rPr>
              <w:br/>
              <w:t xml:space="preserve">введення додаткової дільниці виробництва - Сага Лайфсаєнсиз Лімітед, Індія. Введення змін протягом 6-ти місяців після затвердження; </w:t>
            </w:r>
            <w:r w:rsidRPr="00CA4562">
              <w:rPr>
                <w:rFonts w:ascii="Arial" w:hAnsi="Arial" w:cs="Arial"/>
                <w:sz w:val="16"/>
                <w:szCs w:val="16"/>
              </w:rPr>
              <w:br/>
              <w:t xml:space="preserv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виробника відповідального за контроль якості та випуск серії - Сага Лайфсаєнсиз Лімітед, Індія. </w:t>
            </w:r>
            <w:r w:rsidRPr="00CA4562">
              <w:rPr>
                <w:rFonts w:ascii="Arial" w:hAnsi="Arial" w:cs="Arial"/>
                <w:sz w:val="16"/>
                <w:szCs w:val="16"/>
              </w:rPr>
              <w:br/>
              <w:t xml:space="preserve">Введення змін протягом 6-ти місяців після затвердження; </w:t>
            </w:r>
            <w:r w:rsidRPr="00CA4562">
              <w:rPr>
                <w:rFonts w:ascii="Arial" w:hAnsi="Arial" w:cs="Arial"/>
                <w:sz w:val="16"/>
                <w:szCs w:val="16"/>
              </w:rPr>
              <w:br/>
              <w:t>-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додаткового розміру серії готового лікарського засобу 500 000 таблеток для Cага Лайфсаєнсиз Лімітед, Індія (затверджено: 1 000 000 таблеток, запропоновано: 500 000 таблеток, 1 000 000 таблеток)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UA/7062/01/01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ФЛАМІДЕЗ®</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по 10 таблеток у блістері; по 1 або по 3, або по 10 блістерів у картонній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ОАЕ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Евертоджен Лайф Саєнсиз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 (R0-CEP 2015-377-Rev 01) для АФІ парацетамолу від нового виробника (доповнення) Meghmani LLP,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CEP (R1-CEP 1998-047-Rev 06) від уже затвердженого виробника Granules India Limited, India для АФІ парацетамолу. Затверджено: CEP (R1-CEP 1998-047-Rev 05) </w:t>
            </w:r>
            <w:r w:rsidRPr="00CA4562">
              <w:rPr>
                <w:rFonts w:ascii="Arial" w:hAnsi="Arial" w:cs="Arial"/>
                <w:sz w:val="16"/>
                <w:szCs w:val="16"/>
              </w:rPr>
              <w:br/>
              <w:t xml:space="preserve">Запропоновано: CEP (R1-CEP 1998-047-Rev 06).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 (R1-CEP 2000-144-Rev 05) для АФІ парацетамолу від вже затвердженого виробника Sri Krishna Pharmaceuticals Ltd., India. Затверджено: Відсутній Запропоновано: CEP (R1-CEP 2000-144-Rev 05).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специфікації АФІ парацетамолу - приведення у відповідність до діючої монографії ЕР 10.7. Парацетамол.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Парацетамолу - SARA EXPORTS, India (затверджено: 1. SARA EXPORTS, India; 2. Granules India Limited, India; 3. Sri Krishna Pharmaceuticals Ltd., India, запропоновано: 1. Granules India Limited, India; 2. Sri Krishna Pharmaceuticals Ltd., India; 3. Meghmani LLP, India).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АФІ Диклофенаку калію - AARTI DRUGS LIMITED, India(затверджено: 1. AARTI DRUGS LIMITED, India; 2. Amoli Organics Private Limited, India, запропоновано: 1. Amoli Organics Private Limited, India).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UA/7061/01/01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ФЛАМІДЕЗ®</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плівковою оболонкою in bulk: по 2500 таблеток у пакетах із фольги алюмінієвої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ОРГАНОСИН ЛАЙФСАЄНСИЗ (ЕФ ЗЕТ 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ОАЕ</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Евертоджен Лайф Саєнсиз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Індія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 (R0-CEP 2015-377-Rev 01) для АФІ парацетамолу від нового виробника (доповнення) Meghmani LLP,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CEP (R1-CEP 1998-047-Rev 06) від уже затвердженого виробника Granules India Limited, India для АФІ парацетамолу. Затверджено: CEP (R1-CEP 1998-047-Rev 05) </w:t>
            </w:r>
            <w:r w:rsidRPr="00CA4562">
              <w:rPr>
                <w:rFonts w:ascii="Arial" w:hAnsi="Arial" w:cs="Arial"/>
                <w:sz w:val="16"/>
                <w:szCs w:val="16"/>
              </w:rPr>
              <w:br/>
              <w:t xml:space="preserve">Запропоновано: CEP (R1-CEP 1998-047-Rev 06).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 (R1-CEP 2000-144-Rev 05) для АФІ парацетамолу від вже затвердженого виробника Sri Krishna Pharmaceuticals Ltd., India. Затверджено: Відсутній Запропоновано: CEP (R1-CEP 2000-144-Rev 05).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специфікації АФІ парацетамолу - приведення у відповідність до діючої монографії ЕР 10.7. Парацетамол.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Парацетамолу - SARA EXPORTS, India (затверджено: 1. SARA EXPORTS, India; 2. Granules India Limited, India; 3. Sri Krishna Pharmaceuticals Ltd., India, запропоновано: 1. Granules India Limited, India; 2. Sri Krishna Pharmaceuticals Ltd., India; 3. Meghmani LLP, India).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АФІ Диклофенаку калію - AARTI DRUGS LIMITED, India(затверджено: 1. AARTI DRUGS LIMITED, India; 2. Amoli Organics Private Limited, India, запропоновано: 1. Amoli Organics Private Limited, India).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UA/7062/01/01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ФЛУЦИНАР®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гель, 0,25 мг/г, по 15 г у тубі; по 1 тубі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ТОВ «БАУШ ХЕЛС»,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Фармзавод Єльфа A.Т.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Польща</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внесення незначних змін в процес виробництва готового лікарського засобу, зокрема: оновлення опису пакувальної лінії у зв'язку з придбанням нової колективної пакувальної машини, яка адаптована до колективного пакування індивідуальних коробок без фольгування. У зв'язку з вищевикладеним фольгування було знято зі стадії колективного пакування;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внесення змін в процес виробництва готового лікарського засобу, зокрема: більш детально зазначено процес виробництва. Виробничий процес залишився незмінним;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внесення змін до розділу 3.2.P.3.4. Контроль критичних стадій і проміжної продукції, зокрема: зазначення критичних параметрів замість посилання на відповідний звіт про валідацію. В розділі 3.2.P.3.5. Валідація виробничого процесу звіт про ретроспективну валідацію замінено на паралельну валідацію процесу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UA/2878/01/01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ЦЕФТРИАКСОН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розчину для ін'єкцій по 1 г;</w:t>
            </w:r>
            <w:r w:rsidRPr="00CA4562">
              <w:rPr>
                <w:rFonts w:ascii="Arial" w:hAnsi="Arial" w:cs="Arial"/>
                <w:sz w:val="16"/>
                <w:szCs w:val="16"/>
              </w:rPr>
              <w:br/>
              <w:t>in bulk: 50 флаконів з порошком у коробці з картону;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Квілу Фармацеутікал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Китай</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ГЛЗ. </w:t>
            </w:r>
            <w:r w:rsidRPr="00CA4562">
              <w:rPr>
                <w:rFonts w:ascii="Arial" w:hAnsi="Arial" w:cs="Arial"/>
                <w:sz w:val="16"/>
                <w:szCs w:val="16"/>
              </w:rPr>
              <w:br/>
              <w:t>Затверджено: до 30 кг (25 000 флаконів); 120 кг (100 418 флаконів); Запропоновано: 30 кг - 210 кг (25 000 флаконів - 176 000 флаконів).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UA/13156/01/01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ЦЕФУРОКСИМ КОМБІ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порошок для розчину для ін'єкцій, по 0,75 г, 1 флакон із порошком та 1 ампула розчинника (вода для ін'єкцій по 10 мл) у блістері, 1 блістер у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Приватне акціонерне товариство «Лекхім-Харків»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Приватне акціонерне товариство "Лекхім-Харків", Україна (виробництво та первинне пакування розчинника; вторинне пакування, контроль та випуск серії готового лікарського засобу); Реюнг Фармасьютикал Ко., Лтд., Китайська Народна Республіка (виробництво та первинне пакування порошку)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Україна/</w:t>
            </w:r>
          </w:p>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Китайська Народна Республіка</w:t>
            </w:r>
          </w:p>
          <w:p w:rsidR="0045369C" w:rsidRPr="00CA4562" w:rsidRDefault="0045369C" w:rsidP="004843E9">
            <w:pPr>
              <w:pStyle w:val="11"/>
              <w:tabs>
                <w:tab w:val="left" w:pos="12600"/>
              </w:tabs>
              <w:jc w:val="center"/>
              <w:rPr>
                <w:rFonts w:ascii="Arial" w:hAnsi="Arial" w:cs="Arial"/>
                <w:sz w:val="16"/>
                <w:szCs w:val="16"/>
              </w:rPr>
            </w:pP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внесення змін до реєстраційних матеріалів: Технічна помилка (згідно наказу МОЗ від 23.07.2015 № 460), Виправлення технічних помилок, згідно п.2.4.1 розділу VI наказу МОЗ України від 26.08.2005р. № 426 (у редакції наказу МОЗ України від 23.07.2015 р № 460): а саме додавання в текст маркування на вторинній упаковці у п. 5 "СПОСІБ ТА ШЛЯХ ВВЕДЕННЯ" - фразу "Внутрішьом'язово" відповідно до затвердженої інструкції для медичного застосування лікарського засобу та виправлення орфографічних та граматичних помилок в тексті маркування на первинній та вторинній упаковках (по всьому тексті), допущених при проведенні процедурі реєстрації, яка затверджена наказом МОЗ України від 02.08.2021 р. № 1324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за рецептом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UA/18824/01/01</w:t>
            </w:r>
          </w:p>
        </w:tc>
      </w:tr>
      <w:tr w:rsidR="0045369C" w:rsidRPr="00CA4562" w:rsidTr="009355EC">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45369C" w:rsidRPr="00CA4562" w:rsidRDefault="0045369C" w:rsidP="0045369C">
            <w:pPr>
              <w:numPr>
                <w:ilvl w:val="0"/>
                <w:numId w:val="44"/>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45369C" w:rsidRPr="00CA4562" w:rsidRDefault="0045369C" w:rsidP="004843E9">
            <w:pPr>
              <w:pStyle w:val="11"/>
              <w:tabs>
                <w:tab w:val="left" w:pos="12600"/>
              </w:tabs>
              <w:rPr>
                <w:rFonts w:ascii="Arial" w:hAnsi="Arial" w:cs="Arial"/>
                <w:b/>
                <w:i/>
                <w:sz w:val="16"/>
                <w:szCs w:val="16"/>
              </w:rPr>
            </w:pPr>
            <w:r w:rsidRPr="00CA4562">
              <w:rPr>
                <w:rFonts w:ascii="Arial" w:hAnsi="Arial" w:cs="Arial"/>
                <w:b/>
                <w:sz w:val="16"/>
                <w:szCs w:val="16"/>
              </w:rPr>
              <w:t>ЦИНАРІКС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rPr>
                <w:rFonts w:ascii="Arial" w:hAnsi="Arial" w:cs="Arial"/>
                <w:sz w:val="16"/>
                <w:szCs w:val="16"/>
              </w:rPr>
            </w:pPr>
            <w:r w:rsidRPr="00CA4562">
              <w:rPr>
                <w:rFonts w:ascii="Arial" w:hAnsi="Arial" w:cs="Arial"/>
                <w:sz w:val="16"/>
                <w:szCs w:val="16"/>
              </w:rPr>
              <w:t>таблетки, вкриті оболонкою, по 55 мг, по 12 таблеток у блістері; по 2 або 5 блістерів в картонній коробці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Фармацеутіше фабрік Монтавіт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Фармацеутіше фабрік Монтавіт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Австрія</w:t>
            </w:r>
          </w:p>
        </w:tc>
        <w:tc>
          <w:tcPr>
            <w:tcW w:w="4678"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CA4562">
              <w:rPr>
                <w:rFonts w:ascii="Arial" w:hAnsi="Arial" w:cs="Arial"/>
                <w:sz w:val="16"/>
                <w:szCs w:val="16"/>
              </w:rPr>
              <w:br/>
              <w:t>Діюча редакція: Dr. Eva Maizner. Пропонована редакція: Dr. Barbara Posch. Зміна контактних даних уповноваженої особи заявника,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b/>
                <w:i/>
                <w:sz w:val="16"/>
                <w:szCs w:val="16"/>
              </w:rPr>
            </w:pPr>
            <w:r w:rsidRPr="00CA4562">
              <w:rPr>
                <w:rFonts w:ascii="Arial" w:hAnsi="Arial" w:cs="Arial"/>
                <w:i/>
                <w:sz w:val="16"/>
                <w:szCs w:val="16"/>
              </w:rPr>
              <w:t>без рецепта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45369C" w:rsidRPr="00CA4562" w:rsidRDefault="0045369C" w:rsidP="004843E9">
            <w:pPr>
              <w:pStyle w:val="11"/>
              <w:tabs>
                <w:tab w:val="left" w:pos="12600"/>
              </w:tabs>
              <w:jc w:val="center"/>
              <w:rPr>
                <w:rFonts w:ascii="Arial" w:hAnsi="Arial" w:cs="Arial"/>
                <w:sz w:val="16"/>
                <w:szCs w:val="16"/>
              </w:rPr>
            </w:pPr>
            <w:r w:rsidRPr="00CA4562">
              <w:rPr>
                <w:rFonts w:ascii="Arial" w:hAnsi="Arial" w:cs="Arial"/>
                <w:sz w:val="16"/>
                <w:szCs w:val="16"/>
              </w:rPr>
              <w:t>UA/4186/01/01</w:t>
            </w:r>
          </w:p>
        </w:tc>
      </w:tr>
    </w:tbl>
    <w:p w:rsidR="0045369C" w:rsidRPr="00CA4562" w:rsidRDefault="0045369C" w:rsidP="0045369C"/>
    <w:p w:rsidR="0045369C" w:rsidRPr="00CA4562" w:rsidRDefault="0045369C" w:rsidP="0045369C"/>
    <w:p w:rsidR="0045369C" w:rsidRPr="00CA4562" w:rsidRDefault="0045369C" w:rsidP="0045369C"/>
    <w:p w:rsidR="0045369C" w:rsidRPr="00CA4562" w:rsidRDefault="0045369C" w:rsidP="0045369C"/>
    <w:tbl>
      <w:tblPr>
        <w:tblW w:w="14843" w:type="dxa"/>
        <w:tblLayout w:type="fixed"/>
        <w:tblLook w:val="04A0" w:firstRow="1" w:lastRow="0" w:firstColumn="1" w:lastColumn="0" w:noHBand="0" w:noVBand="1"/>
      </w:tblPr>
      <w:tblGrid>
        <w:gridCol w:w="7421"/>
        <w:gridCol w:w="7422"/>
      </w:tblGrid>
      <w:tr w:rsidR="0045369C" w:rsidRPr="00CA4562" w:rsidTr="004843E9">
        <w:tc>
          <w:tcPr>
            <w:tcW w:w="7421" w:type="dxa"/>
            <w:shd w:val="clear" w:color="auto" w:fill="auto"/>
          </w:tcPr>
          <w:p w:rsidR="0045369C" w:rsidRPr="00CA4562" w:rsidRDefault="0045369C" w:rsidP="004843E9">
            <w:pPr>
              <w:ind w:right="20"/>
              <w:rPr>
                <w:rStyle w:val="cs95e872d01"/>
                <w:sz w:val="28"/>
                <w:szCs w:val="28"/>
              </w:rPr>
            </w:pPr>
            <w:r w:rsidRPr="00CA4562">
              <w:rPr>
                <w:rStyle w:val="cs7864ebcf1"/>
                <w:color w:val="auto"/>
                <w:sz w:val="28"/>
                <w:szCs w:val="28"/>
              </w:rPr>
              <w:t xml:space="preserve">В.о. Генерального директора Директорату </w:t>
            </w:r>
          </w:p>
          <w:p w:rsidR="0045369C" w:rsidRPr="00CA4562" w:rsidRDefault="0045369C" w:rsidP="004843E9">
            <w:pPr>
              <w:ind w:right="20"/>
              <w:rPr>
                <w:rStyle w:val="cs7864ebcf1"/>
                <w:color w:val="auto"/>
                <w:sz w:val="28"/>
                <w:szCs w:val="28"/>
              </w:rPr>
            </w:pPr>
            <w:r w:rsidRPr="00CA4562">
              <w:rPr>
                <w:rStyle w:val="cs7864ebcf1"/>
                <w:color w:val="auto"/>
                <w:sz w:val="28"/>
                <w:szCs w:val="28"/>
              </w:rPr>
              <w:t>фармацевтичного забезпечення</w:t>
            </w:r>
            <w:r w:rsidRPr="00CA4562">
              <w:rPr>
                <w:rStyle w:val="cs188c92b51"/>
                <w:color w:val="auto"/>
                <w:sz w:val="28"/>
                <w:szCs w:val="28"/>
              </w:rPr>
              <w:t>                                    </w:t>
            </w:r>
          </w:p>
        </w:tc>
        <w:tc>
          <w:tcPr>
            <w:tcW w:w="7422" w:type="dxa"/>
            <w:shd w:val="clear" w:color="auto" w:fill="auto"/>
          </w:tcPr>
          <w:p w:rsidR="0045369C" w:rsidRPr="00CA4562" w:rsidRDefault="0045369C" w:rsidP="004843E9">
            <w:pPr>
              <w:pStyle w:val="cs95e872d0"/>
              <w:rPr>
                <w:rStyle w:val="cs7864ebcf1"/>
                <w:color w:val="auto"/>
                <w:sz w:val="28"/>
                <w:szCs w:val="28"/>
              </w:rPr>
            </w:pPr>
          </w:p>
          <w:p w:rsidR="0045369C" w:rsidRPr="00CA4562" w:rsidRDefault="0045369C" w:rsidP="004843E9">
            <w:pPr>
              <w:pStyle w:val="cs95e872d0"/>
              <w:jc w:val="right"/>
              <w:rPr>
                <w:rStyle w:val="cs7864ebcf1"/>
                <w:color w:val="auto"/>
                <w:sz w:val="28"/>
                <w:szCs w:val="28"/>
                <w:lang w:val="uk-UA"/>
              </w:rPr>
            </w:pPr>
            <w:r w:rsidRPr="00CA4562">
              <w:rPr>
                <w:rStyle w:val="cs7864ebcf1"/>
                <w:color w:val="auto"/>
                <w:sz w:val="28"/>
                <w:szCs w:val="28"/>
                <w:lang w:val="uk-UA"/>
              </w:rPr>
              <w:t>Іван ЗАДВОРНИХ</w:t>
            </w:r>
          </w:p>
        </w:tc>
      </w:tr>
    </w:tbl>
    <w:p w:rsidR="0045369C" w:rsidRPr="00CA4562" w:rsidRDefault="0045369C" w:rsidP="0045369C">
      <w:pPr>
        <w:pStyle w:val="12"/>
      </w:pPr>
    </w:p>
    <w:p w:rsidR="0045369C" w:rsidRPr="00CA4562" w:rsidRDefault="0045369C" w:rsidP="000D32CE">
      <w:pPr>
        <w:rPr>
          <w:b/>
          <w:sz w:val="28"/>
          <w:szCs w:val="28"/>
          <w:lang w:val="uk-UA"/>
        </w:rPr>
        <w:sectPr w:rsidR="0045369C" w:rsidRPr="00CA4562" w:rsidSect="004843E9">
          <w:headerReference w:type="default" r:id="rId16"/>
          <w:pgSz w:w="16838" w:h="11906" w:orient="landscape"/>
          <w:pgMar w:top="907" w:right="1134" w:bottom="907" w:left="1077" w:header="709" w:footer="709" w:gutter="0"/>
          <w:cols w:space="708"/>
          <w:titlePg/>
          <w:docGrid w:linePitch="360"/>
        </w:sectPr>
      </w:pPr>
    </w:p>
    <w:p w:rsidR="00EB25D4" w:rsidRPr="00CA4562" w:rsidRDefault="00EB25D4" w:rsidP="00EB25D4">
      <w:pPr>
        <w:tabs>
          <w:tab w:val="left" w:pos="1985"/>
        </w:tabs>
      </w:pPr>
    </w:p>
    <w:tbl>
      <w:tblPr>
        <w:tblW w:w="3825" w:type="dxa"/>
        <w:tblInd w:w="11448" w:type="dxa"/>
        <w:tblLayout w:type="fixed"/>
        <w:tblLook w:val="04A0" w:firstRow="1" w:lastRow="0" w:firstColumn="1" w:lastColumn="0" w:noHBand="0" w:noVBand="1"/>
      </w:tblPr>
      <w:tblGrid>
        <w:gridCol w:w="3825"/>
      </w:tblGrid>
      <w:tr w:rsidR="00EB25D4" w:rsidRPr="00CA4562" w:rsidTr="004843E9">
        <w:tc>
          <w:tcPr>
            <w:tcW w:w="3828" w:type="dxa"/>
            <w:hideMark/>
          </w:tcPr>
          <w:p w:rsidR="00EB25D4" w:rsidRPr="00CA4562" w:rsidRDefault="00EB25D4" w:rsidP="00B63007">
            <w:pPr>
              <w:pStyle w:val="4"/>
              <w:tabs>
                <w:tab w:val="left" w:pos="12600"/>
              </w:tabs>
              <w:spacing w:before="0" w:after="0"/>
              <w:jc w:val="both"/>
              <w:rPr>
                <w:rFonts w:cs="Arial"/>
                <w:sz w:val="18"/>
                <w:szCs w:val="18"/>
              </w:rPr>
            </w:pPr>
            <w:r w:rsidRPr="00CA4562">
              <w:rPr>
                <w:rFonts w:cs="Arial"/>
                <w:sz w:val="18"/>
                <w:szCs w:val="18"/>
              </w:rPr>
              <w:t>Додаток 4</w:t>
            </w:r>
          </w:p>
          <w:p w:rsidR="00EB25D4" w:rsidRPr="00CA4562" w:rsidRDefault="00EB25D4" w:rsidP="00B63007">
            <w:pPr>
              <w:pStyle w:val="4"/>
              <w:tabs>
                <w:tab w:val="left" w:pos="12600"/>
              </w:tabs>
              <w:spacing w:before="0" w:after="0"/>
              <w:jc w:val="both"/>
              <w:rPr>
                <w:rFonts w:cs="Arial"/>
                <w:sz w:val="18"/>
                <w:szCs w:val="18"/>
              </w:rPr>
            </w:pPr>
            <w:r w:rsidRPr="00CA4562">
              <w:rPr>
                <w:rFonts w:cs="Arial"/>
                <w:sz w:val="18"/>
                <w:szCs w:val="18"/>
              </w:rPr>
              <w:t>до наказу Міністерства охорони</w:t>
            </w:r>
          </w:p>
          <w:p w:rsidR="00EB25D4" w:rsidRPr="00CA4562" w:rsidRDefault="00EB25D4" w:rsidP="00B63007">
            <w:pPr>
              <w:pStyle w:val="4"/>
              <w:tabs>
                <w:tab w:val="left" w:pos="12600"/>
              </w:tabs>
              <w:spacing w:before="0" w:after="0"/>
              <w:jc w:val="both"/>
              <w:rPr>
                <w:rFonts w:cs="Arial"/>
                <w:sz w:val="18"/>
                <w:szCs w:val="18"/>
              </w:rPr>
            </w:pPr>
            <w:r w:rsidRPr="00CA4562">
              <w:rPr>
                <w:rFonts w:cs="Arial"/>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EB25D4" w:rsidRPr="00CA4562" w:rsidRDefault="00EB25D4" w:rsidP="00B63007">
            <w:pPr>
              <w:tabs>
                <w:tab w:val="left" w:pos="12600"/>
              </w:tabs>
              <w:jc w:val="both"/>
              <w:rPr>
                <w:rFonts w:ascii="Arial" w:hAnsi="Arial" w:cs="Arial"/>
                <w:b/>
                <w:sz w:val="18"/>
                <w:szCs w:val="18"/>
              </w:rPr>
            </w:pPr>
            <w:r w:rsidRPr="00CA4562">
              <w:rPr>
                <w:rFonts w:ascii="Arial" w:hAnsi="Arial" w:cs="Arial"/>
                <w:b/>
                <w:iCs/>
                <w:sz w:val="18"/>
                <w:szCs w:val="18"/>
                <w:u w:val="single"/>
              </w:rPr>
              <w:t>від 28 травня 2022 року № 895</w:t>
            </w:r>
            <w:r w:rsidRPr="00CA4562">
              <w:rPr>
                <w:rFonts w:cs="Arial"/>
                <w:bCs/>
                <w:iCs/>
                <w:sz w:val="18"/>
                <w:szCs w:val="18"/>
                <w:u w:val="single"/>
              </w:rPr>
              <w:t xml:space="preserve">   </w:t>
            </w:r>
          </w:p>
        </w:tc>
      </w:tr>
    </w:tbl>
    <w:p w:rsidR="00EB25D4" w:rsidRPr="00CA4562" w:rsidRDefault="00EB25D4" w:rsidP="00EB25D4">
      <w:pPr>
        <w:tabs>
          <w:tab w:val="left" w:pos="12600"/>
        </w:tabs>
        <w:rPr>
          <w:rFonts w:ascii="Arial" w:hAnsi="Arial" w:cs="Arial"/>
          <w:sz w:val="18"/>
          <w:szCs w:val="18"/>
        </w:rPr>
      </w:pPr>
    </w:p>
    <w:p w:rsidR="00EB25D4" w:rsidRPr="00CA4562" w:rsidRDefault="00EB25D4" w:rsidP="00EB25D4">
      <w:pPr>
        <w:jc w:val="center"/>
        <w:rPr>
          <w:rFonts w:ascii="Arial" w:hAnsi="Arial" w:cs="Arial"/>
          <w:b/>
        </w:rPr>
      </w:pPr>
      <w:r w:rsidRPr="00CA4562">
        <w:rPr>
          <w:rFonts w:ascii="Arial" w:hAnsi="Arial" w:cs="Arial"/>
          <w:b/>
        </w:rPr>
        <w:t>ПЕРЕЛІК</w:t>
      </w:r>
    </w:p>
    <w:p w:rsidR="00EB25D4" w:rsidRPr="00CA4562" w:rsidRDefault="00EB25D4" w:rsidP="00EB25D4">
      <w:pPr>
        <w:jc w:val="center"/>
        <w:rPr>
          <w:rFonts w:ascii="Arial" w:hAnsi="Arial" w:cs="Arial"/>
        </w:rPr>
      </w:pPr>
      <w:r w:rsidRPr="00CA4562">
        <w:rPr>
          <w:rFonts w:ascii="Arial" w:hAnsi="Arial" w:cs="Arial"/>
          <w:b/>
        </w:rPr>
        <w:t xml:space="preserve">ЛІКАРСЬКИХ ЗАСОБІВ, ЯКИМ ВІДМОВЛЕНО В ДЕРЖАВНІЙ РЕЄСТРАЦІЇ, ПЕРЕРЕЄСТРАЦІЇ ТА ВНЕСЕННЯ ЗМІН ДО РЕЄСТРАЦІЙНИХ МАТЕРІАЛІВ </w:t>
      </w:r>
    </w:p>
    <w:p w:rsidR="00EB25D4" w:rsidRPr="00CA4562" w:rsidRDefault="00EB25D4" w:rsidP="00EB25D4">
      <w:pPr>
        <w:jc w:val="center"/>
        <w:rPr>
          <w:rFonts w:ascii="Arial" w:hAnsi="Arial" w:cs="Arial"/>
        </w:rPr>
      </w:pPr>
    </w:p>
    <w:tbl>
      <w:tblPr>
        <w:tblW w:w="15452"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8"/>
        <w:gridCol w:w="1276"/>
        <w:gridCol w:w="1417"/>
        <w:gridCol w:w="1276"/>
        <w:gridCol w:w="992"/>
        <w:gridCol w:w="1134"/>
        <w:gridCol w:w="851"/>
        <w:gridCol w:w="1276"/>
        <w:gridCol w:w="6662"/>
      </w:tblGrid>
      <w:tr w:rsidR="00EB25D4" w:rsidRPr="00CA4562" w:rsidTr="00B63007">
        <w:tc>
          <w:tcPr>
            <w:tcW w:w="568" w:type="dxa"/>
            <w:tcBorders>
              <w:top w:val="single" w:sz="4" w:space="0" w:color="auto"/>
              <w:left w:val="single" w:sz="4" w:space="0" w:color="auto"/>
              <w:bottom w:val="single" w:sz="4" w:space="0" w:color="auto"/>
              <w:right w:val="single" w:sz="4"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 п/п</w:t>
            </w:r>
          </w:p>
        </w:tc>
        <w:tc>
          <w:tcPr>
            <w:tcW w:w="1276" w:type="dxa"/>
            <w:tcBorders>
              <w:top w:val="single" w:sz="4" w:space="0" w:color="auto"/>
              <w:left w:val="single" w:sz="4"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Назва лікарського засобу</w:t>
            </w:r>
          </w:p>
        </w:tc>
        <w:tc>
          <w:tcPr>
            <w:tcW w:w="1417" w:type="dxa"/>
            <w:tcBorders>
              <w:top w:val="single" w:sz="4" w:space="0" w:color="auto"/>
              <w:left w:val="single" w:sz="6"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Форма випуску</w:t>
            </w:r>
          </w:p>
        </w:tc>
        <w:tc>
          <w:tcPr>
            <w:tcW w:w="1276" w:type="dxa"/>
            <w:tcBorders>
              <w:top w:val="single" w:sz="4" w:space="0" w:color="auto"/>
              <w:left w:val="single" w:sz="6"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Заявник</w:t>
            </w:r>
          </w:p>
        </w:tc>
        <w:tc>
          <w:tcPr>
            <w:tcW w:w="992" w:type="dxa"/>
            <w:tcBorders>
              <w:top w:val="single" w:sz="4" w:space="0" w:color="auto"/>
              <w:left w:val="single" w:sz="6"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Країна</w:t>
            </w:r>
          </w:p>
        </w:tc>
        <w:tc>
          <w:tcPr>
            <w:tcW w:w="1134" w:type="dxa"/>
            <w:tcBorders>
              <w:top w:val="single" w:sz="4" w:space="0" w:color="auto"/>
              <w:left w:val="single" w:sz="6"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Виробник</w:t>
            </w:r>
          </w:p>
        </w:tc>
        <w:tc>
          <w:tcPr>
            <w:tcW w:w="851" w:type="dxa"/>
            <w:tcBorders>
              <w:top w:val="single" w:sz="4" w:space="0" w:color="auto"/>
              <w:left w:val="single" w:sz="6"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Країна</w:t>
            </w:r>
          </w:p>
        </w:tc>
        <w:tc>
          <w:tcPr>
            <w:tcW w:w="1276" w:type="dxa"/>
            <w:tcBorders>
              <w:top w:val="single" w:sz="4" w:space="0" w:color="auto"/>
              <w:left w:val="single" w:sz="6"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Підстава</w:t>
            </w:r>
          </w:p>
        </w:tc>
        <w:tc>
          <w:tcPr>
            <w:tcW w:w="6662" w:type="dxa"/>
            <w:tcBorders>
              <w:top w:val="single" w:sz="4" w:space="0" w:color="auto"/>
              <w:left w:val="single" w:sz="6" w:space="0" w:color="auto"/>
              <w:bottom w:val="single" w:sz="4" w:space="0" w:color="auto"/>
              <w:right w:val="single" w:sz="6" w:space="0" w:color="auto"/>
            </w:tcBorders>
            <w:shd w:val="pct10" w:color="auto" w:fill="auto"/>
            <w:hideMark/>
          </w:tcPr>
          <w:p w:rsidR="00EB25D4" w:rsidRPr="00CA4562" w:rsidRDefault="00EB25D4" w:rsidP="004843E9">
            <w:pPr>
              <w:jc w:val="center"/>
              <w:rPr>
                <w:rFonts w:ascii="Arial" w:hAnsi="Arial" w:cs="Arial"/>
                <w:b/>
                <w:i/>
                <w:sz w:val="16"/>
                <w:szCs w:val="16"/>
                <w:lang w:eastAsia="en-US"/>
              </w:rPr>
            </w:pPr>
            <w:r w:rsidRPr="00CA4562">
              <w:rPr>
                <w:rFonts w:ascii="Arial" w:hAnsi="Arial" w:cs="Arial"/>
                <w:b/>
                <w:i/>
                <w:sz w:val="16"/>
                <w:szCs w:val="16"/>
                <w:lang w:eastAsia="en-US"/>
              </w:rPr>
              <w:t>Процедура</w:t>
            </w:r>
          </w:p>
        </w:tc>
      </w:tr>
      <w:tr w:rsidR="00EB25D4" w:rsidRPr="00CA4562" w:rsidTr="00B63007">
        <w:trPr>
          <w:trHeight w:val="557"/>
        </w:trPr>
        <w:tc>
          <w:tcPr>
            <w:tcW w:w="568" w:type="dxa"/>
            <w:tcBorders>
              <w:top w:val="single" w:sz="4" w:space="0" w:color="auto"/>
              <w:left w:val="single" w:sz="4" w:space="0" w:color="auto"/>
              <w:bottom w:val="single" w:sz="4" w:space="0" w:color="auto"/>
              <w:right w:val="single" w:sz="4" w:space="0" w:color="auto"/>
            </w:tcBorders>
          </w:tcPr>
          <w:p w:rsidR="00EB25D4" w:rsidRPr="00CA4562" w:rsidRDefault="00EB25D4" w:rsidP="00EB25D4">
            <w:pPr>
              <w:numPr>
                <w:ilvl w:val="0"/>
                <w:numId w:val="15"/>
              </w:numPr>
              <w:rPr>
                <w:rFonts w:ascii="Arial" w:hAnsi="Arial" w:cs="Arial"/>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jc w:val="both"/>
              <w:rPr>
                <w:rFonts w:ascii="Arial" w:hAnsi="Arial" w:cs="Arial"/>
                <w:b/>
                <w:sz w:val="16"/>
                <w:szCs w:val="16"/>
                <w:lang w:eastAsia="en-US"/>
              </w:rPr>
            </w:pPr>
            <w:r w:rsidRPr="00CA4562">
              <w:rPr>
                <w:rFonts w:ascii="Arial" w:hAnsi="Arial" w:cs="Arial"/>
                <w:b/>
                <w:sz w:val="16"/>
                <w:szCs w:val="16"/>
                <w:lang w:eastAsia="en-US"/>
              </w:rPr>
              <w:t xml:space="preserve">ПАНАДОЛ ЕКСТРА </w:t>
            </w:r>
          </w:p>
        </w:tc>
        <w:tc>
          <w:tcPr>
            <w:tcW w:w="1417" w:type="dxa"/>
            <w:tcBorders>
              <w:top w:val="single" w:sz="4" w:space="0" w:color="auto"/>
              <w:left w:val="single" w:sz="4" w:space="0" w:color="auto"/>
              <w:bottom w:val="single" w:sz="4" w:space="0" w:color="auto"/>
              <w:right w:val="single" w:sz="4" w:space="0" w:color="auto"/>
            </w:tcBorders>
          </w:tcPr>
          <w:p w:rsidR="00EB25D4" w:rsidRPr="00CA4562" w:rsidRDefault="00EB25D4" w:rsidP="004843E9">
            <w:pPr>
              <w:rPr>
                <w:rFonts w:ascii="Arial" w:hAnsi="Arial" w:cs="Arial"/>
                <w:sz w:val="16"/>
                <w:szCs w:val="16"/>
                <w:lang w:eastAsia="en-US"/>
              </w:rPr>
            </w:pPr>
            <w:r w:rsidRPr="00CA4562">
              <w:rPr>
                <w:rFonts w:ascii="Arial" w:hAnsi="Arial" w:cs="Arial"/>
                <w:sz w:val="16"/>
                <w:szCs w:val="16"/>
                <w:lang w:eastAsia="en-US"/>
              </w:rPr>
              <w:t>таблетки,вкриті оболонкою по 12 таблеток у блістері; по 1 блістеру в картонній коробці</w:t>
            </w:r>
          </w:p>
          <w:p w:rsidR="00EB25D4" w:rsidRPr="00CA4562" w:rsidRDefault="00EB25D4" w:rsidP="004843E9">
            <w:pPr>
              <w:rPr>
                <w:rFonts w:ascii="Arial" w:hAnsi="Arial" w:cs="Arial"/>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EB25D4" w:rsidRPr="00CA4562" w:rsidRDefault="00EB25D4" w:rsidP="004843E9">
            <w:pPr>
              <w:rPr>
                <w:rFonts w:ascii="Arial" w:hAnsi="Arial" w:cs="Arial"/>
                <w:sz w:val="16"/>
                <w:szCs w:val="16"/>
                <w:lang w:eastAsia="en-US"/>
              </w:rPr>
            </w:pPr>
            <w:r w:rsidRPr="00CA4562">
              <w:rPr>
                <w:rFonts w:ascii="Arial" w:hAnsi="Arial" w:cs="Arial"/>
                <w:sz w:val="16"/>
                <w:szCs w:val="16"/>
                <w:lang w:eastAsia="en-US"/>
              </w:rPr>
              <w:t>ГлаксоСмітКляйн Консьюмер Хелскер (ЮК) Трейдінг Лімітед</w:t>
            </w:r>
          </w:p>
          <w:p w:rsidR="00EB25D4" w:rsidRPr="00CA4562" w:rsidRDefault="00EB25D4" w:rsidP="004843E9">
            <w:pPr>
              <w:jc w:val="both"/>
              <w:rPr>
                <w:rFonts w:ascii="Arial" w:hAnsi="Arial" w:cs="Arial"/>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rsidR="00EB25D4" w:rsidRPr="00CA4562" w:rsidRDefault="00EB25D4" w:rsidP="004843E9">
            <w:pPr>
              <w:rPr>
                <w:rFonts w:ascii="Arial" w:hAnsi="Arial" w:cs="Arial"/>
                <w:sz w:val="16"/>
                <w:szCs w:val="16"/>
                <w:lang w:eastAsia="en-US"/>
              </w:rPr>
            </w:pPr>
            <w:r w:rsidRPr="00CA4562">
              <w:rPr>
                <w:rFonts w:ascii="Arial" w:hAnsi="Arial" w:cs="Arial"/>
                <w:sz w:val="16"/>
                <w:szCs w:val="16"/>
                <w:lang w:eastAsia="en-US"/>
              </w:rPr>
              <w:t>Велика Британ</w:t>
            </w:r>
            <w:r w:rsidRPr="00CA4562">
              <w:rPr>
                <w:rFonts w:ascii="Arial" w:hAnsi="Arial" w:cs="Arial"/>
                <w:sz w:val="16"/>
                <w:szCs w:val="16"/>
                <w:lang w:val="en-US" w:eastAsia="en-US"/>
              </w:rPr>
              <w:t>i</w:t>
            </w:r>
            <w:r w:rsidRPr="00CA4562">
              <w:rPr>
                <w:rFonts w:ascii="Arial" w:hAnsi="Arial" w:cs="Arial"/>
                <w:sz w:val="16"/>
                <w:szCs w:val="16"/>
                <w:lang w:eastAsia="en-US"/>
              </w:rPr>
              <w:t>я</w:t>
            </w:r>
          </w:p>
          <w:p w:rsidR="00EB25D4" w:rsidRPr="00CA4562" w:rsidRDefault="00EB25D4" w:rsidP="004843E9">
            <w:pPr>
              <w:rPr>
                <w:rFonts w:ascii="Arial"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135"/>
              <w:ind w:firstLine="0"/>
              <w:jc w:val="left"/>
              <w:rPr>
                <w:rFonts w:cs="Arial"/>
                <w:b w:val="0"/>
                <w:iCs/>
                <w:sz w:val="16"/>
                <w:szCs w:val="16"/>
                <w:lang w:val="en-US" w:eastAsia="en-US"/>
              </w:rPr>
            </w:pPr>
            <w:r w:rsidRPr="00CA4562">
              <w:rPr>
                <w:rFonts w:cs="Arial"/>
                <w:b w:val="0"/>
                <w:sz w:val="16"/>
                <w:szCs w:val="16"/>
                <w:lang w:eastAsia="en-US"/>
              </w:rPr>
              <w:t>ГлаксоСмітКлайн Дангарван Лімітед</w:t>
            </w:r>
          </w:p>
        </w:tc>
        <w:tc>
          <w:tcPr>
            <w:tcW w:w="851"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ab"/>
              <w:ind w:left="0"/>
              <w:jc w:val="both"/>
              <w:rPr>
                <w:rFonts w:ascii="Arial" w:hAnsi="Arial" w:cs="Arial"/>
                <w:b/>
                <w:sz w:val="16"/>
                <w:szCs w:val="16"/>
                <w:lang w:eastAsia="en-US"/>
              </w:rPr>
            </w:pPr>
            <w:r w:rsidRPr="00CA4562">
              <w:rPr>
                <w:rFonts w:ascii="Arial" w:hAnsi="Arial" w:cs="Arial"/>
                <w:sz w:val="16"/>
                <w:szCs w:val="16"/>
                <w:lang w:eastAsia="en-US"/>
              </w:rPr>
              <w:t>Ірланд</w:t>
            </w:r>
            <w:r w:rsidRPr="00CA4562">
              <w:rPr>
                <w:rFonts w:ascii="Arial" w:hAnsi="Arial" w:cs="Arial"/>
                <w:sz w:val="16"/>
                <w:szCs w:val="16"/>
                <w:lang w:val="en-US" w:eastAsia="en-US"/>
              </w:rPr>
              <w:t>i</w:t>
            </w:r>
            <w:r w:rsidRPr="00CA4562">
              <w:rPr>
                <w:rFonts w:ascii="Arial" w:hAnsi="Arial" w:cs="Arial"/>
                <w:sz w:val="16"/>
                <w:szCs w:val="16"/>
                <w:lang w:eastAsia="en-US"/>
              </w:rPr>
              <w:t>я</w:t>
            </w:r>
          </w:p>
        </w:tc>
        <w:tc>
          <w:tcPr>
            <w:tcW w:w="1276"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135"/>
              <w:ind w:firstLine="0"/>
              <w:jc w:val="left"/>
              <w:rPr>
                <w:rFonts w:cs="Arial"/>
                <w:b w:val="0"/>
                <w:iCs/>
                <w:sz w:val="16"/>
                <w:szCs w:val="16"/>
                <w:lang w:val="en-US" w:eastAsia="en-US"/>
              </w:rPr>
            </w:pPr>
            <w:r w:rsidRPr="00CA4562">
              <w:rPr>
                <w:rFonts w:cs="Arial"/>
                <w:b w:val="0"/>
                <w:iCs/>
                <w:sz w:val="16"/>
                <w:szCs w:val="16"/>
                <w:lang w:eastAsia="en-US"/>
              </w:rPr>
              <w:t xml:space="preserve">засідання </w:t>
            </w:r>
            <w:r w:rsidRPr="00CA4562">
              <w:rPr>
                <w:rFonts w:cs="Arial"/>
                <w:b w:val="0"/>
                <w:iCs/>
                <w:sz w:val="16"/>
                <w:szCs w:val="16"/>
                <w:lang w:val="en-US" w:eastAsia="en-US"/>
              </w:rPr>
              <w:t>НТР № 06 від 17.02.2022</w:t>
            </w:r>
          </w:p>
        </w:tc>
        <w:tc>
          <w:tcPr>
            <w:tcW w:w="6662"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ab"/>
              <w:ind w:left="0"/>
              <w:jc w:val="both"/>
              <w:rPr>
                <w:rFonts w:ascii="Arial" w:hAnsi="Arial" w:cs="Arial"/>
                <w:sz w:val="16"/>
                <w:szCs w:val="16"/>
                <w:lang w:val="uk-UA" w:eastAsia="en-US"/>
              </w:rPr>
            </w:pPr>
            <w:r w:rsidRPr="00CA4562">
              <w:rPr>
                <w:rFonts w:ascii="Arial" w:hAnsi="Arial" w:cs="Arial"/>
                <w:b/>
                <w:sz w:val="16"/>
                <w:szCs w:val="16"/>
                <w:lang w:val="uk-UA"/>
              </w:rPr>
              <w:t>Відмовити у затвердженні</w:t>
            </w:r>
            <w:r w:rsidRPr="00CA4562">
              <w:rPr>
                <w:rFonts w:ascii="Arial" w:hAnsi="Arial" w:cs="Arial"/>
                <w:b/>
                <w:sz w:val="16"/>
                <w:szCs w:val="16"/>
                <w:lang w:val="uk-UA" w:eastAsia="en-US"/>
              </w:rPr>
              <w:t>:</w:t>
            </w:r>
            <w:r w:rsidRPr="00CA4562">
              <w:rPr>
                <w:rFonts w:ascii="Arial" w:hAnsi="Arial" w:cs="Arial"/>
                <w:sz w:val="16"/>
                <w:szCs w:val="16"/>
                <w:lang w:val="uk-UA" w:eastAsia="en-US"/>
              </w:rPr>
              <w:t xml:space="preserve"> </w:t>
            </w:r>
          </w:p>
          <w:p w:rsidR="00EB25D4" w:rsidRPr="00CA4562" w:rsidRDefault="00EB25D4" w:rsidP="004843E9">
            <w:pPr>
              <w:pStyle w:val="ab"/>
              <w:spacing w:after="0"/>
              <w:ind w:left="0"/>
              <w:jc w:val="both"/>
              <w:rPr>
                <w:rFonts w:ascii="Arial" w:hAnsi="Arial" w:cs="Arial"/>
                <w:b/>
                <w:sz w:val="16"/>
                <w:szCs w:val="16"/>
                <w:lang w:eastAsia="en-US"/>
              </w:rPr>
            </w:pPr>
            <w:r w:rsidRPr="00CA4562">
              <w:rPr>
                <w:rFonts w:ascii="Arial" w:hAnsi="Arial" w:cs="Arial"/>
                <w:b/>
                <w:sz w:val="16"/>
                <w:szCs w:val="16"/>
                <w:lang w:val="en-US" w:eastAsia="en-US"/>
              </w:rPr>
              <w:t xml:space="preserve">- </w:t>
            </w:r>
            <w:r w:rsidRPr="00CA4562">
              <w:rPr>
                <w:rFonts w:ascii="Arial" w:hAnsi="Arial" w:cs="Arial"/>
                <w:sz w:val="16"/>
                <w:szCs w:val="16"/>
                <w:lang w:eastAsia="en-US"/>
              </w:rPr>
              <w:t>технічна</w:t>
            </w:r>
            <w:r w:rsidRPr="00CA4562">
              <w:rPr>
                <w:rFonts w:ascii="Arial" w:hAnsi="Arial" w:cs="Arial"/>
                <w:sz w:val="16"/>
                <w:szCs w:val="16"/>
                <w:lang w:val="en-US" w:eastAsia="en-US"/>
              </w:rPr>
              <w:t xml:space="preserve"> </w:t>
            </w:r>
            <w:r w:rsidRPr="00CA4562">
              <w:rPr>
                <w:rFonts w:ascii="Arial" w:hAnsi="Arial" w:cs="Arial"/>
                <w:sz w:val="16"/>
                <w:szCs w:val="16"/>
                <w:lang w:eastAsia="en-US"/>
              </w:rPr>
              <w:t>помилка</w:t>
            </w:r>
            <w:r w:rsidRPr="00CA4562">
              <w:rPr>
                <w:rFonts w:ascii="Arial" w:hAnsi="Arial" w:cs="Arial"/>
                <w:sz w:val="16"/>
                <w:szCs w:val="16"/>
                <w:lang w:val="en-US" w:eastAsia="en-US"/>
              </w:rPr>
              <w:t xml:space="preserve">, </w:t>
            </w:r>
            <w:r w:rsidRPr="00CA4562">
              <w:rPr>
                <w:rFonts w:ascii="Arial" w:hAnsi="Arial" w:cs="Arial"/>
                <w:sz w:val="16"/>
                <w:szCs w:val="16"/>
                <w:lang w:eastAsia="en-US"/>
              </w:rPr>
              <w:t>оскільки</w:t>
            </w:r>
            <w:r w:rsidRPr="00CA4562">
              <w:rPr>
                <w:rFonts w:ascii="Arial" w:hAnsi="Arial" w:cs="Arial"/>
                <w:sz w:val="16"/>
                <w:szCs w:val="16"/>
                <w:lang w:val="en-US" w:eastAsia="en-US"/>
              </w:rPr>
              <w:t xml:space="preserve"> </w:t>
            </w:r>
            <w:r w:rsidRPr="00CA4562">
              <w:rPr>
                <w:rFonts w:ascii="Arial" w:hAnsi="Arial" w:cs="Arial"/>
                <w:sz w:val="16"/>
                <w:szCs w:val="16"/>
                <w:lang w:eastAsia="en-US"/>
              </w:rPr>
              <w:t>заявлене</w:t>
            </w:r>
            <w:r w:rsidRPr="00CA4562">
              <w:rPr>
                <w:rFonts w:ascii="Arial" w:hAnsi="Arial" w:cs="Arial"/>
                <w:sz w:val="16"/>
                <w:szCs w:val="16"/>
                <w:lang w:val="en-US" w:eastAsia="en-US"/>
              </w:rPr>
              <w:t xml:space="preserve"> </w:t>
            </w:r>
            <w:r w:rsidRPr="00CA4562">
              <w:rPr>
                <w:rFonts w:ascii="Arial" w:hAnsi="Arial" w:cs="Arial"/>
                <w:sz w:val="16"/>
                <w:szCs w:val="16"/>
                <w:lang w:eastAsia="en-US"/>
              </w:rPr>
              <w:t>виправлення</w:t>
            </w:r>
            <w:r w:rsidRPr="00CA4562">
              <w:rPr>
                <w:rFonts w:ascii="Arial" w:hAnsi="Arial" w:cs="Arial"/>
                <w:sz w:val="16"/>
                <w:szCs w:val="16"/>
                <w:lang w:val="en-US" w:eastAsia="en-US"/>
              </w:rPr>
              <w:t xml:space="preserve"> </w:t>
            </w:r>
            <w:r w:rsidRPr="00CA4562">
              <w:rPr>
                <w:rFonts w:ascii="Arial" w:hAnsi="Arial" w:cs="Arial"/>
                <w:sz w:val="16"/>
                <w:szCs w:val="16"/>
                <w:lang w:eastAsia="en-US"/>
              </w:rPr>
              <w:t>у</w:t>
            </w:r>
            <w:r w:rsidRPr="00CA4562">
              <w:rPr>
                <w:rFonts w:ascii="Arial" w:hAnsi="Arial" w:cs="Arial"/>
                <w:sz w:val="16"/>
                <w:szCs w:val="16"/>
                <w:lang w:val="en-US" w:eastAsia="en-US"/>
              </w:rPr>
              <w:t xml:space="preserve"> </w:t>
            </w:r>
            <w:r w:rsidRPr="00CA4562">
              <w:rPr>
                <w:rFonts w:ascii="Arial" w:hAnsi="Arial" w:cs="Arial"/>
                <w:sz w:val="16"/>
                <w:szCs w:val="16"/>
                <w:lang w:eastAsia="en-US"/>
              </w:rPr>
              <w:t>матеріалах</w:t>
            </w:r>
            <w:r w:rsidRPr="00CA4562">
              <w:rPr>
                <w:rFonts w:ascii="Arial" w:hAnsi="Arial" w:cs="Arial"/>
                <w:sz w:val="16"/>
                <w:szCs w:val="16"/>
                <w:lang w:val="en-US" w:eastAsia="en-US"/>
              </w:rPr>
              <w:t xml:space="preserve"> </w:t>
            </w:r>
            <w:r w:rsidRPr="00CA4562">
              <w:rPr>
                <w:rFonts w:ascii="Arial" w:hAnsi="Arial" w:cs="Arial"/>
                <w:sz w:val="16"/>
                <w:szCs w:val="16"/>
                <w:lang w:eastAsia="en-US"/>
              </w:rPr>
              <w:t>реєстраційного</w:t>
            </w:r>
            <w:r w:rsidRPr="00CA4562">
              <w:rPr>
                <w:rFonts w:ascii="Arial" w:hAnsi="Arial" w:cs="Arial"/>
                <w:sz w:val="16"/>
                <w:szCs w:val="16"/>
                <w:lang w:val="en-US" w:eastAsia="en-US"/>
              </w:rPr>
              <w:t xml:space="preserve"> </w:t>
            </w:r>
            <w:r w:rsidRPr="00CA4562">
              <w:rPr>
                <w:rFonts w:ascii="Arial" w:hAnsi="Arial" w:cs="Arial"/>
                <w:sz w:val="16"/>
                <w:szCs w:val="16"/>
                <w:lang w:eastAsia="en-US"/>
              </w:rPr>
              <w:t>досьє</w:t>
            </w:r>
            <w:r w:rsidRPr="00CA4562">
              <w:rPr>
                <w:rFonts w:ascii="Arial" w:hAnsi="Arial" w:cs="Arial"/>
                <w:sz w:val="16"/>
                <w:szCs w:val="16"/>
                <w:lang w:val="en-US" w:eastAsia="en-US"/>
              </w:rPr>
              <w:t xml:space="preserve"> </w:t>
            </w:r>
            <w:r w:rsidRPr="00CA4562">
              <w:rPr>
                <w:rFonts w:ascii="Arial" w:hAnsi="Arial" w:cs="Arial"/>
                <w:sz w:val="16"/>
                <w:szCs w:val="16"/>
                <w:lang w:eastAsia="en-US"/>
              </w:rPr>
              <w:t>не</w:t>
            </w:r>
            <w:r w:rsidRPr="00CA4562">
              <w:rPr>
                <w:rFonts w:ascii="Arial" w:hAnsi="Arial" w:cs="Arial"/>
                <w:sz w:val="16"/>
                <w:szCs w:val="16"/>
                <w:lang w:val="en-US" w:eastAsia="en-US"/>
              </w:rPr>
              <w:t xml:space="preserve"> </w:t>
            </w:r>
            <w:r w:rsidRPr="00CA4562">
              <w:rPr>
                <w:rFonts w:ascii="Arial" w:hAnsi="Arial" w:cs="Arial"/>
                <w:sz w:val="16"/>
                <w:szCs w:val="16"/>
                <w:lang w:eastAsia="en-US"/>
              </w:rPr>
              <w:t>відповідає</w:t>
            </w:r>
            <w:r w:rsidRPr="00CA4562">
              <w:rPr>
                <w:rFonts w:ascii="Arial" w:hAnsi="Arial" w:cs="Arial"/>
                <w:sz w:val="16"/>
                <w:szCs w:val="16"/>
                <w:lang w:val="en-US" w:eastAsia="en-US"/>
              </w:rPr>
              <w:t xml:space="preserve"> </w:t>
            </w:r>
            <w:r w:rsidRPr="00CA4562">
              <w:rPr>
                <w:rFonts w:ascii="Arial" w:hAnsi="Arial" w:cs="Arial"/>
                <w:sz w:val="16"/>
                <w:szCs w:val="16"/>
                <w:lang w:eastAsia="en-US"/>
              </w:rPr>
              <w:t>процедурі</w:t>
            </w:r>
            <w:r w:rsidRPr="00CA4562">
              <w:rPr>
                <w:rFonts w:ascii="Arial" w:hAnsi="Arial" w:cs="Arial"/>
                <w:sz w:val="16"/>
                <w:szCs w:val="16"/>
                <w:lang w:val="en-US" w:eastAsia="en-US"/>
              </w:rPr>
              <w:t xml:space="preserve"> – </w:t>
            </w:r>
            <w:r w:rsidRPr="00CA4562">
              <w:rPr>
                <w:rFonts w:ascii="Arial" w:hAnsi="Arial" w:cs="Arial"/>
                <w:sz w:val="16"/>
                <w:szCs w:val="16"/>
                <w:lang w:eastAsia="en-US"/>
              </w:rPr>
              <w:t>технічна</w:t>
            </w:r>
            <w:r w:rsidRPr="00CA4562">
              <w:rPr>
                <w:rFonts w:ascii="Arial" w:hAnsi="Arial" w:cs="Arial"/>
                <w:sz w:val="16"/>
                <w:szCs w:val="16"/>
                <w:lang w:val="en-US" w:eastAsia="en-US"/>
              </w:rPr>
              <w:t xml:space="preserve"> </w:t>
            </w:r>
            <w:r w:rsidRPr="00CA4562">
              <w:rPr>
                <w:rFonts w:ascii="Arial" w:hAnsi="Arial" w:cs="Arial"/>
                <w:sz w:val="16"/>
                <w:szCs w:val="16"/>
                <w:lang w:eastAsia="en-US"/>
              </w:rPr>
              <w:t>помилка</w:t>
            </w:r>
            <w:r w:rsidRPr="00CA4562">
              <w:rPr>
                <w:rFonts w:ascii="Arial" w:hAnsi="Arial" w:cs="Arial"/>
                <w:sz w:val="16"/>
                <w:szCs w:val="16"/>
                <w:lang w:val="en-US" w:eastAsia="en-US"/>
              </w:rPr>
              <w:t xml:space="preserve"> </w:t>
            </w:r>
            <w:r w:rsidRPr="00CA4562">
              <w:rPr>
                <w:rFonts w:ascii="Arial" w:hAnsi="Arial" w:cs="Arial"/>
                <w:sz w:val="16"/>
                <w:szCs w:val="16"/>
                <w:lang w:eastAsia="en-US"/>
              </w:rPr>
              <w:t>згідно</w:t>
            </w:r>
            <w:r w:rsidRPr="00CA4562">
              <w:rPr>
                <w:rFonts w:ascii="Arial" w:hAnsi="Arial" w:cs="Arial"/>
                <w:sz w:val="16"/>
                <w:szCs w:val="16"/>
                <w:lang w:val="en-US" w:eastAsia="en-US"/>
              </w:rPr>
              <w:t xml:space="preserve"> </w:t>
            </w:r>
            <w:r w:rsidRPr="00CA4562">
              <w:rPr>
                <w:rFonts w:ascii="Arial" w:hAnsi="Arial" w:cs="Arial"/>
                <w:sz w:val="16"/>
                <w:szCs w:val="16"/>
                <w:lang w:eastAsia="en-US"/>
              </w:rPr>
              <w:t>пункту</w:t>
            </w:r>
            <w:r w:rsidRPr="00CA4562">
              <w:rPr>
                <w:rFonts w:ascii="Arial" w:hAnsi="Arial" w:cs="Arial"/>
                <w:sz w:val="16"/>
                <w:szCs w:val="16"/>
                <w:lang w:val="en-US" w:eastAsia="en-US"/>
              </w:rPr>
              <w:t xml:space="preserve"> 2.4. </w:t>
            </w:r>
            <w:r w:rsidRPr="00CA4562">
              <w:rPr>
                <w:rFonts w:ascii="Arial" w:hAnsi="Arial" w:cs="Arial"/>
                <w:sz w:val="16"/>
                <w:szCs w:val="16"/>
                <w:lang w:eastAsia="en-US"/>
              </w:rPr>
              <w:t>розділу</w:t>
            </w:r>
            <w:r w:rsidRPr="00CA4562">
              <w:rPr>
                <w:rFonts w:ascii="Arial" w:hAnsi="Arial" w:cs="Arial"/>
                <w:sz w:val="16"/>
                <w:szCs w:val="16"/>
                <w:lang w:val="en-US" w:eastAsia="en-US"/>
              </w:rPr>
              <w:t xml:space="preserve"> VI </w:t>
            </w:r>
            <w:r w:rsidRPr="00CA4562">
              <w:rPr>
                <w:rFonts w:ascii="Arial" w:hAnsi="Arial" w:cs="Arial"/>
                <w:sz w:val="16"/>
                <w:szCs w:val="16"/>
                <w:lang w:eastAsia="en-US"/>
              </w:rPr>
              <w:t>наказу</w:t>
            </w:r>
            <w:r w:rsidRPr="00CA4562">
              <w:rPr>
                <w:rFonts w:ascii="Arial" w:hAnsi="Arial" w:cs="Arial"/>
                <w:sz w:val="16"/>
                <w:szCs w:val="16"/>
                <w:lang w:val="en-US" w:eastAsia="en-US"/>
              </w:rPr>
              <w:t xml:space="preserve"> </w:t>
            </w:r>
            <w:r w:rsidRPr="00CA4562">
              <w:rPr>
                <w:rFonts w:ascii="Arial" w:hAnsi="Arial" w:cs="Arial"/>
                <w:sz w:val="16"/>
                <w:szCs w:val="16"/>
                <w:lang w:eastAsia="en-US"/>
              </w:rPr>
              <w:t>МОЗ</w:t>
            </w:r>
            <w:r w:rsidRPr="00CA4562">
              <w:rPr>
                <w:rFonts w:ascii="Arial" w:hAnsi="Arial" w:cs="Arial"/>
                <w:sz w:val="16"/>
                <w:szCs w:val="16"/>
                <w:lang w:val="en-US" w:eastAsia="en-US"/>
              </w:rPr>
              <w:t xml:space="preserve"> </w:t>
            </w:r>
            <w:r w:rsidRPr="00CA4562">
              <w:rPr>
                <w:rFonts w:ascii="Arial" w:hAnsi="Arial" w:cs="Arial"/>
                <w:sz w:val="16"/>
                <w:szCs w:val="16"/>
                <w:lang w:eastAsia="en-US"/>
              </w:rPr>
              <w:t>від</w:t>
            </w:r>
            <w:r w:rsidRPr="00CA4562">
              <w:rPr>
                <w:rFonts w:ascii="Arial" w:hAnsi="Arial" w:cs="Arial"/>
                <w:sz w:val="16"/>
                <w:szCs w:val="16"/>
                <w:lang w:val="en-US" w:eastAsia="en-US"/>
              </w:rPr>
              <w:t xml:space="preserve"> 26.08.2005 </w:t>
            </w:r>
            <w:r w:rsidRPr="00CA4562">
              <w:rPr>
                <w:rFonts w:ascii="Arial" w:hAnsi="Arial" w:cs="Arial"/>
                <w:sz w:val="16"/>
                <w:szCs w:val="16"/>
                <w:lang w:eastAsia="en-US"/>
              </w:rPr>
              <w:t>року</w:t>
            </w:r>
            <w:r w:rsidRPr="00CA4562">
              <w:rPr>
                <w:rFonts w:ascii="Arial" w:hAnsi="Arial" w:cs="Arial"/>
                <w:sz w:val="16"/>
                <w:szCs w:val="16"/>
                <w:lang w:val="en-US" w:eastAsia="en-US"/>
              </w:rPr>
              <w:t xml:space="preserve"> № 426 (</w:t>
            </w:r>
            <w:r w:rsidRPr="00CA4562">
              <w:rPr>
                <w:rFonts w:ascii="Arial" w:hAnsi="Arial" w:cs="Arial"/>
                <w:sz w:val="16"/>
                <w:szCs w:val="16"/>
                <w:lang w:eastAsia="en-US"/>
              </w:rPr>
              <w:t>у</w:t>
            </w:r>
            <w:r w:rsidRPr="00CA4562">
              <w:rPr>
                <w:rFonts w:ascii="Arial" w:hAnsi="Arial" w:cs="Arial"/>
                <w:sz w:val="16"/>
                <w:szCs w:val="16"/>
                <w:lang w:val="en-US" w:eastAsia="en-US"/>
              </w:rPr>
              <w:t xml:space="preserve"> </w:t>
            </w:r>
            <w:r w:rsidRPr="00CA4562">
              <w:rPr>
                <w:rFonts w:ascii="Arial" w:hAnsi="Arial" w:cs="Arial"/>
                <w:sz w:val="16"/>
                <w:szCs w:val="16"/>
                <w:lang w:eastAsia="en-US"/>
              </w:rPr>
              <w:t>редакції</w:t>
            </w:r>
            <w:r w:rsidRPr="00CA4562">
              <w:rPr>
                <w:rFonts w:ascii="Arial" w:hAnsi="Arial" w:cs="Arial"/>
                <w:sz w:val="16"/>
                <w:szCs w:val="16"/>
                <w:lang w:val="en-US" w:eastAsia="en-US"/>
              </w:rPr>
              <w:t xml:space="preserve"> </w:t>
            </w:r>
            <w:r w:rsidRPr="00CA4562">
              <w:rPr>
                <w:rFonts w:ascii="Arial" w:hAnsi="Arial" w:cs="Arial"/>
                <w:sz w:val="16"/>
                <w:szCs w:val="16"/>
                <w:lang w:eastAsia="en-US"/>
              </w:rPr>
              <w:t>наказу</w:t>
            </w:r>
            <w:r w:rsidRPr="00CA4562">
              <w:rPr>
                <w:rFonts w:ascii="Arial" w:hAnsi="Arial" w:cs="Arial"/>
                <w:sz w:val="16"/>
                <w:szCs w:val="16"/>
                <w:lang w:val="en-US" w:eastAsia="en-US"/>
              </w:rPr>
              <w:t xml:space="preserve"> </w:t>
            </w:r>
            <w:r w:rsidRPr="00CA4562">
              <w:rPr>
                <w:rFonts w:ascii="Arial" w:hAnsi="Arial" w:cs="Arial"/>
                <w:sz w:val="16"/>
                <w:szCs w:val="16"/>
                <w:lang w:eastAsia="en-US"/>
              </w:rPr>
              <w:t>МОЗ</w:t>
            </w:r>
            <w:r w:rsidRPr="00CA4562">
              <w:rPr>
                <w:rFonts w:ascii="Arial" w:hAnsi="Arial" w:cs="Arial"/>
                <w:sz w:val="16"/>
                <w:szCs w:val="16"/>
                <w:lang w:val="en-US" w:eastAsia="en-US"/>
              </w:rPr>
              <w:t xml:space="preserve"> </w:t>
            </w:r>
            <w:r w:rsidRPr="00CA4562">
              <w:rPr>
                <w:rFonts w:ascii="Arial" w:hAnsi="Arial" w:cs="Arial"/>
                <w:sz w:val="16"/>
                <w:szCs w:val="16"/>
                <w:lang w:eastAsia="en-US"/>
              </w:rPr>
              <w:t>від</w:t>
            </w:r>
            <w:r w:rsidRPr="00CA4562">
              <w:rPr>
                <w:rFonts w:ascii="Arial" w:hAnsi="Arial" w:cs="Arial"/>
                <w:sz w:val="16"/>
                <w:szCs w:val="16"/>
                <w:lang w:val="en-US" w:eastAsia="en-US"/>
              </w:rPr>
              <w:t xml:space="preserve"> 23.07.2015 </w:t>
            </w:r>
            <w:r w:rsidRPr="00CA4562">
              <w:rPr>
                <w:rFonts w:ascii="Arial" w:hAnsi="Arial" w:cs="Arial"/>
                <w:sz w:val="16"/>
                <w:szCs w:val="16"/>
                <w:lang w:eastAsia="en-US"/>
              </w:rPr>
              <w:t>року</w:t>
            </w:r>
            <w:r w:rsidRPr="00CA4562">
              <w:rPr>
                <w:rFonts w:ascii="Arial" w:hAnsi="Arial" w:cs="Arial"/>
                <w:sz w:val="16"/>
                <w:szCs w:val="16"/>
                <w:lang w:val="en-US" w:eastAsia="en-US"/>
              </w:rPr>
              <w:t xml:space="preserve"> № 460). </w:t>
            </w:r>
            <w:r w:rsidRPr="00CA4562">
              <w:rPr>
                <w:rFonts w:ascii="Arial" w:hAnsi="Arial" w:cs="Arial"/>
                <w:sz w:val="16"/>
                <w:szCs w:val="16"/>
                <w:lang w:eastAsia="en-US"/>
              </w:rPr>
              <w:t>Технічна помилка (згідно наказу МОЗ від 23.07.2015 № 460) виправлення технічної помилки в матеріалах реєстраційного досьє 3.2.Р.1. Опис і склад лікарського засобу, 3.2.Р.5.1. Специфікація(ї), а саме: виправлення граматичної помилки при зазначенні зовнішнього вигляду (замість слова «</w:t>
            </w:r>
            <w:r w:rsidRPr="00CA4562">
              <w:rPr>
                <w:rFonts w:ascii="Arial" w:hAnsi="Arial" w:cs="Arial"/>
                <w:sz w:val="16"/>
                <w:szCs w:val="16"/>
                <w:lang w:val="en-US" w:eastAsia="en-US"/>
              </w:rPr>
              <w:t>debossed</w:t>
            </w:r>
            <w:r w:rsidRPr="00CA4562">
              <w:rPr>
                <w:rFonts w:ascii="Arial" w:hAnsi="Arial" w:cs="Arial"/>
                <w:sz w:val="16"/>
                <w:szCs w:val="16"/>
                <w:lang w:eastAsia="en-US"/>
              </w:rPr>
              <w:t>»</w:t>
            </w:r>
            <w:r w:rsidRPr="00CA4562">
              <w:rPr>
                <w:rFonts w:ascii="Arial" w:hAnsi="Arial" w:cs="Arial"/>
                <w:b/>
                <w:sz w:val="16"/>
                <w:szCs w:val="16"/>
                <w:lang w:eastAsia="en-US"/>
              </w:rPr>
              <w:t xml:space="preserve"> </w:t>
            </w:r>
            <w:r w:rsidRPr="00CA4562">
              <w:rPr>
                <w:rFonts w:ascii="Arial" w:hAnsi="Arial" w:cs="Arial"/>
                <w:sz w:val="16"/>
                <w:szCs w:val="16"/>
                <w:lang w:eastAsia="en-US"/>
              </w:rPr>
              <w:t>було використано слово «</w:t>
            </w:r>
            <w:r w:rsidRPr="00CA4562">
              <w:rPr>
                <w:rFonts w:ascii="Arial" w:hAnsi="Arial" w:cs="Arial"/>
                <w:sz w:val="16"/>
                <w:szCs w:val="16"/>
                <w:lang w:val="en-US" w:eastAsia="en-US"/>
              </w:rPr>
              <w:t>embossed</w:t>
            </w:r>
            <w:r w:rsidRPr="00CA4562">
              <w:rPr>
                <w:rFonts w:ascii="Arial" w:hAnsi="Arial" w:cs="Arial"/>
                <w:sz w:val="16"/>
                <w:szCs w:val="16"/>
                <w:lang w:eastAsia="en-US"/>
              </w:rPr>
              <w:t>»)</w:t>
            </w:r>
          </w:p>
        </w:tc>
      </w:tr>
      <w:tr w:rsidR="00EB25D4" w:rsidRPr="00CA4562" w:rsidTr="00B63007">
        <w:trPr>
          <w:trHeight w:val="557"/>
        </w:trPr>
        <w:tc>
          <w:tcPr>
            <w:tcW w:w="568"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135"/>
              <w:ind w:firstLine="0"/>
              <w:jc w:val="left"/>
              <w:rPr>
                <w:rFonts w:ascii="Times New Roman" w:hAnsi="Times New Roman"/>
                <w:iCs/>
                <w:sz w:val="16"/>
                <w:szCs w:val="16"/>
                <w:lang w:eastAsia="en-US"/>
              </w:rPr>
            </w:pPr>
            <w:r w:rsidRPr="00CA4562">
              <w:rPr>
                <w:rFonts w:ascii="Times New Roman" w:hAnsi="Times New Roman"/>
                <w:iCs/>
                <w:sz w:val="16"/>
                <w:szCs w:val="16"/>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jc w:val="both"/>
              <w:rPr>
                <w:rFonts w:ascii="Arial" w:hAnsi="Arial" w:cs="Arial"/>
                <w:b/>
                <w:sz w:val="16"/>
                <w:szCs w:val="16"/>
                <w:lang w:eastAsia="en-US"/>
              </w:rPr>
            </w:pPr>
            <w:r w:rsidRPr="00CA4562">
              <w:rPr>
                <w:rFonts w:ascii="Arial" w:hAnsi="Arial" w:cs="Arial"/>
                <w:b/>
                <w:sz w:val="16"/>
                <w:szCs w:val="16"/>
                <w:lang w:eastAsia="en-US"/>
              </w:rPr>
              <w:t xml:space="preserve">СОЛПАДЕЇН АКТИВ </w:t>
            </w:r>
          </w:p>
        </w:tc>
        <w:tc>
          <w:tcPr>
            <w:tcW w:w="1417" w:type="dxa"/>
            <w:tcBorders>
              <w:top w:val="single" w:sz="4" w:space="0" w:color="auto"/>
              <w:left w:val="single" w:sz="4" w:space="0" w:color="auto"/>
              <w:bottom w:val="single" w:sz="4" w:space="0" w:color="auto"/>
              <w:right w:val="single" w:sz="4" w:space="0" w:color="auto"/>
            </w:tcBorders>
          </w:tcPr>
          <w:p w:rsidR="00EB25D4" w:rsidRPr="00CA4562" w:rsidRDefault="00EB25D4" w:rsidP="004843E9">
            <w:pPr>
              <w:rPr>
                <w:rFonts w:ascii="Arial" w:hAnsi="Arial" w:cs="Arial"/>
                <w:sz w:val="16"/>
                <w:szCs w:val="16"/>
                <w:lang w:eastAsia="en-US"/>
              </w:rPr>
            </w:pPr>
            <w:r w:rsidRPr="00CA4562">
              <w:rPr>
                <w:rFonts w:ascii="Arial" w:hAnsi="Arial" w:cs="Arial"/>
                <w:sz w:val="16"/>
                <w:szCs w:val="16"/>
                <w:lang w:eastAsia="en-US"/>
              </w:rPr>
              <w:t>таблетки, вкриті оболонкою по 12 таблеток у блістері; по 1 блістеру в картонній коробці</w:t>
            </w:r>
          </w:p>
          <w:p w:rsidR="00EB25D4" w:rsidRPr="00CA4562" w:rsidRDefault="00EB25D4" w:rsidP="004843E9">
            <w:pPr>
              <w:rPr>
                <w:rFonts w:ascii="Arial" w:hAnsi="Arial" w:cs="Arial"/>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jc w:val="both"/>
              <w:rPr>
                <w:rFonts w:ascii="Arial" w:hAnsi="Arial" w:cs="Arial"/>
                <w:sz w:val="16"/>
                <w:szCs w:val="16"/>
                <w:lang w:eastAsia="en-US"/>
              </w:rPr>
            </w:pPr>
            <w:r w:rsidRPr="00CA4562">
              <w:rPr>
                <w:rFonts w:ascii="Arial" w:hAnsi="Arial" w:cs="Arial"/>
                <w:sz w:val="16"/>
                <w:szCs w:val="16"/>
                <w:lang w:eastAsia="en-US"/>
              </w:rPr>
              <w:t>ГлаксоСмітКляйн Консьюмер Хелскер (ЮК) Трейдінг Лімітед</w:t>
            </w:r>
          </w:p>
        </w:tc>
        <w:tc>
          <w:tcPr>
            <w:tcW w:w="992" w:type="dxa"/>
            <w:tcBorders>
              <w:top w:val="single" w:sz="4" w:space="0" w:color="auto"/>
              <w:left w:val="single" w:sz="4" w:space="0" w:color="auto"/>
              <w:bottom w:val="single" w:sz="4" w:space="0" w:color="auto"/>
              <w:right w:val="single" w:sz="4" w:space="0" w:color="auto"/>
            </w:tcBorders>
          </w:tcPr>
          <w:p w:rsidR="00EB25D4" w:rsidRPr="00CA4562" w:rsidRDefault="00EB25D4" w:rsidP="004843E9">
            <w:pPr>
              <w:rPr>
                <w:rFonts w:ascii="Arial" w:hAnsi="Arial" w:cs="Arial"/>
                <w:sz w:val="16"/>
                <w:szCs w:val="16"/>
                <w:lang w:eastAsia="en-US"/>
              </w:rPr>
            </w:pPr>
            <w:r w:rsidRPr="00CA4562">
              <w:rPr>
                <w:rFonts w:ascii="Arial" w:hAnsi="Arial" w:cs="Arial"/>
                <w:sz w:val="16"/>
                <w:szCs w:val="16"/>
                <w:lang w:eastAsia="en-US"/>
              </w:rPr>
              <w:t xml:space="preserve"> Велика Британ</w:t>
            </w:r>
            <w:r w:rsidRPr="00CA4562">
              <w:rPr>
                <w:rFonts w:ascii="Arial" w:hAnsi="Arial" w:cs="Arial"/>
                <w:sz w:val="16"/>
                <w:szCs w:val="16"/>
                <w:lang w:val="en-US" w:eastAsia="en-US"/>
              </w:rPr>
              <w:t>i</w:t>
            </w:r>
            <w:r w:rsidRPr="00CA4562">
              <w:rPr>
                <w:rFonts w:ascii="Arial" w:hAnsi="Arial" w:cs="Arial"/>
                <w:sz w:val="16"/>
                <w:szCs w:val="16"/>
                <w:lang w:eastAsia="en-US"/>
              </w:rPr>
              <w:t>я</w:t>
            </w:r>
          </w:p>
          <w:p w:rsidR="00EB25D4" w:rsidRPr="00CA4562" w:rsidRDefault="00EB25D4" w:rsidP="004843E9">
            <w:pPr>
              <w:rPr>
                <w:rFonts w:ascii="Arial" w:hAnsi="Arial" w:cs="Arial"/>
                <w:sz w:val="16"/>
                <w:szCs w:val="16"/>
                <w:lang w:eastAsia="en-US"/>
              </w:rPr>
            </w:pPr>
            <w:r w:rsidRPr="00CA4562">
              <w:rPr>
                <w:rFonts w:ascii="Arial" w:hAnsi="Arial" w:cs="Arial"/>
                <w:sz w:val="16"/>
                <w:szCs w:val="16"/>
                <w:lang w:eastAsia="en-US"/>
              </w:rPr>
              <w:t xml:space="preserve"> </w:t>
            </w:r>
          </w:p>
          <w:p w:rsidR="00EB25D4" w:rsidRPr="00CA4562" w:rsidRDefault="00EB25D4" w:rsidP="004843E9">
            <w:pPr>
              <w:rPr>
                <w:rFonts w:ascii="Arial" w:hAnsi="Arial" w:cs="Arial"/>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ab"/>
              <w:ind w:left="0"/>
              <w:jc w:val="both"/>
              <w:rPr>
                <w:rFonts w:ascii="Arial" w:hAnsi="Arial" w:cs="Arial"/>
                <w:b/>
                <w:sz w:val="16"/>
                <w:szCs w:val="16"/>
                <w:lang w:eastAsia="en-US"/>
              </w:rPr>
            </w:pPr>
            <w:r w:rsidRPr="00CA4562">
              <w:rPr>
                <w:rFonts w:ascii="Arial" w:hAnsi="Arial" w:cs="Arial"/>
                <w:sz w:val="16"/>
                <w:szCs w:val="16"/>
                <w:lang w:eastAsia="en-US"/>
              </w:rPr>
              <w:t>ГлаксоСмітКлайн Дангарван Лімітед</w:t>
            </w:r>
          </w:p>
        </w:tc>
        <w:tc>
          <w:tcPr>
            <w:tcW w:w="851"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ab"/>
              <w:ind w:left="0"/>
              <w:jc w:val="both"/>
              <w:rPr>
                <w:rFonts w:ascii="Arial" w:hAnsi="Arial" w:cs="Arial"/>
                <w:b/>
                <w:sz w:val="16"/>
                <w:szCs w:val="16"/>
                <w:lang w:eastAsia="en-US"/>
              </w:rPr>
            </w:pPr>
            <w:r w:rsidRPr="00CA4562">
              <w:rPr>
                <w:rFonts w:ascii="Arial" w:hAnsi="Arial" w:cs="Arial"/>
                <w:sz w:val="16"/>
                <w:szCs w:val="16"/>
                <w:lang w:eastAsia="en-US"/>
              </w:rPr>
              <w:t xml:space="preserve">  Ірланд</w:t>
            </w:r>
            <w:r w:rsidRPr="00CA4562">
              <w:rPr>
                <w:rFonts w:ascii="Arial" w:hAnsi="Arial" w:cs="Arial"/>
                <w:sz w:val="16"/>
                <w:szCs w:val="16"/>
                <w:lang w:val="en-US" w:eastAsia="en-US"/>
              </w:rPr>
              <w:t>i</w:t>
            </w:r>
            <w:r w:rsidRPr="00CA4562">
              <w:rPr>
                <w:rFonts w:ascii="Arial" w:hAnsi="Arial" w:cs="Arial"/>
                <w:sz w:val="16"/>
                <w:szCs w:val="16"/>
                <w:lang w:eastAsia="en-US"/>
              </w:rPr>
              <w:t>я</w:t>
            </w:r>
          </w:p>
        </w:tc>
        <w:tc>
          <w:tcPr>
            <w:tcW w:w="1276"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135"/>
              <w:ind w:firstLine="0"/>
              <w:jc w:val="left"/>
              <w:rPr>
                <w:rFonts w:cs="Arial"/>
                <w:b w:val="0"/>
                <w:iCs/>
                <w:sz w:val="16"/>
                <w:szCs w:val="16"/>
                <w:lang w:val="en-US" w:eastAsia="en-US"/>
              </w:rPr>
            </w:pPr>
            <w:r w:rsidRPr="00CA4562">
              <w:rPr>
                <w:rFonts w:cs="Arial"/>
                <w:b w:val="0"/>
                <w:iCs/>
                <w:sz w:val="16"/>
                <w:szCs w:val="16"/>
                <w:lang w:eastAsia="en-US"/>
              </w:rPr>
              <w:t xml:space="preserve">засідання </w:t>
            </w:r>
            <w:r w:rsidRPr="00CA4562">
              <w:rPr>
                <w:rFonts w:cs="Arial"/>
                <w:b w:val="0"/>
                <w:iCs/>
                <w:sz w:val="16"/>
                <w:szCs w:val="16"/>
                <w:lang w:val="en-US" w:eastAsia="en-US"/>
              </w:rPr>
              <w:t>НТР № 06 від 17.02.2022</w:t>
            </w:r>
          </w:p>
        </w:tc>
        <w:tc>
          <w:tcPr>
            <w:tcW w:w="6662" w:type="dxa"/>
            <w:tcBorders>
              <w:top w:val="single" w:sz="4" w:space="0" w:color="auto"/>
              <w:left w:val="single" w:sz="4" w:space="0" w:color="auto"/>
              <w:bottom w:val="single" w:sz="4" w:space="0" w:color="auto"/>
              <w:right w:val="single" w:sz="4" w:space="0" w:color="auto"/>
            </w:tcBorders>
            <w:hideMark/>
          </w:tcPr>
          <w:p w:rsidR="00EB25D4" w:rsidRPr="00CA4562" w:rsidRDefault="00EB25D4" w:rsidP="004843E9">
            <w:pPr>
              <w:pStyle w:val="ab"/>
              <w:ind w:left="0"/>
              <w:jc w:val="both"/>
              <w:rPr>
                <w:rFonts w:ascii="Arial" w:hAnsi="Arial" w:cs="Arial"/>
                <w:sz w:val="16"/>
                <w:szCs w:val="16"/>
                <w:lang w:val="uk-UA" w:eastAsia="en-US"/>
              </w:rPr>
            </w:pPr>
            <w:r w:rsidRPr="00CA4562">
              <w:rPr>
                <w:rFonts w:ascii="Arial" w:hAnsi="Arial" w:cs="Arial"/>
                <w:b/>
                <w:sz w:val="16"/>
                <w:szCs w:val="16"/>
                <w:lang w:val="uk-UA"/>
              </w:rPr>
              <w:t>Відмовити у затвердженні</w:t>
            </w:r>
            <w:r w:rsidRPr="00CA4562">
              <w:rPr>
                <w:rFonts w:ascii="Arial" w:hAnsi="Arial" w:cs="Arial"/>
                <w:b/>
                <w:sz w:val="16"/>
                <w:szCs w:val="16"/>
                <w:lang w:val="uk-UA" w:eastAsia="en-US"/>
              </w:rPr>
              <w:t>:</w:t>
            </w:r>
            <w:r w:rsidRPr="00CA4562">
              <w:rPr>
                <w:rFonts w:ascii="Arial" w:hAnsi="Arial" w:cs="Arial"/>
                <w:sz w:val="16"/>
                <w:szCs w:val="16"/>
                <w:lang w:val="uk-UA" w:eastAsia="en-US"/>
              </w:rPr>
              <w:t xml:space="preserve"> </w:t>
            </w:r>
          </w:p>
          <w:p w:rsidR="00EB25D4" w:rsidRPr="00CA4562" w:rsidRDefault="00EB25D4" w:rsidP="004843E9">
            <w:pPr>
              <w:pStyle w:val="ab"/>
              <w:spacing w:after="0"/>
              <w:ind w:left="0"/>
              <w:jc w:val="both"/>
              <w:rPr>
                <w:rFonts w:ascii="Arial" w:hAnsi="Arial" w:cs="Arial"/>
                <w:b/>
                <w:sz w:val="16"/>
                <w:szCs w:val="16"/>
                <w:lang w:val="en-US" w:eastAsia="en-US"/>
              </w:rPr>
            </w:pPr>
            <w:r w:rsidRPr="00CA4562">
              <w:rPr>
                <w:rFonts w:ascii="Arial" w:hAnsi="Arial" w:cs="Arial"/>
                <w:b/>
                <w:sz w:val="16"/>
                <w:szCs w:val="16"/>
                <w:lang w:val="en-US" w:eastAsia="en-US"/>
              </w:rPr>
              <w:t xml:space="preserve">- </w:t>
            </w:r>
            <w:r w:rsidRPr="00CA4562">
              <w:rPr>
                <w:rFonts w:ascii="Arial" w:hAnsi="Arial" w:cs="Arial"/>
                <w:sz w:val="16"/>
                <w:szCs w:val="16"/>
                <w:lang w:eastAsia="en-US"/>
              </w:rPr>
              <w:t>виправління</w:t>
            </w:r>
            <w:r w:rsidRPr="00CA4562">
              <w:rPr>
                <w:rFonts w:ascii="Arial" w:hAnsi="Arial" w:cs="Arial"/>
                <w:sz w:val="16"/>
                <w:szCs w:val="16"/>
                <w:lang w:val="en-US" w:eastAsia="en-US"/>
              </w:rPr>
              <w:t xml:space="preserve"> </w:t>
            </w:r>
            <w:r w:rsidRPr="00CA4562">
              <w:rPr>
                <w:rFonts w:ascii="Arial" w:hAnsi="Arial" w:cs="Arial"/>
                <w:sz w:val="16"/>
                <w:szCs w:val="16"/>
                <w:lang w:eastAsia="en-US"/>
              </w:rPr>
              <w:t>технічної</w:t>
            </w:r>
            <w:r w:rsidRPr="00CA4562">
              <w:rPr>
                <w:rFonts w:ascii="Arial" w:hAnsi="Arial" w:cs="Arial"/>
                <w:sz w:val="16"/>
                <w:szCs w:val="16"/>
                <w:lang w:val="en-US" w:eastAsia="en-US"/>
              </w:rPr>
              <w:t xml:space="preserve"> </w:t>
            </w:r>
            <w:r w:rsidRPr="00CA4562">
              <w:rPr>
                <w:rFonts w:ascii="Arial" w:hAnsi="Arial" w:cs="Arial"/>
                <w:sz w:val="16"/>
                <w:szCs w:val="16"/>
                <w:lang w:eastAsia="en-US"/>
              </w:rPr>
              <w:t>помилки</w:t>
            </w:r>
            <w:r w:rsidRPr="00CA4562">
              <w:rPr>
                <w:rFonts w:ascii="Arial" w:hAnsi="Arial" w:cs="Arial"/>
                <w:sz w:val="16"/>
                <w:szCs w:val="16"/>
                <w:lang w:val="en-US" w:eastAsia="en-US"/>
              </w:rPr>
              <w:t xml:space="preserve"> (</w:t>
            </w:r>
            <w:r w:rsidRPr="00CA4562">
              <w:rPr>
                <w:rFonts w:ascii="Arial" w:hAnsi="Arial" w:cs="Arial"/>
                <w:sz w:val="16"/>
                <w:szCs w:val="16"/>
                <w:lang w:eastAsia="en-US"/>
              </w:rPr>
              <w:t>згідно</w:t>
            </w:r>
            <w:r w:rsidRPr="00CA4562">
              <w:rPr>
                <w:rFonts w:ascii="Arial" w:hAnsi="Arial" w:cs="Arial"/>
                <w:sz w:val="16"/>
                <w:szCs w:val="16"/>
                <w:lang w:val="en-US" w:eastAsia="en-US"/>
              </w:rPr>
              <w:t xml:space="preserve"> </w:t>
            </w:r>
            <w:r w:rsidRPr="00CA4562">
              <w:rPr>
                <w:rFonts w:ascii="Arial" w:hAnsi="Arial" w:cs="Arial"/>
                <w:sz w:val="16"/>
                <w:szCs w:val="16"/>
                <w:lang w:eastAsia="en-US"/>
              </w:rPr>
              <w:t>наказу</w:t>
            </w:r>
            <w:r w:rsidRPr="00CA4562">
              <w:rPr>
                <w:rFonts w:ascii="Arial" w:hAnsi="Arial" w:cs="Arial"/>
                <w:sz w:val="16"/>
                <w:szCs w:val="16"/>
                <w:lang w:val="en-US" w:eastAsia="en-US"/>
              </w:rPr>
              <w:t xml:space="preserve"> </w:t>
            </w:r>
            <w:r w:rsidRPr="00CA4562">
              <w:rPr>
                <w:rFonts w:ascii="Arial" w:hAnsi="Arial" w:cs="Arial"/>
                <w:sz w:val="16"/>
                <w:szCs w:val="16"/>
                <w:lang w:eastAsia="en-US"/>
              </w:rPr>
              <w:t>МОЗ</w:t>
            </w:r>
            <w:r w:rsidRPr="00CA4562">
              <w:rPr>
                <w:rFonts w:ascii="Arial" w:hAnsi="Arial" w:cs="Arial"/>
                <w:sz w:val="16"/>
                <w:szCs w:val="16"/>
                <w:lang w:val="en-US" w:eastAsia="en-US"/>
              </w:rPr>
              <w:t xml:space="preserve"> </w:t>
            </w:r>
            <w:r w:rsidRPr="00CA4562">
              <w:rPr>
                <w:rFonts w:ascii="Arial" w:hAnsi="Arial" w:cs="Arial"/>
                <w:sz w:val="16"/>
                <w:szCs w:val="16"/>
                <w:lang w:eastAsia="en-US"/>
              </w:rPr>
              <w:t>від</w:t>
            </w:r>
            <w:r w:rsidRPr="00CA4562">
              <w:rPr>
                <w:rFonts w:ascii="Arial" w:hAnsi="Arial" w:cs="Arial"/>
                <w:sz w:val="16"/>
                <w:szCs w:val="16"/>
                <w:lang w:val="en-US" w:eastAsia="en-US"/>
              </w:rPr>
              <w:t xml:space="preserve"> 23.07.2015 № 460) </w:t>
            </w:r>
            <w:r w:rsidRPr="00CA4562">
              <w:rPr>
                <w:rFonts w:ascii="Arial" w:hAnsi="Arial" w:cs="Arial"/>
                <w:sz w:val="16"/>
                <w:szCs w:val="16"/>
                <w:lang w:eastAsia="en-US"/>
              </w:rPr>
              <w:t>в</w:t>
            </w:r>
            <w:r w:rsidRPr="00CA4562">
              <w:rPr>
                <w:rFonts w:ascii="Arial" w:hAnsi="Arial" w:cs="Arial"/>
                <w:sz w:val="16"/>
                <w:szCs w:val="16"/>
                <w:lang w:val="en-US" w:eastAsia="en-US"/>
              </w:rPr>
              <w:t xml:space="preserve"> </w:t>
            </w:r>
            <w:r w:rsidRPr="00CA4562">
              <w:rPr>
                <w:rFonts w:ascii="Arial" w:hAnsi="Arial" w:cs="Arial"/>
                <w:sz w:val="16"/>
                <w:szCs w:val="16"/>
                <w:lang w:eastAsia="en-US"/>
              </w:rPr>
              <w:t>матеріалах</w:t>
            </w:r>
            <w:r w:rsidRPr="00CA4562">
              <w:rPr>
                <w:rFonts w:ascii="Arial" w:hAnsi="Arial" w:cs="Arial"/>
                <w:sz w:val="16"/>
                <w:szCs w:val="16"/>
                <w:lang w:val="en-US" w:eastAsia="en-US"/>
              </w:rPr>
              <w:t xml:space="preserve"> </w:t>
            </w:r>
            <w:r w:rsidRPr="00CA4562">
              <w:rPr>
                <w:rFonts w:ascii="Arial" w:hAnsi="Arial" w:cs="Arial"/>
                <w:sz w:val="16"/>
                <w:szCs w:val="16"/>
                <w:lang w:eastAsia="en-US"/>
              </w:rPr>
              <w:t>реєстраційного</w:t>
            </w:r>
            <w:r w:rsidRPr="00CA4562">
              <w:rPr>
                <w:rFonts w:ascii="Arial" w:hAnsi="Arial" w:cs="Arial"/>
                <w:sz w:val="16"/>
                <w:szCs w:val="16"/>
                <w:lang w:val="en-US" w:eastAsia="en-US"/>
              </w:rPr>
              <w:t xml:space="preserve"> </w:t>
            </w:r>
            <w:r w:rsidRPr="00CA4562">
              <w:rPr>
                <w:rFonts w:ascii="Arial" w:hAnsi="Arial" w:cs="Arial"/>
                <w:sz w:val="16"/>
                <w:szCs w:val="16"/>
                <w:lang w:eastAsia="en-US"/>
              </w:rPr>
              <w:t>досьє</w:t>
            </w:r>
            <w:r w:rsidRPr="00CA4562">
              <w:rPr>
                <w:rFonts w:ascii="Arial" w:hAnsi="Arial" w:cs="Arial"/>
                <w:sz w:val="16"/>
                <w:szCs w:val="16"/>
                <w:lang w:val="en-US" w:eastAsia="en-US"/>
              </w:rPr>
              <w:t xml:space="preserve"> 3.2.</w:t>
            </w:r>
            <w:r w:rsidRPr="00CA4562">
              <w:rPr>
                <w:rFonts w:ascii="Arial" w:hAnsi="Arial" w:cs="Arial"/>
                <w:sz w:val="16"/>
                <w:szCs w:val="16"/>
                <w:lang w:eastAsia="en-US"/>
              </w:rPr>
              <w:t>Р</w:t>
            </w:r>
            <w:r w:rsidRPr="00CA4562">
              <w:rPr>
                <w:rFonts w:ascii="Arial" w:hAnsi="Arial" w:cs="Arial"/>
                <w:sz w:val="16"/>
                <w:szCs w:val="16"/>
                <w:lang w:val="en-US" w:eastAsia="en-US"/>
              </w:rPr>
              <w:t xml:space="preserve">.1. </w:t>
            </w:r>
            <w:r w:rsidRPr="00CA4562">
              <w:rPr>
                <w:rFonts w:ascii="Arial" w:hAnsi="Arial" w:cs="Arial"/>
                <w:sz w:val="16"/>
                <w:szCs w:val="16"/>
                <w:lang w:eastAsia="en-US"/>
              </w:rPr>
              <w:t>Опис</w:t>
            </w:r>
            <w:r w:rsidRPr="00CA4562">
              <w:rPr>
                <w:rFonts w:ascii="Arial" w:hAnsi="Arial" w:cs="Arial"/>
                <w:sz w:val="16"/>
                <w:szCs w:val="16"/>
                <w:lang w:val="en-US" w:eastAsia="en-US"/>
              </w:rPr>
              <w:t xml:space="preserve"> </w:t>
            </w:r>
            <w:r w:rsidRPr="00CA4562">
              <w:rPr>
                <w:rFonts w:ascii="Arial" w:hAnsi="Arial" w:cs="Arial"/>
                <w:sz w:val="16"/>
                <w:szCs w:val="16"/>
                <w:lang w:eastAsia="en-US"/>
              </w:rPr>
              <w:t>і</w:t>
            </w:r>
            <w:r w:rsidRPr="00CA4562">
              <w:rPr>
                <w:rFonts w:ascii="Arial" w:hAnsi="Arial" w:cs="Arial"/>
                <w:sz w:val="16"/>
                <w:szCs w:val="16"/>
                <w:lang w:val="en-US" w:eastAsia="en-US"/>
              </w:rPr>
              <w:t xml:space="preserve"> </w:t>
            </w:r>
            <w:r w:rsidRPr="00CA4562">
              <w:rPr>
                <w:rFonts w:ascii="Arial" w:hAnsi="Arial" w:cs="Arial"/>
                <w:sz w:val="16"/>
                <w:szCs w:val="16"/>
                <w:lang w:eastAsia="en-US"/>
              </w:rPr>
              <w:t>склад</w:t>
            </w:r>
            <w:r w:rsidRPr="00CA4562">
              <w:rPr>
                <w:rFonts w:ascii="Arial" w:hAnsi="Arial" w:cs="Arial"/>
                <w:sz w:val="16"/>
                <w:szCs w:val="16"/>
                <w:lang w:val="en-US" w:eastAsia="en-US"/>
              </w:rPr>
              <w:t xml:space="preserve"> </w:t>
            </w:r>
            <w:r w:rsidRPr="00CA4562">
              <w:rPr>
                <w:rFonts w:ascii="Arial" w:hAnsi="Arial" w:cs="Arial"/>
                <w:sz w:val="16"/>
                <w:szCs w:val="16"/>
                <w:lang w:eastAsia="en-US"/>
              </w:rPr>
              <w:t>лікарського</w:t>
            </w:r>
            <w:r w:rsidRPr="00CA4562">
              <w:rPr>
                <w:rFonts w:ascii="Arial" w:hAnsi="Arial" w:cs="Arial"/>
                <w:sz w:val="16"/>
                <w:szCs w:val="16"/>
                <w:lang w:val="en-US" w:eastAsia="en-US"/>
              </w:rPr>
              <w:t xml:space="preserve"> </w:t>
            </w:r>
            <w:r w:rsidRPr="00CA4562">
              <w:rPr>
                <w:rFonts w:ascii="Arial" w:hAnsi="Arial" w:cs="Arial"/>
                <w:sz w:val="16"/>
                <w:szCs w:val="16"/>
                <w:lang w:eastAsia="en-US"/>
              </w:rPr>
              <w:t>засобу</w:t>
            </w:r>
            <w:r w:rsidRPr="00CA4562">
              <w:rPr>
                <w:rFonts w:ascii="Arial" w:hAnsi="Arial" w:cs="Arial"/>
                <w:sz w:val="16"/>
                <w:szCs w:val="16"/>
                <w:lang w:val="en-US" w:eastAsia="en-US"/>
              </w:rPr>
              <w:t>, 3.2.</w:t>
            </w:r>
            <w:r w:rsidRPr="00CA4562">
              <w:rPr>
                <w:rFonts w:ascii="Arial" w:hAnsi="Arial" w:cs="Arial"/>
                <w:sz w:val="16"/>
                <w:szCs w:val="16"/>
                <w:lang w:eastAsia="en-US"/>
              </w:rPr>
              <w:t>Р</w:t>
            </w:r>
            <w:r w:rsidRPr="00CA4562">
              <w:rPr>
                <w:rFonts w:ascii="Arial" w:hAnsi="Arial" w:cs="Arial"/>
                <w:sz w:val="16"/>
                <w:szCs w:val="16"/>
                <w:lang w:val="en-US" w:eastAsia="en-US"/>
              </w:rPr>
              <w:t xml:space="preserve">.5.1. </w:t>
            </w:r>
            <w:r w:rsidRPr="00CA4562">
              <w:rPr>
                <w:rFonts w:ascii="Arial" w:hAnsi="Arial" w:cs="Arial"/>
                <w:sz w:val="16"/>
                <w:szCs w:val="16"/>
                <w:lang w:eastAsia="en-US"/>
              </w:rPr>
              <w:t>Специфікація</w:t>
            </w:r>
            <w:r w:rsidRPr="00CA4562">
              <w:rPr>
                <w:rFonts w:ascii="Arial" w:hAnsi="Arial" w:cs="Arial"/>
                <w:sz w:val="16"/>
                <w:szCs w:val="16"/>
                <w:lang w:val="en-US" w:eastAsia="en-US"/>
              </w:rPr>
              <w:t>(</w:t>
            </w:r>
            <w:r w:rsidRPr="00CA4562">
              <w:rPr>
                <w:rFonts w:ascii="Arial" w:hAnsi="Arial" w:cs="Arial"/>
                <w:sz w:val="16"/>
                <w:szCs w:val="16"/>
                <w:lang w:eastAsia="en-US"/>
              </w:rPr>
              <w:t>ї</w:t>
            </w:r>
            <w:r w:rsidRPr="00CA4562">
              <w:rPr>
                <w:rFonts w:ascii="Arial" w:hAnsi="Arial" w:cs="Arial"/>
                <w:sz w:val="16"/>
                <w:szCs w:val="16"/>
                <w:lang w:val="en-US" w:eastAsia="en-US"/>
              </w:rPr>
              <w:t xml:space="preserve">), </w:t>
            </w:r>
            <w:r w:rsidRPr="00CA4562">
              <w:rPr>
                <w:rFonts w:ascii="Arial" w:hAnsi="Arial" w:cs="Arial"/>
                <w:sz w:val="16"/>
                <w:szCs w:val="16"/>
                <w:lang w:eastAsia="en-US"/>
              </w:rPr>
              <w:t>а</w:t>
            </w:r>
            <w:r w:rsidRPr="00CA4562">
              <w:rPr>
                <w:rFonts w:ascii="Arial" w:hAnsi="Arial" w:cs="Arial"/>
                <w:sz w:val="16"/>
                <w:szCs w:val="16"/>
                <w:lang w:val="en-US" w:eastAsia="en-US"/>
              </w:rPr>
              <w:t xml:space="preserve"> </w:t>
            </w:r>
            <w:r w:rsidRPr="00CA4562">
              <w:rPr>
                <w:rFonts w:ascii="Arial" w:hAnsi="Arial" w:cs="Arial"/>
                <w:sz w:val="16"/>
                <w:szCs w:val="16"/>
                <w:lang w:eastAsia="en-US"/>
              </w:rPr>
              <w:t>саме</w:t>
            </w:r>
            <w:r w:rsidRPr="00CA4562">
              <w:rPr>
                <w:rFonts w:ascii="Arial" w:hAnsi="Arial" w:cs="Arial"/>
                <w:sz w:val="16"/>
                <w:szCs w:val="16"/>
                <w:lang w:val="en-US" w:eastAsia="en-US"/>
              </w:rPr>
              <w:t xml:space="preserve">: </w:t>
            </w:r>
            <w:r w:rsidRPr="00CA4562">
              <w:rPr>
                <w:rFonts w:ascii="Arial" w:hAnsi="Arial" w:cs="Arial"/>
                <w:sz w:val="16"/>
                <w:szCs w:val="16"/>
                <w:lang w:eastAsia="en-US"/>
              </w:rPr>
              <w:t>виправлення</w:t>
            </w:r>
            <w:r w:rsidRPr="00CA4562">
              <w:rPr>
                <w:rFonts w:ascii="Arial" w:hAnsi="Arial" w:cs="Arial"/>
                <w:sz w:val="16"/>
                <w:szCs w:val="16"/>
                <w:lang w:val="en-US" w:eastAsia="en-US"/>
              </w:rPr>
              <w:t xml:space="preserve"> </w:t>
            </w:r>
            <w:r w:rsidRPr="00CA4562">
              <w:rPr>
                <w:rFonts w:ascii="Arial" w:hAnsi="Arial" w:cs="Arial"/>
                <w:sz w:val="16"/>
                <w:szCs w:val="16"/>
                <w:lang w:eastAsia="en-US"/>
              </w:rPr>
              <w:t>граматичної</w:t>
            </w:r>
            <w:r w:rsidRPr="00CA4562">
              <w:rPr>
                <w:rFonts w:ascii="Arial" w:hAnsi="Arial" w:cs="Arial"/>
                <w:sz w:val="16"/>
                <w:szCs w:val="16"/>
                <w:lang w:val="en-US" w:eastAsia="en-US"/>
              </w:rPr>
              <w:t xml:space="preserve"> </w:t>
            </w:r>
            <w:r w:rsidRPr="00CA4562">
              <w:rPr>
                <w:rFonts w:ascii="Arial" w:hAnsi="Arial" w:cs="Arial"/>
                <w:sz w:val="16"/>
                <w:szCs w:val="16"/>
                <w:lang w:eastAsia="en-US"/>
              </w:rPr>
              <w:t>помилки</w:t>
            </w:r>
            <w:r w:rsidRPr="00CA4562">
              <w:rPr>
                <w:rFonts w:ascii="Arial" w:hAnsi="Arial" w:cs="Arial"/>
                <w:sz w:val="16"/>
                <w:szCs w:val="16"/>
                <w:lang w:val="en-US" w:eastAsia="en-US"/>
              </w:rPr>
              <w:t xml:space="preserve"> </w:t>
            </w:r>
            <w:r w:rsidRPr="00CA4562">
              <w:rPr>
                <w:rFonts w:ascii="Arial" w:hAnsi="Arial" w:cs="Arial"/>
                <w:sz w:val="16"/>
                <w:szCs w:val="16"/>
                <w:lang w:eastAsia="en-US"/>
              </w:rPr>
              <w:t>при</w:t>
            </w:r>
            <w:r w:rsidRPr="00CA4562">
              <w:rPr>
                <w:rFonts w:ascii="Arial" w:hAnsi="Arial" w:cs="Arial"/>
                <w:sz w:val="16"/>
                <w:szCs w:val="16"/>
                <w:lang w:val="en-US" w:eastAsia="en-US"/>
              </w:rPr>
              <w:t xml:space="preserve"> </w:t>
            </w:r>
            <w:r w:rsidRPr="00CA4562">
              <w:rPr>
                <w:rFonts w:ascii="Arial" w:hAnsi="Arial" w:cs="Arial"/>
                <w:sz w:val="16"/>
                <w:szCs w:val="16"/>
                <w:lang w:eastAsia="en-US"/>
              </w:rPr>
              <w:t>зазначенні</w:t>
            </w:r>
            <w:r w:rsidRPr="00CA4562">
              <w:rPr>
                <w:rFonts w:ascii="Arial" w:hAnsi="Arial" w:cs="Arial"/>
                <w:sz w:val="16"/>
                <w:szCs w:val="16"/>
                <w:lang w:val="en-US" w:eastAsia="en-US"/>
              </w:rPr>
              <w:t xml:space="preserve"> </w:t>
            </w:r>
            <w:r w:rsidRPr="00CA4562">
              <w:rPr>
                <w:rFonts w:ascii="Arial" w:hAnsi="Arial" w:cs="Arial"/>
                <w:sz w:val="16"/>
                <w:szCs w:val="16"/>
                <w:lang w:eastAsia="en-US"/>
              </w:rPr>
              <w:t>зовнішнього</w:t>
            </w:r>
            <w:r w:rsidRPr="00CA4562">
              <w:rPr>
                <w:rFonts w:ascii="Arial" w:hAnsi="Arial" w:cs="Arial"/>
                <w:sz w:val="16"/>
                <w:szCs w:val="16"/>
                <w:lang w:val="en-US" w:eastAsia="en-US"/>
              </w:rPr>
              <w:t xml:space="preserve"> </w:t>
            </w:r>
            <w:r w:rsidRPr="00CA4562">
              <w:rPr>
                <w:rFonts w:ascii="Arial" w:hAnsi="Arial" w:cs="Arial"/>
                <w:sz w:val="16"/>
                <w:szCs w:val="16"/>
                <w:lang w:eastAsia="en-US"/>
              </w:rPr>
              <w:t>вигляду</w:t>
            </w:r>
            <w:r w:rsidRPr="00CA4562">
              <w:rPr>
                <w:rFonts w:ascii="Arial" w:hAnsi="Arial" w:cs="Arial"/>
                <w:sz w:val="16"/>
                <w:szCs w:val="16"/>
                <w:lang w:val="en-US" w:eastAsia="en-US"/>
              </w:rPr>
              <w:t xml:space="preserve"> (</w:t>
            </w:r>
            <w:r w:rsidRPr="00CA4562">
              <w:rPr>
                <w:rFonts w:ascii="Arial" w:hAnsi="Arial" w:cs="Arial"/>
                <w:sz w:val="16"/>
                <w:szCs w:val="16"/>
                <w:lang w:eastAsia="en-US"/>
              </w:rPr>
              <w:t>замість</w:t>
            </w:r>
            <w:r w:rsidRPr="00CA4562">
              <w:rPr>
                <w:rFonts w:ascii="Arial" w:hAnsi="Arial" w:cs="Arial"/>
                <w:sz w:val="16"/>
                <w:szCs w:val="16"/>
                <w:lang w:val="en-US" w:eastAsia="en-US"/>
              </w:rPr>
              <w:t xml:space="preserve"> </w:t>
            </w:r>
            <w:r w:rsidRPr="00CA4562">
              <w:rPr>
                <w:rFonts w:ascii="Arial" w:hAnsi="Arial" w:cs="Arial"/>
                <w:sz w:val="16"/>
                <w:szCs w:val="16"/>
                <w:lang w:eastAsia="en-US"/>
              </w:rPr>
              <w:t>слова</w:t>
            </w:r>
            <w:r w:rsidRPr="00CA4562">
              <w:rPr>
                <w:rFonts w:ascii="Arial" w:hAnsi="Arial" w:cs="Arial"/>
                <w:sz w:val="16"/>
                <w:szCs w:val="16"/>
                <w:lang w:val="en-US" w:eastAsia="en-US"/>
              </w:rPr>
              <w:t xml:space="preserve"> «debossed» </w:t>
            </w:r>
            <w:r w:rsidRPr="00CA4562">
              <w:rPr>
                <w:rFonts w:ascii="Arial" w:hAnsi="Arial" w:cs="Arial"/>
                <w:sz w:val="16"/>
                <w:szCs w:val="16"/>
                <w:lang w:eastAsia="en-US"/>
              </w:rPr>
              <w:t>було</w:t>
            </w:r>
            <w:r w:rsidRPr="00CA4562">
              <w:rPr>
                <w:rFonts w:ascii="Arial" w:hAnsi="Arial" w:cs="Arial"/>
                <w:sz w:val="16"/>
                <w:szCs w:val="16"/>
                <w:lang w:val="en-US" w:eastAsia="en-US"/>
              </w:rPr>
              <w:t xml:space="preserve"> </w:t>
            </w:r>
            <w:r w:rsidRPr="00CA4562">
              <w:rPr>
                <w:rFonts w:ascii="Arial" w:hAnsi="Arial" w:cs="Arial"/>
                <w:sz w:val="16"/>
                <w:szCs w:val="16"/>
                <w:lang w:eastAsia="en-US"/>
              </w:rPr>
              <w:t>використано</w:t>
            </w:r>
            <w:r w:rsidRPr="00CA4562">
              <w:rPr>
                <w:rFonts w:ascii="Arial" w:hAnsi="Arial" w:cs="Arial"/>
                <w:sz w:val="16"/>
                <w:szCs w:val="16"/>
                <w:lang w:val="en-US" w:eastAsia="en-US"/>
              </w:rPr>
              <w:t xml:space="preserve"> </w:t>
            </w:r>
            <w:r w:rsidRPr="00CA4562">
              <w:rPr>
                <w:rFonts w:ascii="Arial" w:hAnsi="Arial" w:cs="Arial"/>
                <w:sz w:val="16"/>
                <w:szCs w:val="16"/>
                <w:lang w:eastAsia="en-US"/>
              </w:rPr>
              <w:t>слово</w:t>
            </w:r>
            <w:r w:rsidRPr="00CA4562">
              <w:rPr>
                <w:rFonts w:ascii="Arial" w:hAnsi="Arial" w:cs="Arial"/>
                <w:sz w:val="16"/>
                <w:szCs w:val="16"/>
                <w:lang w:val="en-US" w:eastAsia="en-US"/>
              </w:rPr>
              <w:t xml:space="preserve"> «embossed»), </w:t>
            </w:r>
            <w:r w:rsidRPr="00CA4562">
              <w:rPr>
                <w:rFonts w:ascii="Arial" w:hAnsi="Arial" w:cs="Arial"/>
                <w:sz w:val="16"/>
                <w:szCs w:val="16"/>
                <w:lang w:eastAsia="en-US"/>
              </w:rPr>
              <w:t>оскільки</w:t>
            </w:r>
            <w:r w:rsidRPr="00CA4562">
              <w:rPr>
                <w:rFonts w:ascii="Arial" w:hAnsi="Arial" w:cs="Arial"/>
                <w:sz w:val="16"/>
                <w:szCs w:val="16"/>
                <w:lang w:val="en-US" w:eastAsia="en-US"/>
              </w:rPr>
              <w:t xml:space="preserve"> </w:t>
            </w:r>
            <w:r w:rsidRPr="00CA4562">
              <w:rPr>
                <w:rFonts w:ascii="Arial" w:hAnsi="Arial" w:cs="Arial"/>
                <w:sz w:val="16"/>
                <w:szCs w:val="16"/>
                <w:lang w:eastAsia="en-US"/>
              </w:rPr>
              <w:t>заявлене</w:t>
            </w:r>
            <w:r w:rsidRPr="00CA4562">
              <w:rPr>
                <w:rFonts w:ascii="Arial" w:hAnsi="Arial" w:cs="Arial"/>
                <w:sz w:val="16"/>
                <w:szCs w:val="16"/>
                <w:lang w:val="en-US" w:eastAsia="en-US"/>
              </w:rPr>
              <w:t xml:space="preserve"> </w:t>
            </w:r>
            <w:r w:rsidRPr="00CA4562">
              <w:rPr>
                <w:rFonts w:ascii="Arial" w:hAnsi="Arial" w:cs="Arial"/>
                <w:sz w:val="16"/>
                <w:szCs w:val="16"/>
                <w:lang w:eastAsia="en-US"/>
              </w:rPr>
              <w:t>виправлення</w:t>
            </w:r>
            <w:r w:rsidRPr="00CA4562">
              <w:rPr>
                <w:rFonts w:ascii="Arial" w:hAnsi="Arial" w:cs="Arial"/>
                <w:sz w:val="16"/>
                <w:szCs w:val="16"/>
                <w:lang w:val="en-US" w:eastAsia="en-US"/>
              </w:rPr>
              <w:t xml:space="preserve"> </w:t>
            </w:r>
            <w:r w:rsidRPr="00CA4562">
              <w:rPr>
                <w:rFonts w:ascii="Arial" w:hAnsi="Arial" w:cs="Arial"/>
                <w:sz w:val="16"/>
                <w:szCs w:val="16"/>
                <w:lang w:eastAsia="en-US"/>
              </w:rPr>
              <w:t>у</w:t>
            </w:r>
            <w:r w:rsidRPr="00CA4562">
              <w:rPr>
                <w:rFonts w:ascii="Arial" w:hAnsi="Arial" w:cs="Arial"/>
                <w:sz w:val="16"/>
                <w:szCs w:val="16"/>
                <w:lang w:val="en-US" w:eastAsia="en-US"/>
              </w:rPr>
              <w:t xml:space="preserve"> </w:t>
            </w:r>
            <w:r w:rsidRPr="00CA4562">
              <w:rPr>
                <w:rFonts w:ascii="Arial" w:hAnsi="Arial" w:cs="Arial"/>
                <w:sz w:val="16"/>
                <w:szCs w:val="16"/>
                <w:lang w:eastAsia="en-US"/>
              </w:rPr>
              <w:t>матеріалах</w:t>
            </w:r>
            <w:r w:rsidRPr="00CA4562">
              <w:rPr>
                <w:rFonts w:ascii="Arial" w:hAnsi="Arial" w:cs="Arial"/>
                <w:sz w:val="16"/>
                <w:szCs w:val="16"/>
                <w:lang w:val="en-US" w:eastAsia="en-US"/>
              </w:rPr>
              <w:t xml:space="preserve"> </w:t>
            </w:r>
            <w:r w:rsidRPr="00CA4562">
              <w:rPr>
                <w:rFonts w:ascii="Arial" w:hAnsi="Arial" w:cs="Arial"/>
                <w:sz w:val="16"/>
                <w:szCs w:val="16"/>
                <w:lang w:eastAsia="en-US"/>
              </w:rPr>
              <w:t>реєстраційного</w:t>
            </w:r>
            <w:r w:rsidRPr="00CA4562">
              <w:rPr>
                <w:rFonts w:ascii="Arial" w:hAnsi="Arial" w:cs="Arial"/>
                <w:sz w:val="16"/>
                <w:szCs w:val="16"/>
                <w:lang w:val="en-US" w:eastAsia="en-US"/>
              </w:rPr>
              <w:t xml:space="preserve"> </w:t>
            </w:r>
            <w:r w:rsidRPr="00CA4562">
              <w:rPr>
                <w:rFonts w:ascii="Arial" w:hAnsi="Arial" w:cs="Arial"/>
                <w:sz w:val="16"/>
                <w:szCs w:val="16"/>
                <w:lang w:eastAsia="en-US"/>
              </w:rPr>
              <w:t>досьє</w:t>
            </w:r>
            <w:r w:rsidRPr="00CA4562">
              <w:rPr>
                <w:rFonts w:ascii="Arial" w:hAnsi="Arial" w:cs="Arial"/>
                <w:sz w:val="16"/>
                <w:szCs w:val="16"/>
                <w:lang w:val="en-US" w:eastAsia="en-US"/>
              </w:rPr>
              <w:t xml:space="preserve"> </w:t>
            </w:r>
            <w:r w:rsidRPr="00CA4562">
              <w:rPr>
                <w:rFonts w:ascii="Arial" w:hAnsi="Arial" w:cs="Arial"/>
                <w:sz w:val="16"/>
                <w:szCs w:val="16"/>
                <w:lang w:eastAsia="en-US"/>
              </w:rPr>
              <w:t>не</w:t>
            </w:r>
            <w:r w:rsidRPr="00CA4562">
              <w:rPr>
                <w:rFonts w:ascii="Arial" w:hAnsi="Arial" w:cs="Arial"/>
                <w:sz w:val="16"/>
                <w:szCs w:val="16"/>
                <w:lang w:val="en-US" w:eastAsia="en-US"/>
              </w:rPr>
              <w:t xml:space="preserve"> </w:t>
            </w:r>
            <w:r w:rsidRPr="00CA4562">
              <w:rPr>
                <w:rFonts w:ascii="Arial" w:hAnsi="Arial" w:cs="Arial"/>
                <w:sz w:val="16"/>
                <w:szCs w:val="16"/>
                <w:lang w:eastAsia="en-US"/>
              </w:rPr>
              <w:t>відповідає</w:t>
            </w:r>
            <w:r w:rsidRPr="00CA4562">
              <w:rPr>
                <w:rFonts w:ascii="Arial" w:hAnsi="Arial" w:cs="Arial"/>
                <w:sz w:val="16"/>
                <w:szCs w:val="16"/>
                <w:lang w:val="en-US" w:eastAsia="en-US"/>
              </w:rPr>
              <w:t xml:space="preserve"> </w:t>
            </w:r>
            <w:r w:rsidRPr="00CA4562">
              <w:rPr>
                <w:rFonts w:ascii="Arial" w:hAnsi="Arial" w:cs="Arial"/>
                <w:sz w:val="16"/>
                <w:szCs w:val="16"/>
                <w:lang w:eastAsia="en-US"/>
              </w:rPr>
              <w:t>процедурі</w:t>
            </w:r>
            <w:r w:rsidRPr="00CA4562">
              <w:rPr>
                <w:rFonts w:ascii="Arial" w:hAnsi="Arial" w:cs="Arial"/>
                <w:sz w:val="16"/>
                <w:szCs w:val="16"/>
                <w:lang w:val="en-US" w:eastAsia="en-US"/>
              </w:rPr>
              <w:t xml:space="preserve"> – </w:t>
            </w:r>
            <w:r w:rsidRPr="00CA4562">
              <w:rPr>
                <w:rFonts w:ascii="Arial" w:hAnsi="Arial" w:cs="Arial"/>
                <w:sz w:val="16"/>
                <w:szCs w:val="16"/>
                <w:lang w:eastAsia="en-US"/>
              </w:rPr>
              <w:t>технічна</w:t>
            </w:r>
            <w:r w:rsidRPr="00CA4562">
              <w:rPr>
                <w:rFonts w:ascii="Arial" w:hAnsi="Arial" w:cs="Arial"/>
                <w:sz w:val="16"/>
                <w:szCs w:val="16"/>
                <w:lang w:val="en-US" w:eastAsia="en-US"/>
              </w:rPr>
              <w:t xml:space="preserve"> </w:t>
            </w:r>
            <w:r w:rsidRPr="00CA4562">
              <w:rPr>
                <w:rFonts w:ascii="Arial" w:hAnsi="Arial" w:cs="Arial"/>
                <w:sz w:val="16"/>
                <w:szCs w:val="16"/>
                <w:lang w:eastAsia="en-US"/>
              </w:rPr>
              <w:t>помилка</w:t>
            </w:r>
            <w:r w:rsidRPr="00CA4562">
              <w:rPr>
                <w:rFonts w:ascii="Arial" w:hAnsi="Arial" w:cs="Arial"/>
                <w:sz w:val="16"/>
                <w:szCs w:val="16"/>
                <w:lang w:val="en-US" w:eastAsia="en-US"/>
              </w:rPr>
              <w:t xml:space="preserve"> </w:t>
            </w:r>
            <w:r w:rsidRPr="00CA4562">
              <w:rPr>
                <w:rFonts w:ascii="Arial" w:hAnsi="Arial" w:cs="Arial"/>
                <w:sz w:val="16"/>
                <w:szCs w:val="16"/>
                <w:lang w:eastAsia="en-US"/>
              </w:rPr>
              <w:t>згідно</w:t>
            </w:r>
            <w:r w:rsidRPr="00CA4562">
              <w:rPr>
                <w:rFonts w:ascii="Arial" w:hAnsi="Arial" w:cs="Arial"/>
                <w:sz w:val="16"/>
                <w:szCs w:val="16"/>
                <w:lang w:val="en-US" w:eastAsia="en-US"/>
              </w:rPr>
              <w:t xml:space="preserve"> </w:t>
            </w:r>
            <w:r w:rsidRPr="00CA4562">
              <w:rPr>
                <w:rFonts w:ascii="Arial" w:hAnsi="Arial" w:cs="Arial"/>
                <w:sz w:val="16"/>
                <w:szCs w:val="16"/>
                <w:lang w:eastAsia="en-US"/>
              </w:rPr>
              <w:t>пункту</w:t>
            </w:r>
            <w:r w:rsidRPr="00CA4562">
              <w:rPr>
                <w:rFonts w:ascii="Arial" w:hAnsi="Arial" w:cs="Arial"/>
                <w:sz w:val="16"/>
                <w:szCs w:val="16"/>
                <w:lang w:val="en-US" w:eastAsia="en-US"/>
              </w:rPr>
              <w:t xml:space="preserve"> 2.4. </w:t>
            </w:r>
            <w:r w:rsidRPr="00CA4562">
              <w:rPr>
                <w:rFonts w:ascii="Arial" w:hAnsi="Arial" w:cs="Arial"/>
                <w:sz w:val="16"/>
                <w:szCs w:val="16"/>
                <w:lang w:eastAsia="en-US"/>
              </w:rPr>
              <w:t>розділу</w:t>
            </w:r>
            <w:r w:rsidRPr="00CA4562">
              <w:rPr>
                <w:rFonts w:ascii="Arial" w:hAnsi="Arial" w:cs="Arial"/>
                <w:sz w:val="16"/>
                <w:szCs w:val="16"/>
                <w:lang w:val="en-US" w:eastAsia="en-US"/>
              </w:rPr>
              <w:t xml:space="preserve"> VI </w:t>
            </w:r>
            <w:r w:rsidRPr="00CA4562">
              <w:rPr>
                <w:rFonts w:ascii="Arial" w:hAnsi="Arial" w:cs="Arial"/>
                <w:sz w:val="16"/>
                <w:szCs w:val="16"/>
                <w:lang w:eastAsia="en-US"/>
              </w:rPr>
              <w:t>наказу</w:t>
            </w:r>
            <w:r w:rsidRPr="00CA4562">
              <w:rPr>
                <w:rFonts w:ascii="Arial" w:hAnsi="Arial" w:cs="Arial"/>
                <w:sz w:val="16"/>
                <w:szCs w:val="16"/>
                <w:lang w:val="en-US" w:eastAsia="en-US"/>
              </w:rPr>
              <w:t xml:space="preserve"> </w:t>
            </w:r>
            <w:r w:rsidRPr="00CA4562">
              <w:rPr>
                <w:rFonts w:ascii="Arial" w:hAnsi="Arial" w:cs="Arial"/>
                <w:sz w:val="16"/>
                <w:szCs w:val="16"/>
                <w:lang w:eastAsia="en-US"/>
              </w:rPr>
              <w:t>МОЗ</w:t>
            </w:r>
            <w:r w:rsidRPr="00CA4562">
              <w:rPr>
                <w:rFonts w:ascii="Arial" w:hAnsi="Arial" w:cs="Arial"/>
                <w:sz w:val="16"/>
                <w:szCs w:val="16"/>
                <w:lang w:val="en-US" w:eastAsia="en-US"/>
              </w:rPr>
              <w:t xml:space="preserve"> </w:t>
            </w:r>
            <w:r w:rsidRPr="00CA4562">
              <w:rPr>
                <w:rFonts w:ascii="Arial" w:hAnsi="Arial" w:cs="Arial"/>
                <w:sz w:val="16"/>
                <w:szCs w:val="16"/>
                <w:lang w:eastAsia="en-US"/>
              </w:rPr>
              <w:t>від</w:t>
            </w:r>
            <w:r w:rsidRPr="00CA4562">
              <w:rPr>
                <w:rFonts w:ascii="Arial" w:hAnsi="Arial" w:cs="Arial"/>
                <w:sz w:val="16"/>
                <w:szCs w:val="16"/>
                <w:lang w:val="en-US" w:eastAsia="en-US"/>
              </w:rPr>
              <w:t xml:space="preserve"> 26.08.2005 </w:t>
            </w:r>
            <w:r w:rsidRPr="00CA4562">
              <w:rPr>
                <w:rFonts w:ascii="Arial" w:hAnsi="Arial" w:cs="Arial"/>
                <w:sz w:val="16"/>
                <w:szCs w:val="16"/>
                <w:lang w:eastAsia="en-US"/>
              </w:rPr>
              <w:t>року</w:t>
            </w:r>
            <w:r w:rsidRPr="00CA4562">
              <w:rPr>
                <w:rFonts w:ascii="Arial" w:hAnsi="Arial" w:cs="Arial"/>
                <w:sz w:val="16"/>
                <w:szCs w:val="16"/>
                <w:lang w:val="en-US" w:eastAsia="en-US"/>
              </w:rPr>
              <w:t xml:space="preserve"> № 426 (</w:t>
            </w:r>
            <w:r w:rsidRPr="00CA4562">
              <w:rPr>
                <w:rFonts w:ascii="Arial" w:hAnsi="Arial" w:cs="Arial"/>
                <w:sz w:val="16"/>
                <w:szCs w:val="16"/>
                <w:lang w:eastAsia="en-US"/>
              </w:rPr>
              <w:t>у</w:t>
            </w:r>
            <w:r w:rsidRPr="00CA4562">
              <w:rPr>
                <w:rFonts w:ascii="Arial" w:hAnsi="Arial" w:cs="Arial"/>
                <w:sz w:val="16"/>
                <w:szCs w:val="16"/>
                <w:lang w:val="en-US" w:eastAsia="en-US"/>
              </w:rPr>
              <w:t xml:space="preserve"> </w:t>
            </w:r>
            <w:r w:rsidRPr="00CA4562">
              <w:rPr>
                <w:rFonts w:ascii="Arial" w:hAnsi="Arial" w:cs="Arial"/>
                <w:sz w:val="16"/>
                <w:szCs w:val="16"/>
                <w:lang w:eastAsia="en-US"/>
              </w:rPr>
              <w:t>редакції</w:t>
            </w:r>
            <w:r w:rsidRPr="00CA4562">
              <w:rPr>
                <w:rFonts w:ascii="Arial" w:hAnsi="Arial" w:cs="Arial"/>
                <w:sz w:val="16"/>
                <w:szCs w:val="16"/>
                <w:lang w:val="en-US" w:eastAsia="en-US"/>
              </w:rPr>
              <w:t xml:space="preserve"> </w:t>
            </w:r>
            <w:r w:rsidRPr="00CA4562">
              <w:rPr>
                <w:rFonts w:ascii="Arial" w:hAnsi="Arial" w:cs="Arial"/>
                <w:sz w:val="16"/>
                <w:szCs w:val="16"/>
                <w:lang w:eastAsia="en-US"/>
              </w:rPr>
              <w:t>наказу</w:t>
            </w:r>
            <w:r w:rsidRPr="00CA4562">
              <w:rPr>
                <w:rFonts w:ascii="Arial" w:hAnsi="Arial" w:cs="Arial"/>
                <w:sz w:val="16"/>
                <w:szCs w:val="16"/>
                <w:lang w:val="en-US" w:eastAsia="en-US"/>
              </w:rPr>
              <w:t xml:space="preserve"> </w:t>
            </w:r>
            <w:r w:rsidRPr="00CA4562">
              <w:rPr>
                <w:rFonts w:ascii="Arial" w:hAnsi="Arial" w:cs="Arial"/>
                <w:sz w:val="16"/>
                <w:szCs w:val="16"/>
                <w:lang w:eastAsia="en-US"/>
              </w:rPr>
              <w:t>МОЗ</w:t>
            </w:r>
            <w:r w:rsidRPr="00CA4562">
              <w:rPr>
                <w:rFonts w:ascii="Arial" w:hAnsi="Arial" w:cs="Arial"/>
                <w:sz w:val="16"/>
                <w:szCs w:val="16"/>
                <w:lang w:val="en-US" w:eastAsia="en-US"/>
              </w:rPr>
              <w:t xml:space="preserve"> </w:t>
            </w:r>
            <w:r w:rsidRPr="00CA4562">
              <w:rPr>
                <w:rFonts w:ascii="Arial" w:hAnsi="Arial" w:cs="Arial"/>
                <w:sz w:val="16"/>
                <w:szCs w:val="16"/>
                <w:lang w:eastAsia="en-US"/>
              </w:rPr>
              <w:t>від</w:t>
            </w:r>
            <w:r w:rsidRPr="00CA4562">
              <w:rPr>
                <w:rFonts w:ascii="Arial" w:hAnsi="Arial" w:cs="Arial"/>
                <w:sz w:val="16"/>
                <w:szCs w:val="16"/>
                <w:lang w:val="en-US" w:eastAsia="en-US"/>
              </w:rPr>
              <w:t xml:space="preserve"> 23.07.2015 </w:t>
            </w:r>
            <w:r w:rsidRPr="00CA4562">
              <w:rPr>
                <w:rFonts w:ascii="Arial" w:hAnsi="Arial" w:cs="Arial"/>
                <w:sz w:val="16"/>
                <w:szCs w:val="16"/>
                <w:lang w:eastAsia="en-US"/>
              </w:rPr>
              <w:t>року</w:t>
            </w:r>
            <w:r w:rsidRPr="00CA4562">
              <w:rPr>
                <w:rFonts w:ascii="Arial" w:hAnsi="Arial" w:cs="Arial"/>
                <w:sz w:val="16"/>
                <w:szCs w:val="16"/>
                <w:lang w:val="en-US" w:eastAsia="en-US"/>
              </w:rPr>
              <w:t xml:space="preserve"> № 460)</w:t>
            </w:r>
          </w:p>
        </w:tc>
      </w:tr>
    </w:tbl>
    <w:p w:rsidR="00EB25D4" w:rsidRPr="00CA4562" w:rsidRDefault="00EB25D4" w:rsidP="00EB25D4">
      <w:pPr>
        <w:rPr>
          <w:lang w:val="en-US"/>
        </w:rPr>
      </w:pPr>
    </w:p>
    <w:p w:rsidR="00EB25D4" w:rsidRPr="00CA4562" w:rsidRDefault="00EB25D4" w:rsidP="00EB25D4">
      <w:pPr>
        <w:rPr>
          <w:lang w:val="en-US"/>
        </w:rPr>
      </w:pPr>
    </w:p>
    <w:p w:rsidR="00B63007" w:rsidRPr="00CA4562" w:rsidRDefault="00B63007" w:rsidP="00EB25D4">
      <w:pPr>
        <w:rPr>
          <w:lang w:val="en-US"/>
        </w:rPr>
      </w:pPr>
    </w:p>
    <w:tbl>
      <w:tblPr>
        <w:tblW w:w="14843" w:type="dxa"/>
        <w:tblLayout w:type="fixed"/>
        <w:tblLook w:val="04A0" w:firstRow="1" w:lastRow="0" w:firstColumn="1" w:lastColumn="0" w:noHBand="0" w:noVBand="1"/>
      </w:tblPr>
      <w:tblGrid>
        <w:gridCol w:w="7421"/>
        <w:gridCol w:w="7422"/>
      </w:tblGrid>
      <w:tr w:rsidR="00EB25D4" w:rsidRPr="00892F61" w:rsidTr="004843E9">
        <w:tc>
          <w:tcPr>
            <w:tcW w:w="7421" w:type="dxa"/>
            <w:shd w:val="clear" w:color="auto" w:fill="auto"/>
          </w:tcPr>
          <w:p w:rsidR="00EB25D4" w:rsidRPr="00CA4562" w:rsidRDefault="00EB25D4" w:rsidP="004843E9">
            <w:pPr>
              <w:ind w:right="20"/>
              <w:rPr>
                <w:rStyle w:val="cs95e872d01"/>
                <w:sz w:val="28"/>
                <w:szCs w:val="28"/>
              </w:rPr>
            </w:pPr>
            <w:r w:rsidRPr="00CA4562">
              <w:rPr>
                <w:rStyle w:val="cs7864ebcf1"/>
                <w:color w:val="auto"/>
                <w:sz w:val="28"/>
                <w:szCs w:val="28"/>
              </w:rPr>
              <w:t xml:space="preserve">В.о. Генерального директора Директорату </w:t>
            </w:r>
          </w:p>
          <w:p w:rsidR="00EB25D4" w:rsidRPr="00CA4562" w:rsidRDefault="00EB25D4" w:rsidP="004843E9">
            <w:pPr>
              <w:ind w:right="20"/>
              <w:rPr>
                <w:rStyle w:val="cs7864ebcf1"/>
                <w:color w:val="auto"/>
                <w:sz w:val="28"/>
                <w:szCs w:val="28"/>
              </w:rPr>
            </w:pPr>
            <w:r w:rsidRPr="00CA4562">
              <w:rPr>
                <w:rStyle w:val="cs7864ebcf1"/>
                <w:color w:val="auto"/>
                <w:sz w:val="28"/>
                <w:szCs w:val="28"/>
              </w:rPr>
              <w:t>фармацевтичного забезпечення</w:t>
            </w:r>
            <w:r w:rsidRPr="00CA4562">
              <w:rPr>
                <w:rStyle w:val="cs188c92b51"/>
                <w:color w:val="auto"/>
                <w:sz w:val="28"/>
                <w:szCs w:val="28"/>
              </w:rPr>
              <w:t>                                    </w:t>
            </w:r>
          </w:p>
        </w:tc>
        <w:tc>
          <w:tcPr>
            <w:tcW w:w="7422" w:type="dxa"/>
            <w:shd w:val="clear" w:color="auto" w:fill="auto"/>
          </w:tcPr>
          <w:p w:rsidR="00EB25D4" w:rsidRPr="00CA4562" w:rsidRDefault="00EB25D4" w:rsidP="004843E9">
            <w:pPr>
              <w:pStyle w:val="cs95e872d0"/>
              <w:rPr>
                <w:rStyle w:val="cs7864ebcf1"/>
                <w:color w:val="auto"/>
                <w:sz w:val="28"/>
                <w:szCs w:val="28"/>
              </w:rPr>
            </w:pPr>
          </w:p>
          <w:p w:rsidR="00EB25D4" w:rsidRPr="001A31E8" w:rsidRDefault="00EB25D4" w:rsidP="004843E9">
            <w:pPr>
              <w:pStyle w:val="cs95e872d0"/>
              <w:jc w:val="right"/>
              <w:rPr>
                <w:rStyle w:val="cs7864ebcf1"/>
                <w:color w:val="auto"/>
                <w:sz w:val="28"/>
                <w:szCs w:val="28"/>
                <w:lang w:val="uk-UA"/>
              </w:rPr>
            </w:pPr>
            <w:r w:rsidRPr="00CA4562">
              <w:rPr>
                <w:rStyle w:val="cs7864ebcf1"/>
                <w:color w:val="auto"/>
                <w:sz w:val="28"/>
                <w:szCs w:val="28"/>
                <w:lang w:val="uk-UA"/>
              </w:rPr>
              <w:t>Іван ЗАДВОРНИХ</w:t>
            </w:r>
          </w:p>
        </w:tc>
      </w:tr>
    </w:tbl>
    <w:p w:rsidR="00EB25D4" w:rsidRPr="00892F61" w:rsidRDefault="00EB25D4" w:rsidP="00EB25D4">
      <w:pPr>
        <w:tabs>
          <w:tab w:val="left" w:pos="1985"/>
        </w:tabs>
        <w:rPr>
          <w:rFonts w:ascii="Arial" w:hAnsi="Arial" w:cs="Arial"/>
          <w:sz w:val="18"/>
          <w:szCs w:val="18"/>
        </w:rPr>
      </w:pPr>
    </w:p>
    <w:p w:rsidR="00F955CB" w:rsidRDefault="00F955CB" w:rsidP="000D32CE">
      <w:pPr>
        <w:rPr>
          <w:b/>
          <w:sz w:val="28"/>
          <w:szCs w:val="28"/>
          <w:lang w:val="uk-UA"/>
        </w:rPr>
      </w:pPr>
    </w:p>
    <w:sectPr w:rsidR="00F955CB" w:rsidSect="004843E9">
      <w:footerReference w:type="default" r:id="rId17"/>
      <w:pgSz w:w="16838" w:h="11906" w:orient="landscape"/>
      <w:pgMar w:top="709"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3E4" w:rsidRDefault="00E713E4" w:rsidP="00B217C6">
      <w:r>
        <w:separator/>
      </w:r>
    </w:p>
  </w:endnote>
  <w:endnote w:type="continuationSeparator" w:id="0">
    <w:p w:rsidR="00E713E4" w:rsidRDefault="00E713E4"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5"/>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6E7076">
      <w:rPr>
        <w:rStyle w:val="a7"/>
        <w:noProof/>
      </w:rPr>
      <w:t>2</w:t>
    </w:r>
    <w:r>
      <w:rPr>
        <w:rStyle w:val="a7"/>
      </w:rPr>
      <w:fldChar w:fldCharType="end"/>
    </w:r>
  </w:p>
  <w:p w:rsidR="006E7076" w:rsidRDefault="006E70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5"/>
      <w:rPr>
        <w:lang w:val="uk-UA"/>
      </w:rPr>
    </w:pPr>
  </w:p>
  <w:p w:rsidR="006E7076" w:rsidRPr="007F3466" w:rsidRDefault="006E7076">
    <w:pPr>
      <w:pStyle w:val="a5"/>
      <w:rPr>
        <w:lang w:val="uk-UA"/>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3E9" w:rsidRDefault="004843E9">
    <w:pPr>
      <w:pStyle w:val="a5"/>
      <w:jc w:val="center"/>
    </w:pPr>
  </w:p>
  <w:p w:rsidR="004843E9" w:rsidRDefault="004843E9">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3E9" w:rsidRDefault="004843E9">
    <w:pPr>
      <w:pStyle w:val="a5"/>
      <w:jc w:val="center"/>
    </w:pPr>
    <w:r>
      <w:fldChar w:fldCharType="begin"/>
    </w:r>
    <w:r>
      <w:instrText>PAGE   \* MERGEFORMAT</w:instrText>
    </w:r>
    <w:r>
      <w:fldChar w:fldCharType="separate"/>
    </w:r>
    <w:r w:rsidR="00B21316">
      <w:rPr>
        <w:noProof/>
      </w:rPr>
      <w:t>117</w:t>
    </w:r>
    <w:r>
      <w:fldChar w:fldCharType="end"/>
    </w:r>
  </w:p>
  <w:p w:rsidR="004843E9" w:rsidRDefault="004843E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3E4" w:rsidRDefault="00E713E4" w:rsidP="00B217C6">
      <w:r>
        <w:separator/>
      </w:r>
    </w:p>
  </w:footnote>
  <w:footnote w:type="continuationSeparator" w:id="0">
    <w:p w:rsidR="00E713E4" w:rsidRDefault="00E713E4"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6E7076">
      <w:rPr>
        <w:rStyle w:val="a7"/>
        <w:noProof/>
      </w:rPr>
      <w:t>2</w:t>
    </w:r>
    <w:r>
      <w:rPr>
        <w:rStyle w:val="a7"/>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217EB8">
      <w:rPr>
        <w:rStyle w:val="a7"/>
        <w:noProof/>
      </w:rPr>
      <w:t>2</w:t>
    </w:r>
    <w:r>
      <w:rPr>
        <w:rStyle w:val="a7"/>
      </w:rPr>
      <w:fldChar w:fldCharType="end"/>
    </w:r>
  </w:p>
  <w:p w:rsidR="006E7076" w:rsidRDefault="006E707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5CB" w:rsidRPr="00C865D1" w:rsidRDefault="00F955CB" w:rsidP="004843E9">
    <w:pPr>
      <w:pStyle w:val="a3"/>
      <w:tabs>
        <w:tab w:val="center" w:pos="7568"/>
        <w:tab w:val="left" w:pos="11964"/>
      </w:tabs>
    </w:pPr>
    <w:r>
      <w:tab/>
    </w:r>
    <w:r>
      <w:tab/>
    </w:r>
    <w:r>
      <w:fldChar w:fldCharType="begin"/>
    </w:r>
    <w:r>
      <w:instrText>PAGE   \* MERGEFORMAT</w:instrText>
    </w:r>
    <w:r>
      <w:fldChar w:fldCharType="separate"/>
    </w:r>
    <w:r w:rsidR="00CA4562">
      <w:rPr>
        <w:noProof/>
      </w:rPr>
      <w:t>3</w:t>
    </w:r>
    <w:r>
      <w:fldChar w:fldCharType="end"/>
    </w:r>
    <w:r>
      <w:t xml:space="preserve">                                                     </w:t>
    </w:r>
  </w:p>
  <w:p w:rsidR="00F955CB" w:rsidRDefault="00F955CB">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3E9" w:rsidRDefault="004843E9" w:rsidP="004843E9">
    <w:pPr>
      <w:pStyle w:val="a3"/>
      <w:tabs>
        <w:tab w:val="center" w:pos="7313"/>
        <w:tab w:val="left" w:pos="11916"/>
      </w:tabs>
    </w:pPr>
    <w:r>
      <w:tab/>
    </w:r>
    <w:r>
      <w:tab/>
    </w:r>
    <w:r>
      <w:fldChar w:fldCharType="begin"/>
    </w:r>
    <w:r>
      <w:instrText>PAGE   \* MERGEFORMAT</w:instrText>
    </w:r>
    <w:r>
      <w:fldChar w:fldCharType="separate"/>
    </w:r>
    <w:r w:rsidR="00CA4562">
      <w:rPr>
        <w:noProof/>
      </w:rPr>
      <w:t>16</w:t>
    </w:r>
    <w:r>
      <w:fldChar w:fldCharType="end"/>
    </w:r>
  </w:p>
  <w:p w:rsidR="004843E9" w:rsidRDefault="004843E9" w:rsidP="004843E9">
    <w:pPr>
      <w:pStyle w:val="a3"/>
      <w:tabs>
        <w:tab w:val="center" w:pos="7313"/>
        <w:tab w:val="left" w:pos="11916"/>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3E9" w:rsidRDefault="004843E9" w:rsidP="004843E9">
    <w:pPr>
      <w:pStyle w:val="a3"/>
      <w:tabs>
        <w:tab w:val="center" w:pos="7313"/>
        <w:tab w:val="left" w:pos="11208"/>
      </w:tabs>
    </w:pPr>
    <w:r>
      <w:tab/>
    </w:r>
    <w:r>
      <w:tab/>
    </w:r>
    <w:r>
      <w:fldChar w:fldCharType="begin"/>
    </w:r>
    <w:r>
      <w:instrText>PAGE   \* MERGEFORMAT</w:instrText>
    </w:r>
    <w:r>
      <w:fldChar w:fldCharType="separate"/>
    </w:r>
    <w:r w:rsidR="00CA4562">
      <w:rPr>
        <w:noProof/>
      </w:rPr>
      <w:t>49</w:t>
    </w:r>
    <w:r>
      <w:fldChar w:fldCharType="end"/>
    </w:r>
  </w:p>
  <w:p w:rsidR="009355EC" w:rsidRDefault="009355EC" w:rsidP="004843E9">
    <w:pPr>
      <w:pStyle w:val="a3"/>
      <w:tabs>
        <w:tab w:val="center" w:pos="7313"/>
        <w:tab w:val="left" w:pos="1120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31DD"/>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690465"/>
    <w:multiLevelType w:val="multilevel"/>
    <w:tmpl w:val="8794C23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467554"/>
    <w:multiLevelType w:val="multilevel"/>
    <w:tmpl w:val="D41245DA"/>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E46A8B"/>
    <w:multiLevelType w:val="multilevel"/>
    <w:tmpl w:val="445A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F385E"/>
    <w:multiLevelType w:val="hybridMultilevel"/>
    <w:tmpl w:val="7C16D4EA"/>
    <w:lvl w:ilvl="0" w:tplc="1004BE16">
      <w:start w:val="1"/>
      <w:numFmt w:val="decimal"/>
      <w:lvlText w:val="%1."/>
      <w:lvlJc w:val="right"/>
      <w:pPr>
        <w:ind w:left="7020" w:hanging="360"/>
      </w:pPr>
      <w:rPr>
        <w:rFonts w:hint="default"/>
      </w:rPr>
    </w:lvl>
    <w:lvl w:ilvl="1" w:tplc="04220019" w:tentative="1">
      <w:start w:val="1"/>
      <w:numFmt w:val="lowerLetter"/>
      <w:lvlText w:val="%2."/>
      <w:lvlJc w:val="left"/>
      <w:pPr>
        <w:ind w:left="7740" w:hanging="360"/>
      </w:pPr>
    </w:lvl>
    <w:lvl w:ilvl="2" w:tplc="0422001B" w:tentative="1">
      <w:start w:val="1"/>
      <w:numFmt w:val="lowerRoman"/>
      <w:lvlText w:val="%3."/>
      <w:lvlJc w:val="right"/>
      <w:pPr>
        <w:ind w:left="8460" w:hanging="180"/>
      </w:pPr>
    </w:lvl>
    <w:lvl w:ilvl="3" w:tplc="0422000F" w:tentative="1">
      <w:start w:val="1"/>
      <w:numFmt w:val="decimal"/>
      <w:lvlText w:val="%4."/>
      <w:lvlJc w:val="left"/>
      <w:pPr>
        <w:ind w:left="9180" w:hanging="360"/>
      </w:pPr>
    </w:lvl>
    <w:lvl w:ilvl="4" w:tplc="04220019" w:tentative="1">
      <w:start w:val="1"/>
      <w:numFmt w:val="lowerLetter"/>
      <w:lvlText w:val="%5."/>
      <w:lvlJc w:val="left"/>
      <w:pPr>
        <w:ind w:left="9900" w:hanging="360"/>
      </w:pPr>
    </w:lvl>
    <w:lvl w:ilvl="5" w:tplc="0422001B" w:tentative="1">
      <w:start w:val="1"/>
      <w:numFmt w:val="lowerRoman"/>
      <w:lvlText w:val="%6."/>
      <w:lvlJc w:val="right"/>
      <w:pPr>
        <w:ind w:left="10620" w:hanging="180"/>
      </w:pPr>
    </w:lvl>
    <w:lvl w:ilvl="6" w:tplc="0422000F" w:tentative="1">
      <w:start w:val="1"/>
      <w:numFmt w:val="decimal"/>
      <w:lvlText w:val="%7."/>
      <w:lvlJc w:val="left"/>
      <w:pPr>
        <w:ind w:left="11340" w:hanging="360"/>
      </w:pPr>
    </w:lvl>
    <w:lvl w:ilvl="7" w:tplc="04220019" w:tentative="1">
      <w:start w:val="1"/>
      <w:numFmt w:val="lowerLetter"/>
      <w:lvlText w:val="%8."/>
      <w:lvlJc w:val="left"/>
      <w:pPr>
        <w:ind w:left="12060" w:hanging="360"/>
      </w:pPr>
    </w:lvl>
    <w:lvl w:ilvl="8" w:tplc="0422001B" w:tentative="1">
      <w:start w:val="1"/>
      <w:numFmt w:val="lowerRoman"/>
      <w:lvlText w:val="%9."/>
      <w:lvlJc w:val="right"/>
      <w:pPr>
        <w:ind w:left="12780" w:hanging="180"/>
      </w:pPr>
    </w:lvl>
  </w:abstractNum>
  <w:abstractNum w:abstractNumId="5" w15:restartNumberingAfterBreak="0">
    <w:nsid w:val="11DB27B4"/>
    <w:multiLevelType w:val="multilevel"/>
    <w:tmpl w:val="D5583C32"/>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5E407DE"/>
    <w:multiLevelType w:val="multilevel"/>
    <w:tmpl w:val="032E5518"/>
    <w:lvl w:ilvl="0">
      <w:start w:val="1"/>
      <w:numFmt w:val="decimal"/>
      <w:lvlText w:val="%1."/>
      <w:lvlJc w:val="center"/>
      <w:pPr>
        <w:ind w:left="0" w:firstLine="288"/>
      </w:pPr>
      <w:rPr>
        <w:rFonts w:hint="default"/>
        <w:b/>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62F389B"/>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B5F3F73"/>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CC84FFF"/>
    <w:multiLevelType w:val="hybridMultilevel"/>
    <w:tmpl w:val="832E244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0" w15:restartNumberingAfterBreak="0">
    <w:nsid w:val="1E15462A"/>
    <w:multiLevelType w:val="multilevel"/>
    <w:tmpl w:val="172437B8"/>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EA30C81"/>
    <w:multiLevelType w:val="hybridMultilevel"/>
    <w:tmpl w:val="7D9640B6"/>
    <w:lvl w:ilvl="0" w:tplc="1B26094C">
      <w:start w:val="1"/>
      <w:numFmt w:val="bullet"/>
      <w:lvlText w:val=""/>
      <w:lvlJc w:val="left"/>
      <w:pPr>
        <w:tabs>
          <w:tab w:val="num" w:pos="0"/>
        </w:tabs>
        <w:ind w:left="0" w:firstLine="0"/>
      </w:pPr>
      <w:rPr>
        <w:rFonts w:ascii="Symbol" w:hAnsi="Symbol" w:hint="default"/>
        <w:lang w:val="ru-RU"/>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D63E5E"/>
    <w:multiLevelType w:val="multilevel"/>
    <w:tmpl w:val="DD467A6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6835A9"/>
    <w:multiLevelType w:val="hybridMultilevel"/>
    <w:tmpl w:val="8A127CE2"/>
    <w:lvl w:ilvl="0" w:tplc="0422000F">
      <w:start w:val="1"/>
      <w:numFmt w:val="decimal"/>
      <w:lvlText w:val="%1."/>
      <w:lvlJc w:val="left"/>
      <w:pPr>
        <w:ind w:left="22125" w:hanging="360"/>
      </w:pPr>
    </w:lvl>
    <w:lvl w:ilvl="1" w:tplc="04220019" w:tentative="1">
      <w:start w:val="1"/>
      <w:numFmt w:val="lowerLetter"/>
      <w:lvlText w:val="%2."/>
      <w:lvlJc w:val="left"/>
      <w:pPr>
        <w:ind w:left="22845" w:hanging="360"/>
      </w:pPr>
    </w:lvl>
    <w:lvl w:ilvl="2" w:tplc="0422001B" w:tentative="1">
      <w:start w:val="1"/>
      <w:numFmt w:val="lowerRoman"/>
      <w:lvlText w:val="%3."/>
      <w:lvlJc w:val="right"/>
      <w:pPr>
        <w:ind w:left="23565" w:hanging="180"/>
      </w:pPr>
    </w:lvl>
    <w:lvl w:ilvl="3" w:tplc="0422000F" w:tentative="1">
      <w:start w:val="1"/>
      <w:numFmt w:val="decimal"/>
      <w:lvlText w:val="%4."/>
      <w:lvlJc w:val="left"/>
      <w:pPr>
        <w:ind w:left="24285" w:hanging="360"/>
      </w:pPr>
    </w:lvl>
    <w:lvl w:ilvl="4" w:tplc="04220019" w:tentative="1">
      <w:start w:val="1"/>
      <w:numFmt w:val="lowerLetter"/>
      <w:lvlText w:val="%5."/>
      <w:lvlJc w:val="left"/>
      <w:pPr>
        <w:ind w:left="25005" w:hanging="360"/>
      </w:pPr>
    </w:lvl>
    <w:lvl w:ilvl="5" w:tplc="0422001B" w:tentative="1">
      <w:start w:val="1"/>
      <w:numFmt w:val="lowerRoman"/>
      <w:lvlText w:val="%6."/>
      <w:lvlJc w:val="right"/>
      <w:pPr>
        <w:ind w:left="25725" w:hanging="180"/>
      </w:pPr>
    </w:lvl>
    <w:lvl w:ilvl="6" w:tplc="0422000F" w:tentative="1">
      <w:start w:val="1"/>
      <w:numFmt w:val="decimal"/>
      <w:lvlText w:val="%7."/>
      <w:lvlJc w:val="left"/>
      <w:pPr>
        <w:ind w:left="26445" w:hanging="360"/>
      </w:pPr>
    </w:lvl>
    <w:lvl w:ilvl="7" w:tplc="04220019" w:tentative="1">
      <w:start w:val="1"/>
      <w:numFmt w:val="lowerLetter"/>
      <w:lvlText w:val="%8."/>
      <w:lvlJc w:val="left"/>
      <w:pPr>
        <w:ind w:left="27165" w:hanging="360"/>
      </w:pPr>
    </w:lvl>
    <w:lvl w:ilvl="8" w:tplc="0422001B" w:tentative="1">
      <w:start w:val="1"/>
      <w:numFmt w:val="lowerRoman"/>
      <w:lvlText w:val="%9."/>
      <w:lvlJc w:val="right"/>
      <w:pPr>
        <w:ind w:left="27885" w:hanging="180"/>
      </w:pPr>
    </w:lvl>
  </w:abstractNum>
  <w:abstractNum w:abstractNumId="14" w15:restartNumberingAfterBreak="0">
    <w:nsid w:val="262A5DE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6B348FC"/>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BC27CCD"/>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EF8285C"/>
    <w:multiLevelType w:val="multilevel"/>
    <w:tmpl w:val="3056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AA210A"/>
    <w:multiLevelType w:val="hybridMultilevel"/>
    <w:tmpl w:val="FC029652"/>
    <w:lvl w:ilvl="0" w:tplc="4BB26CA2">
      <w:start w:val="1"/>
      <w:numFmt w:val="decimal"/>
      <w:lvlText w:val="%1."/>
      <w:lvlJc w:val="center"/>
      <w:pPr>
        <w:tabs>
          <w:tab w:val="num" w:pos="360"/>
        </w:tabs>
        <w:ind w:left="360" w:hanging="360"/>
      </w:pPr>
      <w:rPr>
        <w:rFonts w:hint="default"/>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0" w15:restartNumberingAfterBreak="0">
    <w:nsid w:val="33E10A29"/>
    <w:multiLevelType w:val="multilevel"/>
    <w:tmpl w:val="E132FD8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D617076"/>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EEE489B"/>
    <w:multiLevelType w:val="hybridMultilevel"/>
    <w:tmpl w:val="FFFFFFFF"/>
    <w:lvl w:ilvl="0" w:tplc="09BED04D">
      <w:start w:val="1"/>
      <w:numFmt w:val="bullet"/>
      <w:lvlText w:val="·"/>
      <w:lvlJc w:val="left"/>
      <w:pPr>
        <w:ind w:left="720" w:hanging="360"/>
      </w:pPr>
      <w:rPr>
        <w:rFonts w:ascii="Symbol" w:hAnsi="Symbol" w:cs="Symbol"/>
        <w:b/>
        <w:bCs/>
        <w:color w:val="000000"/>
        <w:sz w:val="18"/>
        <w:szCs w:val="18"/>
      </w:rPr>
    </w:lvl>
    <w:lvl w:ilvl="1" w:tplc="2ECBCB75">
      <w:start w:val="1"/>
      <w:numFmt w:val="bullet"/>
      <w:lvlText w:val="o"/>
      <w:lvlJc w:val="left"/>
      <w:pPr>
        <w:ind w:left="1440" w:hanging="360"/>
      </w:pPr>
      <w:rPr>
        <w:rFonts w:ascii="Symbol" w:hAnsi="Symbol" w:cs="Symbol"/>
        <w:b/>
        <w:bCs/>
        <w:color w:val="000000"/>
        <w:sz w:val="18"/>
        <w:szCs w:val="18"/>
      </w:rPr>
    </w:lvl>
    <w:lvl w:ilvl="2" w:tplc="09BED04D">
      <w:start w:val="1"/>
      <w:numFmt w:val="bullet"/>
      <w:lvlText w:val="·"/>
      <w:lvlJc w:val="left"/>
      <w:pPr>
        <w:ind w:left="2160" w:hanging="360"/>
      </w:pPr>
      <w:rPr>
        <w:rFonts w:ascii="Symbol" w:hAnsi="Symbol" w:cs="Symbol"/>
        <w:b/>
        <w:bCs/>
        <w:color w:val="000000"/>
        <w:sz w:val="18"/>
        <w:szCs w:val="18"/>
      </w:rPr>
    </w:lvl>
    <w:lvl w:ilvl="3" w:tplc="2ECBCB75">
      <w:start w:val="1"/>
      <w:numFmt w:val="bullet"/>
      <w:lvlText w:val="o"/>
      <w:lvlJc w:val="left"/>
      <w:pPr>
        <w:ind w:left="2880" w:hanging="360"/>
      </w:pPr>
      <w:rPr>
        <w:rFonts w:ascii="Symbol" w:hAnsi="Symbol" w:cs="Symbol"/>
        <w:b/>
        <w:bCs/>
        <w:color w:val="000000"/>
        <w:sz w:val="18"/>
        <w:szCs w:val="18"/>
      </w:rPr>
    </w:lvl>
    <w:lvl w:ilvl="4" w:tplc="09BED04D">
      <w:start w:val="1"/>
      <w:numFmt w:val="bullet"/>
      <w:lvlText w:val="·"/>
      <w:lvlJc w:val="left"/>
      <w:pPr>
        <w:ind w:left="3600" w:hanging="360"/>
      </w:pPr>
      <w:rPr>
        <w:rFonts w:ascii="Symbol" w:hAnsi="Symbol" w:cs="Symbol"/>
        <w:b/>
        <w:bCs/>
        <w:color w:val="000000"/>
        <w:sz w:val="18"/>
        <w:szCs w:val="18"/>
      </w:rPr>
    </w:lvl>
    <w:lvl w:ilvl="5" w:tplc="2ECBCB75">
      <w:start w:val="1"/>
      <w:numFmt w:val="bullet"/>
      <w:lvlText w:val="o"/>
      <w:lvlJc w:val="left"/>
      <w:pPr>
        <w:ind w:left="4320" w:hanging="360"/>
      </w:pPr>
      <w:rPr>
        <w:rFonts w:ascii="Symbol" w:hAnsi="Symbol" w:cs="Symbol"/>
        <w:b/>
        <w:bCs/>
        <w:color w:val="000000"/>
        <w:sz w:val="18"/>
        <w:szCs w:val="18"/>
      </w:rPr>
    </w:lvl>
    <w:lvl w:ilvl="6" w:tplc="09BED04D">
      <w:start w:val="1"/>
      <w:numFmt w:val="bullet"/>
      <w:lvlText w:val="·"/>
      <w:lvlJc w:val="left"/>
      <w:pPr>
        <w:ind w:left="5040" w:hanging="360"/>
      </w:pPr>
      <w:rPr>
        <w:rFonts w:ascii="Symbol" w:hAnsi="Symbol" w:cs="Symbol"/>
        <w:b/>
        <w:bCs/>
        <w:color w:val="000000"/>
        <w:sz w:val="18"/>
        <w:szCs w:val="18"/>
      </w:rPr>
    </w:lvl>
    <w:lvl w:ilvl="7" w:tplc="2ECBCB75">
      <w:start w:val="1"/>
      <w:numFmt w:val="bullet"/>
      <w:lvlText w:val="o"/>
      <w:lvlJc w:val="left"/>
      <w:pPr>
        <w:ind w:left="5760" w:hanging="360"/>
      </w:pPr>
      <w:rPr>
        <w:rFonts w:ascii="Symbol" w:hAnsi="Symbol" w:cs="Symbol"/>
        <w:b/>
        <w:bCs/>
        <w:color w:val="000000"/>
        <w:sz w:val="18"/>
        <w:szCs w:val="18"/>
      </w:rPr>
    </w:lvl>
    <w:lvl w:ilvl="8" w:tplc="09BED04D">
      <w:start w:val="1"/>
      <w:numFmt w:val="bullet"/>
      <w:lvlText w:val="·"/>
      <w:lvlJc w:val="left"/>
      <w:pPr>
        <w:ind w:left="6480" w:hanging="360"/>
      </w:pPr>
      <w:rPr>
        <w:rFonts w:ascii="Symbol" w:hAnsi="Symbol" w:cs="Symbol"/>
        <w:b/>
        <w:bCs/>
        <w:color w:val="000000"/>
        <w:sz w:val="18"/>
        <w:szCs w:val="18"/>
      </w:rPr>
    </w:lvl>
  </w:abstractNum>
  <w:abstractNum w:abstractNumId="23" w15:restartNumberingAfterBreak="0">
    <w:nsid w:val="40316A4D"/>
    <w:multiLevelType w:val="hybridMultilevel"/>
    <w:tmpl w:val="BDEA3A5A"/>
    <w:lvl w:ilvl="0" w:tplc="31F877A6">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4" w15:restartNumberingAfterBreak="0">
    <w:nsid w:val="40647BFA"/>
    <w:multiLevelType w:val="multilevel"/>
    <w:tmpl w:val="CFA809F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C5B0BAD"/>
    <w:multiLevelType w:val="hybridMultilevel"/>
    <w:tmpl w:val="274C12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27" w15:restartNumberingAfterBreak="0">
    <w:nsid w:val="4CFF05F7"/>
    <w:multiLevelType w:val="multilevel"/>
    <w:tmpl w:val="E4702E40"/>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D7248E0"/>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37E5BBE"/>
    <w:multiLevelType w:val="multilevel"/>
    <w:tmpl w:val="876A852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AF9457D"/>
    <w:multiLevelType w:val="multilevel"/>
    <w:tmpl w:val="186C456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B4E0F7E"/>
    <w:multiLevelType w:val="multilevel"/>
    <w:tmpl w:val="F0C087A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3" w15:restartNumberingAfterBreak="0">
    <w:nsid w:val="5CC378F6"/>
    <w:multiLevelType w:val="multilevel"/>
    <w:tmpl w:val="A05A257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2F23B30"/>
    <w:multiLevelType w:val="hybridMultilevel"/>
    <w:tmpl w:val="AF04E352"/>
    <w:lvl w:ilvl="0" w:tplc="1EB2FAE0">
      <w:start w:val="1"/>
      <w:numFmt w:val="decimal"/>
      <w:lvlText w:val="%1."/>
      <w:lvlJc w:val="righ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1C61D7"/>
    <w:multiLevelType w:val="hybridMultilevel"/>
    <w:tmpl w:val="A776F51C"/>
    <w:lvl w:ilvl="0" w:tplc="3246F7EC">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6" w15:restartNumberingAfterBreak="0">
    <w:nsid w:val="68001844"/>
    <w:multiLevelType w:val="hybridMultilevel"/>
    <w:tmpl w:val="B6B6D2C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027984"/>
    <w:multiLevelType w:val="hybridMultilevel"/>
    <w:tmpl w:val="062AE6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8" w15:restartNumberingAfterBreak="0">
    <w:nsid w:val="72AD2BA3"/>
    <w:multiLevelType w:val="hybridMultilevel"/>
    <w:tmpl w:val="832E244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39" w15:restartNumberingAfterBreak="0">
    <w:nsid w:val="738575A4"/>
    <w:multiLevelType w:val="hybridMultilevel"/>
    <w:tmpl w:val="832E244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40" w15:restartNumberingAfterBreak="0">
    <w:nsid w:val="79697CE7"/>
    <w:multiLevelType w:val="hybridMultilevel"/>
    <w:tmpl w:val="CFDE2372"/>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1" w15:restartNumberingAfterBreak="0">
    <w:nsid w:val="7C995D6A"/>
    <w:multiLevelType w:val="multilevel"/>
    <w:tmpl w:val="D458AE72"/>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32"/>
  </w:num>
  <w:num w:numId="3">
    <w:abstractNumId w:val="25"/>
  </w:num>
  <w:num w:numId="4">
    <w:abstractNumId w:val="5"/>
  </w:num>
  <w:num w:numId="5">
    <w:abstractNumId w:val="15"/>
  </w:num>
  <w:num w:numId="6">
    <w:abstractNumId w:val="20"/>
  </w:num>
  <w:num w:numId="7">
    <w:abstractNumId w:val="3"/>
  </w:num>
  <w:num w:numId="8">
    <w:abstractNumId w:val="40"/>
  </w:num>
  <w:num w:numId="9">
    <w:abstractNumId w:val="19"/>
  </w:num>
  <w:num w:numId="10">
    <w:abstractNumId w:val="10"/>
  </w:num>
  <w:num w:numId="11">
    <w:abstractNumId w:val="26"/>
  </w:num>
  <w:num w:numId="12">
    <w:abstractNumId w:val="36"/>
  </w:num>
  <w:num w:numId="13">
    <w:abstractNumId w:val="11"/>
  </w:num>
  <w:num w:numId="14">
    <w:abstractNumId w:val="18"/>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3"/>
  </w:num>
  <w:num w:numId="20">
    <w:abstractNumId w:val="37"/>
  </w:num>
  <w:num w:numId="21">
    <w:abstractNumId w:val="4"/>
  </w:num>
  <w:num w:numId="22">
    <w:abstractNumId w:val="2"/>
  </w:num>
  <w:num w:numId="23">
    <w:abstractNumId w:val="6"/>
  </w:num>
  <w:num w:numId="24">
    <w:abstractNumId w:val="23"/>
  </w:num>
  <w:num w:numId="25">
    <w:abstractNumId w:val="35"/>
  </w:num>
  <w:num w:numId="26">
    <w:abstractNumId w:val="33"/>
  </w:num>
  <w:num w:numId="27">
    <w:abstractNumId w:val="30"/>
  </w:num>
  <w:num w:numId="28">
    <w:abstractNumId w:val="41"/>
  </w:num>
  <w:num w:numId="29">
    <w:abstractNumId w:val="29"/>
  </w:num>
  <w:num w:numId="30">
    <w:abstractNumId w:val="1"/>
  </w:num>
  <w:num w:numId="31">
    <w:abstractNumId w:val="31"/>
  </w:num>
  <w:num w:numId="32">
    <w:abstractNumId w:val="24"/>
  </w:num>
  <w:num w:numId="33">
    <w:abstractNumId w:val="22"/>
  </w:num>
  <w:num w:numId="34">
    <w:abstractNumId w:val="27"/>
  </w:num>
  <w:num w:numId="35">
    <w:abstractNumId w:val="9"/>
  </w:num>
  <w:num w:numId="36">
    <w:abstractNumId w:val="39"/>
  </w:num>
  <w:num w:numId="37">
    <w:abstractNumId w:val="21"/>
  </w:num>
  <w:num w:numId="38">
    <w:abstractNumId w:val="17"/>
  </w:num>
  <w:num w:numId="39">
    <w:abstractNumId w:val="14"/>
  </w:num>
  <w:num w:numId="40">
    <w:abstractNumId w:val="28"/>
  </w:num>
  <w:num w:numId="41">
    <w:abstractNumId w:val="0"/>
  </w:num>
  <w:num w:numId="42">
    <w:abstractNumId w:val="8"/>
  </w:num>
  <w:num w:numId="43">
    <w:abstractNumId w:val="7"/>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206C6"/>
    <w:rsid w:val="0002206E"/>
    <w:rsid w:val="00022179"/>
    <w:rsid w:val="00023AAE"/>
    <w:rsid w:val="00024852"/>
    <w:rsid w:val="0002504C"/>
    <w:rsid w:val="00026A26"/>
    <w:rsid w:val="00026FDF"/>
    <w:rsid w:val="00030183"/>
    <w:rsid w:val="00031EC6"/>
    <w:rsid w:val="00031F12"/>
    <w:rsid w:val="000340E4"/>
    <w:rsid w:val="00034CC9"/>
    <w:rsid w:val="000418D4"/>
    <w:rsid w:val="00041C63"/>
    <w:rsid w:val="00042FC2"/>
    <w:rsid w:val="0004787A"/>
    <w:rsid w:val="00051171"/>
    <w:rsid w:val="00051C9D"/>
    <w:rsid w:val="00054C00"/>
    <w:rsid w:val="000568BB"/>
    <w:rsid w:val="00057542"/>
    <w:rsid w:val="00057F3F"/>
    <w:rsid w:val="00061635"/>
    <w:rsid w:val="000633A9"/>
    <w:rsid w:val="0006598E"/>
    <w:rsid w:val="00071EBE"/>
    <w:rsid w:val="0007456D"/>
    <w:rsid w:val="000843E5"/>
    <w:rsid w:val="00087102"/>
    <w:rsid w:val="00087BA5"/>
    <w:rsid w:val="00087C1F"/>
    <w:rsid w:val="000904D3"/>
    <w:rsid w:val="00091DD7"/>
    <w:rsid w:val="0009260D"/>
    <w:rsid w:val="00093A91"/>
    <w:rsid w:val="000A23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2CE"/>
    <w:rsid w:val="000D3A0C"/>
    <w:rsid w:val="000D7CEC"/>
    <w:rsid w:val="000E5609"/>
    <w:rsid w:val="000F3B3A"/>
    <w:rsid w:val="001025AD"/>
    <w:rsid w:val="0011081E"/>
    <w:rsid w:val="001133FD"/>
    <w:rsid w:val="001177B5"/>
    <w:rsid w:val="00121807"/>
    <w:rsid w:val="001244D5"/>
    <w:rsid w:val="00126378"/>
    <w:rsid w:val="001263C3"/>
    <w:rsid w:val="00126472"/>
    <w:rsid w:val="00127FFC"/>
    <w:rsid w:val="00130FC6"/>
    <w:rsid w:val="0013129D"/>
    <w:rsid w:val="001328BB"/>
    <w:rsid w:val="00132F63"/>
    <w:rsid w:val="0013571C"/>
    <w:rsid w:val="0014077B"/>
    <w:rsid w:val="00141228"/>
    <w:rsid w:val="001426B5"/>
    <w:rsid w:val="00143055"/>
    <w:rsid w:val="00144F5C"/>
    <w:rsid w:val="00145555"/>
    <w:rsid w:val="00146785"/>
    <w:rsid w:val="00150A57"/>
    <w:rsid w:val="00152053"/>
    <w:rsid w:val="00156191"/>
    <w:rsid w:val="00156AD7"/>
    <w:rsid w:val="00156C72"/>
    <w:rsid w:val="00161111"/>
    <w:rsid w:val="00162C24"/>
    <w:rsid w:val="00163210"/>
    <w:rsid w:val="00163AB8"/>
    <w:rsid w:val="00163DE2"/>
    <w:rsid w:val="0016518D"/>
    <w:rsid w:val="00172039"/>
    <w:rsid w:val="00173968"/>
    <w:rsid w:val="00174C59"/>
    <w:rsid w:val="0018152B"/>
    <w:rsid w:val="001825E7"/>
    <w:rsid w:val="00183AB6"/>
    <w:rsid w:val="0018449E"/>
    <w:rsid w:val="00192786"/>
    <w:rsid w:val="00196818"/>
    <w:rsid w:val="00197511"/>
    <w:rsid w:val="001A2F32"/>
    <w:rsid w:val="001A488A"/>
    <w:rsid w:val="001A4A80"/>
    <w:rsid w:val="001A5D99"/>
    <w:rsid w:val="001A70FE"/>
    <w:rsid w:val="001A7BE4"/>
    <w:rsid w:val="001B297D"/>
    <w:rsid w:val="001B6FEE"/>
    <w:rsid w:val="001B73F1"/>
    <w:rsid w:val="001C04E7"/>
    <w:rsid w:val="001C15B1"/>
    <w:rsid w:val="001C1DFE"/>
    <w:rsid w:val="001C3321"/>
    <w:rsid w:val="001C6663"/>
    <w:rsid w:val="001C6B38"/>
    <w:rsid w:val="001D0CD3"/>
    <w:rsid w:val="001D3C5D"/>
    <w:rsid w:val="001D546A"/>
    <w:rsid w:val="001E316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17EB8"/>
    <w:rsid w:val="002209E6"/>
    <w:rsid w:val="002214FF"/>
    <w:rsid w:val="0022203B"/>
    <w:rsid w:val="002252BE"/>
    <w:rsid w:val="002266DA"/>
    <w:rsid w:val="00234ACF"/>
    <w:rsid w:val="0023639F"/>
    <w:rsid w:val="002373E7"/>
    <w:rsid w:val="0024559C"/>
    <w:rsid w:val="0024586C"/>
    <w:rsid w:val="00247020"/>
    <w:rsid w:val="00251031"/>
    <w:rsid w:val="00251C7A"/>
    <w:rsid w:val="002526A8"/>
    <w:rsid w:val="00256FA1"/>
    <w:rsid w:val="002572AE"/>
    <w:rsid w:val="0025784A"/>
    <w:rsid w:val="00260DCE"/>
    <w:rsid w:val="00261438"/>
    <w:rsid w:val="00262047"/>
    <w:rsid w:val="00262F9B"/>
    <w:rsid w:val="00263161"/>
    <w:rsid w:val="00263991"/>
    <w:rsid w:val="00265164"/>
    <w:rsid w:val="00266BB1"/>
    <w:rsid w:val="002674D8"/>
    <w:rsid w:val="00270856"/>
    <w:rsid w:val="00271E39"/>
    <w:rsid w:val="00274E87"/>
    <w:rsid w:val="00274F8B"/>
    <w:rsid w:val="00275391"/>
    <w:rsid w:val="0027568B"/>
    <w:rsid w:val="002769D8"/>
    <w:rsid w:val="00276A50"/>
    <w:rsid w:val="00286920"/>
    <w:rsid w:val="002877E1"/>
    <w:rsid w:val="002914DF"/>
    <w:rsid w:val="0029260F"/>
    <w:rsid w:val="00293AFD"/>
    <w:rsid w:val="002946CA"/>
    <w:rsid w:val="00295EFF"/>
    <w:rsid w:val="00295F9D"/>
    <w:rsid w:val="002A03C3"/>
    <w:rsid w:val="002A4855"/>
    <w:rsid w:val="002A5F8E"/>
    <w:rsid w:val="002A6E1E"/>
    <w:rsid w:val="002A7078"/>
    <w:rsid w:val="002B2B02"/>
    <w:rsid w:val="002B33F9"/>
    <w:rsid w:val="002B39D8"/>
    <w:rsid w:val="002B4E2A"/>
    <w:rsid w:val="002B5D28"/>
    <w:rsid w:val="002B66F3"/>
    <w:rsid w:val="002B6F2B"/>
    <w:rsid w:val="002D18D0"/>
    <w:rsid w:val="002D2BF2"/>
    <w:rsid w:val="002D44AB"/>
    <w:rsid w:val="002D5745"/>
    <w:rsid w:val="002D7DBA"/>
    <w:rsid w:val="002D7F6E"/>
    <w:rsid w:val="002E45A4"/>
    <w:rsid w:val="002E5183"/>
    <w:rsid w:val="002E5404"/>
    <w:rsid w:val="002E704A"/>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2259"/>
    <w:rsid w:val="00323C24"/>
    <w:rsid w:val="00324151"/>
    <w:rsid w:val="00326BD2"/>
    <w:rsid w:val="003276AD"/>
    <w:rsid w:val="0033339B"/>
    <w:rsid w:val="00336316"/>
    <w:rsid w:val="003373F1"/>
    <w:rsid w:val="00337C44"/>
    <w:rsid w:val="00340459"/>
    <w:rsid w:val="003409B0"/>
    <w:rsid w:val="00344746"/>
    <w:rsid w:val="00346D77"/>
    <w:rsid w:val="00347622"/>
    <w:rsid w:val="00350095"/>
    <w:rsid w:val="00353818"/>
    <w:rsid w:val="00353A30"/>
    <w:rsid w:val="00354094"/>
    <w:rsid w:val="00354805"/>
    <w:rsid w:val="00361C48"/>
    <w:rsid w:val="00362420"/>
    <w:rsid w:val="00362A5C"/>
    <w:rsid w:val="00363D6C"/>
    <w:rsid w:val="00372C98"/>
    <w:rsid w:val="0037310A"/>
    <w:rsid w:val="00375C48"/>
    <w:rsid w:val="003779B1"/>
    <w:rsid w:val="003812D4"/>
    <w:rsid w:val="003834F3"/>
    <w:rsid w:val="00383AFC"/>
    <w:rsid w:val="00383D31"/>
    <w:rsid w:val="00383E48"/>
    <w:rsid w:val="00384DAE"/>
    <w:rsid w:val="00386DCB"/>
    <w:rsid w:val="0039249E"/>
    <w:rsid w:val="003938A5"/>
    <w:rsid w:val="00395026"/>
    <w:rsid w:val="00395DCB"/>
    <w:rsid w:val="003A1278"/>
    <w:rsid w:val="003A1301"/>
    <w:rsid w:val="003A1790"/>
    <w:rsid w:val="003A2244"/>
    <w:rsid w:val="003A2AED"/>
    <w:rsid w:val="003A5C99"/>
    <w:rsid w:val="003B0334"/>
    <w:rsid w:val="003B19E9"/>
    <w:rsid w:val="003B3698"/>
    <w:rsid w:val="003B3E90"/>
    <w:rsid w:val="003B5460"/>
    <w:rsid w:val="003B58BD"/>
    <w:rsid w:val="003C1EE3"/>
    <w:rsid w:val="003C5271"/>
    <w:rsid w:val="003D1B20"/>
    <w:rsid w:val="003D556F"/>
    <w:rsid w:val="003D6DC4"/>
    <w:rsid w:val="003E1795"/>
    <w:rsid w:val="003E21E5"/>
    <w:rsid w:val="003E30C2"/>
    <w:rsid w:val="003E424E"/>
    <w:rsid w:val="003E5678"/>
    <w:rsid w:val="003E63BE"/>
    <w:rsid w:val="003F2025"/>
    <w:rsid w:val="003F3256"/>
    <w:rsid w:val="003F40D4"/>
    <w:rsid w:val="003F667E"/>
    <w:rsid w:val="004010AA"/>
    <w:rsid w:val="00405468"/>
    <w:rsid w:val="00405CF4"/>
    <w:rsid w:val="00405CFC"/>
    <w:rsid w:val="00407947"/>
    <w:rsid w:val="004079E1"/>
    <w:rsid w:val="0041453A"/>
    <w:rsid w:val="00417AAC"/>
    <w:rsid w:val="004212D7"/>
    <w:rsid w:val="00422BA9"/>
    <w:rsid w:val="00422C79"/>
    <w:rsid w:val="00422F7F"/>
    <w:rsid w:val="00422FC3"/>
    <w:rsid w:val="00433379"/>
    <w:rsid w:val="00433C52"/>
    <w:rsid w:val="00433EDF"/>
    <w:rsid w:val="004342E4"/>
    <w:rsid w:val="0043553E"/>
    <w:rsid w:val="00437D4A"/>
    <w:rsid w:val="004402C9"/>
    <w:rsid w:val="00441804"/>
    <w:rsid w:val="00445DD2"/>
    <w:rsid w:val="00450FCB"/>
    <w:rsid w:val="00453159"/>
    <w:rsid w:val="0045369C"/>
    <w:rsid w:val="00455805"/>
    <w:rsid w:val="00460A59"/>
    <w:rsid w:val="00463F79"/>
    <w:rsid w:val="004657A7"/>
    <w:rsid w:val="00466CFF"/>
    <w:rsid w:val="0047060F"/>
    <w:rsid w:val="00470BCF"/>
    <w:rsid w:val="00471DD3"/>
    <w:rsid w:val="004817EE"/>
    <w:rsid w:val="004825CB"/>
    <w:rsid w:val="00483CE0"/>
    <w:rsid w:val="004843E9"/>
    <w:rsid w:val="00485798"/>
    <w:rsid w:val="0048797F"/>
    <w:rsid w:val="004962E7"/>
    <w:rsid w:val="004A32F4"/>
    <w:rsid w:val="004A36AC"/>
    <w:rsid w:val="004A464D"/>
    <w:rsid w:val="004A60C9"/>
    <w:rsid w:val="004A68C7"/>
    <w:rsid w:val="004B12F8"/>
    <w:rsid w:val="004B1BAF"/>
    <w:rsid w:val="004B2BB1"/>
    <w:rsid w:val="004B5A25"/>
    <w:rsid w:val="004B7B9C"/>
    <w:rsid w:val="004C2149"/>
    <w:rsid w:val="004C6DBC"/>
    <w:rsid w:val="004D1487"/>
    <w:rsid w:val="004D1C54"/>
    <w:rsid w:val="004D3DA8"/>
    <w:rsid w:val="004D6E55"/>
    <w:rsid w:val="004D7714"/>
    <w:rsid w:val="004D7D40"/>
    <w:rsid w:val="004E4E21"/>
    <w:rsid w:val="004E5F69"/>
    <w:rsid w:val="004E6830"/>
    <w:rsid w:val="004F6412"/>
    <w:rsid w:val="00504F7E"/>
    <w:rsid w:val="00505CFE"/>
    <w:rsid w:val="00506545"/>
    <w:rsid w:val="00507939"/>
    <w:rsid w:val="00513B4C"/>
    <w:rsid w:val="005144C6"/>
    <w:rsid w:val="00515B18"/>
    <w:rsid w:val="00516865"/>
    <w:rsid w:val="0052030F"/>
    <w:rsid w:val="005207A5"/>
    <w:rsid w:val="00521BA9"/>
    <w:rsid w:val="00522314"/>
    <w:rsid w:val="00523AF2"/>
    <w:rsid w:val="00523CF5"/>
    <w:rsid w:val="00525749"/>
    <w:rsid w:val="00531CA6"/>
    <w:rsid w:val="00534C72"/>
    <w:rsid w:val="00540623"/>
    <w:rsid w:val="005418EE"/>
    <w:rsid w:val="005419A3"/>
    <w:rsid w:val="00541D66"/>
    <w:rsid w:val="005425FB"/>
    <w:rsid w:val="005456B7"/>
    <w:rsid w:val="0054573F"/>
    <w:rsid w:val="00546456"/>
    <w:rsid w:val="005541FB"/>
    <w:rsid w:val="00556EE6"/>
    <w:rsid w:val="00561052"/>
    <w:rsid w:val="0056116A"/>
    <w:rsid w:val="005620D7"/>
    <w:rsid w:val="005638F3"/>
    <w:rsid w:val="00563B67"/>
    <w:rsid w:val="00563F99"/>
    <w:rsid w:val="00564362"/>
    <w:rsid w:val="0057002A"/>
    <w:rsid w:val="005716FA"/>
    <w:rsid w:val="005720EF"/>
    <w:rsid w:val="005733EF"/>
    <w:rsid w:val="00574311"/>
    <w:rsid w:val="0057477B"/>
    <w:rsid w:val="00575208"/>
    <w:rsid w:val="00577D46"/>
    <w:rsid w:val="00581699"/>
    <w:rsid w:val="00585392"/>
    <w:rsid w:val="00594C5D"/>
    <w:rsid w:val="005951D0"/>
    <w:rsid w:val="0059616A"/>
    <w:rsid w:val="00596385"/>
    <w:rsid w:val="005A36EF"/>
    <w:rsid w:val="005A3EFB"/>
    <w:rsid w:val="005A5A14"/>
    <w:rsid w:val="005A5E82"/>
    <w:rsid w:val="005A6654"/>
    <w:rsid w:val="005A7281"/>
    <w:rsid w:val="005B2696"/>
    <w:rsid w:val="005B59B1"/>
    <w:rsid w:val="005B5F7B"/>
    <w:rsid w:val="005B63B3"/>
    <w:rsid w:val="005B7D18"/>
    <w:rsid w:val="005C4676"/>
    <w:rsid w:val="005C4F4D"/>
    <w:rsid w:val="005C694B"/>
    <w:rsid w:val="005D254E"/>
    <w:rsid w:val="005D3CBD"/>
    <w:rsid w:val="005E19AB"/>
    <w:rsid w:val="005E32B1"/>
    <w:rsid w:val="005E4062"/>
    <w:rsid w:val="005E45C7"/>
    <w:rsid w:val="005E7323"/>
    <w:rsid w:val="005F1774"/>
    <w:rsid w:val="005F4B55"/>
    <w:rsid w:val="005F65C3"/>
    <w:rsid w:val="006024DD"/>
    <w:rsid w:val="00602885"/>
    <w:rsid w:val="006034CA"/>
    <w:rsid w:val="006077EA"/>
    <w:rsid w:val="006170A7"/>
    <w:rsid w:val="00625F8B"/>
    <w:rsid w:val="00626559"/>
    <w:rsid w:val="006265D9"/>
    <w:rsid w:val="006306B5"/>
    <w:rsid w:val="00636F54"/>
    <w:rsid w:val="006415A7"/>
    <w:rsid w:val="00641E6C"/>
    <w:rsid w:val="00642D3D"/>
    <w:rsid w:val="00643EFB"/>
    <w:rsid w:val="00646B66"/>
    <w:rsid w:val="00651AB3"/>
    <w:rsid w:val="00651D36"/>
    <w:rsid w:val="0065570B"/>
    <w:rsid w:val="00655954"/>
    <w:rsid w:val="00660B24"/>
    <w:rsid w:val="00661209"/>
    <w:rsid w:val="0066243F"/>
    <w:rsid w:val="00663FC7"/>
    <w:rsid w:val="0067176F"/>
    <w:rsid w:val="006717D9"/>
    <w:rsid w:val="00674BA1"/>
    <w:rsid w:val="00675863"/>
    <w:rsid w:val="0067588C"/>
    <w:rsid w:val="006768F4"/>
    <w:rsid w:val="006772FA"/>
    <w:rsid w:val="0067796F"/>
    <w:rsid w:val="00677ADB"/>
    <w:rsid w:val="00682C38"/>
    <w:rsid w:val="0068697C"/>
    <w:rsid w:val="006916EC"/>
    <w:rsid w:val="006934CC"/>
    <w:rsid w:val="006938DB"/>
    <w:rsid w:val="00694E3F"/>
    <w:rsid w:val="00697D93"/>
    <w:rsid w:val="006A0E4C"/>
    <w:rsid w:val="006A212B"/>
    <w:rsid w:val="006A28F4"/>
    <w:rsid w:val="006A4B79"/>
    <w:rsid w:val="006A5D73"/>
    <w:rsid w:val="006A6116"/>
    <w:rsid w:val="006A6FDC"/>
    <w:rsid w:val="006B1495"/>
    <w:rsid w:val="006C238B"/>
    <w:rsid w:val="006C3575"/>
    <w:rsid w:val="006C3E67"/>
    <w:rsid w:val="006C6B60"/>
    <w:rsid w:val="006D0A8F"/>
    <w:rsid w:val="006D15D4"/>
    <w:rsid w:val="006D4113"/>
    <w:rsid w:val="006D6930"/>
    <w:rsid w:val="006E10FF"/>
    <w:rsid w:val="006E7076"/>
    <w:rsid w:val="006E790E"/>
    <w:rsid w:val="006F75D2"/>
    <w:rsid w:val="007029B6"/>
    <w:rsid w:val="00702CBF"/>
    <w:rsid w:val="00706EAA"/>
    <w:rsid w:val="00706EAB"/>
    <w:rsid w:val="00714884"/>
    <w:rsid w:val="00717C06"/>
    <w:rsid w:val="00720625"/>
    <w:rsid w:val="00723C35"/>
    <w:rsid w:val="007247AD"/>
    <w:rsid w:val="0073123D"/>
    <w:rsid w:val="0073694F"/>
    <w:rsid w:val="00736E2C"/>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8332D"/>
    <w:rsid w:val="00783638"/>
    <w:rsid w:val="00783CBF"/>
    <w:rsid w:val="007929B5"/>
    <w:rsid w:val="00793152"/>
    <w:rsid w:val="007954F5"/>
    <w:rsid w:val="00796BEC"/>
    <w:rsid w:val="007A01D0"/>
    <w:rsid w:val="007A063F"/>
    <w:rsid w:val="007A0C84"/>
    <w:rsid w:val="007A1126"/>
    <w:rsid w:val="007A44F0"/>
    <w:rsid w:val="007A4A9E"/>
    <w:rsid w:val="007A51E1"/>
    <w:rsid w:val="007A7659"/>
    <w:rsid w:val="007A76F3"/>
    <w:rsid w:val="007B144C"/>
    <w:rsid w:val="007B362F"/>
    <w:rsid w:val="007B5845"/>
    <w:rsid w:val="007C1D8C"/>
    <w:rsid w:val="007C3C6C"/>
    <w:rsid w:val="007C3E32"/>
    <w:rsid w:val="007C5334"/>
    <w:rsid w:val="007C65BC"/>
    <w:rsid w:val="007C78B7"/>
    <w:rsid w:val="007C7B3C"/>
    <w:rsid w:val="007D017A"/>
    <w:rsid w:val="007D2E88"/>
    <w:rsid w:val="007D3EEE"/>
    <w:rsid w:val="007D5964"/>
    <w:rsid w:val="007E16CD"/>
    <w:rsid w:val="007E16E4"/>
    <w:rsid w:val="007E21D3"/>
    <w:rsid w:val="007E46B9"/>
    <w:rsid w:val="007F10B9"/>
    <w:rsid w:val="007F3466"/>
    <w:rsid w:val="0080300D"/>
    <w:rsid w:val="008050A1"/>
    <w:rsid w:val="008105BE"/>
    <w:rsid w:val="00811767"/>
    <w:rsid w:val="008132F1"/>
    <w:rsid w:val="00813D5B"/>
    <w:rsid w:val="00815442"/>
    <w:rsid w:val="0081593A"/>
    <w:rsid w:val="00817AE7"/>
    <w:rsid w:val="008207A0"/>
    <w:rsid w:val="00822046"/>
    <w:rsid w:val="00825421"/>
    <w:rsid w:val="0082613E"/>
    <w:rsid w:val="0082741B"/>
    <w:rsid w:val="00831AD2"/>
    <w:rsid w:val="00833BE1"/>
    <w:rsid w:val="0083424F"/>
    <w:rsid w:val="008377C2"/>
    <w:rsid w:val="00837E75"/>
    <w:rsid w:val="00843A9A"/>
    <w:rsid w:val="00843B0D"/>
    <w:rsid w:val="008459C9"/>
    <w:rsid w:val="00846F7D"/>
    <w:rsid w:val="0084754A"/>
    <w:rsid w:val="00850A30"/>
    <w:rsid w:val="00857858"/>
    <w:rsid w:val="00860B88"/>
    <w:rsid w:val="0086404C"/>
    <w:rsid w:val="008650E3"/>
    <w:rsid w:val="008663E4"/>
    <w:rsid w:val="008679CC"/>
    <w:rsid w:val="008729CC"/>
    <w:rsid w:val="008749AD"/>
    <w:rsid w:val="00875A84"/>
    <w:rsid w:val="00881587"/>
    <w:rsid w:val="00882986"/>
    <w:rsid w:val="00882B19"/>
    <w:rsid w:val="008866DB"/>
    <w:rsid w:val="00887C96"/>
    <w:rsid w:val="00890B55"/>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11D2"/>
    <w:rsid w:val="008F3C9B"/>
    <w:rsid w:val="008F4B09"/>
    <w:rsid w:val="008F567D"/>
    <w:rsid w:val="008F56CD"/>
    <w:rsid w:val="008F6DB7"/>
    <w:rsid w:val="008F6FB0"/>
    <w:rsid w:val="008F7ED4"/>
    <w:rsid w:val="00900551"/>
    <w:rsid w:val="00900835"/>
    <w:rsid w:val="0091432B"/>
    <w:rsid w:val="00914C5A"/>
    <w:rsid w:val="0091529F"/>
    <w:rsid w:val="0091565D"/>
    <w:rsid w:val="00915F1B"/>
    <w:rsid w:val="00917598"/>
    <w:rsid w:val="009179E2"/>
    <w:rsid w:val="00917DB0"/>
    <w:rsid w:val="00921ECE"/>
    <w:rsid w:val="0092345F"/>
    <w:rsid w:val="00923FF2"/>
    <w:rsid w:val="009253B0"/>
    <w:rsid w:val="00925DA2"/>
    <w:rsid w:val="00927311"/>
    <w:rsid w:val="00931011"/>
    <w:rsid w:val="00931258"/>
    <w:rsid w:val="00931F7B"/>
    <w:rsid w:val="00932F84"/>
    <w:rsid w:val="00934A38"/>
    <w:rsid w:val="009355EC"/>
    <w:rsid w:val="00937336"/>
    <w:rsid w:val="00937512"/>
    <w:rsid w:val="0093788C"/>
    <w:rsid w:val="009466E6"/>
    <w:rsid w:val="00947054"/>
    <w:rsid w:val="009471D7"/>
    <w:rsid w:val="00951850"/>
    <w:rsid w:val="00952AFF"/>
    <w:rsid w:val="00953708"/>
    <w:rsid w:val="00954374"/>
    <w:rsid w:val="0095631D"/>
    <w:rsid w:val="00956FED"/>
    <w:rsid w:val="00957C7E"/>
    <w:rsid w:val="00963E86"/>
    <w:rsid w:val="009679E4"/>
    <w:rsid w:val="00970BA9"/>
    <w:rsid w:val="00970D5E"/>
    <w:rsid w:val="00973100"/>
    <w:rsid w:val="00975765"/>
    <w:rsid w:val="00977509"/>
    <w:rsid w:val="009777ED"/>
    <w:rsid w:val="00991514"/>
    <w:rsid w:val="00991D4E"/>
    <w:rsid w:val="00993BD3"/>
    <w:rsid w:val="009963A3"/>
    <w:rsid w:val="009963C9"/>
    <w:rsid w:val="009969D7"/>
    <w:rsid w:val="00997A81"/>
    <w:rsid w:val="009A1CB5"/>
    <w:rsid w:val="009A3200"/>
    <w:rsid w:val="009A38E2"/>
    <w:rsid w:val="009A79DC"/>
    <w:rsid w:val="009B3931"/>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CAE"/>
    <w:rsid w:val="009F1B56"/>
    <w:rsid w:val="009F2F85"/>
    <w:rsid w:val="009F31DF"/>
    <w:rsid w:val="009F5C52"/>
    <w:rsid w:val="00A019EA"/>
    <w:rsid w:val="00A03DA0"/>
    <w:rsid w:val="00A05173"/>
    <w:rsid w:val="00A05E2D"/>
    <w:rsid w:val="00A06690"/>
    <w:rsid w:val="00A066DA"/>
    <w:rsid w:val="00A10F05"/>
    <w:rsid w:val="00A11DB7"/>
    <w:rsid w:val="00A15688"/>
    <w:rsid w:val="00A157ED"/>
    <w:rsid w:val="00A1621B"/>
    <w:rsid w:val="00A177D9"/>
    <w:rsid w:val="00A22B09"/>
    <w:rsid w:val="00A23CDB"/>
    <w:rsid w:val="00A24F19"/>
    <w:rsid w:val="00A25F18"/>
    <w:rsid w:val="00A26735"/>
    <w:rsid w:val="00A32349"/>
    <w:rsid w:val="00A40123"/>
    <w:rsid w:val="00A402C4"/>
    <w:rsid w:val="00A4170F"/>
    <w:rsid w:val="00A50CC3"/>
    <w:rsid w:val="00A5269A"/>
    <w:rsid w:val="00A53476"/>
    <w:rsid w:val="00A535FC"/>
    <w:rsid w:val="00A54698"/>
    <w:rsid w:val="00A54F8F"/>
    <w:rsid w:val="00A5654A"/>
    <w:rsid w:val="00A56C79"/>
    <w:rsid w:val="00A609BA"/>
    <w:rsid w:val="00A63563"/>
    <w:rsid w:val="00A642B2"/>
    <w:rsid w:val="00A67D17"/>
    <w:rsid w:val="00A7183F"/>
    <w:rsid w:val="00A7276D"/>
    <w:rsid w:val="00A73A44"/>
    <w:rsid w:val="00A80103"/>
    <w:rsid w:val="00A84B9C"/>
    <w:rsid w:val="00A93A17"/>
    <w:rsid w:val="00A93A6A"/>
    <w:rsid w:val="00A93B1A"/>
    <w:rsid w:val="00A93E77"/>
    <w:rsid w:val="00A96282"/>
    <w:rsid w:val="00A96E06"/>
    <w:rsid w:val="00AA04B1"/>
    <w:rsid w:val="00AA2D8F"/>
    <w:rsid w:val="00AA4554"/>
    <w:rsid w:val="00AA645C"/>
    <w:rsid w:val="00AB31E7"/>
    <w:rsid w:val="00AB60C7"/>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47D8"/>
    <w:rsid w:val="00B058BE"/>
    <w:rsid w:val="00B13518"/>
    <w:rsid w:val="00B13841"/>
    <w:rsid w:val="00B14EDD"/>
    <w:rsid w:val="00B166F4"/>
    <w:rsid w:val="00B21316"/>
    <w:rsid w:val="00B217C6"/>
    <w:rsid w:val="00B27351"/>
    <w:rsid w:val="00B31503"/>
    <w:rsid w:val="00B34192"/>
    <w:rsid w:val="00B35F5F"/>
    <w:rsid w:val="00B3663E"/>
    <w:rsid w:val="00B37657"/>
    <w:rsid w:val="00B40624"/>
    <w:rsid w:val="00B43E3F"/>
    <w:rsid w:val="00B44121"/>
    <w:rsid w:val="00B446AB"/>
    <w:rsid w:val="00B461B2"/>
    <w:rsid w:val="00B46D9C"/>
    <w:rsid w:val="00B5017D"/>
    <w:rsid w:val="00B56F73"/>
    <w:rsid w:val="00B61EC6"/>
    <w:rsid w:val="00B62C23"/>
    <w:rsid w:val="00B63007"/>
    <w:rsid w:val="00B64FF6"/>
    <w:rsid w:val="00B652F3"/>
    <w:rsid w:val="00B672D5"/>
    <w:rsid w:val="00B67707"/>
    <w:rsid w:val="00B72326"/>
    <w:rsid w:val="00B73533"/>
    <w:rsid w:val="00B7403D"/>
    <w:rsid w:val="00B76E82"/>
    <w:rsid w:val="00B816DE"/>
    <w:rsid w:val="00B85CAD"/>
    <w:rsid w:val="00B92A56"/>
    <w:rsid w:val="00B92C46"/>
    <w:rsid w:val="00B93FF4"/>
    <w:rsid w:val="00B943B1"/>
    <w:rsid w:val="00B9440F"/>
    <w:rsid w:val="00BA0607"/>
    <w:rsid w:val="00BA1F6F"/>
    <w:rsid w:val="00BA3CBE"/>
    <w:rsid w:val="00BA56C5"/>
    <w:rsid w:val="00BB107E"/>
    <w:rsid w:val="00BB2520"/>
    <w:rsid w:val="00BB6C17"/>
    <w:rsid w:val="00BC4106"/>
    <w:rsid w:val="00BC5CD9"/>
    <w:rsid w:val="00BC7669"/>
    <w:rsid w:val="00BC795A"/>
    <w:rsid w:val="00BD01C7"/>
    <w:rsid w:val="00BD3221"/>
    <w:rsid w:val="00BD47E5"/>
    <w:rsid w:val="00BE084E"/>
    <w:rsid w:val="00BE0F9E"/>
    <w:rsid w:val="00BE2ACF"/>
    <w:rsid w:val="00BE2B86"/>
    <w:rsid w:val="00BE6CAE"/>
    <w:rsid w:val="00BE7FB4"/>
    <w:rsid w:val="00BF0979"/>
    <w:rsid w:val="00BF2704"/>
    <w:rsid w:val="00BF48C2"/>
    <w:rsid w:val="00BF5060"/>
    <w:rsid w:val="00BF6931"/>
    <w:rsid w:val="00BF7F78"/>
    <w:rsid w:val="00C017C6"/>
    <w:rsid w:val="00C01D49"/>
    <w:rsid w:val="00C02A9C"/>
    <w:rsid w:val="00C02F8B"/>
    <w:rsid w:val="00C04E6F"/>
    <w:rsid w:val="00C051C1"/>
    <w:rsid w:val="00C0614B"/>
    <w:rsid w:val="00C11806"/>
    <w:rsid w:val="00C218F4"/>
    <w:rsid w:val="00C24BEA"/>
    <w:rsid w:val="00C3058A"/>
    <w:rsid w:val="00C31408"/>
    <w:rsid w:val="00C32905"/>
    <w:rsid w:val="00C34D8C"/>
    <w:rsid w:val="00C355DC"/>
    <w:rsid w:val="00C36D6A"/>
    <w:rsid w:val="00C36D84"/>
    <w:rsid w:val="00C412CE"/>
    <w:rsid w:val="00C41F68"/>
    <w:rsid w:val="00C4526A"/>
    <w:rsid w:val="00C45922"/>
    <w:rsid w:val="00C45D99"/>
    <w:rsid w:val="00C47388"/>
    <w:rsid w:val="00C50BA4"/>
    <w:rsid w:val="00C530FF"/>
    <w:rsid w:val="00C55E58"/>
    <w:rsid w:val="00C56B59"/>
    <w:rsid w:val="00C603BC"/>
    <w:rsid w:val="00C61ED1"/>
    <w:rsid w:val="00C65000"/>
    <w:rsid w:val="00C71539"/>
    <w:rsid w:val="00C728AC"/>
    <w:rsid w:val="00C816A1"/>
    <w:rsid w:val="00C84320"/>
    <w:rsid w:val="00C852F4"/>
    <w:rsid w:val="00C861A9"/>
    <w:rsid w:val="00C86D64"/>
    <w:rsid w:val="00C9158A"/>
    <w:rsid w:val="00C91803"/>
    <w:rsid w:val="00C95AC3"/>
    <w:rsid w:val="00CA0487"/>
    <w:rsid w:val="00CA4562"/>
    <w:rsid w:val="00CA63BC"/>
    <w:rsid w:val="00CA78A1"/>
    <w:rsid w:val="00CA7AF9"/>
    <w:rsid w:val="00CB11E5"/>
    <w:rsid w:val="00CB12E4"/>
    <w:rsid w:val="00CB1C38"/>
    <w:rsid w:val="00CB38DB"/>
    <w:rsid w:val="00CB3C57"/>
    <w:rsid w:val="00CB5363"/>
    <w:rsid w:val="00CB6807"/>
    <w:rsid w:val="00CB6908"/>
    <w:rsid w:val="00CB7474"/>
    <w:rsid w:val="00CB758F"/>
    <w:rsid w:val="00CC03C4"/>
    <w:rsid w:val="00CC4B44"/>
    <w:rsid w:val="00CC64BC"/>
    <w:rsid w:val="00CC7466"/>
    <w:rsid w:val="00CD2367"/>
    <w:rsid w:val="00CD3760"/>
    <w:rsid w:val="00CD6929"/>
    <w:rsid w:val="00CD75DF"/>
    <w:rsid w:val="00CE01A6"/>
    <w:rsid w:val="00CE08E4"/>
    <w:rsid w:val="00CE6B51"/>
    <w:rsid w:val="00CE73DB"/>
    <w:rsid w:val="00CF0579"/>
    <w:rsid w:val="00CF1A43"/>
    <w:rsid w:val="00CF1F5C"/>
    <w:rsid w:val="00CF461B"/>
    <w:rsid w:val="00CF7D12"/>
    <w:rsid w:val="00D00305"/>
    <w:rsid w:val="00D031AC"/>
    <w:rsid w:val="00D05F66"/>
    <w:rsid w:val="00D10397"/>
    <w:rsid w:val="00D2292F"/>
    <w:rsid w:val="00D23184"/>
    <w:rsid w:val="00D23D64"/>
    <w:rsid w:val="00D243D9"/>
    <w:rsid w:val="00D30515"/>
    <w:rsid w:val="00D3091A"/>
    <w:rsid w:val="00D33F8D"/>
    <w:rsid w:val="00D35A47"/>
    <w:rsid w:val="00D35EAF"/>
    <w:rsid w:val="00D4213B"/>
    <w:rsid w:val="00D42B5A"/>
    <w:rsid w:val="00D4537A"/>
    <w:rsid w:val="00D45D19"/>
    <w:rsid w:val="00D55715"/>
    <w:rsid w:val="00D55F00"/>
    <w:rsid w:val="00D57B28"/>
    <w:rsid w:val="00D60115"/>
    <w:rsid w:val="00D61591"/>
    <w:rsid w:val="00D61981"/>
    <w:rsid w:val="00D61B9F"/>
    <w:rsid w:val="00D63E78"/>
    <w:rsid w:val="00D64CB9"/>
    <w:rsid w:val="00D65AEA"/>
    <w:rsid w:val="00D660C0"/>
    <w:rsid w:val="00D66B59"/>
    <w:rsid w:val="00D70033"/>
    <w:rsid w:val="00D70341"/>
    <w:rsid w:val="00D71F15"/>
    <w:rsid w:val="00D720FD"/>
    <w:rsid w:val="00D74462"/>
    <w:rsid w:val="00D81958"/>
    <w:rsid w:val="00D82E55"/>
    <w:rsid w:val="00D83C5B"/>
    <w:rsid w:val="00D8541B"/>
    <w:rsid w:val="00D9397D"/>
    <w:rsid w:val="00D947B9"/>
    <w:rsid w:val="00D951A6"/>
    <w:rsid w:val="00DA12DB"/>
    <w:rsid w:val="00DA1BF3"/>
    <w:rsid w:val="00DA2EAF"/>
    <w:rsid w:val="00DA5A89"/>
    <w:rsid w:val="00DA646D"/>
    <w:rsid w:val="00DA657B"/>
    <w:rsid w:val="00DA7901"/>
    <w:rsid w:val="00DA7F31"/>
    <w:rsid w:val="00DB34F5"/>
    <w:rsid w:val="00DB39C2"/>
    <w:rsid w:val="00DB3B22"/>
    <w:rsid w:val="00DB5996"/>
    <w:rsid w:val="00DB6131"/>
    <w:rsid w:val="00DC2158"/>
    <w:rsid w:val="00DC35DE"/>
    <w:rsid w:val="00DC3B7D"/>
    <w:rsid w:val="00DC3DFA"/>
    <w:rsid w:val="00DC4FC1"/>
    <w:rsid w:val="00DC5599"/>
    <w:rsid w:val="00DC7451"/>
    <w:rsid w:val="00DD181B"/>
    <w:rsid w:val="00DD4BD7"/>
    <w:rsid w:val="00DE2087"/>
    <w:rsid w:val="00DE2103"/>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389"/>
    <w:rsid w:val="00E2103A"/>
    <w:rsid w:val="00E2446B"/>
    <w:rsid w:val="00E24480"/>
    <w:rsid w:val="00E30BF3"/>
    <w:rsid w:val="00E319F7"/>
    <w:rsid w:val="00E31A4F"/>
    <w:rsid w:val="00E33ADD"/>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629C"/>
    <w:rsid w:val="00E671E1"/>
    <w:rsid w:val="00E713E4"/>
    <w:rsid w:val="00E73F95"/>
    <w:rsid w:val="00E75E5F"/>
    <w:rsid w:val="00E771C4"/>
    <w:rsid w:val="00E80A3D"/>
    <w:rsid w:val="00E8453F"/>
    <w:rsid w:val="00E8569B"/>
    <w:rsid w:val="00E90DE8"/>
    <w:rsid w:val="00E91D37"/>
    <w:rsid w:val="00EA3990"/>
    <w:rsid w:val="00EA39B1"/>
    <w:rsid w:val="00EA5805"/>
    <w:rsid w:val="00EB03B8"/>
    <w:rsid w:val="00EB25D4"/>
    <w:rsid w:val="00EB4F83"/>
    <w:rsid w:val="00EB6101"/>
    <w:rsid w:val="00EC13C5"/>
    <w:rsid w:val="00ED1FD0"/>
    <w:rsid w:val="00ED25E3"/>
    <w:rsid w:val="00ED274A"/>
    <w:rsid w:val="00ED5179"/>
    <w:rsid w:val="00ED5572"/>
    <w:rsid w:val="00EE064A"/>
    <w:rsid w:val="00EE25BC"/>
    <w:rsid w:val="00EE679E"/>
    <w:rsid w:val="00EE7407"/>
    <w:rsid w:val="00EF430B"/>
    <w:rsid w:val="00EF589F"/>
    <w:rsid w:val="00EF686E"/>
    <w:rsid w:val="00EF728B"/>
    <w:rsid w:val="00F03F0C"/>
    <w:rsid w:val="00F056D9"/>
    <w:rsid w:val="00F07588"/>
    <w:rsid w:val="00F07F9D"/>
    <w:rsid w:val="00F13FA1"/>
    <w:rsid w:val="00F154DF"/>
    <w:rsid w:val="00F17B43"/>
    <w:rsid w:val="00F207AF"/>
    <w:rsid w:val="00F20D9D"/>
    <w:rsid w:val="00F22A46"/>
    <w:rsid w:val="00F23645"/>
    <w:rsid w:val="00F237E2"/>
    <w:rsid w:val="00F25704"/>
    <w:rsid w:val="00F30313"/>
    <w:rsid w:val="00F3087B"/>
    <w:rsid w:val="00F33630"/>
    <w:rsid w:val="00F36F47"/>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55CB"/>
    <w:rsid w:val="00F977A1"/>
    <w:rsid w:val="00FA0B42"/>
    <w:rsid w:val="00FA5D11"/>
    <w:rsid w:val="00FA64E4"/>
    <w:rsid w:val="00FA65F6"/>
    <w:rsid w:val="00FB2252"/>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5DA"/>
    <w:rsid w:val="00FF4544"/>
    <w:rsid w:val="00FF4CC1"/>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0571A78-A876-4026-A29A-F35742AE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qFormat/>
    <w:rsid w:val="00FC73F7"/>
    <w:pPr>
      <w:keepNext/>
      <w:jc w:val="both"/>
      <w:outlineLvl w:val="0"/>
    </w:pPr>
    <w:rPr>
      <w:rFonts w:eastAsia="Times New Roman"/>
      <w:b/>
      <w:sz w:val="26"/>
      <w:lang w:val="x-none"/>
    </w:rPr>
  </w:style>
  <w:style w:type="paragraph" w:styleId="2">
    <w:name w:val="heading 2"/>
    <w:basedOn w:val="a"/>
    <w:next w:val="a"/>
    <w:link w:val="20"/>
    <w:unhideWhenUsed/>
    <w:qFormat/>
    <w:rsid w:val="00F955CB"/>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rsid w:val="00FC73F7"/>
    <w:rPr>
      <w:rFonts w:ascii="Times New Roman" w:eastAsia="Times New Roman" w:hAnsi="Times New Roman"/>
      <w:b/>
      <w:sz w:val="26"/>
      <w:lang w:eastAsia="ru-RU"/>
    </w:rPr>
  </w:style>
  <w:style w:type="character" w:customStyle="1" w:styleId="30">
    <w:name w:val="Заголовок 3 Знак"/>
    <w:link w:val="3"/>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ы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ой текст с отступом 3 Знак"/>
    <w:link w:val="31"/>
    <w:rsid w:val="00FC73F7"/>
    <w:rPr>
      <w:rFonts w:ascii="Times New Roman" w:hAnsi="Times New Roman"/>
      <w:sz w:val="16"/>
      <w:szCs w:val="16"/>
      <w:lang w:val="ru-RU" w:eastAsia="ru-RU"/>
    </w:rPr>
  </w:style>
  <w:style w:type="paragraph" w:styleId="a3">
    <w:name w:val="header"/>
    <w:basedOn w:val="a"/>
    <w:link w:val="a4"/>
    <w:uiPriority w:val="99"/>
    <w:unhideWhenUsed/>
    <w:rsid w:val="00B217C6"/>
    <w:pPr>
      <w:tabs>
        <w:tab w:val="center" w:pos="4819"/>
        <w:tab w:val="right" w:pos="9639"/>
      </w:tabs>
    </w:pPr>
  </w:style>
  <w:style w:type="character" w:customStyle="1" w:styleId="a4">
    <w:name w:val="Верхний колонтитул Знак"/>
    <w:link w:val="a3"/>
    <w:uiPriority w:val="99"/>
    <w:rsid w:val="00B217C6"/>
    <w:rPr>
      <w:rFonts w:ascii="Times New Roman" w:hAnsi="Times New Roman"/>
      <w:lang w:val="ru-RU" w:eastAsia="ru-RU"/>
    </w:rPr>
  </w:style>
  <w:style w:type="paragraph" w:styleId="a5">
    <w:name w:val="footer"/>
    <w:basedOn w:val="a"/>
    <w:link w:val="a6"/>
    <w:unhideWhenUsed/>
    <w:rsid w:val="00B217C6"/>
    <w:pPr>
      <w:tabs>
        <w:tab w:val="center" w:pos="4819"/>
        <w:tab w:val="right" w:pos="9639"/>
      </w:tabs>
    </w:pPr>
  </w:style>
  <w:style w:type="character" w:customStyle="1" w:styleId="a6">
    <w:name w:val="Нижний колонтитул Знак"/>
    <w:link w:val="a5"/>
    <w:rsid w:val="00B217C6"/>
    <w:rPr>
      <w:rFonts w:ascii="Times New Roman" w:hAnsi="Times New Roman"/>
      <w:lang w:val="ru-RU" w:eastAsia="ru-RU"/>
    </w:rPr>
  </w:style>
  <w:style w:type="character" w:styleId="a7">
    <w:name w:val="page number"/>
    <w:basedOn w:val="a0"/>
    <w:rsid w:val="008F7ED4"/>
  </w:style>
  <w:style w:type="character" w:customStyle="1" w:styleId="apple-converted-space">
    <w:name w:val="apple-converted-space"/>
    <w:basedOn w:val="a0"/>
    <w:rsid w:val="004825CB"/>
  </w:style>
  <w:style w:type="character" w:customStyle="1" w:styleId="20">
    <w:name w:val="Заголовок 2 Знак"/>
    <w:link w:val="2"/>
    <w:rsid w:val="00F955CB"/>
    <w:rPr>
      <w:rFonts w:ascii="Calibri Light" w:eastAsia="Times New Roman" w:hAnsi="Calibri Light" w:cs="Times New Roman"/>
      <w:b/>
      <w:bCs/>
      <w:i/>
      <w:iCs/>
      <w:sz w:val="28"/>
      <w:szCs w:val="28"/>
      <w:lang w:val="ru-RU" w:eastAsia="ru-RU"/>
    </w:rPr>
  </w:style>
  <w:style w:type="paragraph" w:customStyle="1" w:styleId="cs95e872d0">
    <w:name w:val="cs95e872d0"/>
    <w:basedOn w:val="a"/>
    <w:rsid w:val="00F955CB"/>
    <w:rPr>
      <w:rFonts w:eastAsia="Times New Roman"/>
      <w:sz w:val="24"/>
      <w:szCs w:val="24"/>
    </w:rPr>
  </w:style>
  <w:style w:type="character" w:customStyle="1" w:styleId="cs188c92b51">
    <w:name w:val="cs188c92b51"/>
    <w:rsid w:val="00F955CB"/>
    <w:rPr>
      <w:rFonts w:ascii="Times New Roman" w:hAnsi="Times New Roman" w:cs="Times New Roman" w:hint="default"/>
      <w:b w:val="0"/>
      <w:bCs w:val="0"/>
      <w:i w:val="0"/>
      <w:iCs w:val="0"/>
      <w:color w:val="000000"/>
      <w:sz w:val="26"/>
      <w:szCs w:val="26"/>
      <w:shd w:val="clear" w:color="auto" w:fill="auto"/>
    </w:rPr>
  </w:style>
  <w:style w:type="character" w:customStyle="1" w:styleId="cs95e872d01">
    <w:name w:val="cs95e872d01"/>
    <w:rsid w:val="00F955CB"/>
  </w:style>
  <w:style w:type="paragraph" w:customStyle="1" w:styleId="11">
    <w:name w:val="Обычный11"/>
    <w:aliases w:val="Звичайний,Normal"/>
    <w:basedOn w:val="a"/>
    <w:qFormat/>
    <w:rsid w:val="00F955CB"/>
    <w:rPr>
      <w:rFonts w:eastAsia="Times New Roman"/>
      <w:sz w:val="24"/>
      <w:szCs w:val="24"/>
      <w:lang w:val="uk-UA" w:eastAsia="uk-UA"/>
    </w:rPr>
  </w:style>
  <w:style w:type="character" w:customStyle="1" w:styleId="cs7864ebcf1">
    <w:name w:val="cs7864ebcf1"/>
    <w:rsid w:val="00F955CB"/>
    <w:rPr>
      <w:rFonts w:ascii="Times New Roman" w:hAnsi="Times New Roman" w:cs="Times New Roman" w:hint="default"/>
      <w:b/>
      <w:bCs/>
      <w:i w:val="0"/>
      <w:iCs w:val="0"/>
      <w:color w:val="000000"/>
      <w:sz w:val="26"/>
      <w:szCs w:val="26"/>
      <w:shd w:val="clear" w:color="auto" w:fill="auto"/>
    </w:rPr>
  </w:style>
  <w:style w:type="character" w:customStyle="1" w:styleId="40">
    <w:name w:val="Заголовок 4 Знак"/>
    <w:link w:val="4"/>
    <w:rsid w:val="0045369C"/>
    <w:rPr>
      <w:rFonts w:ascii="Times New Roman" w:hAnsi="Times New Roman"/>
      <w:b/>
      <w:bCs/>
      <w:sz w:val="28"/>
      <w:szCs w:val="28"/>
      <w:lang w:val="ru-RU" w:eastAsia="ru-RU"/>
    </w:rPr>
  </w:style>
  <w:style w:type="paragraph" w:customStyle="1" w:styleId="12">
    <w:name w:val="Обычный1"/>
    <w:basedOn w:val="a"/>
    <w:qFormat/>
    <w:rsid w:val="0045369C"/>
    <w:rPr>
      <w:rFonts w:eastAsia="Times New Roman"/>
      <w:sz w:val="24"/>
      <w:szCs w:val="24"/>
      <w:lang w:val="uk-UA" w:eastAsia="uk-UA"/>
    </w:rPr>
  </w:style>
  <w:style w:type="paragraph" w:customStyle="1" w:styleId="msolistparagraph0">
    <w:name w:val="msolistparagraph"/>
    <w:basedOn w:val="a"/>
    <w:uiPriority w:val="34"/>
    <w:qFormat/>
    <w:rsid w:val="0045369C"/>
    <w:pPr>
      <w:ind w:left="720"/>
      <w:contextualSpacing/>
    </w:pPr>
    <w:rPr>
      <w:rFonts w:eastAsia="Times New Roman"/>
      <w:sz w:val="24"/>
      <w:szCs w:val="24"/>
      <w:lang w:val="uk-UA" w:eastAsia="uk-UA"/>
    </w:rPr>
  </w:style>
  <w:style w:type="paragraph" w:customStyle="1" w:styleId="Encryption">
    <w:name w:val="Encryption"/>
    <w:basedOn w:val="a"/>
    <w:qFormat/>
    <w:rsid w:val="0045369C"/>
    <w:pPr>
      <w:jc w:val="both"/>
    </w:pPr>
    <w:rPr>
      <w:rFonts w:eastAsia="Times New Roman"/>
      <w:b/>
      <w:bCs/>
      <w:i/>
      <w:iCs/>
      <w:sz w:val="24"/>
      <w:szCs w:val="24"/>
      <w:lang w:val="uk-UA" w:eastAsia="uk-UA"/>
    </w:rPr>
  </w:style>
  <w:style w:type="character" w:customStyle="1" w:styleId="Heading2Char">
    <w:name w:val="Heading 2 Char"/>
    <w:link w:val="21"/>
    <w:locked/>
    <w:rsid w:val="0045369C"/>
    <w:rPr>
      <w:rFonts w:ascii="Arial" w:eastAsia="Times New Roman" w:hAnsi="Arial"/>
      <w:b/>
      <w:caps/>
      <w:sz w:val="16"/>
      <w:lang w:val="ru-RU" w:eastAsia="ru-RU"/>
    </w:rPr>
  </w:style>
  <w:style w:type="paragraph" w:customStyle="1" w:styleId="21">
    <w:name w:val="Заголовок 21"/>
    <w:basedOn w:val="a"/>
    <w:link w:val="Heading2Char"/>
    <w:rsid w:val="0045369C"/>
    <w:rPr>
      <w:rFonts w:ascii="Arial" w:eastAsia="Times New Roman" w:hAnsi="Arial"/>
      <w:b/>
      <w:caps/>
      <w:sz w:val="16"/>
    </w:rPr>
  </w:style>
  <w:style w:type="character" w:customStyle="1" w:styleId="Heading4Char">
    <w:name w:val="Heading 4 Char"/>
    <w:link w:val="41"/>
    <w:locked/>
    <w:rsid w:val="0045369C"/>
    <w:rPr>
      <w:rFonts w:ascii="Arial" w:eastAsia="Times New Roman" w:hAnsi="Arial"/>
      <w:b/>
      <w:lang w:val="ru-RU" w:eastAsia="ru-RU"/>
    </w:rPr>
  </w:style>
  <w:style w:type="paragraph" w:customStyle="1" w:styleId="41">
    <w:name w:val="Заголовок 41"/>
    <w:basedOn w:val="a"/>
    <w:link w:val="Heading4Char"/>
    <w:rsid w:val="0045369C"/>
    <w:rPr>
      <w:rFonts w:ascii="Arial" w:eastAsia="Times New Roman" w:hAnsi="Arial"/>
      <w:b/>
    </w:rPr>
  </w:style>
  <w:style w:type="table" w:styleId="a8">
    <w:name w:val="Table Grid"/>
    <w:basedOn w:val="a1"/>
    <w:uiPriority w:val="59"/>
    <w:rsid w:val="004536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45369C"/>
    <w:rPr>
      <w:lang w:val="uk-UA"/>
    </w:rPr>
    <w:tblPr>
      <w:tblCellMar>
        <w:top w:w="0" w:type="dxa"/>
        <w:left w:w="108" w:type="dxa"/>
        <w:bottom w:w="0" w:type="dxa"/>
        <w:right w:w="108" w:type="dxa"/>
      </w:tblCellMar>
    </w:tblPr>
  </w:style>
  <w:style w:type="character" w:customStyle="1" w:styleId="csb3e8c9cf24">
    <w:name w:val="csb3e8c9cf24"/>
    <w:rsid w:val="0045369C"/>
    <w:rPr>
      <w:rFonts w:ascii="Arial" w:hAnsi="Arial" w:cs="Arial" w:hint="default"/>
      <w:b/>
      <w:bCs/>
      <w:i w:val="0"/>
      <w:iCs w:val="0"/>
      <w:color w:val="000000"/>
      <w:sz w:val="18"/>
      <w:szCs w:val="18"/>
      <w:shd w:val="clear" w:color="auto" w:fill="auto"/>
    </w:rPr>
  </w:style>
  <w:style w:type="paragraph" w:styleId="a9">
    <w:name w:val="Balloon Text"/>
    <w:basedOn w:val="a"/>
    <w:link w:val="aa"/>
    <w:semiHidden/>
    <w:rsid w:val="0045369C"/>
    <w:rPr>
      <w:rFonts w:ascii="Tahoma" w:eastAsia="Times New Roman" w:hAnsi="Tahoma" w:cs="Tahoma"/>
      <w:sz w:val="16"/>
      <w:szCs w:val="16"/>
    </w:rPr>
  </w:style>
  <w:style w:type="character" w:customStyle="1" w:styleId="aa">
    <w:name w:val="Текст выноски Знак"/>
    <w:link w:val="a9"/>
    <w:semiHidden/>
    <w:rsid w:val="0045369C"/>
    <w:rPr>
      <w:rFonts w:ascii="Tahoma" w:eastAsia="Times New Roman" w:hAnsi="Tahoma" w:cs="Tahoma"/>
      <w:sz w:val="16"/>
      <w:szCs w:val="16"/>
      <w:lang w:val="ru-RU" w:eastAsia="ru-RU"/>
    </w:rPr>
  </w:style>
  <w:style w:type="paragraph" w:customStyle="1" w:styleId="BodyTextIndent2">
    <w:name w:val="Body Text Indent2"/>
    <w:basedOn w:val="a"/>
    <w:rsid w:val="0045369C"/>
    <w:pPr>
      <w:jc w:val="center"/>
    </w:pPr>
    <w:rPr>
      <w:rFonts w:ascii="Arial" w:eastAsia="Times New Roman" w:hAnsi="Arial"/>
      <w:b/>
      <w:i/>
      <w:sz w:val="18"/>
      <w:lang w:val="uk-UA"/>
    </w:rPr>
  </w:style>
  <w:style w:type="paragraph" w:customStyle="1" w:styleId="13">
    <w:name w:val="Основной текст с отступом1"/>
    <w:basedOn w:val="a"/>
    <w:link w:val="BodyTextIndentChar"/>
    <w:rsid w:val="0045369C"/>
    <w:pPr>
      <w:spacing w:before="120" w:after="120"/>
    </w:pPr>
    <w:rPr>
      <w:rFonts w:ascii="Arial" w:eastAsia="Times New Roman" w:hAnsi="Arial"/>
      <w:sz w:val="18"/>
    </w:rPr>
  </w:style>
  <w:style w:type="character" w:customStyle="1" w:styleId="BodyTextIndentChar">
    <w:name w:val="Body Text Indent Char"/>
    <w:link w:val="13"/>
    <w:locked/>
    <w:rsid w:val="0045369C"/>
    <w:rPr>
      <w:rFonts w:ascii="Arial" w:eastAsia="Times New Roman" w:hAnsi="Arial"/>
      <w:sz w:val="18"/>
      <w:lang w:val="ru-RU" w:eastAsia="ru-RU"/>
    </w:rPr>
  </w:style>
  <w:style w:type="character" w:customStyle="1" w:styleId="csab6e076947">
    <w:name w:val="csab6e076947"/>
    <w:rsid w:val="0045369C"/>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5369C"/>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5369C"/>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5369C"/>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5369C"/>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5369C"/>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5369C"/>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5369C"/>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5369C"/>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5369C"/>
    <w:rPr>
      <w:rFonts w:ascii="Arial" w:hAnsi="Arial" w:cs="Arial" w:hint="default"/>
      <w:b w:val="0"/>
      <w:bCs w:val="0"/>
      <w:i w:val="0"/>
      <w:iCs w:val="0"/>
      <w:color w:val="000000"/>
      <w:sz w:val="18"/>
      <w:szCs w:val="18"/>
      <w:shd w:val="clear" w:color="auto" w:fill="auto"/>
    </w:rPr>
  </w:style>
  <w:style w:type="character" w:customStyle="1" w:styleId="csab6e076981">
    <w:name w:val="csab6e076981"/>
    <w:rsid w:val="0045369C"/>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5369C"/>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5369C"/>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5369C"/>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5369C"/>
    <w:rPr>
      <w:rFonts w:ascii="Arial" w:hAnsi="Arial" w:cs="Arial" w:hint="default"/>
      <w:b/>
      <w:bCs/>
      <w:i w:val="0"/>
      <w:iCs w:val="0"/>
      <w:color w:val="000000"/>
      <w:sz w:val="18"/>
      <w:szCs w:val="18"/>
      <w:shd w:val="clear" w:color="auto" w:fill="auto"/>
    </w:rPr>
  </w:style>
  <w:style w:type="character" w:customStyle="1" w:styleId="csab6e076980">
    <w:name w:val="csab6e076980"/>
    <w:rsid w:val="0045369C"/>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5369C"/>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5369C"/>
    <w:rPr>
      <w:rFonts w:ascii="Arial" w:hAnsi="Arial" w:cs="Arial" w:hint="default"/>
      <w:b/>
      <w:bCs/>
      <w:i w:val="0"/>
      <w:iCs w:val="0"/>
      <w:color w:val="000000"/>
      <w:sz w:val="18"/>
      <w:szCs w:val="18"/>
      <w:shd w:val="clear" w:color="auto" w:fill="auto"/>
    </w:rPr>
  </w:style>
  <w:style w:type="character" w:customStyle="1" w:styleId="csab6e076961">
    <w:name w:val="csab6e076961"/>
    <w:rsid w:val="0045369C"/>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5369C"/>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5369C"/>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5369C"/>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5369C"/>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5369C"/>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5369C"/>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5369C"/>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5369C"/>
    <w:rPr>
      <w:rFonts w:ascii="Arial" w:hAnsi="Arial" w:cs="Arial" w:hint="default"/>
      <w:b/>
      <w:bCs/>
      <w:i w:val="0"/>
      <w:iCs w:val="0"/>
      <w:color w:val="000000"/>
      <w:sz w:val="18"/>
      <w:szCs w:val="18"/>
      <w:shd w:val="clear" w:color="auto" w:fill="auto"/>
    </w:rPr>
  </w:style>
  <w:style w:type="character" w:customStyle="1" w:styleId="csab6e0769276">
    <w:name w:val="csab6e0769276"/>
    <w:rsid w:val="0045369C"/>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5369C"/>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5369C"/>
    <w:rPr>
      <w:rFonts w:ascii="Arial" w:hAnsi="Arial" w:cs="Arial" w:hint="default"/>
      <w:b/>
      <w:bCs/>
      <w:i w:val="0"/>
      <w:iCs w:val="0"/>
      <w:color w:val="000000"/>
      <w:sz w:val="18"/>
      <w:szCs w:val="18"/>
      <w:shd w:val="clear" w:color="auto" w:fill="auto"/>
    </w:rPr>
  </w:style>
  <w:style w:type="character" w:customStyle="1" w:styleId="csf229d0ff13">
    <w:name w:val="csf229d0ff13"/>
    <w:rsid w:val="0045369C"/>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5369C"/>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5369C"/>
    <w:rPr>
      <w:rFonts w:ascii="Arial" w:hAnsi="Arial" w:cs="Arial" w:hint="default"/>
      <w:b/>
      <w:bCs/>
      <w:i w:val="0"/>
      <w:iCs w:val="0"/>
      <w:color w:val="000000"/>
      <w:sz w:val="18"/>
      <w:szCs w:val="18"/>
      <w:shd w:val="clear" w:color="auto" w:fill="auto"/>
    </w:rPr>
  </w:style>
  <w:style w:type="character" w:customStyle="1" w:styleId="csafaf5741100">
    <w:name w:val="csafaf5741100"/>
    <w:rsid w:val="0045369C"/>
    <w:rPr>
      <w:rFonts w:ascii="Arial" w:hAnsi="Arial" w:cs="Arial" w:hint="default"/>
      <w:b/>
      <w:bCs/>
      <w:i w:val="0"/>
      <w:iCs w:val="0"/>
      <w:color w:val="000000"/>
      <w:sz w:val="18"/>
      <w:szCs w:val="18"/>
      <w:shd w:val="clear" w:color="auto" w:fill="auto"/>
    </w:rPr>
  </w:style>
  <w:style w:type="paragraph" w:styleId="ab">
    <w:name w:val="Body Text Indent"/>
    <w:basedOn w:val="a"/>
    <w:link w:val="ac"/>
    <w:uiPriority w:val="99"/>
    <w:rsid w:val="0045369C"/>
    <w:pPr>
      <w:spacing w:after="120"/>
      <w:ind w:left="283"/>
    </w:pPr>
    <w:rPr>
      <w:rFonts w:eastAsia="Times New Roman"/>
      <w:sz w:val="24"/>
      <w:szCs w:val="24"/>
    </w:rPr>
  </w:style>
  <w:style w:type="character" w:customStyle="1" w:styleId="ac">
    <w:name w:val="Основной текст с отступом Знак"/>
    <w:link w:val="ab"/>
    <w:uiPriority w:val="99"/>
    <w:rsid w:val="0045369C"/>
    <w:rPr>
      <w:rFonts w:ascii="Times New Roman" w:eastAsia="Times New Roman" w:hAnsi="Times New Roman"/>
      <w:sz w:val="24"/>
      <w:szCs w:val="24"/>
      <w:lang w:val="ru-RU" w:eastAsia="ru-RU"/>
    </w:rPr>
  </w:style>
  <w:style w:type="character" w:customStyle="1" w:styleId="csf229d0ff16">
    <w:name w:val="csf229d0ff16"/>
    <w:rsid w:val="0045369C"/>
    <w:rPr>
      <w:rFonts w:ascii="Arial" w:hAnsi="Arial" w:cs="Arial" w:hint="default"/>
      <w:b w:val="0"/>
      <w:bCs w:val="0"/>
      <w:i w:val="0"/>
      <w:iCs w:val="0"/>
      <w:color w:val="000000"/>
      <w:sz w:val="18"/>
      <w:szCs w:val="18"/>
      <w:shd w:val="clear" w:color="auto" w:fill="auto"/>
    </w:rPr>
  </w:style>
  <w:style w:type="paragraph" w:styleId="33">
    <w:name w:val="Body Text 3"/>
    <w:basedOn w:val="a"/>
    <w:link w:val="34"/>
    <w:unhideWhenUsed/>
    <w:rsid w:val="0045369C"/>
    <w:pPr>
      <w:spacing w:after="120"/>
    </w:pPr>
    <w:rPr>
      <w:rFonts w:eastAsia="Times New Roman"/>
      <w:sz w:val="16"/>
      <w:szCs w:val="16"/>
      <w:lang w:val="uk-UA" w:eastAsia="uk-UA"/>
    </w:rPr>
  </w:style>
  <w:style w:type="character" w:customStyle="1" w:styleId="34">
    <w:name w:val="Основной текст 3 Знак"/>
    <w:link w:val="33"/>
    <w:rsid w:val="0045369C"/>
    <w:rPr>
      <w:rFonts w:ascii="Times New Roman" w:eastAsia="Times New Roman" w:hAnsi="Times New Roman"/>
      <w:sz w:val="16"/>
      <w:szCs w:val="16"/>
      <w:lang w:val="uk-UA" w:eastAsia="uk-UA"/>
    </w:rPr>
  </w:style>
  <w:style w:type="character" w:customStyle="1" w:styleId="csab6e076931">
    <w:name w:val="csab6e076931"/>
    <w:rsid w:val="0045369C"/>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45369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45369C"/>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45369C"/>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45369C"/>
    <w:pPr>
      <w:ind w:firstLine="708"/>
      <w:jc w:val="both"/>
    </w:pPr>
    <w:rPr>
      <w:rFonts w:ascii="Arial" w:eastAsia="Times New Roman" w:hAnsi="Arial"/>
      <w:b/>
      <w:sz w:val="18"/>
      <w:lang w:val="uk-UA"/>
    </w:rPr>
  </w:style>
  <w:style w:type="character" w:customStyle="1" w:styleId="csf229d0ff25">
    <w:name w:val="csf229d0ff25"/>
    <w:rsid w:val="0045369C"/>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45369C"/>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45369C"/>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45369C"/>
    <w:pPr>
      <w:ind w:firstLine="708"/>
      <w:jc w:val="both"/>
    </w:pPr>
    <w:rPr>
      <w:rFonts w:ascii="Arial" w:eastAsia="Times New Roman" w:hAnsi="Arial"/>
      <w:b/>
      <w:sz w:val="18"/>
      <w:lang w:val="uk-UA" w:eastAsia="uk-UA"/>
    </w:rPr>
  </w:style>
  <w:style w:type="paragraph" w:customStyle="1" w:styleId="cse71256d6">
    <w:name w:val="cse71256d6"/>
    <w:basedOn w:val="a"/>
    <w:rsid w:val="0045369C"/>
    <w:pPr>
      <w:ind w:left="1440"/>
    </w:pPr>
    <w:rPr>
      <w:rFonts w:eastAsia="Times New Roman"/>
      <w:sz w:val="24"/>
      <w:szCs w:val="24"/>
      <w:lang w:val="uk-UA" w:eastAsia="uk-UA"/>
    </w:rPr>
  </w:style>
  <w:style w:type="character" w:customStyle="1" w:styleId="csb3e8c9cf10">
    <w:name w:val="csb3e8c9cf10"/>
    <w:rsid w:val="0045369C"/>
    <w:rPr>
      <w:rFonts w:ascii="Arial" w:hAnsi="Arial" w:cs="Arial" w:hint="default"/>
      <w:b/>
      <w:bCs/>
      <w:i w:val="0"/>
      <w:iCs w:val="0"/>
      <w:color w:val="000000"/>
      <w:sz w:val="18"/>
      <w:szCs w:val="18"/>
      <w:shd w:val="clear" w:color="auto" w:fill="auto"/>
    </w:rPr>
  </w:style>
  <w:style w:type="character" w:customStyle="1" w:styleId="csafaf574127">
    <w:name w:val="csafaf574127"/>
    <w:rsid w:val="0045369C"/>
    <w:rPr>
      <w:rFonts w:ascii="Arial" w:hAnsi="Arial" w:cs="Arial" w:hint="default"/>
      <w:b/>
      <w:bCs/>
      <w:i w:val="0"/>
      <w:iCs w:val="0"/>
      <w:color w:val="000000"/>
      <w:sz w:val="18"/>
      <w:szCs w:val="18"/>
      <w:shd w:val="clear" w:color="auto" w:fill="auto"/>
    </w:rPr>
  </w:style>
  <w:style w:type="character" w:customStyle="1" w:styleId="csf229d0ff10">
    <w:name w:val="csf229d0ff10"/>
    <w:rsid w:val="0045369C"/>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45369C"/>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45369C"/>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45369C"/>
    <w:rPr>
      <w:rFonts w:ascii="Arial" w:hAnsi="Arial" w:cs="Arial" w:hint="default"/>
      <w:b/>
      <w:bCs/>
      <w:i w:val="0"/>
      <w:iCs w:val="0"/>
      <w:color w:val="000000"/>
      <w:sz w:val="18"/>
      <w:szCs w:val="18"/>
      <w:shd w:val="clear" w:color="auto" w:fill="auto"/>
    </w:rPr>
  </w:style>
  <w:style w:type="character" w:customStyle="1" w:styleId="csafaf5741106">
    <w:name w:val="csafaf5741106"/>
    <w:rsid w:val="0045369C"/>
    <w:rPr>
      <w:rFonts w:ascii="Arial" w:hAnsi="Arial" w:cs="Arial" w:hint="default"/>
      <w:b/>
      <w:bCs/>
      <w:i w:val="0"/>
      <w:iCs w:val="0"/>
      <w:color w:val="000000"/>
      <w:sz w:val="18"/>
      <w:szCs w:val="18"/>
      <w:shd w:val="clear" w:color="auto" w:fill="auto"/>
    </w:rPr>
  </w:style>
  <w:style w:type="paragraph" w:customStyle="1" w:styleId="6">
    <w:name w:val="Основной текст с отступом6"/>
    <w:basedOn w:val="a"/>
    <w:rsid w:val="0045369C"/>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45369C"/>
    <w:pPr>
      <w:ind w:firstLine="708"/>
      <w:jc w:val="both"/>
    </w:pPr>
    <w:rPr>
      <w:rFonts w:ascii="Arial" w:eastAsia="Times New Roman" w:hAnsi="Arial"/>
      <w:b/>
      <w:sz w:val="18"/>
      <w:lang w:val="uk-UA" w:eastAsia="uk-UA"/>
    </w:rPr>
  </w:style>
  <w:style w:type="character" w:customStyle="1" w:styleId="csafaf5741216">
    <w:name w:val="csafaf5741216"/>
    <w:rsid w:val="0045369C"/>
    <w:rPr>
      <w:rFonts w:ascii="Arial" w:hAnsi="Arial" w:cs="Arial" w:hint="default"/>
      <w:b/>
      <w:bCs/>
      <w:i w:val="0"/>
      <w:iCs w:val="0"/>
      <w:color w:val="000000"/>
      <w:sz w:val="18"/>
      <w:szCs w:val="18"/>
      <w:shd w:val="clear" w:color="auto" w:fill="auto"/>
    </w:rPr>
  </w:style>
  <w:style w:type="character" w:customStyle="1" w:styleId="csf229d0ff19">
    <w:name w:val="csf229d0ff19"/>
    <w:rsid w:val="0045369C"/>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5369C"/>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5369C"/>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45369C"/>
    <w:pPr>
      <w:ind w:firstLine="708"/>
      <w:jc w:val="both"/>
    </w:pPr>
    <w:rPr>
      <w:rFonts w:ascii="Arial" w:eastAsia="Times New Roman" w:hAnsi="Arial"/>
      <w:b/>
      <w:sz w:val="18"/>
      <w:lang w:val="uk-UA" w:eastAsia="uk-UA"/>
    </w:rPr>
  </w:style>
  <w:style w:type="paragraph" w:customStyle="1" w:styleId="110">
    <w:name w:val="Основной текст с отступом11"/>
    <w:basedOn w:val="a"/>
    <w:rsid w:val="0045369C"/>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45369C"/>
    <w:pPr>
      <w:ind w:firstLine="708"/>
      <w:jc w:val="both"/>
    </w:pPr>
    <w:rPr>
      <w:rFonts w:ascii="Arial" w:eastAsia="Times New Roman" w:hAnsi="Arial"/>
      <w:b/>
      <w:sz w:val="18"/>
      <w:lang w:val="uk-UA" w:eastAsia="uk-UA"/>
    </w:rPr>
  </w:style>
  <w:style w:type="character" w:customStyle="1" w:styleId="csf229d0ff14">
    <w:name w:val="csf229d0ff14"/>
    <w:rsid w:val="0045369C"/>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45369C"/>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45369C"/>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45369C"/>
    <w:pPr>
      <w:ind w:firstLine="708"/>
      <w:jc w:val="both"/>
    </w:pPr>
    <w:rPr>
      <w:rFonts w:ascii="Arial" w:eastAsia="Times New Roman" w:hAnsi="Arial"/>
      <w:b/>
      <w:sz w:val="18"/>
      <w:lang w:val="uk-UA" w:eastAsia="uk-UA"/>
    </w:rPr>
  </w:style>
  <w:style w:type="paragraph" w:customStyle="1" w:styleId="14">
    <w:name w:val="Основной текст с отступом14"/>
    <w:basedOn w:val="a"/>
    <w:rsid w:val="0045369C"/>
    <w:pPr>
      <w:ind w:firstLine="708"/>
      <w:jc w:val="both"/>
    </w:pPr>
    <w:rPr>
      <w:rFonts w:ascii="Arial" w:eastAsia="Times New Roman" w:hAnsi="Arial"/>
      <w:b/>
      <w:sz w:val="18"/>
      <w:lang w:val="uk-UA" w:eastAsia="uk-UA"/>
    </w:rPr>
  </w:style>
  <w:style w:type="paragraph" w:customStyle="1" w:styleId="15">
    <w:name w:val="Основной текст с отступом15"/>
    <w:basedOn w:val="a"/>
    <w:rsid w:val="0045369C"/>
    <w:pPr>
      <w:ind w:firstLine="708"/>
      <w:jc w:val="both"/>
    </w:pPr>
    <w:rPr>
      <w:rFonts w:ascii="Arial" w:eastAsia="Times New Roman" w:hAnsi="Arial"/>
      <w:b/>
      <w:sz w:val="18"/>
      <w:lang w:val="uk-UA" w:eastAsia="uk-UA"/>
    </w:rPr>
  </w:style>
  <w:style w:type="character" w:customStyle="1" w:styleId="csab6e0769225">
    <w:name w:val="csab6e0769225"/>
    <w:rsid w:val="0045369C"/>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45369C"/>
    <w:pPr>
      <w:ind w:firstLine="708"/>
      <w:jc w:val="both"/>
    </w:pPr>
    <w:rPr>
      <w:rFonts w:ascii="Arial" w:eastAsia="Times New Roman" w:hAnsi="Arial"/>
      <w:b/>
      <w:sz w:val="18"/>
      <w:lang w:val="uk-UA" w:eastAsia="uk-UA"/>
    </w:rPr>
  </w:style>
  <w:style w:type="character" w:customStyle="1" w:styleId="csb3e8c9cf3">
    <w:name w:val="csb3e8c9cf3"/>
    <w:rsid w:val="0045369C"/>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45369C"/>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45369C"/>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45369C"/>
    <w:pPr>
      <w:ind w:firstLine="708"/>
      <w:jc w:val="both"/>
    </w:pPr>
    <w:rPr>
      <w:rFonts w:ascii="Arial" w:eastAsia="Times New Roman" w:hAnsi="Arial"/>
      <w:b/>
      <w:sz w:val="18"/>
      <w:lang w:val="uk-UA" w:eastAsia="uk-UA"/>
    </w:rPr>
  </w:style>
  <w:style w:type="character" w:customStyle="1" w:styleId="csb86c8cfe1">
    <w:name w:val="csb86c8cfe1"/>
    <w:rsid w:val="0045369C"/>
    <w:rPr>
      <w:rFonts w:ascii="Times New Roman" w:hAnsi="Times New Roman" w:cs="Times New Roman" w:hint="default"/>
      <w:b/>
      <w:bCs/>
      <w:i w:val="0"/>
      <w:iCs w:val="0"/>
      <w:color w:val="000000"/>
      <w:sz w:val="24"/>
      <w:szCs w:val="24"/>
    </w:rPr>
  </w:style>
  <w:style w:type="character" w:customStyle="1" w:styleId="csf229d0ff21">
    <w:name w:val="csf229d0ff21"/>
    <w:rsid w:val="0045369C"/>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45369C"/>
    <w:pPr>
      <w:ind w:firstLine="708"/>
      <w:jc w:val="both"/>
    </w:pPr>
    <w:rPr>
      <w:rFonts w:ascii="Arial" w:eastAsia="Times New Roman" w:hAnsi="Arial"/>
      <w:b/>
      <w:sz w:val="18"/>
      <w:lang w:val="uk-UA" w:eastAsia="uk-UA"/>
    </w:rPr>
  </w:style>
  <w:style w:type="character" w:customStyle="1" w:styleId="csf229d0ff26">
    <w:name w:val="csf229d0ff26"/>
    <w:rsid w:val="0045369C"/>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45369C"/>
    <w:pPr>
      <w:jc w:val="both"/>
    </w:pPr>
    <w:rPr>
      <w:rFonts w:ascii="Arial" w:eastAsia="Times New Roman" w:hAnsi="Arial"/>
      <w:sz w:val="24"/>
      <w:szCs w:val="24"/>
      <w:lang w:val="uk-UA" w:eastAsia="uk-UA"/>
    </w:rPr>
  </w:style>
  <w:style w:type="character" w:customStyle="1" w:styleId="cs8c2cf3831">
    <w:name w:val="cs8c2cf3831"/>
    <w:rsid w:val="0045369C"/>
    <w:rPr>
      <w:rFonts w:ascii="Arial" w:hAnsi="Arial" w:cs="Arial" w:hint="default"/>
      <w:b/>
      <w:bCs/>
      <w:i/>
      <w:iCs/>
      <w:color w:val="102B56"/>
      <w:sz w:val="18"/>
      <w:szCs w:val="18"/>
      <w:shd w:val="clear" w:color="auto" w:fill="auto"/>
    </w:rPr>
  </w:style>
  <w:style w:type="character" w:customStyle="1" w:styleId="csd71f5e5a1">
    <w:name w:val="csd71f5e5a1"/>
    <w:rsid w:val="0045369C"/>
    <w:rPr>
      <w:rFonts w:ascii="Arial" w:hAnsi="Arial" w:cs="Arial" w:hint="default"/>
      <w:b w:val="0"/>
      <w:bCs w:val="0"/>
      <w:i/>
      <w:iCs/>
      <w:color w:val="102B56"/>
      <w:sz w:val="18"/>
      <w:szCs w:val="18"/>
      <w:shd w:val="clear" w:color="auto" w:fill="auto"/>
    </w:rPr>
  </w:style>
  <w:style w:type="character" w:customStyle="1" w:styleId="cs8f6c24af1">
    <w:name w:val="cs8f6c24af1"/>
    <w:rsid w:val="0045369C"/>
    <w:rPr>
      <w:rFonts w:ascii="Arial" w:hAnsi="Arial" w:cs="Arial" w:hint="default"/>
      <w:b/>
      <w:bCs/>
      <w:i w:val="0"/>
      <w:iCs w:val="0"/>
      <w:color w:val="102B56"/>
      <w:sz w:val="18"/>
      <w:szCs w:val="18"/>
      <w:shd w:val="clear" w:color="auto" w:fill="auto"/>
    </w:rPr>
  </w:style>
  <w:style w:type="character" w:customStyle="1" w:styleId="csa5a0f5421">
    <w:name w:val="csa5a0f5421"/>
    <w:rsid w:val="0045369C"/>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45369C"/>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45369C"/>
    <w:pPr>
      <w:ind w:firstLine="708"/>
      <w:jc w:val="both"/>
    </w:pPr>
    <w:rPr>
      <w:rFonts w:ascii="Arial" w:eastAsia="Times New Roman" w:hAnsi="Arial"/>
      <w:b/>
      <w:sz w:val="18"/>
      <w:lang w:val="uk-UA" w:eastAsia="uk-UA"/>
    </w:rPr>
  </w:style>
  <w:style w:type="character" w:styleId="ad">
    <w:name w:val="line number"/>
    <w:uiPriority w:val="99"/>
    <w:rsid w:val="0045369C"/>
    <w:rPr>
      <w:rFonts w:ascii="Segoe UI" w:hAnsi="Segoe UI" w:cs="Segoe UI"/>
      <w:color w:val="000000"/>
      <w:sz w:val="18"/>
      <w:szCs w:val="18"/>
    </w:rPr>
  </w:style>
  <w:style w:type="character" w:styleId="ae">
    <w:name w:val="Hyperlink"/>
    <w:uiPriority w:val="99"/>
    <w:rsid w:val="0045369C"/>
    <w:rPr>
      <w:rFonts w:ascii="Segoe UI" w:hAnsi="Segoe UI" w:cs="Segoe UI"/>
      <w:color w:val="0000FF"/>
      <w:sz w:val="18"/>
      <w:szCs w:val="18"/>
      <w:u w:val="single"/>
    </w:rPr>
  </w:style>
  <w:style w:type="paragraph" w:customStyle="1" w:styleId="23">
    <w:name w:val="Основной текст с отступом23"/>
    <w:basedOn w:val="a"/>
    <w:rsid w:val="0045369C"/>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45369C"/>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45369C"/>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45369C"/>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45369C"/>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45369C"/>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45369C"/>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45369C"/>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45369C"/>
    <w:pPr>
      <w:ind w:firstLine="708"/>
      <w:jc w:val="both"/>
    </w:pPr>
    <w:rPr>
      <w:rFonts w:ascii="Arial" w:eastAsia="Times New Roman" w:hAnsi="Arial"/>
      <w:b/>
      <w:sz w:val="18"/>
      <w:lang w:val="uk-UA" w:eastAsia="uk-UA"/>
    </w:rPr>
  </w:style>
  <w:style w:type="character" w:customStyle="1" w:styleId="csa939b0971">
    <w:name w:val="csa939b0971"/>
    <w:rsid w:val="0045369C"/>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45369C"/>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45369C"/>
    <w:pPr>
      <w:ind w:firstLine="708"/>
      <w:jc w:val="both"/>
    </w:pPr>
    <w:rPr>
      <w:rFonts w:ascii="Arial" w:eastAsia="Times New Roman" w:hAnsi="Arial"/>
      <w:b/>
      <w:sz w:val="18"/>
      <w:lang w:val="uk-UA" w:eastAsia="uk-UA"/>
    </w:rPr>
  </w:style>
  <w:style w:type="character" w:styleId="af">
    <w:name w:val="annotation reference"/>
    <w:semiHidden/>
    <w:unhideWhenUsed/>
    <w:rsid w:val="0045369C"/>
    <w:rPr>
      <w:sz w:val="16"/>
      <w:szCs w:val="16"/>
    </w:rPr>
  </w:style>
  <w:style w:type="paragraph" w:styleId="af0">
    <w:name w:val="annotation text"/>
    <w:basedOn w:val="a"/>
    <w:link w:val="af1"/>
    <w:semiHidden/>
    <w:unhideWhenUsed/>
    <w:rsid w:val="0045369C"/>
    <w:rPr>
      <w:rFonts w:eastAsia="Times New Roman"/>
      <w:lang w:val="uk-UA" w:eastAsia="uk-UA"/>
    </w:rPr>
  </w:style>
  <w:style w:type="character" w:customStyle="1" w:styleId="af1">
    <w:name w:val="Текст примечания Знак"/>
    <w:link w:val="af0"/>
    <w:semiHidden/>
    <w:rsid w:val="0045369C"/>
    <w:rPr>
      <w:rFonts w:ascii="Times New Roman" w:eastAsia="Times New Roman" w:hAnsi="Times New Roman"/>
      <w:lang w:val="uk-UA" w:eastAsia="uk-UA"/>
    </w:rPr>
  </w:style>
  <w:style w:type="paragraph" w:styleId="af2">
    <w:name w:val="annotation subject"/>
    <w:basedOn w:val="af0"/>
    <w:next w:val="af0"/>
    <w:link w:val="af3"/>
    <w:semiHidden/>
    <w:unhideWhenUsed/>
    <w:rsid w:val="0045369C"/>
    <w:rPr>
      <w:b/>
      <w:bCs/>
    </w:rPr>
  </w:style>
  <w:style w:type="character" w:customStyle="1" w:styleId="af3">
    <w:name w:val="Тема примечания Знак"/>
    <w:link w:val="af2"/>
    <w:semiHidden/>
    <w:rsid w:val="0045369C"/>
    <w:rPr>
      <w:rFonts w:ascii="Times New Roman" w:eastAsia="Times New Roman" w:hAnsi="Times New Roman"/>
      <w:b/>
      <w:bCs/>
      <w:lang w:val="uk-UA" w:eastAsia="uk-UA"/>
    </w:rPr>
  </w:style>
  <w:style w:type="paragraph" w:styleId="af4">
    <w:name w:val="Revision"/>
    <w:hidden/>
    <w:uiPriority w:val="99"/>
    <w:semiHidden/>
    <w:rsid w:val="0045369C"/>
    <w:rPr>
      <w:rFonts w:ascii="Times New Roman" w:eastAsia="Times New Roman" w:hAnsi="Times New Roman"/>
      <w:sz w:val="24"/>
      <w:szCs w:val="24"/>
      <w:lang w:val="uk-UA" w:eastAsia="uk-UA"/>
    </w:rPr>
  </w:style>
  <w:style w:type="character" w:customStyle="1" w:styleId="csb3e8c9cf69">
    <w:name w:val="csb3e8c9cf69"/>
    <w:rsid w:val="0045369C"/>
    <w:rPr>
      <w:rFonts w:ascii="Arial" w:hAnsi="Arial" w:cs="Arial" w:hint="default"/>
      <w:b/>
      <w:bCs/>
      <w:i w:val="0"/>
      <w:iCs w:val="0"/>
      <w:color w:val="000000"/>
      <w:sz w:val="18"/>
      <w:szCs w:val="18"/>
      <w:shd w:val="clear" w:color="auto" w:fill="auto"/>
    </w:rPr>
  </w:style>
  <w:style w:type="character" w:customStyle="1" w:styleId="csf229d0ff64">
    <w:name w:val="csf229d0ff64"/>
    <w:rsid w:val="0045369C"/>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45369C"/>
    <w:rPr>
      <w:rFonts w:ascii="Arial" w:eastAsia="Times New Roman" w:hAnsi="Arial"/>
      <w:sz w:val="24"/>
      <w:szCs w:val="24"/>
      <w:lang w:val="uk-UA" w:eastAsia="uk-UA"/>
    </w:rPr>
  </w:style>
  <w:style w:type="character" w:customStyle="1" w:styleId="csd398459525">
    <w:name w:val="csd398459525"/>
    <w:rsid w:val="0045369C"/>
    <w:rPr>
      <w:rFonts w:ascii="Arial" w:hAnsi="Arial" w:cs="Arial" w:hint="default"/>
      <w:b/>
      <w:bCs/>
      <w:i/>
      <w:iCs/>
      <w:color w:val="000000"/>
      <w:sz w:val="18"/>
      <w:szCs w:val="18"/>
      <w:u w:val="single"/>
      <w:shd w:val="clear" w:color="auto" w:fill="auto"/>
    </w:rPr>
  </w:style>
  <w:style w:type="character" w:customStyle="1" w:styleId="csd3c90d4325">
    <w:name w:val="csd3c90d4325"/>
    <w:rsid w:val="0045369C"/>
    <w:rPr>
      <w:rFonts w:ascii="Arial" w:hAnsi="Arial" w:cs="Arial" w:hint="default"/>
      <w:b w:val="0"/>
      <w:bCs w:val="0"/>
      <w:i/>
      <w:iCs/>
      <w:color w:val="000000"/>
      <w:sz w:val="18"/>
      <w:szCs w:val="18"/>
      <w:shd w:val="clear" w:color="auto" w:fill="auto"/>
    </w:rPr>
  </w:style>
  <w:style w:type="character" w:customStyle="1" w:styleId="csb86c8cfe3">
    <w:name w:val="csb86c8cfe3"/>
    <w:rsid w:val="0045369C"/>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45369C"/>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45369C"/>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45369C"/>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45369C"/>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45369C"/>
    <w:pPr>
      <w:ind w:firstLine="708"/>
      <w:jc w:val="both"/>
    </w:pPr>
    <w:rPr>
      <w:rFonts w:ascii="Arial" w:eastAsia="Times New Roman" w:hAnsi="Arial"/>
      <w:b/>
      <w:sz w:val="18"/>
      <w:lang w:val="uk-UA" w:eastAsia="uk-UA"/>
    </w:rPr>
  </w:style>
  <w:style w:type="character" w:customStyle="1" w:styleId="csab6e076977">
    <w:name w:val="csab6e076977"/>
    <w:rsid w:val="0045369C"/>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5369C"/>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45369C"/>
    <w:rPr>
      <w:rFonts w:ascii="Arial" w:hAnsi="Arial" w:cs="Arial" w:hint="default"/>
      <w:b/>
      <w:bCs/>
      <w:i w:val="0"/>
      <w:iCs w:val="0"/>
      <w:color w:val="000000"/>
      <w:sz w:val="18"/>
      <w:szCs w:val="18"/>
      <w:shd w:val="clear" w:color="auto" w:fill="auto"/>
    </w:rPr>
  </w:style>
  <w:style w:type="character" w:customStyle="1" w:styleId="cs607602ac2">
    <w:name w:val="cs607602ac2"/>
    <w:rsid w:val="0045369C"/>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45369C"/>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45369C"/>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45369C"/>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45369C"/>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45369C"/>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45369C"/>
    <w:pPr>
      <w:ind w:firstLine="708"/>
      <w:jc w:val="both"/>
    </w:pPr>
    <w:rPr>
      <w:rFonts w:ascii="Arial" w:eastAsia="Times New Roman" w:hAnsi="Arial"/>
      <w:b/>
      <w:sz w:val="18"/>
      <w:lang w:val="uk-UA" w:eastAsia="uk-UA"/>
    </w:rPr>
  </w:style>
  <w:style w:type="character" w:customStyle="1" w:styleId="csab6e0769291">
    <w:name w:val="csab6e0769291"/>
    <w:rsid w:val="0045369C"/>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45369C"/>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45369C"/>
    <w:pPr>
      <w:ind w:firstLine="708"/>
      <w:jc w:val="both"/>
    </w:pPr>
    <w:rPr>
      <w:rFonts w:ascii="Arial" w:eastAsia="Times New Roman" w:hAnsi="Arial"/>
      <w:b/>
      <w:sz w:val="18"/>
      <w:lang w:val="uk-UA" w:eastAsia="uk-UA"/>
    </w:rPr>
  </w:style>
  <w:style w:type="character" w:customStyle="1" w:styleId="csf562b92915">
    <w:name w:val="csf562b92915"/>
    <w:rsid w:val="0045369C"/>
    <w:rPr>
      <w:rFonts w:ascii="Arial" w:hAnsi="Arial" w:cs="Arial" w:hint="default"/>
      <w:b/>
      <w:bCs/>
      <w:i/>
      <w:iCs/>
      <w:color w:val="000000"/>
      <w:sz w:val="18"/>
      <w:szCs w:val="18"/>
      <w:shd w:val="clear" w:color="auto" w:fill="auto"/>
    </w:rPr>
  </w:style>
  <w:style w:type="character" w:customStyle="1" w:styleId="cseed234731">
    <w:name w:val="cseed234731"/>
    <w:rsid w:val="0045369C"/>
    <w:rPr>
      <w:rFonts w:ascii="Arial" w:hAnsi="Arial" w:cs="Arial" w:hint="default"/>
      <w:b/>
      <w:bCs/>
      <w:i/>
      <w:iCs/>
      <w:color w:val="000000"/>
      <w:sz w:val="12"/>
      <w:szCs w:val="12"/>
      <w:shd w:val="clear" w:color="auto" w:fill="auto"/>
    </w:rPr>
  </w:style>
  <w:style w:type="character" w:customStyle="1" w:styleId="csb3e8c9cf35">
    <w:name w:val="csb3e8c9cf35"/>
    <w:rsid w:val="0045369C"/>
    <w:rPr>
      <w:rFonts w:ascii="Arial" w:hAnsi="Arial" w:cs="Arial" w:hint="default"/>
      <w:b/>
      <w:bCs/>
      <w:i w:val="0"/>
      <w:iCs w:val="0"/>
      <w:color w:val="000000"/>
      <w:sz w:val="18"/>
      <w:szCs w:val="18"/>
      <w:shd w:val="clear" w:color="auto" w:fill="auto"/>
    </w:rPr>
  </w:style>
  <w:style w:type="character" w:customStyle="1" w:styleId="csb3e8c9cf28">
    <w:name w:val="csb3e8c9cf28"/>
    <w:rsid w:val="0045369C"/>
    <w:rPr>
      <w:rFonts w:ascii="Arial" w:hAnsi="Arial" w:cs="Arial" w:hint="default"/>
      <w:b/>
      <w:bCs/>
      <w:i w:val="0"/>
      <w:iCs w:val="0"/>
      <w:color w:val="000000"/>
      <w:sz w:val="18"/>
      <w:szCs w:val="18"/>
      <w:shd w:val="clear" w:color="auto" w:fill="auto"/>
    </w:rPr>
  </w:style>
  <w:style w:type="character" w:customStyle="1" w:styleId="csf562b9296">
    <w:name w:val="csf562b9296"/>
    <w:rsid w:val="0045369C"/>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45369C"/>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45369C"/>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45369C"/>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45369C"/>
    <w:pPr>
      <w:ind w:firstLine="708"/>
      <w:jc w:val="both"/>
    </w:pPr>
    <w:rPr>
      <w:rFonts w:ascii="Arial" w:eastAsia="Times New Roman" w:hAnsi="Arial"/>
      <w:b/>
      <w:sz w:val="18"/>
      <w:lang w:val="uk-UA" w:eastAsia="uk-UA"/>
    </w:rPr>
  </w:style>
  <w:style w:type="character" w:customStyle="1" w:styleId="csab6e076930">
    <w:name w:val="csab6e076930"/>
    <w:rsid w:val="0045369C"/>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45369C"/>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45369C"/>
    <w:pPr>
      <w:ind w:firstLine="708"/>
      <w:jc w:val="both"/>
    </w:pPr>
    <w:rPr>
      <w:rFonts w:ascii="Arial" w:eastAsia="Times New Roman" w:hAnsi="Arial"/>
      <w:b/>
      <w:sz w:val="18"/>
      <w:lang w:val="uk-UA" w:eastAsia="uk-UA"/>
    </w:rPr>
  </w:style>
  <w:style w:type="paragraph" w:customStyle="1" w:styleId="60">
    <w:name w:val="Основной текст с отступом60"/>
    <w:basedOn w:val="a"/>
    <w:rsid w:val="0045369C"/>
    <w:pPr>
      <w:ind w:firstLine="708"/>
      <w:jc w:val="both"/>
    </w:pPr>
    <w:rPr>
      <w:rFonts w:ascii="Arial" w:eastAsia="Times New Roman" w:hAnsi="Arial"/>
      <w:b/>
      <w:sz w:val="18"/>
      <w:lang w:val="uk-UA" w:eastAsia="uk-UA"/>
    </w:rPr>
  </w:style>
  <w:style w:type="paragraph" w:customStyle="1" w:styleId="61">
    <w:name w:val="Основной текст с отступом61"/>
    <w:basedOn w:val="a"/>
    <w:rsid w:val="0045369C"/>
    <w:pPr>
      <w:ind w:firstLine="708"/>
      <w:jc w:val="both"/>
    </w:pPr>
    <w:rPr>
      <w:rFonts w:ascii="Arial" w:eastAsia="Times New Roman" w:hAnsi="Arial"/>
      <w:b/>
      <w:sz w:val="18"/>
      <w:lang w:val="uk-UA" w:eastAsia="uk-UA"/>
    </w:rPr>
  </w:style>
  <w:style w:type="paragraph" w:customStyle="1" w:styleId="24">
    <w:name w:val="Обычный2"/>
    <w:rsid w:val="0045369C"/>
    <w:rPr>
      <w:rFonts w:ascii="Times New Roman" w:eastAsia="Times New Roman" w:hAnsi="Times New Roman"/>
      <w:sz w:val="24"/>
      <w:lang w:val="uk-UA" w:eastAsia="ru-RU"/>
    </w:rPr>
  </w:style>
  <w:style w:type="paragraph" w:customStyle="1" w:styleId="220">
    <w:name w:val="Основной текст с отступом22"/>
    <w:basedOn w:val="a"/>
    <w:rsid w:val="0045369C"/>
    <w:pPr>
      <w:spacing w:before="120" w:after="120"/>
    </w:pPr>
    <w:rPr>
      <w:rFonts w:ascii="Arial" w:eastAsia="Times New Roman" w:hAnsi="Arial"/>
      <w:sz w:val="18"/>
    </w:rPr>
  </w:style>
  <w:style w:type="paragraph" w:customStyle="1" w:styleId="221">
    <w:name w:val="Заголовок 22"/>
    <w:basedOn w:val="a"/>
    <w:rsid w:val="0045369C"/>
    <w:rPr>
      <w:rFonts w:ascii="Arial" w:eastAsia="Times New Roman" w:hAnsi="Arial"/>
      <w:b/>
      <w:caps/>
      <w:sz w:val="16"/>
    </w:rPr>
  </w:style>
  <w:style w:type="paragraph" w:customStyle="1" w:styleId="421">
    <w:name w:val="Заголовок 42"/>
    <w:basedOn w:val="a"/>
    <w:rsid w:val="0045369C"/>
    <w:rPr>
      <w:rFonts w:ascii="Arial" w:eastAsia="Times New Roman" w:hAnsi="Arial"/>
      <w:b/>
    </w:rPr>
  </w:style>
  <w:style w:type="paragraph" w:customStyle="1" w:styleId="3a">
    <w:name w:val="Обычный3"/>
    <w:rsid w:val="0045369C"/>
    <w:rPr>
      <w:rFonts w:ascii="Times New Roman" w:eastAsia="Times New Roman" w:hAnsi="Times New Roman"/>
      <w:sz w:val="24"/>
      <w:lang w:val="uk-UA" w:eastAsia="ru-RU"/>
    </w:rPr>
  </w:style>
  <w:style w:type="paragraph" w:customStyle="1" w:styleId="240">
    <w:name w:val="Основной текст с отступом24"/>
    <w:basedOn w:val="a"/>
    <w:rsid w:val="0045369C"/>
    <w:pPr>
      <w:spacing w:before="120" w:after="120"/>
    </w:pPr>
    <w:rPr>
      <w:rFonts w:ascii="Arial" w:eastAsia="Times New Roman" w:hAnsi="Arial"/>
      <w:sz w:val="18"/>
    </w:rPr>
  </w:style>
  <w:style w:type="paragraph" w:customStyle="1" w:styleId="230">
    <w:name w:val="Заголовок 23"/>
    <w:basedOn w:val="a"/>
    <w:rsid w:val="0045369C"/>
    <w:rPr>
      <w:rFonts w:ascii="Arial" w:eastAsia="Times New Roman" w:hAnsi="Arial"/>
      <w:b/>
      <w:caps/>
      <w:sz w:val="16"/>
    </w:rPr>
  </w:style>
  <w:style w:type="paragraph" w:customStyle="1" w:styleId="430">
    <w:name w:val="Заголовок 43"/>
    <w:basedOn w:val="a"/>
    <w:rsid w:val="0045369C"/>
    <w:rPr>
      <w:rFonts w:ascii="Arial" w:eastAsia="Times New Roman" w:hAnsi="Arial"/>
      <w:b/>
    </w:rPr>
  </w:style>
  <w:style w:type="paragraph" w:customStyle="1" w:styleId="BodyTextIndent">
    <w:name w:val="Body Text Indent"/>
    <w:basedOn w:val="a"/>
    <w:rsid w:val="0045369C"/>
    <w:pPr>
      <w:spacing w:before="120" w:after="120"/>
    </w:pPr>
    <w:rPr>
      <w:rFonts w:ascii="Arial" w:eastAsia="Times New Roman" w:hAnsi="Arial"/>
      <w:sz w:val="18"/>
    </w:rPr>
  </w:style>
  <w:style w:type="paragraph" w:customStyle="1" w:styleId="Heading2">
    <w:name w:val="Heading 2"/>
    <w:basedOn w:val="a"/>
    <w:rsid w:val="0045369C"/>
    <w:rPr>
      <w:rFonts w:ascii="Arial" w:eastAsia="Times New Roman" w:hAnsi="Arial"/>
      <w:b/>
      <w:caps/>
      <w:sz w:val="16"/>
    </w:rPr>
  </w:style>
  <w:style w:type="paragraph" w:customStyle="1" w:styleId="Heading4">
    <w:name w:val="Heading 4"/>
    <w:basedOn w:val="a"/>
    <w:rsid w:val="0045369C"/>
    <w:rPr>
      <w:rFonts w:ascii="Arial" w:eastAsia="Times New Roman" w:hAnsi="Arial"/>
      <w:b/>
    </w:rPr>
  </w:style>
  <w:style w:type="paragraph" w:customStyle="1" w:styleId="62">
    <w:name w:val="Основной текст с отступом62"/>
    <w:basedOn w:val="a"/>
    <w:rsid w:val="0045369C"/>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45369C"/>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45369C"/>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45369C"/>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45369C"/>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45369C"/>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45369C"/>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45369C"/>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45369C"/>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45369C"/>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45369C"/>
    <w:pPr>
      <w:ind w:firstLine="708"/>
      <w:jc w:val="both"/>
    </w:pPr>
    <w:rPr>
      <w:rFonts w:ascii="Arial" w:eastAsia="Times New Roman" w:hAnsi="Arial"/>
      <w:b/>
      <w:sz w:val="18"/>
      <w:lang w:val="uk-UA" w:eastAsia="uk-UA"/>
    </w:rPr>
  </w:style>
  <w:style w:type="character" w:customStyle="1" w:styleId="140">
    <w:name w:val="Основной текст (14)_"/>
    <w:link w:val="141"/>
    <w:uiPriority w:val="99"/>
    <w:locked/>
    <w:rsid w:val="0045369C"/>
    <w:rPr>
      <w:rFonts w:ascii="Times New Roman" w:hAnsi="Times New Roman"/>
      <w:sz w:val="21"/>
      <w:szCs w:val="21"/>
      <w:shd w:val="clear" w:color="auto" w:fill="FFFFFF"/>
    </w:rPr>
  </w:style>
  <w:style w:type="paragraph" w:customStyle="1" w:styleId="141">
    <w:name w:val="Основной текст (14)"/>
    <w:basedOn w:val="a"/>
    <w:link w:val="140"/>
    <w:uiPriority w:val="99"/>
    <w:rsid w:val="0045369C"/>
    <w:pPr>
      <w:widowControl w:val="0"/>
      <w:shd w:val="clear" w:color="auto" w:fill="FFFFFF"/>
      <w:spacing w:line="278" w:lineRule="exact"/>
      <w:jc w:val="center"/>
    </w:pPr>
    <w:rPr>
      <w:sz w:val="21"/>
      <w:szCs w:val="21"/>
      <w:lang w:val="en-US" w:eastAsia="en-US"/>
    </w:rPr>
  </w:style>
  <w:style w:type="paragraph" w:customStyle="1" w:styleId="73">
    <w:name w:val="Основной текст с отступом73"/>
    <w:basedOn w:val="a"/>
    <w:rsid w:val="0045369C"/>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45369C"/>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45369C"/>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45369C"/>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45369C"/>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45369C"/>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45369C"/>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45369C"/>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45369C"/>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45369C"/>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45369C"/>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45369C"/>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45369C"/>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45369C"/>
    <w:pPr>
      <w:ind w:firstLine="708"/>
      <w:jc w:val="both"/>
    </w:pPr>
    <w:rPr>
      <w:rFonts w:ascii="Arial" w:eastAsia="Times New Roman" w:hAnsi="Arial"/>
      <w:b/>
      <w:sz w:val="18"/>
      <w:lang w:val="uk-UA" w:eastAsia="uk-UA"/>
    </w:rPr>
  </w:style>
  <w:style w:type="character" w:customStyle="1" w:styleId="csab6e076965">
    <w:name w:val="csab6e076965"/>
    <w:rsid w:val="0045369C"/>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45369C"/>
    <w:pPr>
      <w:ind w:firstLine="708"/>
      <w:jc w:val="both"/>
    </w:pPr>
    <w:rPr>
      <w:rFonts w:ascii="Arial" w:eastAsia="Times New Roman" w:hAnsi="Arial"/>
      <w:b/>
      <w:sz w:val="18"/>
      <w:lang w:val="uk-UA" w:eastAsia="uk-UA"/>
    </w:rPr>
  </w:style>
  <w:style w:type="character" w:customStyle="1" w:styleId="csf229d0ff33">
    <w:name w:val="csf229d0ff33"/>
    <w:rsid w:val="0045369C"/>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45369C"/>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45369C"/>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45369C"/>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45369C"/>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45369C"/>
    <w:pPr>
      <w:ind w:firstLine="708"/>
      <w:jc w:val="both"/>
    </w:pPr>
    <w:rPr>
      <w:rFonts w:ascii="Arial" w:eastAsia="Times New Roman" w:hAnsi="Arial"/>
      <w:b/>
      <w:sz w:val="18"/>
      <w:lang w:val="uk-UA" w:eastAsia="uk-UA"/>
    </w:rPr>
  </w:style>
  <w:style w:type="character" w:customStyle="1" w:styleId="csab6e076920">
    <w:name w:val="csab6e076920"/>
    <w:rsid w:val="0045369C"/>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45369C"/>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45369C"/>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45369C"/>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45369C"/>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45369C"/>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45369C"/>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45369C"/>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45369C"/>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45369C"/>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45369C"/>
    <w:pPr>
      <w:ind w:firstLine="708"/>
      <w:jc w:val="both"/>
    </w:pPr>
    <w:rPr>
      <w:rFonts w:ascii="Arial" w:eastAsia="Times New Roman" w:hAnsi="Arial"/>
      <w:b/>
      <w:sz w:val="18"/>
      <w:lang w:val="uk-UA" w:eastAsia="uk-UA"/>
    </w:rPr>
  </w:style>
  <w:style w:type="character" w:customStyle="1" w:styleId="csf229d0ff50">
    <w:name w:val="csf229d0ff50"/>
    <w:rsid w:val="0045369C"/>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45369C"/>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45369C"/>
    <w:pPr>
      <w:ind w:firstLine="708"/>
      <w:jc w:val="both"/>
    </w:pPr>
    <w:rPr>
      <w:rFonts w:ascii="Arial" w:eastAsia="Times New Roman" w:hAnsi="Arial"/>
      <w:b/>
      <w:sz w:val="18"/>
      <w:lang w:val="uk-UA" w:eastAsia="uk-UA"/>
    </w:rPr>
  </w:style>
  <w:style w:type="paragraph" w:customStyle="1" w:styleId="111">
    <w:name w:val="Основной текст с отступом111"/>
    <w:basedOn w:val="a"/>
    <w:rsid w:val="0045369C"/>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45369C"/>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45369C"/>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45369C"/>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45369C"/>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45369C"/>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45369C"/>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45369C"/>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45369C"/>
    <w:pPr>
      <w:ind w:firstLine="708"/>
      <w:jc w:val="both"/>
    </w:pPr>
    <w:rPr>
      <w:rFonts w:ascii="Arial" w:eastAsia="Times New Roman" w:hAnsi="Arial"/>
      <w:b/>
      <w:sz w:val="18"/>
      <w:lang w:val="uk-UA" w:eastAsia="uk-UA"/>
    </w:rPr>
  </w:style>
  <w:style w:type="character" w:customStyle="1" w:styleId="csf229d0ff83">
    <w:name w:val="csf229d0ff83"/>
    <w:rsid w:val="0045369C"/>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45369C"/>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45369C"/>
    <w:pPr>
      <w:ind w:firstLine="708"/>
      <w:jc w:val="both"/>
    </w:pPr>
    <w:rPr>
      <w:rFonts w:ascii="Arial" w:eastAsia="Times New Roman" w:hAnsi="Arial"/>
      <w:b/>
      <w:sz w:val="18"/>
      <w:lang w:val="uk-UA" w:eastAsia="uk-UA"/>
    </w:rPr>
  </w:style>
  <w:style w:type="character" w:customStyle="1" w:styleId="csf229d0ff76">
    <w:name w:val="csf229d0ff76"/>
    <w:rsid w:val="0045369C"/>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45369C"/>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45369C"/>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45369C"/>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45369C"/>
    <w:pPr>
      <w:ind w:firstLine="708"/>
      <w:jc w:val="both"/>
    </w:pPr>
    <w:rPr>
      <w:rFonts w:ascii="Arial" w:eastAsia="Times New Roman" w:hAnsi="Arial"/>
      <w:b/>
      <w:sz w:val="18"/>
      <w:lang w:val="uk-UA" w:eastAsia="uk-UA"/>
    </w:rPr>
  </w:style>
  <w:style w:type="character" w:customStyle="1" w:styleId="csf229d0ff20">
    <w:name w:val="csf229d0ff20"/>
    <w:rsid w:val="0045369C"/>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45369C"/>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45369C"/>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45369C"/>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45369C"/>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45369C"/>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45369C"/>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45369C"/>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45369C"/>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45369C"/>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45369C"/>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45369C"/>
    <w:pPr>
      <w:ind w:firstLine="708"/>
      <w:jc w:val="both"/>
    </w:pPr>
    <w:rPr>
      <w:rFonts w:ascii="Arial" w:eastAsia="Times New Roman" w:hAnsi="Arial"/>
      <w:b/>
      <w:sz w:val="18"/>
      <w:lang w:val="uk-UA" w:eastAsia="uk-UA"/>
    </w:rPr>
  </w:style>
  <w:style w:type="character" w:customStyle="1" w:styleId="csab6e07697">
    <w:name w:val="csab6e07697"/>
    <w:rsid w:val="0045369C"/>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45369C"/>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45369C"/>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45369C"/>
    <w:pPr>
      <w:ind w:firstLine="708"/>
      <w:jc w:val="both"/>
    </w:pPr>
    <w:rPr>
      <w:rFonts w:ascii="Arial" w:eastAsia="Times New Roman" w:hAnsi="Arial"/>
      <w:b/>
      <w:sz w:val="18"/>
      <w:lang w:val="uk-UA" w:eastAsia="uk-UA"/>
    </w:rPr>
  </w:style>
  <w:style w:type="character" w:customStyle="1" w:styleId="csb3e8c9cf94">
    <w:name w:val="csb3e8c9cf94"/>
    <w:rsid w:val="0045369C"/>
    <w:rPr>
      <w:rFonts w:ascii="Arial" w:hAnsi="Arial" w:cs="Arial" w:hint="default"/>
      <w:b/>
      <w:bCs/>
      <w:i w:val="0"/>
      <w:iCs w:val="0"/>
      <w:color w:val="000000"/>
      <w:sz w:val="18"/>
      <w:szCs w:val="18"/>
      <w:shd w:val="clear" w:color="auto" w:fill="auto"/>
    </w:rPr>
  </w:style>
  <w:style w:type="character" w:customStyle="1" w:styleId="csf229d0ff91">
    <w:name w:val="csf229d0ff91"/>
    <w:rsid w:val="0045369C"/>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45369C"/>
    <w:rPr>
      <w:rFonts w:ascii="Arial" w:eastAsia="Times New Roman" w:hAnsi="Arial"/>
      <w:b/>
      <w:caps/>
      <w:sz w:val="16"/>
      <w:lang w:val="ru-RU" w:eastAsia="ru-RU"/>
    </w:rPr>
  </w:style>
  <w:style w:type="character" w:customStyle="1" w:styleId="411">
    <w:name w:val="Заголовок 4 Знак1"/>
    <w:uiPriority w:val="9"/>
    <w:locked/>
    <w:rsid w:val="0045369C"/>
    <w:rPr>
      <w:rFonts w:ascii="Arial" w:eastAsia="Times New Roman" w:hAnsi="Arial"/>
      <w:b/>
      <w:lang w:val="ru-RU" w:eastAsia="ru-RU"/>
    </w:rPr>
  </w:style>
  <w:style w:type="character" w:customStyle="1" w:styleId="csf229d0ff74">
    <w:name w:val="csf229d0ff74"/>
    <w:rsid w:val="0045369C"/>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45369C"/>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45369C"/>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5369C"/>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5369C"/>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45369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45369C"/>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45369C"/>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45369C"/>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45369C"/>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45369C"/>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45369C"/>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45369C"/>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45369C"/>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45369C"/>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45369C"/>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45369C"/>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45369C"/>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45369C"/>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45369C"/>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45369C"/>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45369C"/>
    <w:rPr>
      <w:rFonts w:ascii="Arial" w:hAnsi="Arial" w:cs="Arial" w:hint="default"/>
      <w:b w:val="0"/>
      <w:bCs w:val="0"/>
      <w:i w:val="0"/>
      <w:iCs w:val="0"/>
      <w:color w:val="000000"/>
      <w:sz w:val="18"/>
      <w:szCs w:val="18"/>
      <w:shd w:val="clear" w:color="auto" w:fill="auto"/>
    </w:rPr>
  </w:style>
  <w:style w:type="character" w:customStyle="1" w:styleId="csba294252">
    <w:name w:val="csba294252"/>
    <w:rsid w:val="0045369C"/>
    <w:rPr>
      <w:rFonts w:ascii="Segoe UI" w:hAnsi="Segoe UI" w:cs="Segoe UI" w:hint="default"/>
      <w:b/>
      <w:bCs/>
      <w:i/>
      <w:iCs/>
      <w:color w:val="102B56"/>
      <w:sz w:val="18"/>
      <w:szCs w:val="18"/>
      <w:shd w:val="clear" w:color="auto" w:fill="auto"/>
    </w:rPr>
  </w:style>
  <w:style w:type="character" w:customStyle="1" w:styleId="csf229d0ff131">
    <w:name w:val="csf229d0ff131"/>
    <w:rsid w:val="0045369C"/>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45369C"/>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45369C"/>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45369C"/>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45369C"/>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45369C"/>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45369C"/>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45369C"/>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45369C"/>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45369C"/>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45369C"/>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45369C"/>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45369C"/>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45369C"/>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45369C"/>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45369C"/>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45369C"/>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45369C"/>
    <w:rPr>
      <w:rFonts w:ascii="Arial" w:hAnsi="Arial" w:cs="Arial" w:hint="default"/>
      <w:b/>
      <w:bCs/>
      <w:i/>
      <w:iCs/>
      <w:color w:val="000000"/>
      <w:sz w:val="18"/>
      <w:szCs w:val="18"/>
      <w:shd w:val="clear" w:color="auto" w:fill="auto"/>
    </w:rPr>
  </w:style>
  <w:style w:type="character" w:customStyle="1" w:styleId="csf229d0ff144">
    <w:name w:val="csf229d0ff144"/>
    <w:rsid w:val="0045369C"/>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45369C"/>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45369C"/>
    <w:rPr>
      <w:rFonts w:ascii="Arial" w:hAnsi="Arial" w:cs="Arial" w:hint="default"/>
      <w:b/>
      <w:bCs/>
      <w:i/>
      <w:iCs/>
      <w:color w:val="000000"/>
      <w:sz w:val="18"/>
      <w:szCs w:val="18"/>
      <w:shd w:val="clear" w:color="auto" w:fill="auto"/>
    </w:rPr>
  </w:style>
  <w:style w:type="character" w:customStyle="1" w:styleId="csf229d0ff122">
    <w:name w:val="csf229d0ff122"/>
    <w:rsid w:val="0045369C"/>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45369C"/>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45369C"/>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45369C"/>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45369C"/>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45369C"/>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45369C"/>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45369C"/>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5369C"/>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45369C"/>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45369C"/>
    <w:rPr>
      <w:rFonts w:ascii="Arial" w:hAnsi="Arial" w:cs="Arial"/>
      <w:sz w:val="18"/>
      <w:szCs w:val="18"/>
      <w:lang w:val="ru-RU"/>
    </w:rPr>
  </w:style>
  <w:style w:type="paragraph" w:customStyle="1" w:styleId="Arial90">
    <w:name w:val="Arial9(без отступов)"/>
    <w:link w:val="Arial9"/>
    <w:semiHidden/>
    <w:rsid w:val="0045369C"/>
    <w:pPr>
      <w:ind w:left="-113"/>
    </w:pPr>
    <w:rPr>
      <w:rFonts w:ascii="Arial" w:hAnsi="Arial" w:cs="Arial"/>
      <w:sz w:val="18"/>
      <w:szCs w:val="18"/>
      <w:lang w:val="ru-RU"/>
    </w:rPr>
  </w:style>
  <w:style w:type="character" w:customStyle="1" w:styleId="csf229d0ff178">
    <w:name w:val="csf229d0ff178"/>
    <w:rsid w:val="0045369C"/>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45369C"/>
    <w:rPr>
      <w:rFonts w:ascii="Arial" w:hAnsi="Arial" w:cs="Arial" w:hint="default"/>
      <w:b/>
      <w:bCs/>
      <w:i w:val="0"/>
      <w:iCs w:val="0"/>
      <w:color w:val="000000"/>
      <w:sz w:val="18"/>
      <w:szCs w:val="18"/>
      <w:shd w:val="clear" w:color="auto" w:fill="auto"/>
    </w:rPr>
  </w:style>
  <w:style w:type="character" w:customStyle="1" w:styleId="csf229d0ff8">
    <w:name w:val="csf229d0ff8"/>
    <w:rsid w:val="0045369C"/>
    <w:rPr>
      <w:rFonts w:ascii="Arial" w:hAnsi="Arial" w:cs="Arial" w:hint="default"/>
      <w:b w:val="0"/>
      <w:bCs w:val="0"/>
      <w:i w:val="0"/>
      <w:iCs w:val="0"/>
      <w:color w:val="000000"/>
      <w:sz w:val="18"/>
      <w:szCs w:val="18"/>
      <w:shd w:val="clear" w:color="auto" w:fill="auto"/>
    </w:rPr>
  </w:style>
  <w:style w:type="character" w:customStyle="1" w:styleId="cs9b006263">
    <w:name w:val="cs9b006263"/>
    <w:rsid w:val="0045369C"/>
    <w:rPr>
      <w:rFonts w:ascii="Arial" w:hAnsi="Arial" w:cs="Arial" w:hint="default"/>
      <w:b/>
      <w:bCs/>
      <w:i w:val="0"/>
      <w:iCs w:val="0"/>
      <w:color w:val="000000"/>
      <w:sz w:val="20"/>
      <w:szCs w:val="20"/>
      <w:shd w:val="clear" w:color="auto" w:fill="auto"/>
    </w:rPr>
  </w:style>
  <w:style w:type="character" w:customStyle="1" w:styleId="csf229d0ff36">
    <w:name w:val="csf229d0ff36"/>
    <w:rsid w:val="0045369C"/>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45369C"/>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45369C"/>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45369C"/>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45369C"/>
    <w:rPr>
      <w:rFonts w:ascii="Arial" w:hAnsi="Arial" w:cs="Arial" w:hint="default"/>
      <w:b w:val="0"/>
      <w:bCs w:val="0"/>
      <w:i w:val="0"/>
      <w:iCs w:val="0"/>
      <w:color w:val="000000"/>
      <w:sz w:val="18"/>
      <w:szCs w:val="18"/>
      <w:shd w:val="clear" w:color="auto" w:fill="auto"/>
    </w:rPr>
  </w:style>
  <w:style w:type="paragraph" w:styleId="af5">
    <w:name w:val="List Paragraph"/>
    <w:basedOn w:val="a"/>
    <w:uiPriority w:val="34"/>
    <w:qFormat/>
    <w:rsid w:val="0045369C"/>
    <w:pPr>
      <w:snapToGrid w:val="0"/>
      <w:ind w:left="720"/>
      <w:contextualSpacing/>
    </w:pPr>
    <w:rPr>
      <w:rFonts w:ascii="Arial" w:eastAsia="Times New Roman" w:hAnsi="Arial"/>
      <w:sz w:val="28"/>
    </w:rPr>
  </w:style>
  <w:style w:type="character" w:customStyle="1" w:styleId="csf229d0ff102">
    <w:name w:val="csf229d0ff102"/>
    <w:rsid w:val="0045369C"/>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45369C"/>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45369C"/>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45369C"/>
    <w:rPr>
      <w:rFonts w:ascii="Arial" w:hAnsi="Arial" w:cs="Arial" w:hint="default"/>
      <w:b/>
      <w:bCs/>
      <w:i/>
      <w:iCs/>
      <w:color w:val="000000"/>
      <w:sz w:val="18"/>
      <w:szCs w:val="18"/>
      <w:shd w:val="clear" w:color="auto" w:fill="auto"/>
    </w:rPr>
  </w:style>
  <w:style w:type="character" w:customStyle="1" w:styleId="csf229d0ff142">
    <w:name w:val="csf229d0ff142"/>
    <w:rsid w:val="0045369C"/>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45369C"/>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45369C"/>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45369C"/>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45369C"/>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45369C"/>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45369C"/>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45369C"/>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45369C"/>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45369C"/>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45369C"/>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45369C"/>
    <w:rPr>
      <w:rFonts w:ascii="Arial" w:hAnsi="Arial" w:cs="Arial" w:hint="default"/>
      <w:b/>
      <w:bCs/>
      <w:i w:val="0"/>
      <w:iCs w:val="0"/>
      <w:color w:val="000000"/>
      <w:sz w:val="18"/>
      <w:szCs w:val="18"/>
      <w:shd w:val="clear" w:color="auto" w:fill="auto"/>
    </w:rPr>
  </w:style>
  <w:style w:type="character" w:customStyle="1" w:styleId="csf229d0ff107">
    <w:name w:val="csf229d0ff107"/>
    <w:rsid w:val="0045369C"/>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45369C"/>
    <w:rPr>
      <w:rFonts w:ascii="Arial" w:hAnsi="Arial" w:cs="Arial" w:hint="default"/>
      <w:b/>
      <w:bCs/>
      <w:i/>
      <w:iCs/>
      <w:color w:val="000000"/>
      <w:sz w:val="18"/>
      <w:szCs w:val="18"/>
      <w:shd w:val="clear" w:color="auto" w:fill="auto"/>
    </w:rPr>
  </w:style>
  <w:style w:type="character" w:customStyle="1" w:styleId="csab6e076993">
    <w:name w:val="csab6e076993"/>
    <w:rsid w:val="0045369C"/>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45369C"/>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45369C"/>
    <w:rPr>
      <w:rFonts w:ascii="Arial" w:hAnsi="Arial"/>
      <w:sz w:val="18"/>
      <w:lang w:val="x-none" w:eastAsia="ru-RU"/>
    </w:rPr>
  </w:style>
  <w:style w:type="paragraph" w:customStyle="1" w:styleId="Arial960">
    <w:name w:val="Arial9+6пт"/>
    <w:basedOn w:val="a"/>
    <w:link w:val="Arial96"/>
    <w:rsid w:val="0045369C"/>
    <w:pPr>
      <w:snapToGrid w:val="0"/>
      <w:spacing w:before="120"/>
    </w:pPr>
    <w:rPr>
      <w:rFonts w:ascii="Arial" w:hAnsi="Arial"/>
      <w:sz w:val="18"/>
      <w:lang w:val="x-none"/>
    </w:rPr>
  </w:style>
  <w:style w:type="character" w:customStyle="1" w:styleId="csf229d0ff86">
    <w:name w:val="csf229d0ff86"/>
    <w:rsid w:val="0045369C"/>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45369C"/>
    <w:rPr>
      <w:rFonts w:ascii="Segoe UI" w:hAnsi="Segoe UI" w:cs="Segoe UI" w:hint="default"/>
      <w:b/>
      <w:bCs/>
      <w:i/>
      <w:iCs/>
      <w:color w:val="102B56"/>
      <w:sz w:val="18"/>
      <w:szCs w:val="18"/>
      <w:shd w:val="clear" w:color="auto" w:fill="auto"/>
    </w:rPr>
  </w:style>
  <w:style w:type="character" w:customStyle="1" w:styleId="csab6e076914">
    <w:name w:val="csab6e076914"/>
    <w:rsid w:val="0045369C"/>
    <w:rPr>
      <w:rFonts w:ascii="Arial" w:hAnsi="Arial" w:cs="Arial" w:hint="default"/>
      <w:b w:val="0"/>
      <w:bCs w:val="0"/>
      <w:i w:val="0"/>
      <w:iCs w:val="0"/>
      <w:color w:val="000000"/>
      <w:sz w:val="18"/>
      <w:szCs w:val="18"/>
    </w:rPr>
  </w:style>
  <w:style w:type="character" w:customStyle="1" w:styleId="csf229d0ff134">
    <w:name w:val="csf229d0ff134"/>
    <w:rsid w:val="0045369C"/>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45369C"/>
    <w:rPr>
      <w:rFonts w:ascii="Arial" w:hAnsi="Arial" w:cs="Arial" w:hint="default"/>
      <w:b/>
      <w:bCs/>
      <w:i/>
      <w:iCs/>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4ACA6-95C3-491A-9866-BF53AAD10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43739</Words>
  <Characters>249316</Characters>
  <Application>Microsoft Office Word</Application>
  <DocSecurity>0</DocSecurity>
  <Lines>2077</Lines>
  <Paragraphs>584</Paragraphs>
  <ScaleCrop>false</ScaleCrop>
  <HeadingPairs>
    <vt:vector size="6" baseType="variant">
      <vt:variant>
        <vt:lpstr>Название</vt:lpstr>
      </vt:variant>
      <vt:variant>
        <vt:i4>1</vt:i4>
      </vt:variant>
      <vt:variant>
        <vt:lpstr>Заголовки</vt:lpstr>
      </vt:variant>
      <vt:variant>
        <vt:i4>5</vt:i4>
      </vt:variant>
      <vt:variant>
        <vt:lpstr>Назва</vt:lpstr>
      </vt:variant>
      <vt:variant>
        <vt:i4>1</vt:i4>
      </vt:variant>
    </vt:vector>
  </HeadingPairs>
  <TitlesOfParts>
    <vt:vector size="7" baseType="lpstr">
      <vt:lpstr/>
      <vt:lpstr>МІНІСТЕРСТВО ОХОРОНИ ЗДОРОВ’Я УКРАЇНИ</vt:lpstr>
      <vt:lpstr>НАКАЗ</vt:lpstr>
      <vt:lpstr>    </vt:lpstr>
      <vt:lpstr>    ПЕРЕЛІК</vt:lpstr>
      <vt:lpstr>    ПЕРЕЛІК</vt:lpstr>
      <vt:lpstr/>
    </vt:vector>
  </TitlesOfParts>
  <Company>Krokoz™</Company>
  <LinksUpToDate>false</LinksUpToDate>
  <CharactersWithSpaces>292471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2020-04-10T12:28:00Z</cp:lastPrinted>
  <dcterms:created xsi:type="dcterms:W3CDTF">2022-06-01T09:15:00Z</dcterms:created>
  <dcterms:modified xsi:type="dcterms:W3CDTF">2022-06-01T09:15:00Z</dcterms:modified>
</cp:coreProperties>
</file>