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EE2" w:rsidRPr="00974E1B" w:rsidRDefault="00F25EE2" w:rsidP="00F25EE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pacing w:val="5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212529"/>
          <w:spacing w:val="5"/>
          <w:sz w:val="26"/>
          <w:szCs w:val="26"/>
          <w:lang w:eastAsia="uk-UA"/>
        </w:rPr>
        <w:t>ШАНОВНІ ДОСЛІДНИКИ, ЛІКАРІ, ЧЛЕНИ</w:t>
      </w:r>
      <w:r w:rsidRPr="00974E1B">
        <w:rPr>
          <w:rFonts w:ascii="Times New Roman" w:eastAsia="Times New Roman" w:hAnsi="Times New Roman" w:cs="Times New Roman"/>
          <w:b/>
          <w:bCs/>
          <w:color w:val="212529"/>
          <w:spacing w:val="5"/>
          <w:sz w:val="26"/>
          <w:szCs w:val="26"/>
          <w:lang w:eastAsia="uk-UA"/>
        </w:rPr>
        <w:t xml:space="preserve"> КОМІСІЙ З ПИТАНЬ ЕТИКИ, </w:t>
      </w:r>
      <w:r>
        <w:rPr>
          <w:rFonts w:ascii="Times New Roman" w:eastAsia="Times New Roman" w:hAnsi="Times New Roman" w:cs="Times New Roman"/>
          <w:b/>
          <w:bCs/>
          <w:color w:val="212529"/>
          <w:spacing w:val="5"/>
          <w:sz w:val="26"/>
          <w:szCs w:val="26"/>
          <w:lang w:eastAsia="uk-UA"/>
        </w:rPr>
        <w:t>ВСІ</w:t>
      </w:r>
      <w:r w:rsidRPr="00974E1B">
        <w:rPr>
          <w:rFonts w:ascii="Times New Roman" w:eastAsia="Times New Roman" w:hAnsi="Times New Roman" w:cs="Times New Roman"/>
          <w:b/>
          <w:bCs/>
          <w:color w:val="212529"/>
          <w:spacing w:val="5"/>
          <w:sz w:val="26"/>
          <w:szCs w:val="26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12529"/>
          <w:spacing w:val="5"/>
          <w:sz w:val="26"/>
          <w:szCs w:val="26"/>
          <w:lang w:val="en-US" w:eastAsia="uk-UA"/>
        </w:rPr>
        <w:t>СТЕЙКХОЛДЕР</w:t>
      </w:r>
      <w:r>
        <w:rPr>
          <w:rFonts w:ascii="Times New Roman" w:eastAsia="Times New Roman" w:hAnsi="Times New Roman" w:cs="Times New Roman"/>
          <w:b/>
          <w:bCs/>
          <w:color w:val="212529"/>
          <w:spacing w:val="5"/>
          <w:sz w:val="26"/>
          <w:szCs w:val="26"/>
          <w:lang w:eastAsia="uk-UA"/>
        </w:rPr>
        <w:t>И</w:t>
      </w:r>
      <w:r w:rsidRPr="00974E1B">
        <w:rPr>
          <w:rFonts w:ascii="Times New Roman" w:eastAsia="Times New Roman" w:hAnsi="Times New Roman" w:cs="Times New Roman"/>
          <w:b/>
          <w:bCs/>
          <w:color w:val="212529"/>
          <w:spacing w:val="5"/>
          <w:sz w:val="26"/>
          <w:szCs w:val="26"/>
          <w:lang w:eastAsia="uk-UA"/>
        </w:rPr>
        <w:t xml:space="preserve"> ГАЛУЗІ КЛІНІЧНИХ ВИПРОБУВАНЬ! </w:t>
      </w:r>
    </w:p>
    <w:p w:rsidR="00F25EE2" w:rsidRPr="00AB2265" w:rsidRDefault="00F25EE2" w:rsidP="00F25EE2">
      <w:pPr>
        <w:pStyle w:val="a3"/>
        <w:spacing w:before="0" w:beforeAutospacing="0" w:after="0" w:afterAutospacing="0"/>
        <w:jc w:val="center"/>
        <w:rPr>
          <w:b/>
          <w:sz w:val="26"/>
          <w:szCs w:val="26"/>
        </w:rPr>
      </w:pPr>
      <w:r w:rsidRPr="00AB2265">
        <w:rPr>
          <w:b/>
          <w:sz w:val="26"/>
          <w:szCs w:val="26"/>
        </w:rPr>
        <w:t xml:space="preserve">ДОЛУЧАЙТЕСЯ ДО СЕРТИФІКАЦІЙНОГО СЕМІНАРУ </w:t>
      </w:r>
    </w:p>
    <w:p w:rsidR="00F25EE2" w:rsidRDefault="00F25EE2" w:rsidP="00F25EE2">
      <w:pPr>
        <w:pStyle w:val="a3"/>
        <w:spacing w:before="0" w:beforeAutospacing="0" w:after="0" w:afterAutospacing="0"/>
        <w:jc w:val="center"/>
        <w:rPr>
          <w:rStyle w:val="a4"/>
          <w:rFonts w:eastAsia="Bookman Old Style"/>
          <w:sz w:val="26"/>
          <w:szCs w:val="26"/>
        </w:rPr>
      </w:pPr>
      <w:r w:rsidRPr="00F532ED">
        <w:rPr>
          <w:rStyle w:val="a4"/>
          <w:rFonts w:eastAsia="Bookman Old Style"/>
          <w:sz w:val="26"/>
          <w:szCs w:val="26"/>
        </w:rPr>
        <w:t xml:space="preserve">«Належна клінічна практика (GCP). </w:t>
      </w:r>
    </w:p>
    <w:p w:rsidR="00F25EE2" w:rsidRDefault="00F25EE2" w:rsidP="00F25EE2">
      <w:pPr>
        <w:pStyle w:val="a3"/>
        <w:spacing w:before="0" w:beforeAutospacing="0" w:after="0" w:afterAutospacing="0"/>
        <w:jc w:val="center"/>
        <w:rPr>
          <w:rStyle w:val="a4"/>
          <w:rFonts w:eastAsia="Bookman Old Style"/>
          <w:sz w:val="26"/>
          <w:szCs w:val="26"/>
        </w:rPr>
      </w:pPr>
      <w:r w:rsidRPr="00F532ED">
        <w:rPr>
          <w:rStyle w:val="a4"/>
          <w:rFonts w:eastAsia="Bookman Old Style"/>
          <w:sz w:val="26"/>
          <w:szCs w:val="26"/>
        </w:rPr>
        <w:t xml:space="preserve">Нормативно-правове регулювання проведення клінічних випробувань» / </w:t>
      </w:r>
    </w:p>
    <w:p w:rsidR="00F25EE2" w:rsidRPr="00F532ED" w:rsidRDefault="00F25EE2" w:rsidP="00F25EE2">
      <w:pPr>
        <w:pStyle w:val="a3"/>
        <w:spacing w:before="0" w:beforeAutospacing="0" w:after="0" w:afterAutospacing="0"/>
        <w:jc w:val="center"/>
        <w:rPr>
          <w:sz w:val="26"/>
          <w:szCs w:val="26"/>
        </w:rPr>
      </w:pPr>
      <w:r w:rsidRPr="00F532ED">
        <w:rPr>
          <w:rStyle w:val="a4"/>
          <w:rFonts w:eastAsia="Bookman Old Style"/>
          <w:sz w:val="26"/>
          <w:szCs w:val="26"/>
        </w:rPr>
        <w:t>«</w:t>
      </w:r>
      <w:proofErr w:type="spellStart"/>
      <w:r w:rsidRPr="00F532ED">
        <w:rPr>
          <w:rStyle w:val="a4"/>
          <w:rFonts w:eastAsia="Bookman Old Style"/>
          <w:sz w:val="26"/>
          <w:szCs w:val="26"/>
        </w:rPr>
        <w:t>Good</w:t>
      </w:r>
      <w:proofErr w:type="spellEnd"/>
      <w:r w:rsidRPr="00F532ED">
        <w:rPr>
          <w:rStyle w:val="a4"/>
          <w:rFonts w:eastAsia="Bookman Old Style"/>
          <w:sz w:val="26"/>
          <w:szCs w:val="26"/>
        </w:rPr>
        <w:t xml:space="preserve"> </w:t>
      </w:r>
      <w:proofErr w:type="spellStart"/>
      <w:r w:rsidRPr="00F532ED">
        <w:rPr>
          <w:rStyle w:val="a4"/>
          <w:rFonts w:eastAsia="Bookman Old Style"/>
          <w:sz w:val="26"/>
          <w:szCs w:val="26"/>
        </w:rPr>
        <w:t>Clinical</w:t>
      </w:r>
      <w:proofErr w:type="spellEnd"/>
      <w:r w:rsidRPr="00F532ED">
        <w:rPr>
          <w:rStyle w:val="a4"/>
          <w:rFonts w:eastAsia="Bookman Old Style"/>
          <w:sz w:val="26"/>
          <w:szCs w:val="26"/>
        </w:rPr>
        <w:t xml:space="preserve"> </w:t>
      </w:r>
      <w:proofErr w:type="spellStart"/>
      <w:r w:rsidRPr="00F532ED">
        <w:rPr>
          <w:rStyle w:val="a4"/>
          <w:rFonts w:eastAsia="Bookman Old Style"/>
          <w:sz w:val="26"/>
          <w:szCs w:val="26"/>
        </w:rPr>
        <w:t>Practice</w:t>
      </w:r>
      <w:proofErr w:type="spellEnd"/>
      <w:r w:rsidRPr="00F532ED">
        <w:rPr>
          <w:rStyle w:val="a4"/>
          <w:rFonts w:eastAsia="Bookman Old Style"/>
          <w:sz w:val="26"/>
          <w:szCs w:val="26"/>
        </w:rPr>
        <w:t xml:space="preserve"> (GCP). </w:t>
      </w:r>
      <w:proofErr w:type="spellStart"/>
      <w:r w:rsidRPr="00F532ED">
        <w:rPr>
          <w:rStyle w:val="a4"/>
          <w:rFonts w:eastAsia="Bookman Old Style"/>
          <w:sz w:val="26"/>
          <w:szCs w:val="26"/>
        </w:rPr>
        <w:t>Clinical</w:t>
      </w:r>
      <w:proofErr w:type="spellEnd"/>
      <w:r w:rsidRPr="00F532ED">
        <w:rPr>
          <w:rStyle w:val="a4"/>
          <w:rFonts w:eastAsia="Bookman Old Style"/>
          <w:sz w:val="26"/>
          <w:szCs w:val="26"/>
        </w:rPr>
        <w:t xml:space="preserve"> </w:t>
      </w:r>
      <w:proofErr w:type="spellStart"/>
      <w:r w:rsidRPr="00F532ED">
        <w:rPr>
          <w:rStyle w:val="a4"/>
          <w:rFonts w:eastAsia="Bookman Old Style"/>
          <w:sz w:val="26"/>
          <w:szCs w:val="26"/>
        </w:rPr>
        <w:t>Trials</w:t>
      </w:r>
      <w:proofErr w:type="spellEnd"/>
      <w:r w:rsidRPr="00F532ED">
        <w:rPr>
          <w:rStyle w:val="a4"/>
          <w:rFonts w:eastAsia="Bookman Old Style"/>
          <w:sz w:val="26"/>
          <w:szCs w:val="26"/>
        </w:rPr>
        <w:t xml:space="preserve"> </w:t>
      </w:r>
      <w:proofErr w:type="spellStart"/>
      <w:r w:rsidRPr="00F532ED">
        <w:rPr>
          <w:rStyle w:val="a4"/>
          <w:rFonts w:eastAsia="Bookman Old Style"/>
          <w:sz w:val="26"/>
          <w:szCs w:val="26"/>
        </w:rPr>
        <w:t>Regulation</w:t>
      </w:r>
      <w:proofErr w:type="spellEnd"/>
      <w:r w:rsidRPr="00F532ED">
        <w:rPr>
          <w:rStyle w:val="a4"/>
          <w:rFonts w:eastAsia="Bookman Old Style"/>
          <w:sz w:val="26"/>
          <w:szCs w:val="26"/>
        </w:rPr>
        <w:t>»</w:t>
      </w:r>
    </w:p>
    <w:p w:rsidR="00F25EE2" w:rsidRDefault="00F25EE2" w:rsidP="00F25EE2">
      <w:pPr>
        <w:shd w:val="clear" w:color="auto" w:fill="FFFFFF"/>
        <w:spacing w:after="0"/>
        <w:jc w:val="both"/>
        <w:rPr>
          <w:rFonts w:ascii="Times New Roman" w:eastAsia="Times New Roman" w:hAnsi="Times New Roman"/>
          <w:b/>
          <w:color w:val="1F4E79" w:themeColor="accent1" w:themeShade="80"/>
          <w:sz w:val="26"/>
          <w:szCs w:val="26"/>
          <w:lang w:eastAsia="uk-UA"/>
        </w:rPr>
      </w:pPr>
    </w:p>
    <w:p w:rsidR="00F25EE2" w:rsidRDefault="00F25EE2" w:rsidP="00F25EE2">
      <w:pPr>
        <w:shd w:val="clear" w:color="auto" w:fill="FFFFFF"/>
        <w:spacing w:after="0"/>
        <w:jc w:val="both"/>
        <w:rPr>
          <w:rFonts w:ascii="Times New Roman" w:eastAsia="Times New Roman" w:hAnsi="Times New Roman"/>
          <w:b/>
          <w:color w:val="1F4E79" w:themeColor="accent1" w:themeShade="80"/>
          <w:sz w:val="26"/>
          <w:szCs w:val="26"/>
          <w:lang w:eastAsia="uk-UA"/>
        </w:rPr>
      </w:pPr>
    </w:p>
    <w:p w:rsidR="00F25EE2" w:rsidRPr="003435BB" w:rsidRDefault="00F25EE2" w:rsidP="00F25EE2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6"/>
          <w:szCs w:val="26"/>
          <w:lang w:eastAsia="uk-UA"/>
        </w:rPr>
      </w:pPr>
      <w:r w:rsidRPr="003435BB">
        <w:rPr>
          <w:rFonts w:ascii="Times New Roman" w:eastAsia="Times New Roman" w:hAnsi="Times New Roman"/>
          <w:b/>
          <w:color w:val="1F4E79" w:themeColor="accent1" w:themeShade="80"/>
          <w:sz w:val="26"/>
          <w:szCs w:val="26"/>
          <w:lang w:eastAsia="uk-UA"/>
        </w:rPr>
        <w:t xml:space="preserve">Дата проведення: </w:t>
      </w:r>
      <w:r w:rsidRPr="003435BB">
        <w:rPr>
          <w:rFonts w:ascii="Times New Roman" w:eastAsia="Times New Roman" w:hAnsi="Times New Roman"/>
          <w:sz w:val="26"/>
          <w:szCs w:val="26"/>
          <w:lang w:eastAsia="uk-UA"/>
        </w:rPr>
        <w:t>26 листопада 2026 року</w:t>
      </w:r>
    </w:p>
    <w:p w:rsidR="00F25EE2" w:rsidRPr="003435BB" w:rsidRDefault="00F25EE2" w:rsidP="00F25E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F4E79" w:themeColor="accent1" w:themeShade="80"/>
          <w:sz w:val="26"/>
          <w:szCs w:val="26"/>
          <w:lang w:eastAsia="uk-UA"/>
        </w:rPr>
      </w:pPr>
    </w:p>
    <w:p w:rsidR="00F25EE2" w:rsidRPr="003435BB" w:rsidRDefault="00F25EE2" w:rsidP="00F25EE2">
      <w:pPr>
        <w:shd w:val="clear" w:color="auto" w:fill="FFFFFF"/>
        <w:spacing w:after="0"/>
        <w:rPr>
          <w:rFonts w:ascii="Times New Roman" w:eastAsia="Times New Roman" w:hAnsi="Times New Roman"/>
          <w:spacing w:val="5"/>
          <w:sz w:val="26"/>
          <w:szCs w:val="26"/>
          <w:lang w:eastAsia="uk-UA"/>
        </w:rPr>
      </w:pPr>
      <w:r w:rsidRPr="003435BB">
        <w:rPr>
          <w:rFonts w:ascii="Times New Roman" w:eastAsia="Times New Roman" w:hAnsi="Times New Roman"/>
          <w:b/>
          <w:bCs/>
          <w:color w:val="1F4E79" w:themeColor="accent1" w:themeShade="80"/>
          <w:spacing w:val="5"/>
          <w:sz w:val="26"/>
          <w:szCs w:val="26"/>
          <w:lang w:eastAsia="uk-UA"/>
        </w:rPr>
        <w:t xml:space="preserve">Формат: </w:t>
      </w:r>
      <w:r w:rsidRPr="003435BB">
        <w:rPr>
          <w:rFonts w:ascii="Times New Roman" w:eastAsia="Times New Roman" w:hAnsi="Times New Roman"/>
          <w:spacing w:val="5"/>
          <w:sz w:val="26"/>
          <w:szCs w:val="26"/>
          <w:lang w:eastAsia="uk-UA"/>
        </w:rPr>
        <w:t>змішаний (</w:t>
      </w:r>
      <w:proofErr w:type="spellStart"/>
      <w:r w:rsidRPr="003435BB">
        <w:rPr>
          <w:rFonts w:ascii="Times New Roman" w:eastAsia="Times New Roman" w:hAnsi="Times New Roman"/>
          <w:spacing w:val="5"/>
          <w:sz w:val="26"/>
          <w:szCs w:val="26"/>
          <w:lang w:eastAsia="uk-UA"/>
        </w:rPr>
        <w:t>офлайн</w:t>
      </w:r>
      <w:proofErr w:type="spellEnd"/>
      <w:r w:rsidRPr="003435BB">
        <w:rPr>
          <w:rFonts w:ascii="Times New Roman" w:eastAsia="Times New Roman" w:hAnsi="Times New Roman"/>
          <w:spacing w:val="5"/>
          <w:sz w:val="26"/>
          <w:szCs w:val="26"/>
          <w:lang w:eastAsia="uk-UA"/>
        </w:rPr>
        <w:t>/онлайн)</w:t>
      </w:r>
    </w:p>
    <w:p w:rsidR="00F25EE2" w:rsidRPr="003435BB" w:rsidRDefault="00F25EE2" w:rsidP="00F25E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4E79" w:themeColor="accent1" w:themeShade="80"/>
          <w:sz w:val="26"/>
          <w:szCs w:val="26"/>
          <w:lang w:eastAsia="uk-UA"/>
        </w:rPr>
      </w:pPr>
    </w:p>
    <w:p w:rsidR="00F25EE2" w:rsidRDefault="00F25EE2" w:rsidP="00F25EE2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uk-UA"/>
        </w:rPr>
      </w:pPr>
      <w:r w:rsidRPr="003435BB">
        <w:rPr>
          <w:rFonts w:ascii="Times New Roman" w:eastAsia="Times New Roman" w:hAnsi="Times New Roman"/>
          <w:b/>
          <w:color w:val="1F4E79" w:themeColor="accent1" w:themeShade="80"/>
          <w:spacing w:val="5"/>
          <w:sz w:val="26"/>
          <w:szCs w:val="26"/>
          <w:lang w:eastAsia="uk-UA"/>
        </w:rPr>
        <w:t>Місце проведення:</w:t>
      </w:r>
      <w:r w:rsidRPr="003435BB">
        <w:rPr>
          <w:rFonts w:ascii="Times New Roman" w:eastAsia="Times New Roman" w:hAnsi="Times New Roman"/>
          <w:color w:val="1F4E79" w:themeColor="accent1" w:themeShade="80"/>
          <w:spacing w:val="5"/>
          <w:sz w:val="26"/>
          <w:szCs w:val="26"/>
          <w:lang w:eastAsia="uk-UA"/>
        </w:rPr>
        <w:t xml:space="preserve"> </w:t>
      </w:r>
      <w:r w:rsidRPr="003435BB">
        <w:rPr>
          <w:rFonts w:ascii="Times New Roman" w:hAnsi="Times New Roman"/>
          <w:sz w:val="26"/>
          <w:szCs w:val="26"/>
        </w:rPr>
        <w:t xml:space="preserve">м. Львів, </w:t>
      </w:r>
      <w:r w:rsidRPr="003435BB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BANKHOTEL, вул. Листопадового Чину, 8 </w:t>
      </w:r>
      <w:r w:rsidRPr="003435BB">
        <w:rPr>
          <w:rFonts w:ascii="Times New Roman" w:hAnsi="Times New Roman"/>
          <w:b/>
          <w:sz w:val="26"/>
          <w:szCs w:val="26"/>
        </w:rPr>
        <w:t>(</w:t>
      </w:r>
      <w:proofErr w:type="spellStart"/>
      <w:r w:rsidRPr="003435BB">
        <w:rPr>
          <w:rFonts w:ascii="Times New Roman" w:hAnsi="Times New Roman"/>
          <w:b/>
          <w:sz w:val="26"/>
          <w:szCs w:val="26"/>
        </w:rPr>
        <w:t>офлайн</w:t>
      </w:r>
      <w:proofErr w:type="spellEnd"/>
      <w:r w:rsidRPr="003435BB">
        <w:rPr>
          <w:rFonts w:ascii="Times New Roman" w:hAnsi="Times New Roman"/>
          <w:sz w:val="26"/>
          <w:szCs w:val="26"/>
        </w:rPr>
        <w:t xml:space="preserve"> (кількість місць обмежено)/онлайн </w:t>
      </w:r>
      <w:r w:rsidRPr="003435BB">
        <w:rPr>
          <w:rFonts w:ascii="Times New Roman" w:eastAsia="Times New Roman" w:hAnsi="Times New Roman"/>
          <w:sz w:val="26"/>
          <w:szCs w:val="26"/>
          <w:lang w:eastAsia="uk-UA"/>
        </w:rPr>
        <w:t xml:space="preserve">платформа </w:t>
      </w:r>
      <w:proofErr w:type="spellStart"/>
      <w:r w:rsidRPr="003435BB">
        <w:rPr>
          <w:rFonts w:ascii="Times New Roman" w:eastAsia="Times New Roman" w:hAnsi="Times New Roman"/>
          <w:sz w:val="26"/>
          <w:szCs w:val="26"/>
          <w:lang w:eastAsia="uk-UA"/>
        </w:rPr>
        <w:t>тех</w:t>
      </w:r>
      <w:r w:rsidRPr="003435BB">
        <w:rPr>
          <w:rFonts w:ascii="Times New Roman" w:eastAsia="Times New Roman" w:hAnsi="Times New Roman"/>
          <w:sz w:val="26"/>
          <w:szCs w:val="26"/>
          <w:lang w:val="ru-RU" w:eastAsia="uk-UA"/>
        </w:rPr>
        <w:t>нічного</w:t>
      </w:r>
      <w:proofErr w:type="spellEnd"/>
      <w:r w:rsidRPr="003435BB">
        <w:rPr>
          <w:rFonts w:ascii="Times New Roman" w:eastAsia="Times New Roman" w:hAnsi="Times New Roman"/>
          <w:sz w:val="26"/>
          <w:szCs w:val="26"/>
          <w:lang w:val="ru-RU" w:eastAsia="uk-UA"/>
        </w:rPr>
        <w:t xml:space="preserve"> </w:t>
      </w:r>
      <w:r w:rsidRPr="003435BB">
        <w:rPr>
          <w:rFonts w:ascii="Times New Roman" w:eastAsia="Times New Roman" w:hAnsi="Times New Roman"/>
          <w:sz w:val="26"/>
          <w:szCs w:val="26"/>
          <w:lang w:eastAsia="uk-UA"/>
        </w:rPr>
        <w:t>провайдера (</w:t>
      </w:r>
      <w:r w:rsidRPr="003435BB">
        <w:rPr>
          <w:rFonts w:ascii="Times New Roman" w:eastAsia="Times New Roman" w:hAnsi="Times New Roman"/>
          <w:b/>
          <w:sz w:val="26"/>
          <w:szCs w:val="26"/>
          <w:lang w:eastAsia="uk-UA"/>
        </w:rPr>
        <w:t>онлайн</w:t>
      </w:r>
      <w:r w:rsidRPr="003435BB">
        <w:rPr>
          <w:rFonts w:ascii="Times New Roman" w:eastAsia="Times New Roman" w:hAnsi="Times New Roman"/>
          <w:sz w:val="26"/>
          <w:szCs w:val="26"/>
          <w:lang w:eastAsia="uk-UA"/>
        </w:rPr>
        <w:t>).</w:t>
      </w:r>
      <w:bookmarkStart w:id="0" w:name="_GoBack"/>
      <w:bookmarkEnd w:id="0"/>
    </w:p>
    <w:p w:rsidR="00F25EE2" w:rsidRDefault="00F25EE2" w:rsidP="00F25EE2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F25EE2" w:rsidRPr="003435BB" w:rsidRDefault="00F25EE2" w:rsidP="00F25EE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435BB">
        <w:rPr>
          <w:rFonts w:ascii="Times New Roman" w:hAnsi="Times New Roman" w:cs="Times New Roman"/>
          <w:b/>
          <w:color w:val="1F3864" w:themeColor="accent5" w:themeShade="80"/>
          <w:sz w:val="26"/>
          <w:szCs w:val="26"/>
        </w:rPr>
        <w:t>До участі запрошуються</w:t>
      </w:r>
      <w:r w:rsidRPr="003435BB">
        <w:rPr>
          <w:rFonts w:ascii="Times New Roman" w:hAnsi="Times New Roman" w:cs="Times New Roman"/>
          <w:color w:val="1F3864" w:themeColor="accent5" w:themeShade="80"/>
          <w:sz w:val="26"/>
          <w:szCs w:val="26"/>
        </w:rPr>
        <w:t xml:space="preserve"> </w:t>
      </w:r>
      <w:r w:rsidRPr="003435BB">
        <w:rPr>
          <w:rFonts w:ascii="Times New Roman" w:hAnsi="Times New Roman" w:cs="Times New Roman"/>
          <w:sz w:val="26"/>
          <w:szCs w:val="26"/>
        </w:rPr>
        <w:t xml:space="preserve">дослідники та лікарі, члени комісій з питань етики, спонсори та заявники, представники фармацевтичних компаній і виробників лікарських засобів, науковці, молоді вчені та всі фахівці </w:t>
      </w:r>
      <w:r w:rsidRPr="003435BB">
        <w:rPr>
          <w:rStyle w:val="a4"/>
          <w:rFonts w:ascii="Times New Roman" w:hAnsi="Times New Roman" w:cs="Times New Roman"/>
          <w:sz w:val="26"/>
          <w:szCs w:val="26"/>
        </w:rPr>
        <w:t>медичної та фармацевтичної галузей</w:t>
      </w:r>
      <w:r w:rsidRPr="003435BB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3435BB">
        <w:rPr>
          <w:rFonts w:ascii="Times New Roman" w:hAnsi="Times New Roman" w:cs="Times New Roman"/>
          <w:sz w:val="26"/>
          <w:szCs w:val="26"/>
        </w:rPr>
        <w:t>які прагнуть поглибити знання про сучасні підходи до організації та проведення клінічних випробувань.</w:t>
      </w:r>
    </w:p>
    <w:p w:rsidR="00F25EE2" w:rsidRPr="006A2903" w:rsidRDefault="00F25EE2" w:rsidP="00F25EE2">
      <w:pPr>
        <w:pStyle w:val="a3"/>
        <w:spacing w:before="0" w:beforeAutospacing="0" w:after="0" w:afterAutospacing="0"/>
        <w:ind w:left="720"/>
        <w:rPr>
          <w:b/>
        </w:rPr>
      </w:pPr>
    </w:p>
    <w:p w:rsidR="00F25EE2" w:rsidRDefault="00F25EE2" w:rsidP="00F25EE2">
      <w:pPr>
        <w:pStyle w:val="a3"/>
        <w:spacing w:before="0" w:beforeAutospacing="0" w:after="0" w:afterAutospacing="0"/>
        <w:rPr>
          <w:b/>
          <w:bCs/>
          <w:color w:val="FF0000"/>
          <w:sz w:val="26"/>
          <w:szCs w:val="26"/>
        </w:rPr>
      </w:pPr>
    </w:p>
    <w:p w:rsidR="00F25EE2" w:rsidRPr="00F25EE2" w:rsidRDefault="00F25EE2" w:rsidP="00F25EE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п</w:t>
      </w:r>
      <w:r w:rsidRPr="00F25EE2">
        <w:rPr>
          <w:rFonts w:ascii="Times New Roman" w:hAnsi="Times New Roman" w:cs="Times New Roman"/>
          <w:sz w:val="28"/>
          <w:szCs w:val="28"/>
        </w:rPr>
        <w:t>рограм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F25EE2">
        <w:rPr>
          <w:rFonts w:ascii="Times New Roman" w:hAnsi="Times New Roman" w:cs="Times New Roman"/>
          <w:sz w:val="28"/>
          <w:szCs w:val="28"/>
        </w:rPr>
        <w:t xml:space="preserve"> семінару GCP</w:t>
      </w:r>
    </w:p>
    <w:p w:rsidR="00F25EE2" w:rsidRPr="00F25EE2" w:rsidRDefault="00F25EE2" w:rsidP="00F25EE2">
      <w:pPr>
        <w:jc w:val="center"/>
        <w:rPr>
          <w:rFonts w:ascii="Times New Roman" w:hAnsi="Times New Roman" w:cs="Times New Roman"/>
          <w:sz w:val="28"/>
          <w:szCs w:val="28"/>
        </w:rPr>
      </w:pPr>
      <w:r w:rsidRPr="00F25EE2">
        <w:rPr>
          <w:rFonts w:ascii="Times New Roman" w:hAnsi="Times New Roman" w:cs="Times New Roman"/>
          <w:sz w:val="28"/>
          <w:szCs w:val="28"/>
        </w:rPr>
        <w:t>«Належна клінічна практика (GCP). Нормативно-правове регулювання проведення клінічних випробувань»:</w:t>
      </w:r>
    </w:p>
    <w:p w:rsidR="00F25EE2" w:rsidRPr="007C309A" w:rsidRDefault="00F25EE2" w:rsidP="00F25EE2">
      <w:pPr>
        <w:pStyle w:val="a5"/>
        <w:numPr>
          <w:ilvl w:val="0"/>
          <w:numId w:val="1"/>
        </w:numPr>
        <w:rPr>
          <w:bCs/>
          <w:sz w:val="26"/>
          <w:szCs w:val="26"/>
          <w:lang w:val="uk"/>
        </w:rPr>
      </w:pPr>
      <w:r w:rsidRPr="007C309A">
        <w:rPr>
          <w:bCs/>
          <w:sz w:val="26"/>
          <w:szCs w:val="26"/>
          <w:lang w:val="uk"/>
        </w:rPr>
        <w:t>Процедура отримання інформованої згоди досліджуваного відповідно до GCP ІСН Е6 (R3) - огляд п.2.8 Розділу 2. Дослідник (</w:t>
      </w:r>
      <w:proofErr w:type="spellStart"/>
      <w:r w:rsidRPr="007C309A">
        <w:rPr>
          <w:bCs/>
          <w:sz w:val="26"/>
          <w:szCs w:val="26"/>
          <w:lang w:val="uk"/>
        </w:rPr>
        <w:t>Annex</w:t>
      </w:r>
      <w:proofErr w:type="spellEnd"/>
      <w:r w:rsidRPr="007C309A">
        <w:rPr>
          <w:bCs/>
          <w:sz w:val="26"/>
          <w:szCs w:val="26"/>
          <w:lang w:val="uk"/>
        </w:rPr>
        <w:t xml:space="preserve"> І)</w:t>
      </w:r>
    </w:p>
    <w:p w:rsidR="00F25EE2" w:rsidRPr="007C309A" w:rsidRDefault="00F25EE2" w:rsidP="00F25EE2">
      <w:pPr>
        <w:pStyle w:val="20"/>
        <w:numPr>
          <w:ilvl w:val="0"/>
          <w:numId w:val="1"/>
        </w:numPr>
        <w:shd w:val="clear" w:color="auto" w:fill="auto"/>
        <w:spacing w:line="240" w:lineRule="auto"/>
        <w:jc w:val="left"/>
        <w:rPr>
          <w:rFonts w:ascii="Times New Roman" w:hAnsi="Times New Roman" w:cs="Times New Roman"/>
          <w:sz w:val="26"/>
          <w:szCs w:val="26"/>
        </w:rPr>
      </w:pPr>
      <w:r w:rsidRPr="007C309A">
        <w:rPr>
          <w:rFonts w:ascii="Times New Roman" w:hAnsi="Times New Roman" w:cs="Times New Roman"/>
          <w:sz w:val="26"/>
          <w:szCs w:val="26"/>
          <w:lang w:val="uk"/>
        </w:rPr>
        <w:t xml:space="preserve">Діяльність комісій з питань етики при лікувально-профілактичних закладах, в яких проводяться клінічні випробування лікарських засобів, відповідно до </w:t>
      </w:r>
      <w:r w:rsidRPr="007C309A">
        <w:rPr>
          <w:rFonts w:ascii="Times New Roman" w:hAnsi="Times New Roman" w:cs="Times New Roman"/>
          <w:sz w:val="26"/>
          <w:szCs w:val="26"/>
          <w:lang w:val="en-US"/>
        </w:rPr>
        <w:t>GCP</w:t>
      </w:r>
      <w:r w:rsidRPr="007C309A">
        <w:rPr>
          <w:rFonts w:ascii="Times New Roman" w:hAnsi="Times New Roman" w:cs="Times New Roman"/>
          <w:sz w:val="26"/>
          <w:szCs w:val="26"/>
          <w:lang w:val="uk"/>
        </w:rPr>
        <w:t xml:space="preserve"> ІСН Е6 (</w:t>
      </w:r>
      <w:r w:rsidRPr="007C309A">
        <w:rPr>
          <w:rFonts w:ascii="Times New Roman" w:hAnsi="Times New Roman" w:cs="Times New Roman"/>
          <w:sz w:val="26"/>
          <w:szCs w:val="26"/>
          <w:lang w:val="en-US"/>
        </w:rPr>
        <w:t>R</w:t>
      </w:r>
      <w:r w:rsidRPr="007C309A">
        <w:rPr>
          <w:rFonts w:ascii="Times New Roman" w:hAnsi="Times New Roman" w:cs="Times New Roman"/>
          <w:sz w:val="26"/>
          <w:szCs w:val="26"/>
          <w:lang w:val="uk"/>
        </w:rPr>
        <w:t xml:space="preserve">3) - огляд змін Розділу 1. </w:t>
      </w:r>
      <w:r w:rsidRPr="007C309A">
        <w:rPr>
          <w:rFonts w:ascii="Times New Roman" w:hAnsi="Times New Roman" w:cs="Times New Roman"/>
          <w:sz w:val="26"/>
          <w:szCs w:val="26"/>
        </w:rPr>
        <w:t xml:space="preserve">Експертна рада медичного закладу/незалежний етичний комітет </w:t>
      </w:r>
      <w:r w:rsidRPr="007C309A">
        <w:rPr>
          <w:rFonts w:ascii="Times New Roman" w:hAnsi="Times New Roman" w:cs="Times New Roman"/>
          <w:sz w:val="26"/>
          <w:szCs w:val="26"/>
          <w:lang w:val="uk"/>
        </w:rPr>
        <w:t>(</w:t>
      </w:r>
      <w:r w:rsidRPr="007C309A">
        <w:rPr>
          <w:rFonts w:ascii="Times New Roman" w:hAnsi="Times New Roman" w:cs="Times New Roman"/>
          <w:sz w:val="26"/>
          <w:szCs w:val="26"/>
          <w:lang w:val="en-US"/>
        </w:rPr>
        <w:t>Annex</w:t>
      </w:r>
      <w:r w:rsidRPr="007C309A">
        <w:rPr>
          <w:rFonts w:ascii="Times New Roman" w:hAnsi="Times New Roman" w:cs="Times New Roman"/>
          <w:sz w:val="26"/>
          <w:szCs w:val="26"/>
          <w:lang w:val="uk"/>
        </w:rPr>
        <w:t xml:space="preserve"> </w:t>
      </w:r>
      <w:r w:rsidRPr="007C309A">
        <w:rPr>
          <w:rFonts w:ascii="Times New Roman" w:hAnsi="Times New Roman" w:cs="Times New Roman"/>
          <w:sz w:val="26"/>
          <w:szCs w:val="26"/>
        </w:rPr>
        <w:t>І)</w:t>
      </w:r>
    </w:p>
    <w:p w:rsidR="00F25EE2" w:rsidRPr="007C309A" w:rsidRDefault="00F25EE2" w:rsidP="00F25EE2">
      <w:pPr>
        <w:pStyle w:val="a3"/>
        <w:numPr>
          <w:ilvl w:val="0"/>
          <w:numId w:val="1"/>
        </w:numPr>
        <w:spacing w:before="0" w:beforeAutospacing="0" w:after="0" w:afterAutospacing="0"/>
        <w:rPr>
          <w:sz w:val="26"/>
          <w:szCs w:val="26"/>
          <w:shd w:val="clear" w:color="auto" w:fill="FFFFFF"/>
        </w:rPr>
      </w:pPr>
      <w:r w:rsidRPr="007C309A">
        <w:rPr>
          <w:bCs/>
          <w:sz w:val="26"/>
          <w:szCs w:val="26"/>
          <w:lang w:val="uk"/>
        </w:rPr>
        <w:t>Процедура отримання інформованої згоди досліджуваного відповідно до GCP ІСН Е6 (R3) - огляд п.2.8 Розділу 2. Дослідник (</w:t>
      </w:r>
      <w:proofErr w:type="spellStart"/>
      <w:r w:rsidRPr="007C309A">
        <w:rPr>
          <w:bCs/>
          <w:sz w:val="26"/>
          <w:szCs w:val="26"/>
          <w:lang w:val="uk"/>
        </w:rPr>
        <w:t>Annex</w:t>
      </w:r>
      <w:proofErr w:type="spellEnd"/>
      <w:r w:rsidRPr="007C309A">
        <w:rPr>
          <w:bCs/>
          <w:sz w:val="26"/>
          <w:szCs w:val="26"/>
          <w:lang w:val="uk"/>
        </w:rPr>
        <w:t xml:space="preserve"> І) </w:t>
      </w:r>
    </w:p>
    <w:p w:rsidR="00F25EE2" w:rsidRPr="007C309A" w:rsidRDefault="00F25EE2" w:rsidP="00F25EE2">
      <w:pPr>
        <w:pStyle w:val="a3"/>
        <w:numPr>
          <w:ilvl w:val="0"/>
          <w:numId w:val="1"/>
        </w:numPr>
        <w:spacing w:before="0" w:beforeAutospacing="0" w:after="0" w:afterAutospacing="0"/>
        <w:rPr>
          <w:sz w:val="26"/>
          <w:szCs w:val="26"/>
          <w:shd w:val="clear" w:color="auto" w:fill="FFFFFF"/>
        </w:rPr>
      </w:pPr>
      <w:r w:rsidRPr="007C309A">
        <w:rPr>
          <w:sz w:val="26"/>
          <w:szCs w:val="26"/>
        </w:rPr>
        <w:t>Місця проведення клінічних випробувань та дослідницька команда: нормативні вимоги до них відповідно до GCP Е6 (R3) - огляд змін Розділу 2. Дослідник (</w:t>
      </w:r>
      <w:proofErr w:type="spellStart"/>
      <w:r w:rsidRPr="007C309A">
        <w:rPr>
          <w:sz w:val="26"/>
          <w:szCs w:val="26"/>
        </w:rPr>
        <w:t>Annex</w:t>
      </w:r>
      <w:proofErr w:type="spellEnd"/>
      <w:r w:rsidRPr="007C309A">
        <w:rPr>
          <w:sz w:val="26"/>
          <w:szCs w:val="26"/>
        </w:rPr>
        <w:t xml:space="preserve"> І)</w:t>
      </w:r>
    </w:p>
    <w:p w:rsidR="00F25EE2" w:rsidRPr="007C309A" w:rsidRDefault="00F25EE2" w:rsidP="00F25EE2">
      <w:pPr>
        <w:pStyle w:val="a3"/>
        <w:numPr>
          <w:ilvl w:val="0"/>
          <w:numId w:val="1"/>
        </w:numPr>
        <w:spacing w:before="0" w:beforeAutospacing="0" w:after="0" w:afterAutospacing="0"/>
        <w:rPr>
          <w:sz w:val="26"/>
          <w:szCs w:val="26"/>
          <w:shd w:val="clear" w:color="auto" w:fill="FFFFFF"/>
        </w:rPr>
      </w:pPr>
      <w:r w:rsidRPr="007C309A">
        <w:rPr>
          <w:bCs/>
          <w:sz w:val="26"/>
          <w:szCs w:val="26"/>
          <w:lang w:val="uk"/>
        </w:rPr>
        <w:t>Протокол клінічного випробування та Брошура дослідника, зміни та уточнення при перегляді керівництва GCP ІСН Е6 (R3). Доповнення A (</w:t>
      </w:r>
      <w:proofErr w:type="spellStart"/>
      <w:r w:rsidRPr="007C309A">
        <w:rPr>
          <w:bCs/>
          <w:sz w:val="26"/>
          <w:szCs w:val="26"/>
          <w:lang w:val="uk"/>
        </w:rPr>
        <w:t>Appendix</w:t>
      </w:r>
      <w:proofErr w:type="spellEnd"/>
      <w:r w:rsidRPr="007C309A">
        <w:rPr>
          <w:bCs/>
          <w:sz w:val="26"/>
          <w:szCs w:val="26"/>
          <w:lang w:val="uk"/>
        </w:rPr>
        <w:t xml:space="preserve"> А) та Доповнення В (</w:t>
      </w:r>
      <w:proofErr w:type="spellStart"/>
      <w:r w:rsidRPr="007C309A">
        <w:rPr>
          <w:bCs/>
          <w:sz w:val="26"/>
          <w:szCs w:val="26"/>
          <w:lang w:val="uk"/>
        </w:rPr>
        <w:t>Appendix</w:t>
      </w:r>
      <w:proofErr w:type="spellEnd"/>
      <w:r w:rsidRPr="007C309A">
        <w:rPr>
          <w:bCs/>
          <w:sz w:val="26"/>
          <w:szCs w:val="26"/>
          <w:lang w:val="uk"/>
        </w:rPr>
        <w:t xml:space="preserve"> В)</w:t>
      </w:r>
    </w:p>
    <w:p w:rsidR="00F25EE2" w:rsidRPr="007C309A" w:rsidRDefault="00F25EE2" w:rsidP="00F25EE2">
      <w:pPr>
        <w:pStyle w:val="a3"/>
        <w:numPr>
          <w:ilvl w:val="0"/>
          <w:numId w:val="1"/>
        </w:numPr>
        <w:spacing w:before="0" w:beforeAutospacing="0" w:after="0" w:afterAutospacing="0"/>
        <w:rPr>
          <w:sz w:val="26"/>
          <w:szCs w:val="26"/>
          <w:shd w:val="clear" w:color="auto" w:fill="FFFFFF"/>
        </w:rPr>
      </w:pPr>
      <w:r w:rsidRPr="007C309A">
        <w:rPr>
          <w:sz w:val="26"/>
          <w:szCs w:val="26"/>
        </w:rPr>
        <w:t>Документи, які супроводжують клінічне випробування відповідно до GCP ІСН Е6 (R3) - огляд Доповнення С (</w:t>
      </w:r>
      <w:proofErr w:type="spellStart"/>
      <w:r w:rsidRPr="007C309A">
        <w:rPr>
          <w:sz w:val="26"/>
          <w:szCs w:val="26"/>
        </w:rPr>
        <w:t>Appendix</w:t>
      </w:r>
      <w:proofErr w:type="spellEnd"/>
      <w:r w:rsidRPr="007C309A">
        <w:rPr>
          <w:sz w:val="26"/>
          <w:szCs w:val="26"/>
        </w:rPr>
        <w:t xml:space="preserve"> С). Основні документи для проведення клінічних випробувань</w:t>
      </w:r>
    </w:p>
    <w:p w:rsidR="00F25EE2" w:rsidRPr="007C309A" w:rsidRDefault="00F25EE2" w:rsidP="00F25EE2">
      <w:pPr>
        <w:pStyle w:val="a3"/>
        <w:numPr>
          <w:ilvl w:val="0"/>
          <w:numId w:val="1"/>
        </w:numPr>
        <w:spacing w:before="0" w:beforeAutospacing="0" w:after="0" w:afterAutospacing="0"/>
        <w:rPr>
          <w:sz w:val="26"/>
          <w:szCs w:val="26"/>
          <w:shd w:val="clear" w:color="auto" w:fill="FFFFFF"/>
        </w:rPr>
      </w:pPr>
      <w:r w:rsidRPr="007C309A">
        <w:rPr>
          <w:sz w:val="26"/>
          <w:szCs w:val="26"/>
        </w:rPr>
        <w:t>Досліджуваний лікарський засіб в клінічних випробуваннях відповідно до GCP ІСН Е6 (R3) - огляд п.3.15. Розділу 3 (</w:t>
      </w:r>
      <w:proofErr w:type="spellStart"/>
      <w:r w:rsidRPr="007C309A">
        <w:rPr>
          <w:sz w:val="26"/>
          <w:szCs w:val="26"/>
        </w:rPr>
        <w:t>Annex</w:t>
      </w:r>
      <w:proofErr w:type="spellEnd"/>
      <w:r w:rsidRPr="007C309A">
        <w:rPr>
          <w:sz w:val="26"/>
          <w:szCs w:val="26"/>
        </w:rPr>
        <w:t xml:space="preserve"> 1)</w:t>
      </w:r>
    </w:p>
    <w:p w:rsidR="00F25EE2" w:rsidRPr="007C309A" w:rsidRDefault="00F25EE2" w:rsidP="00F25EE2">
      <w:pPr>
        <w:pStyle w:val="a3"/>
        <w:numPr>
          <w:ilvl w:val="0"/>
          <w:numId w:val="1"/>
        </w:numPr>
        <w:spacing w:before="0" w:beforeAutospacing="0" w:after="0" w:afterAutospacing="0"/>
        <w:rPr>
          <w:sz w:val="26"/>
          <w:szCs w:val="26"/>
          <w:shd w:val="clear" w:color="auto" w:fill="FFFFFF"/>
        </w:rPr>
      </w:pPr>
      <w:r w:rsidRPr="007C309A">
        <w:rPr>
          <w:sz w:val="26"/>
          <w:szCs w:val="26"/>
        </w:rPr>
        <w:lastRenderedPageBreak/>
        <w:t>Оцінка інформації з безпеки досліджуваного лікарського засобу та звітність згідно з GCP ІСН Е6 (R3)</w:t>
      </w:r>
    </w:p>
    <w:p w:rsidR="00F25EE2" w:rsidRPr="007C309A" w:rsidRDefault="00F25EE2" w:rsidP="00F25EE2">
      <w:pPr>
        <w:pStyle w:val="a3"/>
        <w:numPr>
          <w:ilvl w:val="0"/>
          <w:numId w:val="1"/>
        </w:numPr>
        <w:spacing w:before="0" w:beforeAutospacing="0" w:after="0" w:afterAutospacing="0"/>
        <w:rPr>
          <w:sz w:val="26"/>
          <w:szCs w:val="26"/>
          <w:shd w:val="clear" w:color="auto" w:fill="FFFFFF"/>
        </w:rPr>
      </w:pPr>
      <w:r w:rsidRPr="007C309A">
        <w:rPr>
          <w:sz w:val="26"/>
          <w:szCs w:val="26"/>
        </w:rPr>
        <w:t>Комп'ютеризовані системи: керівництво GCP ІСН Е6 (R3)</w:t>
      </w:r>
    </w:p>
    <w:p w:rsidR="00F25EE2" w:rsidRPr="007C309A" w:rsidRDefault="00F25EE2" w:rsidP="00F25EE2">
      <w:pPr>
        <w:pStyle w:val="a3"/>
        <w:numPr>
          <w:ilvl w:val="0"/>
          <w:numId w:val="1"/>
        </w:numPr>
        <w:spacing w:before="0" w:beforeAutospacing="0" w:after="0" w:afterAutospacing="0"/>
        <w:rPr>
          <w:sz w:val="26"/>
          <w:szCs w:val="26"/>
          <w:shd w:val="clear" w:color="auto" w:fill="FFFFFF"/>
        </w:rPr>
      </w:pPr>
      <w:r w:rsidRPr="007C309A">
        <w:rPr>
          <w:sz w:val="26"/>
          <w:szCs w:val="26"/>
        </w:rPr>
        <w:t>Обов'язки дослідника (</w:t>
      </w:r>
      <w:r w:rsidRPr="007C309A">
        <w:rPr>
          <w:bCs/>
          <w:sz w:val="26"/>
          <w:szCs w:val="26"/>
          <w:lang w:val="uk"/>
        </w:rPr>
        <w:t>GCP ІСН Е6 (R3)</w:t>
      </w:r>
    </w:p>
    <w:p w:rsidR="00F25EE2" w:rsidRPr="007C309A" w:rsidRDefault="00F25EE2" w:rsidP="00F25EE2">
      <w:pPr>
        <w:pStyle w:val="a3"/>
        <w:numPr>
          <w:ilvl w:val="0"/>
          <w:numId w:val="1"/>
        </w:numPr>
        <w:spacing w:before="0" w:beforeAutospacing="0" w:after="0" w:afterAutospacing="0"/>
        <w:rPr>
          <w:sz w:val="26"/>
          <w:szCs w:val="26"/>
          <w:shd w:val="clear" w:color="auto" w:fill="FFFFFF"/>
        </w:rPr>
      </w:pPr>
      <w:r w:rsidRPr="007C309A">
        <w:rPr>
          <w:sz w:val="26"/>
          <w:szCs w:val="26"/>
        </w:rPr>
        <w:t>Обов'язки спонсора. Моніторинг. Аудит (</w:t>
      </w:r>
      <w:r w:rsidRPr="007C309A">
        <w:rPr>
          <w:bCs/>
          <w:sz w:val="26"/>
          <w:szCs w:val="26"/>
          <w:lang w:val="uk"/>
        </w:rPr>
        <w:t>GCP ІСН Е6 (R3)</w:t>
      </w:r>
      <w:r w:rsidRPr="007C309A">
        <w:rPr>
          <w:sz w:val="26"/>
          <w:szCs w:val="26"/>
        </w:rPr>
        <w:t xml:space="preserve"> </w:t>
      </w:r>
    </w:p>
    <w:p w:rsidR="00F25EE2" w:rsidRPr="007C309A" w:rsidRDefault="00F25EE2" w:rsidP="00F25EE2">
      <w:pPr>
        <w:pStyle w:val="a3"/>
        <w:numPr>
          <w:ilvl w:val="0"/>
          <w:numId w:val="1"/>
        </w:numPr>
        <w:spacing w:before="0" w:beforeAutospacing="0" w:after="0" w:afterAutospacing="0"/>
        <w:rPr>
          <w:sz w:val="26"/>
          <w:szCs w:val="26"/>
          <w:shd w:val="clear" w:color="auto" w:fill="FFFFFF"/>
        </w:rPr>
      </w:pPr>
      <w:r w:rsidRPr="007C309A">
        <w:rPr>
          <w:sz w:val="26"/>
          <w:szCs w:val="26"/>
        </w:rPr>
        <w:t>Клінічний аудит клінічного випробування</w:t>
      </w:r>
    </w:p>
    <w:p w:rsidR="00F25EE2" w:rsidRPr="007C309A" w:rsidRDefault="00F25EE2" w:rsidP="00F25EE2">
      <w:pPr>
        <w:pStyle w:val="a3"/>
        <w:spacing w:before="0" w:beforeAutospacing="0" w:after="0" w:afterAutospacing="0"/>
        <w:jc w:val="both"/>
        <w:rPr>
          <w:rStyle w:val="a4"/>
          <w:rFonts w:eastAsia="Bookman Old Style"/>
          <w:b w:val="0"/>
          <w:color w:val="1F4E79" w:themeColor="accent1" w:themeShade="80"/>
          <w:sz w:val="26"/>
          <w:szCs w:val="26"/>
        </w:rPr>
      </w:pPr>
    </w:p>
    <w:p w:rsidR="00F25EE2" w:rsidRPr="00CF6F60" w:rsidRDefault="00F25EE2" w:rsidP="00F25EE2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CF6F60">
        <w:rPr>
          <w:color w:val="1F3864" w:themeColor="accent5" w:themeShade="80"/>
          <w:sz w:val="26"/>
          <w:szCs w:val="26"/>
        </w:rPr>
        <w:t>С</w:t>
      </w:r>
      <w:r w:rsidRPr="00CF6F60">
        <w:rPr>
          <w:rStyle w:val="a4"/>
          <w:rFonts w:eastAsia="Bookman Old Style"/>
          <w:color w:val="1F3864" w:themeColor="accent5" w:themeShade="80"/>
          <w:sz w:val="26"/>
          <w:szCs w:val="26"/>
        </w:rPr>
        <w:t xml:space="preserve">ертифікат: </w:t>
      </w:r>
      <w:r w:rsidRPr="00CF6F60">
        <w:rPr>
          <w:sz w:val="26"/>
          <w:szCs w:val="26"/>
        </w:rPr>
        <w:t xml:space="preserve">Після участі у семінарі </w:t>
      </w:r>
      <w:r w:rsidRPr="00CF6F60">
        <w:rPr>
          <w:rStyle w:val="a4"/>
          <w:rFonts w:eastAsia="Bookman Old Style"/>
          <w:sz w:val="26"/>
          <w:szCs w:val="26"/>
        </w:rPr>
        <w:t>GCP</w:t>
      </w:r>
      <w:r w:rsidRPr="00CF6F60">
        <w:rPr>
          <w:sz w:val="26"/>
          <w:szCs w:val="26"/>
        </w:rPr>
        <w:t xml:space="preserve"> кожен учасник отримає сертифікат, що підтверджує відповідність знань положенням порядку проведення клінічних випробувань в Україні.</w:t>
      </w:r>
    </w:p>
    <w:p w:rsidR="00F25EE2" w:rsidRPr="00CF6F60" w:rsidRDefault="00F25EE2" w:rsidP="00F25EE2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CF6F60">
        <w:rPr>
          <w:b/>
          <w:color w:val="1F3864" w:themeColor="accent5" w:themeShade="80"/>
          <w:sz w:val="26"/>
          <w:szCs w:val="26"/>
        </w:rPr>
        <w:t>Презентаційні матеріали</w:t>
      </w:r>
      <w:r w:rsidRPr="00CF6F60">
        <w:rPr>
          <w:color w:val="1F3864" w:themeColor="accent5" w:themeShade="80"/>
          <w:sz w:val="26"/>
          <w:szCs w:val="26"/>
        </w:rPr>
        <w:t xml:space="preserve"> </w:t>
      </w:r>
      <w:r w:rsidRPr="00CF6F60">
        <w:rPr>
          <w:sz w:val="26"/>
          <w:szCs w:val="26"/>
        </w:rPr>
        <w:t xml:space="preserve">семінару </w:t>
      </w:r>
      <w:r w:rsidRPr="00CF6F60">
        <w:rPr>
          <w:color w:val="000000"/>
          <w:sz w:val="26"/>
          <w:szCs w:val="26"/>
        </w:rPr>
        <w:t>GCP</w:t>
      </w:r>
      <w:r w:rsidRPr="00CF6F60">
        <w:rPr>
          <w:sz w:val="26"/>
          <w:szCs w:val="26"/>
        </w:rPr>
        <w:t xml:space="preserve"> будуть доступні для слухачів за запитом.</w:t>
      </w:r>
    </w:p>
    <w:p w:rsidR="00F25EE2" w:rsidRPr="00CF6F60" w:rsidRDefault="00F25EE2" w:rsidP="00F25EE2">
      <w:pPr>
        <w:spacing w:after="0" w:line="240" w:lineRule="auto"/>
        <w:rPr>
          <w:sz w:val="26"/>
          <w:szCs w:val="26"/>
        </w:rPr>
      </w:pPr>
    </w:p>
    <w:p w:rsidR="00F25EE2" w:rsidRPr="00CF6F60" w:rsidRDefault="00F25EE2" w:rsidP="00F25EE2">
      <w:pPr>
        <w:pStyle w:val="3"/>
        <w:spacing w:before="0" w:line="240" w:lineRule="auto"/>
        <w:rPr>
          <w:rFonts w:ascii="Times New Roman" w:hAnsi="Times New Roman" w:cs="Times New Roman"/>
          <w:b/>
          <w:color w:val="1F3864" w:themeColor="accent5" w:themeShade="80"/>
          <w:sz w:val="26"/>
          <w:szCs w:val="26"/>
        </w:rPr>
      </w:pPr>
      <w:r w:rsidRPr="00CF6F60">
        <w:rPr>
          <w:rFonts w:ascii="Times New Roman" w:hAnsi="Times New Roman" w:cs="Times New Roman"/>
          <w:b/>
          <w:color w:val="1F3864" w:themeColor="accent5" w:themeShade="80"/>
          <w:sz w:val="26"/>
          <w:szCs w:val="26"/>
        </w:rPr>
        <w:t>Реєстрація</w:t>
      </w:r>
    </w:p>
    <w:p w:rsidR="00F25EE2" w:rsidRPr="007C309A" w:rsidRDefault="00F25EE2" w:rsidP="00F25EE2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CF6F60">
        <w:rPr>
          <w:sz w:val="26"/>
          <w:szCs w:val="26"/>
        </w:rPr>
        <w:t xml:space="preserve">Для участі необхідно </w:t>
      </w:r>
      <w:r w:rsidRPr="00CF6F60">
        <w:rPr>
          <w:rStyle w:val="a4"/>
          <w:rFonts w:eastAsia="Bookman Old Style"/>
          <w:sz w:val="26"/>
          <w:szCs w:val="26"/>
        </w:rPr>
        <w:t>заповнити заяву</w:t>
      </w:r>
      <w:r w:rsidRPr="00CF6F60">
        <w:rPr>
          <w:sz w:val="26"/>
          <w:szCs w:val="26"/>
        </w:rPr>
        <w:t xml:space="preserve"> та надіслати її </w:t>
      </w:r>
      <w:r w:rsidRPr="00CF6F60">
        <w:rPr>
          <w:sz w:val="26"/>
          <w:szCs w:val="26"/>
          <w:shd w:val="clear" w:color="auto" w:fill="FFFFFF"/>
        </w:rPr>
        <w:t>в електронному вигляді </w:t>
      </w:r>
      <w:r w:rsidRPr="00CF6F60">
        <w:rPr>
          <w:sz w:val="26"/>
          <w:szCs w:val="26"/>
        </w:rPr>
        <w:t xml:space="preserve">у форматі </w:t>
      </w:r>
      <w:proofErr w:type="spellStart"/>
      <w:r w:rsidRPr="00CF6F60">
        <w:rPr>
          <w:rStyle w:val="a4"/>
          <w:rFonts w:eastAsia="Bookman Old Style"/>
          <w:sz w:val="26"/>
          <w:szCs w:val="26"/>
        </w:rPr>
        <w:t>doc</w:t>
      </w:r>
      <w:proofErr w:type="spellEnd"/>
      <w:r w:rsidRPr="00CF6F60">
        <w:rPr>
          <w:rStyle w:val="a4"/>
          <w:rFonts w:eastAsia="Bookman Old Style"/>
          <w:sz w:val="26"/>
          <w:szCs w:val="26"/>
        </w:rPr>
        <w:t xml:space="preserve"> / </w:t>
      </w:r>
      <w:proofErr w:type="spellStart"/>
      <w:r w:rsidRPr="00CF6F60">
        <w:rPr>
          <w:rStyle w:val="a4"/>
          <w:rFonts w:eastAsia="Bookman Old Style"/>
          <w:sz w:val="26"/>
          <w:szCs w:val="26"/>
        </w:rPr>
        <w:t>docx</w:t>
      </w:r>
      <w:proofErr w:type="spellEnd"/>
      <w:r w:rsidRPr="00CF6F60">
        <w:rPr>
          <w:sz w:val="26"/>
          <w:szCs w:val="26"/>
        </w:rPr>
        <w:t xml:space="preserve"> на адресу Агенції методологічної та науково-практичної роботи: </w:t>
      </w:r>
      <w:hyperlink r:id="rId5" w:history="1">
        <w:r w:rsidRPr="00CF6F60">
          <w:rPr>
            <w:rStyle w:val="a6"/>
            <w:sz w:val="26"/>
            <w:szCs w:val="26"/>
          </w:rPr>
          <w:t>amsw@dec.gov.ua</w:t>
        </w:r>
      </w:hyperlink>
      <w:r w:rsidRPr="00CF6F60">
        <w:rPr>
          <w:sz w:val="26"/>
          <w:szCs w:val="26"/>
        </w:rPr>
        <w:t xml:space="preserve"> </w:t>
      </w:r>
    </w:p>
    <w:p w:rsidR="00F25EE2" w:rsidRPr="00CF6F60" w:rsidRDefault="00F25EE2" w:rsidP="00F25EE2">
      <w:pPr>
        <w:pStyle w:val="3"/>
        <w:spacing w:before="0" w:line="240" w:lineRule="auto"/>
        <w:rPr>
          <w:rFonts w:ascii="Times New Roman" w:hAnsi="Times New Roman" w:cs="Times New Roman"/>
          <w:b/>
          <w:color w:val="1F3864" w:themeColor="accent5" w:themeShade="80"/>
          <w:sz w:val="26"/>
          <w:szCs w:val="26"/>
        </w:rPr>
      </w:pPr>
      <w:r w:rsidRPr="00CF6F60">
        <w:rPr>
          <w:rFonts w:ascii="Times New Roman" w:hAnsi="Times New Roman" w:cs="Times New Roman"/>
          <w:b/>
          <w:color w:val="1F3864" w:themeColor="accent5" w:themeShade="80"/>
          <w:sz w:val="26"/>
          <w:szCs w:val="26"/>
        </w:rPr>
        <w:t>Контакти</w:t>
      </w:r>
    </w:p>
    <w:p w:rsidR="00F25EE2" w:rsidRPr="00CF6F60" w:rsidRDefault="00F25EE2" w:rsidP="00F25EE2">
      <w:pPr>
        <w:pStyle w:val="a3"/>
        <w:spacing w:before="0" w:beforeAutospacing="0" w:after="0" w:afterAutospacing="0"/>
        <w:rPr>
          <w:sz w:val="26"/>
          <w:szCs w:val="26"/>
        </w:rPr>
      </w:pPr>
      <w:r w:rsidRPr="00CF6F60">
        <w:rPr>
          <w:sz w:val="26"/>
          <w:szCs w:val="26"/>
        </w:rPr>
        <w:t>Агенція методологічної та науково-практичної роботи</w:t>
      </w:r>
      <w:r w:rsidRPr="00CF6F60">
        <w:rPr>
          <w:sz w:val="26"/>
          <w:szCs w:val="26"/>
        </w:rPr>
        <w:br/>
      </w:r>
      <w:proofErr w:type="spellStart"/>
      <w:r w:rsidRPr="00CF6F60">
        <w:rPr>
          <w:sz w:val="26"/>
          <w:szCs w:val="26"/>
        </w:rPr>
        <w:t>тел</w:t>
      </w:r>
      <w:proofErr w:type="spellEnd"/>
      <w:r w:rsidRPr="00CF6F60">
        <w:rPr>
          <w:sz w:val="26"/>
          <w:szCs w:val="26"/>
        </w:rPr>
        <w:t>.: +38 (044) 202-17-00 (2253)</w:t>
      </w:r>
      <w:r w:rsidRPr="00CF6F60">
        <w:rPr>
          <w:sz w:val="26"/>
          <w:szCs w:val="26"/>
        </w:rPr>
        <w:br/>
        <w:t>e-</w:t>
      </w:r>
      <w:proofErr w:type="spellStart"/>
      <w:r w:rsidRPr="00CF6F60">
        <w:rPr>
          <w:sz w:val="26"/>
          <w:szCs w:val="26"/>
        </w:rPr>
        <w:t>mail</w:t>
      </w:r>
      <w:proofErr w:type="spellEnd"/>
      <w:r w:rsidRPr="00CF6F60">
        <w:rPr>
          <w:sz w:val="26"/>
          <w:szCs w:val="26"/>
        </w:rPr>
        <w:t xml:space="preserve">: </w:t>
      </w:r>
      <w:hyperlink r:id="rId6" w:history="1">
        <w:r w:rsidRPr="00CF6F60">
          <w:rPr>
            <w:rStyle w:val="a6"/>
            <w:sz w:val="26"/>
            <w:szCs w:val="26"/>
          </w:rPr>
          <w:t>amsw@dec.gov.ua</w:t>
        </w:r>
      </w:hyperlink>
      <w:r w:rsidRPr="00CF6F60">
        <w:rPr>
          <w:rStyle w:val="a4"/>
          <w:rFonts w:eastAsia="Bookman Old Style"/>
          <w:sz w:val="26"/>
          <w:szCs w:val="26"/>
        </w:rPr>
        <w:t xml:space="preserve"> </w:t>
      </w:r>
    </w:p>
    <w:p w:rsidR="00F25EE2" w:rsidRPr="00CF6F60" w:rsidRDefault="00F25EE2" w:rsidP="00F25E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F6F60">
        <w:rPr>
          <w:rFonts w:ascii="Times New Roman" w:hAnsi="Times New Roman" w:cs="Times New Roman"/>
          <w:sz w:val="26"/>
          <w:szCs w:val="26"/>
        </w:rPr>
        <w:tab/>
        <w:t>Чекаємо на зустріч з вами 26 листопада на «Різдвяних читання у Львові».</w:t>
      </w:r>
    </w:p>
    <w:p w:rsidR="00F25EE2" w:rsidRPr="00CF6F60" w:rsidRDefault="00F25EE2" w:rsidP="00F25EE2">
      <w:pPr>
        <w:pStyle w:val="a3"/>
        <w:spacing w:before="0" w:beforeAutospacing="0" w:after="0" w:afterAutospacing="0"/>
        <w:jc w:val="center"/>
        <w:rPr>
          <w:sz w:val="26"/>
          <w:szCs w:val="26"/>
        </w:rPr>
      </w:pPr>
      <w:r w:rsidRPr="00CF6F60">
        <w:rPr>
          <w:color w:val="1F3864" w:themeColor="accent5" w:themeShade="80"/>
          <w:sz w:val="26"/>
          <w:szCs w:val="26"/>
        </w:rPr>
        <w:t xml:space="preserve">Партнер організації семінару GCP - Різдвяні читання у Львові </w:t>
      </w:r>
      <w:hyperlink r:id="rId7" w:history="1">
        <w:r w:rsidRPr="00CF6F60">
          <w:rPr>
            <w:rStyle w:val="a6"/>
            <w:sz w:val="26"/>
            <w:szCs w:val="26"/>
          </w:rPr>
          <w:t>https://rizdvjani.chytannja.lokdc.lviv.ua/</w:t>
        </w:r>
      </w:hyperlink>
    </w:p>
    <w:p w:rsidR="00F25EE2" w:rsidRPr="00CF6F60" w:rsidRDefault="00F25EE2" w:rsidP="00F25EE2">
      <w:pPr>
        <w:spacing w:after="0" w:line="240" w:lineRule="auto"/>
        <w:jc w:val="center"/>
        <w:rPr>
          <w:rFonts w:ascii="Times New Roman" w:hAnsi="Times New Roman" w:cs="Times New Roman"/>
          <w:b/>
          <w:color w:val="1F4E79" w:themeColor="accent1" w:themeShade="80"/>
          <w:sz w:val="26"/>
          <w:szCs w:val="26"/>
        </w:rPr>
      </w:pPr>
      <w:r w:rsidRPr="00CF6F60">
        <w:rPr>
          <w:rFonts w:ascii="Times New Roman" w:hAnsi="Times New Roman" w:cs="Times New Roman"/>
          <w:b/>
          <w:color w:val="1F4E79" w:themeColor="accent1" w:themeShade="80"/>
          <w:sz w:val="26"/>
          <w:szCs w:val="26"/>
        </w:rPr>
        <w:t xml:space="preserve">Підтримуємо </w:t>
      </w:r>
      <w:proofErr w:type="spellStart"/>
      <w:r w:rsidRPr="00CF6F60">
        <w:rPr>
          <w:rFonts w:ascii="Times New Roman" w:hAnsi="Times New Roman" w:cs="Times New Roman"/>
          <w:b/>
          <w:color w:val="1F4E79" w:themeColor="accent1" w:themeShade="80"/>
          <w:sz w:val="26"/>
          <w:szCs w:val="26"/>
        </w:rPr>
        <w:t>дрес</w:t>
      </w:r>
      <w:proofErr w:type="spellEnd"/>
      <w:r w:rsidRPr="00CF6F60">
        <w:rPr>
          <w:rFonts w:ascii="Times New Roman" w:hAnsi="Times New Roman" w:cs="Times New Roman"/>
          <w:b/>
          <w:color w:val="1F4E79" w:themeColor="accent1" w:themeShade="80"/>
          <w:sz w:val="26"/>
          <w:szCs w:val="26"/>
        </w:rPr>
        <w:t>-код Різдвяних читань:</w:t>
      </w:r>
    </w:p>
    <w:p w:rsidR="00F25EE2" w:rsidRPr="00CF6F60" w:rsidRDefault="00F25EE2" w:rsidP="00F25EE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6F60">
        <w:rPr>
          <w:rFonts w:ascii="Times New Roman" w:hAnsi="Times New Roman" w:cs="Times New Roman"/>
          <w:b/>
          <w:sz w:val="26"/>
          <w:szCs w:val="26"/>
        </w:rPr>
        <w:t>українське вбрання та елементи українського дизайну</w:t>
      </w:r>
    </w:p>
    <w:p w:rsidR="00F25EE2" w:rsidRPr="00CF6F60" w:rsidRDefault="00F25EE2" w:rsidP="00F25EE2">
      <w:pPr>
        <w:spacing w:after="0" w:line="240" w:lineRule="auto"/>
        <w:jc w:val="center"/>
        <w:rPr>
          <w:rFonts w:ascii="Times New Roman" w:hAnsi="Times New Roman" w:cs="Times New Roman"/>
          <w:b/>
          <w:color w:val="2E74B5" w:themeColor="accent1" w:themeShade="BF"/>
          <w:sz w:val="26"/>
          <w:szCs w:val="26"/>
        </w:rPr>
      </w:pPr>
    </w:p>
    <w:p w:rsidR="00F25EE2" w:rsidRPr="00CF6F60" w:rsidRDefault="00F25EE2" w:rsidP="00F25EE2">
      <w:pPr>
        <w:spacing w:after="0" w:line="240" w:lineRule="auto"/>
        <w:jc w:val="center"/>
        <w:rPr>
          <w:rFonts w:ascii="Times New Roman" w:hAnsi="Times New Roman" w:cs="Times New Roman"/>
          <w:b/>
          <w:color w:val="2E74B5" w:themeColor="accent1" w:themeShade="BF"/>
          <w:sz w:val="26"/>
          <w:szCs w:val="26"/>
        </w:rPr>
      </w:pPr>
      <w:r w:rsidRPr="00CF6F60">
        <w:rPr>
          <w:rFonts w:ascii="Times New Roman" w:hAnsi="Times New Roman" w:cs="Times New Roman"/>
          <w:b/>
          <w:color w:val="2E74B5" w:themeColor="accent1" w:themeShade="BF"/>
          <w:sz w:val="26"/>
          <w:szCs w:val="26"/>
        </w:rPr>
        <w:t xml:space="preserve">Скористайтесь нагодою поглибити свої знання </w:t>
      </w:r>
    </w:p>
    <w:p w:rsidR="00F25EE2" w:rsidRPr="00CF6F60" w:rsidRDefault="00F25EE2" w:rsidP="00F25EE2">
      <w:pPr>
        <w:spacing w:after="0" w:line="240" w:lineRule="auto"/>
        <w:jc w:val="center"/>
        <w:rPr>
          <w:rStyle w:val="a4"/>
          <w:rFonts w:ascii="Times New Roman" w:hAnsi="Times New Roman" w:cs="Times New Roman"/>
          <w:bCs w:val="0"/>
          <w:color w:val="0070C0"/>
          <w:sz w:val="26"/>
          <w:szCs w:val="26"/>
        </w:rPr>
      </w:pPr>
      <w:r w:rsidRPr="00CF6F60">
        <w:rPr>
          <w:rFonts w:ascii="Times New Roman" w:hAnsi="Times New Roman" w:cs="Times New Roman"/>
          <w:b/>
          <w:color w:val="0070C0"/>
          <w:sz w:val="26"/>
          <w:szCs w:val="26"/>
        </w:rPr>
        <w:t>щодо останніх змін у GCP ICH E6 (R3)!</w:t>
      </w:r>
    </w:p>
    <w:p w:rsidR="00F25EE2" w:rsidRPr="00CF6F60" w:rsidRDefault="00F25EE2" w:rsidP="00F25EE2">
      <w:pPr>
        <w:spacing w:after="0" w:line="240" w:lineRule="auto"/>
        <w:jc w:val="center"/>
        <w:rPr>
          <w:rStyle w:val="a4"/>
          <w:rFonts w:ascii="Times New Roman" w:hAnsi="Times New Roman" w:cs="Times New Roman"/>
          <w:color w:val="0070C0"/>
          <w:sz w:val="26"/>
          <w:szCs w:val="26"/>
        </w:rPr>
      </w:pPr>
      <w:r w:rsidRPr="00CF6F60">
        <w:rPr>
          <w:rStyle w:val="a4"/>
          <w:rFonts w:ascii="Times New Roman" w:hAnsi="Times New Roman" w:cs="Times New Roman"/>
          <w:color w:val="0070C0"/>
          <w:sz w:val="26"/>
          <w:szCs w:val="26"/>
        </w:rPr>
        <w:t>Збережіть у своєму календарі цю дату — 26 листопада 2026 року!</w:t>
      </w:r>
    </w:p>
    <w:p w:rsidR="00B745EC" w:rsidRDefault="00F25EE2"/>
    <w:sectPr w:rsidR="00B745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A227A"/>
    <w:multiLevelType w:val="hybridMultilevel"/>
    <w:tmpl w:val="9DDA1A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EE2"/>
    <w:rsid w:val="008B6EA9"/>
    <w:rsid w:val="009D3AF0"/>
    <w:rsid w:val="00F25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5AA3F"/>
  <w15:chartTrackingRefBased/>
  <w15:docId w15:val="{DEF3A7D8-359B-42C8-BFF7-81E8868BD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F25EE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5E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F25EE2"/>
    <w:rPr>
      <w:b/>
      <w:bCs/>
    </w:rPr>
  </w:style>
  <w:style w:type="paragraph" w:styleId="a5">
    <w:name w:val="List Paragraph"/>
    <w:basedOn w:val="a"/>
    <w:uiPriority w:val="34"/>
    <w:qFormat/>
    <w:rsid w:val="00F25EE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">
    <w:name w:val="Основний текст (2)_"/>
    <w:basedOn w:val="a0"/>
    <w:link w:val="20"/>
    <w:rsid w:val="00F25EE2"/>
    <w:rPr>
      <w:rFonts w:ascii="Bookman Old Style" w:eastAsia="Bookman Old Style" w:hAnsi="Bookman Old Style" w:cs="Bookman Old Style"/>
      <w:sz w:val="15"/>
      <w:szCs w:val="15"/>
      <w:shd w:val="clear" w:color="auto" w:fill="FFFFFF"/>
    </w:rPr>
  </w:style>
  <w:style w:type="paragraph" w:customStyle="1" w:styleId="20">
    <w:name w:val="Основний текст (2)"/>
    <w:basedOn w:val="a"/>
    <w:link w:val="2"/>
    <w:rsid w:val="00F25EE2"/>
    <w:pPr>
      <w:shd w:val="clear" w:color="auto" w:fill="FFFFFF"/>
      <w:spacing w:after="0" w:line="288" w:lineRule="exact"/>
      <w:jc w:val="right"/>
    </w:pPr>
    <w:rPr>
      <w:rFonts w:ascii="Bookman Old Style" w:eastAsia="Bookman Old Style" w:hAnsi="Bookman Old Style" w:cs="Bookman Old Style"/>
      <w:sz w:val="15"/>
      <w:szCs w:val="15"/>
    </w:rPr>
  </w:style>
  <w:style w:type="character" w:customStyle="1" w:styleId="30">
    <w:name w:val="Заголовок 3 Знак"/>
    <w:basedOn w:val="a0"/>
    <w:link w:val="3"/>
    <w:uiPriority w:val="9"/>
    <w:rsid w:val="00F25EE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6">
    <w:name w:val="Hyperlink"/>
    <w:basedOn w:val="a0"/>
    <w:uiPriority w:val="99"/>
    <w:unhideWhenUsed/>
    <w:rsid w:val="00F25E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izdvjani.chytannja.lokdc.lviv.u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msw@dec.gov.ua" TargetMode="External"/><Relationship Id="rId5" Type="http://schemas.openxmlformats.org/officeDocument/2006/relationships/hyperlink" Target="mailto:amsw@dec.gov.u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2261</Words>
  <Characters>1290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2026-11-04T09:48:00Z</dcterms:created>
  <dcterms:modified xsi:type="dcterms:W3CDTF">2026-11-04T09:52:00Z</dcterms:modified>
</cp:coreProperties>
</file>