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КОМПЕТЕНТНИМИ ОРГАНАМИ СПОЛУЧЕНИХ ШТАТІВ АМЕРИКИ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1134"/>
        <w:gridCol w:w="1417"/>
        <w:gridCol w:w="1134"/>
        <w:gridCol w:w="1701"/>
        <w:gridCol w:w="1134"/>
        <w:gridCol w:w="156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ВІЗУЛТА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Latanoprostene bunod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латанопростен бунод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08" w:righ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S01E E06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краплі очні, розчин, 0,024 %; по 5 мл у пляшці з крапельницею; по 1 пляшці з крапельницею у картонній коробці; по 2,5 мл у пляшці з крапельницею; по 1 пляшці з крапельницею у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«БАУШ ХЕЛС»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пакування, маркування, міжопераційний контроль, аналітичний, мікробіологічний контроль лікарського засобу та ексципієнтів, дослідження стабільності.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Відповідальний за випуск серії ЛЗ:</w:t>
              <w:br/>
              <w:t>Бауш енд Ломб Інкорпорейтед, Сполучені Штати Америки;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br/>
              <w:t>Альтернативна дільниця, на якій проводиться аналітичний, мікробіологічний контроль та дослідження стабільності:</w:t>
              <w:br/>
              <w:t>Бауш енд Ломб Інкорпорейтед, Сполучені Штати Америки;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br/>
              <w:t>Стерилізація компонентів упаковки:</w:t>
              <w:br/>
              <w:t>Ісомедікс Оперейшинз, Інк., Сполучені Штати Америки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Сполучені Штати Америки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 Зміна місцезнаходження мастер-файла системи фармаконагляду. Зміна місця здійснення основної діяльності з фармаконагляду.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UA/18307/01/01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gutter="0" w:header="0" w:top="1134" w:footer="709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 w:left="0" w:right="0"/>
      <w:jc w:val="both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2026-11-02T07:55:00Z</dcterms:created>
  <dc:creator>RePack by Diakov</dc:creator>
  <dc:description/>
  <cp:keywords/>
  <dc:language>en-US</dc:language>
  <cp:lastModifiedBy>Сайчук Світлана Анатоліївна</cp:lastModifiedBy>
  <cp:lastPrinted>2022-04-14T11:34:00Z</cp:lastPrinted>
  <dcterms:modified xsi:type="dcterms:W3CDTF">2026-11-02T07:56:00Z</dcterms:modified>
  <cp:revision>3</cp:revision>
  <dc:subject/>
  <dc:title/>
</cp:coreProperties>
</file>