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footer4.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4.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120"/>
        <w:jc w:val="center"/>
        <w:rPr>
          <w:rFonts w:ascii="Times New Roman CYR" w:hAnsi="Times New Roman CYR" w:cs="Times New Roman CYR"/>
          <w:lang w:val="uk-UA"/>
        </w:rPr>
      </w:pPr>
      <w:r>
        <w:rPr>
          <w:rFonts w:cs="Times New Roman CYR" w:ascii="Times New Roman CYR" w:hAnsi="Times New Roman CYR"/>
          <w:lang w:val="uk-UA" w:eastAsia="ru-RU"/>
        </w:rPr>
        <w:drawing>
          <wp:inline distT="0" distB="0" distL="0" distR="0">
            <wp:extent cx="403225" cy="56451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89" t="-64" r="-89" b="-64"/>
                    <a:stretch>
                      <a:fillRect/>
                    </a:stretch>
                  </pic:blipFill>
                  <pic:spPr bwMode="auto">
                    <a:xfrm>
                      <a:off x="0" y="0"/>
                      <a:ext cx="403225" cy="564515"/>
                    </a:xfrm>
                    <a:prstGeom prst="rect">
                      <a:avLst/>
                    </a:prstGeom>
                  </pic:spPr>
                </pic:pic>
              </a:graphicData>
            </a:graphic>
          </wp:inline>
        </w:drawing>
      </w:r>
    </w:p>
    <w:p>
      <w:pPr>
        <w:pStyle w:val="Normal"/>
        <w:numPr>
          <w:ilvl w:val="0"/>
          <w:numId w:val="0"/>
        </w:numPr>
        <w:jc w:val="center"/>
        <w:outlineLvl w:val="0"/>
        <w:rPr>
          <w:b/>
          <w:b/>
          <w:sz w:val="32"/>
          <w:szCs w:val="32"/>
          <w:lang w:val="uk-UA"/>
        </w:rPr>
      </w:pPr>
      <w:r>
        <w:rPr>
          <w:b/>
          <w:sz w:val="32"/>
          <w:szCs w:val="32"/>
          <w:lang w:val="uk-UA"/>
        </w:rPr>
        <w:t>МІНІСТЕРСТВО ОХОРОНИ ЗДОРОВ’Я УКРАЇНИ</w:t>
      </w:r>
    </w:p>
    <w:p>
      <w:pPr>
        <w:pStyle w:val="Normal"/>
        <w:rPr>
          <w:b/>
          <w:b/>
          <w:sz w:val="32"/>
          <w:szCs w:val="32"/>
          <w:lang w:val="uk-UA"/>
        </w:rPr>
      </w:pPr>
      <w:r>
        <w:rPr>
          <w:b/>
          <w:sz w:val="32"/>
          <w:szCs w:val="32"/>
          <w:lang w:val="uk-UA"/>
        </w:rPr>
      </w:r>
    </w:p>
    <w:p>
      <w:pPr>
        <w:pStyle w:val="Normal"/>
        <w:numPr>
          <w:ilvl w:val="0"/>
          <w:numId w:val="0"/>
        </w:numPr>
        <w:jc w:val="center"/>
        <w:outlineLvl w:val="0"/>
        <w:rPr>
          <w:b/>
          <w:b/>
          <w:spacing w:val="60"/>
          <w:sz w:val="30"/>
          <w:szCs w:val="30"/>
          <w:lang w:val="uk-UA"/>
        </w:rPr>
      </w:pPr>
      <w:r>
        <w:rPr>
          <w:b/>
          <w:spacing w:val="60"/>
          <w:sz w:val="30"/>
          <w:szCs w:val="30"/>
          <w:lang w:val="uk-UA"/>
        </w:rPr>
        <w:t>НАКАЗ</w:t>
      </w:r>
    </w:p>
    <w:p>
      <w:pPr>
        <w:pStyle w:val="Normal"/>
        <w:rPr>
          <w:b/>
          <w:b/>
          <w:spacing w:val="60"/>
          <w:sz w:val="30"/>
          <w:szCs w:val="30"/>
          <w:lang w:val="uk-UA"/>
        </w:rPr>
      </w:pPr>
      <w:r>
        <w:rPr>
          <w:b/>
          <w:spacing w:val="60"/>
          <w:sz w:val="30"/>
          <w:szCs w:val="30"/>
          <w:lang w:val="uk-UA"/>
        </w:rPr>
      </w:r>
    </w:p>
    <w:tbl>
      <w:tblPr>
        <w:tblW w:w="10183" w:type="dxa"/>
        <w:jc w:val="left"/>
        <w:tblInd w:w="-72" w:type="dxa"/>
        <w:tblBorders/>
        <w:tblCellMar>
          <w:top w:w="0" w:type="dxa"/>
          <w:left w:w="108" w:type="dxa"/>
          <w:bottom w:w="0" w:type="dxa"/>
          <w:right w:w="108" w:type="dxa"/>
        </w:tblCellMar>
      </w:tblPr>
      <w:tblGrid>
        <w:gridCol w:w="3271"/>
        <w:gridCol w:w="2129"/>
        <w:gridCol w:w="4783"/>
      </w:tblGrid>
      <w:tr>
        <w:trPr>
          <w:trHeight w:val="924" w:hRule="atLeast"/>
        </w:trPr>
        <w:tc>
          <w:tcPr>
            <w:tcW w:w="3271" w:type="dxa"/>
            <w:tcBorders/>
            <w:shd w:fill="auto" w:val="clear"/>
          </w:tcPr>
          <w:p>
            <w:pPr>
              <w:pStyle w:val="Normal"/>
              <w:snapToGrid w:val="false"/>
              <w:rPr>
                <w:sz w:val="28"/>
                <w:szCs w:val="28"/>
                <w:lang w:val="uk-UA"/>
              </w:rPr>
            </w:pPr>
            <w:r>
              <w:rPr>
                <w:sz w:val="28"/>
                <w:szCs w:val="28"/>
                <w:lang w:val="uk-UA"/>
              </w:rPr>
            </w:r>
          </w:p>
          <w:p>
            <w:pPr>
              <w:pStyle w:val="Normal"/>
              <w:rPr>
                <w:sz w:val="28"/>
                <w:szCs w:val="28"/>
                <w:lang w:val="uk-UA"/>
              </w:rPr>
            </w:pPr>
            <w:r>
              <w:rPr>
                <w:sz w:val="28"/>
                <w:szCs w:val="28"/>
                <w:lang w:val="uk-UA"/>
              </w:rPr>
              <w:t>24 вересня 2026 року</w:t>
            </w:r>
          </w:p>
        </w:tc>
        <w:tc>
          <w:tcPr>
            <w:tcW w:w="2129" w:type="dxa"/>
            <w:tcBorders/>
            <w:shd w:fill="auto" w:val="clear"/>
          </w:tcPr>
          <w:p>
            <w:pPr>
              <w:pStyle w:val="Normal"/>
              <w:jc w:val="center"/>
              <w:rPr>
                <w:sz w:val="24"/>
                <w:szCs w:val="24"/>
                <w:lang w:val="uk-UA"/>
              </w:rPr>
            </w:pPr>
            <w:r>
              <w:rPr>
                <w:rFonts w:eastAsia="Times New Roman"/>
                <w:sz w:val="24"/>
                <w:szCs w:val="24"/>
                <w:lang w:val="uk-UA"/>
              </w:rPr>
              <w:t xml:space="preserve">                    </w:t>
            </w:r>
            <w:r>
              <w:rPr>
                <w:sz w:val="24"/>
                <w:szCs w:val="24"/>
                <w:lang w:val="uk-UA"/>
              </w:rPr>
              <w:t>Київ</w:t>
            </w:r>
          </w:p>
        </w:tc>
        <w:tc>
          <w:tcPr>
            <w:tcW w:w="4783" w:type="dxa"/>
            <w:tcBorders/>
            <w:shd w:fill="auto" w:val="clear"/>
          </w:tcPr>
          <w:p>
            <w:pPr>
              <w:pStyle w:val="Normal"/>
              <w:snapToGrid w:val="false"/>
              <w:ind w:firstLine="72"/>
              <w:jc w:val="center"/>
              <w:rPr>
                <w:sz w:val="28"/>
                <w:szCs w:val="28"/>
                <w:lang w:val="uk-UA"/>
              </w:rPr>
            </w:pPr>
            <w:r>
              <w:rPr>
                <w:sz w:val="28"/>
                <w:szCs w:val="28"/>
                <w:lang w:val="uk-UA"/>
              </w:rPr>
            </w:r>
          </w:p>
          <w:p>
            <w:pPr>
              <w:pStyle w:val="Normal"/>
              <w:ind w:firstLine="72"/>
              <w:jc w:val="center"/>
              <w:rPr>
                <w:sz w:val="28"/>
                <w:szCs w:val="28"/>
                <w:lang w:val="uk-UA"/>
              </w:rPr>
            </w:pPr>
            <w:r>
              <w:rPr>
                <w:rFonts w:eastAsia="Times New Roman"/>
                <w:sz w:val="28"/>
                <w:szCs w:val="28"/>
                <w:lang w:val="uk-UA"/>
              </w:rPr>
              <w:t xml:space="preserve">                                         </w:t>
            </w:r>
            <w:r>
              <w:rPr>
                <w:sz w:val="28"/>
                <w:szCs w:val="28"/>
                <w:lang w:val="uk-UA"/>
              </w:rPr>
              <w:t>№</w:t>
            </w:r>
            <w:r>
              <w:rPr>
                <w:rFonts w:eastAsia="Times New Roman"/>
                <w:sz w:val="28"/>
                <w:szCs w:val="28"/>
                <w:lang w:val="uk-UA"/>
              </w:rPr>
              <w:t xml:space="preserve"> </w:t>
            </w:r>
            <w:r>
              <w:rPr>
                <w:sz w:val="28"/>
                <w:szCs w:val="28"/>
                <w:lang w:val="uk-UA"/>
              </w:rPr>
              <w:t xml:space="preserve">1405                             </w:t>
            </w:r>
          </w:p>
          <w:p>
            <w:pPr>
              <w:pStyle w:val="Normal"/>
              <w:ind w:firstLine="72"/>
              <w:jc w:val="center"/>
              <w:rPr>
                <w:rFonts w:eastAsia="Times New Roman"/>
                <w:sz w:val="28"/>
                <w:szCs w:val="28"/>
                <w:lang w:val="uk-UA"/>
              </w:rPr>
            </w:pPr>
            <w:r>
              <w:rPr>
                <w:rFonts w:eastAsia="Times New Roman"/>
                <w:sz w:val="28"/>
                <w:szCs w:val="28"/>
                <w:lang w:val="uk-UA"/>
              </w:rPr>
              <w:t xml:space="preserve">                                             </w:t>
            </w:r>
          </w:p>
          <w:p>
            <w:pPr>
              <w:pStyle w:val="Normal"/>
              <w:ind w:firstLine="72"/>
              <w:jc w:val="center"/>
              <w:rPr/>
            </w:pPr>
            <w:r>
              <w:rPr>
                <w:rFonts w:eastAsia="Times New Roman"/>
                <w:sz w:val="28"/>
                <w:szCs w:val="28"/>
                <w:lang w:val="uk-UA"/>
              </w:rPr>
              <w:t xml:space="preserve">                                                </w:t>
            </w:r>
          </w:p>
          <w:p>
            <w:pPr>
              <w:pStyle w:val="Normal"/>
              <w:ind w:firstLine="72"/>
              <w:jc w:val="center"/>
              <w:rPr>
                <w:sz w:val="28"/>
                <w:szCs w:val="28"/>
                <w:lang w:val="uk-UA"/>
              </w:rPr>
            </w:pPr>
            <w:r>
              <w:rPr>
                <w:sz w:val="28"/>
                <w:szCs w:val="28"/>
                <w:lang w:val="uk-UA"/>
              </w:rPr>
            </w:r>
          </w:p>
        </w:tc>
      </w:tr>
    </w:tbl>
    <w:p>
      <w:pPr>
        <w:pStyle w:val="Normal"/>
        <w:jc w:val="both"/>
        <w:rPr>
          <w:b/>
          <w:b/>
          <w:bCs/>
          <w:sz w:val="28"/>
          <w:szCs w:val="28"/>
          <w:lang w:val="uk-UA"/>
        </w:rPr>
      </w:pPr>
      <w:r>
        <w:rPr>
          <w:b/>
          <w:bCs/>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ind w:firstLine="720"/>
        <w:jc w:val="both"/>
        <w:rPr>
          <w:b/>
          <w:b/>
          <w:bCs/>
          <w:sz w:val="16"/>
          <w:szCs w:val="16"/>
          <w:lang w:val="uk-UA"/>
        </w:rPr>
      </w:pPr>
      <w:r>
        <w:rPr>
          <w:b/>
          <w:bCs/>
          <w:sz w:val="16"/>
          <w:szCs w:val="16"/>
          <w:lang w:val="uk-UA"/>
        </w:rPr>
      </w:r>
    </w:p>
    <w:p>
      <w:pPr>
        <w:pStyle w:val="Normal"/>
        <w:ind w:firstLine="720"/>
        <w:jc w:val="both"/>
        <w:rPr>
          <w:sz w:val="16"/>
          <w:szCs w:val="16"/>
          <w:lang w:val="uk-UA"/>
        </w:rPr>
      </w:pPr>
      <w:r>
        <w:rPr>
          <w:sz w:val="16"/>
          <w:szCs w:val="16"/>
          <w:lang w:val="uk-UA"/>
        </w:rPr>
      </w:r>
    </w:p>
    <w:p>
      <w:pPr>
        <w:pStyle w:val="HTML1"/>
        <w:ind w:firstLine="720"/>
        <w:jc w:val="both"/>
        <w:rPr>
          <w:rFonts w:ascii="Times New Roman" w:hAnsi="Times New Roman" w:cs="Times New Roman"/>
          <w:sz w:val="28"/>
          <w:szCs w:val="28"/>
          <w:lang w:val="uk-UA"/>
        </w:rPr>
      </w:pPr>
      <w:r>
        <w:rPr>
          <w:rFonts w:cs="Times New Roman" w:ascii="Times New Roman" w:hAnsi="Times New Roman"/>
          <w:sz w:val="28"/>
          <w:szCs w:val="28"/>
          <w:lang w:val="uk-UA"/>
        </w:rPr>
        <w:t>Відповідно до статті 9 Закону України «Про лікарські засоби», 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 абзацу двадцять п’ятого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на підставі результатів експертизи реєстраційних матеріалів лікарських засобів (медичних імунобіологічних препаратів), що подані на державну реєстрацію (перереєстрацію) та внесення змін до реєстраційних матеріалів, проведених державним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його до державної реєстрації (перереєстрації) або внесення змін до реєстраційних матеріалів,</w:t>
      </w:r>
      <w:r>
        <w:rPr>
          <w:sz w:val="28"/>
          <w:szCs w:val="28"/>
          <w:lang w:val="uk-UA"/>
        </w:rPr>
        <w:t xml:space="preserve"> </w:t>
      </w:r>
      <w:r>
        <w:rPr>
          <w:rFonts w:cs="Times New Roman" w:ascii="Times New Roman" w:hAnsi="Times New Roman"/>
          <w:sz w:val="28"/>
          <w:szCs w:val="28"/>
          <w:lang w:val="uk-UA"/>
        </w:rPr>
        <w:t>що надійшли до Міністерства охорони здоров’я України листом державного підприємства «Державний експертний центр Міністерства охорони здоров’я України» від 16 вересня 2026 року № 3962/22.2-26,</w:t>
      </w:r>
    </w:p>
    <w:p>
      <w:pPr>
        <w:pStyle w:val="HTML1"/>
        <w:ind w:firstLine="720"/>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33"/>
        <w:ind w:left="0" w:hanging="0"/>
        <w:rPr>
          <w:b/>
          <w:b/>
          <w:bCs/>
          <w:sz w:val="28"/>
          <w:szCs w:val="28"/>
          <w:lang w:val="uk-UA"/>
        </w:rPr>
      </w:pPr>
      <w:r>
        <w:rPr>
          <w:b/>
          <w:bCs/>
          <w:sz w:val="28"/>
          <w:szCs w:val="28"/>
          <w:lang w:val="uk-UA"/>
        </w:rPr>
        <w:t>НАКАЗУЮ:</w:t>
      </w:r>
    </w:p>
    <w:p>
      <w:pPr>
        <w:pStyle w:val="Normal"/>
        <w:tabs>
          <w:tab w:val="left" w:pos="1080" w:leader="none"/>
        </w:tabs>
        <w:ind w:firstLine="720"/>
        <w:jc w:val="both"/>
        <w:rPr>
          <w:b/>
          <w:b/>
          <w:bCs/>
          <w:sz w:val="28"/>
          <w:szCs w:val="28"/>
          <w:lang w:val="uk-UA"/>
        </w:rPr>
      </w:pPr>
      <w:r>
        <w:rPr>
          <w:b/>
          <w:bCs/>
          <w:sz w:val="28"/>
          <w:szCs w:val="28"/>
          <w:lang w:val="uk-UA"/>
        </w:rPr>
      </w:r>
    </w:p>
    <w:p>
      <w:pPr>
        <w:pStyle w:val="Normal"/>
        <w:tabs>
          <w:tab w:val="left" w:pos="1080" w:leader="none"/>
        </w:tabs>
        <w:ind w:firstLine="720"/>
        <w:jc w:val="both"/>
        <w:rPr/>
      </w:pPr>
      <w:r>
        <w:rPr>
          <w:sz w:val="28"/>
          <w:szCs w:val="28"/>
          <w:lang w:val="uk-UA"/>
        </w:rPr>
        <w:t xml:space="preserve">1. Зареєструвати </w:t>
      </w:r>
      <w:r>
        <w:rPr>
          <w:sz w:val="28"/>
          <w:szCs w:val="28"/>
          <w:lang w:val="uk-UA" w:eastAsia="ru-RU"/>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1.</w:t>
      </w:r>
    </w:p>
    <w:p>
      <w:pPr>
        <w:pStyle w:val="Normal"/>
        <w:tabs>
          <w:tab w:val="left" w:pos="1080" w:leader="none"/>
        </w:tabs>
        <w:ind w:firstLine="720"/>
        <w:jc w:val="both"/>
        <w:rPr>
          <w:sz w:val="28"/>
          <w:szCs w:val="28"/>
          <w:lang w:val="uk-UA"/>
        </w:rPr>
      </w:pPr>
      <w:r>
        <w:rPr>
          <w:sz w:val="28"/>
          <w:szCs w:val="28"/>
          <w:lang w:val="uk-UA"/>
        </w:rPr>
      </w:r>
    </w:p>
    <w:p>
      <w:pPr>
        <w:pStyle w:val="Normal"/>
        <w:tabs>
          <w:tab w:val="left" w:pos="1080" w:leader="none"/>
        </w:tabs>
        <w:ind w:firstLine="720"/>
        <w:jc w:val="both"/>
        <w:rPr/>
      </w:pPr>
      <w:r>
        <w:rPr>
          <w:sz w:val="28"/>
          <w:szCs w:val="28"/>
          <w:lang w:val="uk-UA"/>
        </w:rPr>
        <w:t xml:space="preserve">2. Перереєструвати </w:t>
      </w:r>
      <w:r>
        <w:rPr>
          <w:sz w:val="28"/>
          <w:szCs w:val="28"/>
          <w:lang w:val="uk-UA" w:eastAsia="ru-RU"/>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2.</w:t>
      </w:r>
    </w:p>
    <w:p>
      <w:pPr>
        <w:pStyle w:val="Normal"/>
        <w:tabs>
          <w:tab w:val="left" w:pos="1080" w:leader="none"/>
        </w:tabs>
        <w:ind w:firstLine="720"/>
        <w:jc w:val="both"/>
        <w:rPr>
          <w:sz w:val="28"/>
          <w:szCs w:val="28"/>
          <w:lang w:val="uk-UA"/>
        </w:rPr>
      </w:pPr>
      <w:r>
        <w:rPr>
          <w:sz w:val="28"/>
          <w:szCs w:val="28"/>
          <w:lang w:val="uk-UA"/>
        </w:rPr>
      </w:r>
    </w:p>
    <w:p>
      <w:pPr>
        <w:pStyle w:val="Normal"/>
        <w:tabs>
          <w:tab w:val="left" w:pos="1080" w:leader="none"/>
        </w:tabs>
        <w:ind w:firstLine="720"/>
        <w:jc w:val="both"/>
        <w:rPr>
          <w:sz w:val="28"/>
          <w:szCs w:val="28"/>
          <w:lang w:val="uk-UA"/>
        </w:rPr>
      </w:pPr>
      <w:r>
        <w:rPr>
          <w:sz w:val="28"/>
          <w:szCs w:val="28"/>
          <w:lang w:val="uk-UA"/>
        </w:rPr>
        <w:t xml:space="preserve">3. Внести зміни до реєстраційних матеріалів на </w:t>
      </w:r>
      <w:r>
        <w:rPr>
          <w:sz w:val="28"/>
          <w:szCs w:val="28"/>
          <w:lang w:val="uk-UA" w:eastAsia="ru-RU"/>
        </w:rPr>
        <w:t>лікарські засоби</w:t>
      </w:r>
      <w:r>
        <w:rPr>
          <w:sz w:val="28"/>
          <w:szCs w:val="28"/>
          <w:lang w:val="uk-UA"/>
        </w:rPr>
        <w:t xml:space="preserve"> (медичні імунобіологічні препарати) та до Державного реєстру лікарських засобів згідно з додатком 3.</w:t>
      </w:r>
    </w:p>
    <w:p>
      <w:pPr>
        <w:pStyle w:val="Normal"/>
        <w:tabs>
          <w:tab w:val="left" w:pos="720" w:leader="none"/>
          <w:tab w:val="left" w:pos="993" w:leader="none"/>
        </w:tabs>
        <w:ind w:firstLine="720"/>
        <w:jc w:val="both"/>
        <w:rPr>
          <w:sz w:val="28"/>
          <w:szCs w:val="28"/>
          <w:lang w:val="uk-UA"/>
        </w:rPr>
      </w:pPr>
      <w:r>
        <w:rPr>
          <w:sz w:val="28"/>
          <w:szCs w:val="28"/>
          <w:lang w:val="uk-UA"/>
        </w:rPr>
      </w:r>
    </w:p>
    <w:p>
      <w:pPr>
        <w:pStyle w:val="Normal"/>
        <w:tabs>
          <w:tab w:val="left" w:pos="720" w:leader="none"/>
          <w:tab w:val="left" w:pos="993" w:leader="none"/>
        </w:tabs>
        <w:ind w:firstLine="720"/>
        <w:jc w:val="both"/>
        <w:rPr>
          <w:sz w:val="28"/>
          <w:szCs w:val="28"/>
          <w:lang w:val="uk-UA"/>
        </w:rPr>
      </w:pPr>
      <w:r>
        <w:rPr>
          <w:sz w:val="28"/>
          <w:szCs w:val="28"/>
          <w:lang w:val="uk-UA"/>
        </w:rPr>
        <w:t>4. Фармацевтичному управлінню (Олександру Гріценку) забезпечити оприлюднення цього наказу на офіційному вебсайті Міністерства охорони здоров’я України.</w:t>
      </w:r>
    </w:p>
    <w:p>
      <w:pPr>
        <w:pStyle w:val="Normal"/>
        <w:tabs>
          <w:tab w:val="left" w:pos="1080" w:leader="none"/>
        </w:tabs>
        <w:ind w:firstLine="720"/>
        <w:jc w:val="both"/>
        <w:rPr>
          <w:sz w:val="28"/>
          <w:szCs w:val="28"/>
          <w:lang w:val="uk-UA"/>
        </w:rPr>
      </w:pPr>
      <w:r>
        <w:rPr>
          <w:sz w:val="28"/>
          <w:szCs w:val="28"/>
          <w:lang w:val="uk-UA"/>
        </w:rPr>
      </w:r>
    </w:p>
    <w:p>
      <w:pPr>
        <w:pStyle w:val="Normal"/>
        <w:tabs>
          <w:tab w:val="left" w:pos="720" w:leader="none"/>
          <w:tab w:val="left" w:pos="1080" w:leader="none"/>
        </w:tabs>
        <w:ind w:firstLine="720"/>
        <w:jc w:val="both"/>
        <w:rPr>
          <w:sz w:val="28"/>
          <w:szCs w:val="28"/>
          <w:lang w:val="uk-UA"/>
        </w:rPr>
      </w:pPr>
      <w:r>
        <w:rPr>
          <w:sz w:val="28"/>
          <w:szCs w:val="28"/>
          <w:lang w:val="uk-UA"/>
        </w:rPr>
        <w:t>5. Контроль за виконанням цього наказу покласти на заступника Міністра Євгенія Гончара.</w:t>
      </w:r>
    </w:p>
    <w:p>
      <w:pPr>
        <w:pStyle w:val="33"/>
        <w:spacing w:before="0" w:after="0"/>
        <w:rPr>
          <w:sz w:val="28"/>
          <w:szCs w:val="28"/>
          <w:lang w:val="uk-UA"/>
        </w:rPr>
      </w:pPr>
      <w:r>
        <w:rPr>
          <w:sz w:val="28"/>
          <w:szCs w:val="28"/>
          <w:lang w:val="uk-UA"/>
        </w:rPr>
      </w:r>
    </w:p>
    <w:p>
      <w:pPr>
        <w:pStyle w:val="33"/>
        <w:spacing w:before="0" w:after="0"/>
        <w:rPr>
          <w:sz w:val="28"/>
          <w:szCs w:val="28"/>
          <w:lang w:val="uk-UA"/>
        </w:rPr>
      </w:pPr>
      <w:r>
        <w:rPr>
          <w:sz w:val="28"/>
          <w:szCs w:val="28"/>
          <w:lang w:val="uk-UA"/>
        </w:rPr>
      </w:r>
    </w:p>
    <w:p>
      <w:pPr>
        <w:pStyle w:val="Normal"/>
        <w:rPr>
          <w:b/>
          <w:b/>
          <w:sz w:val="28"/>
          <w:szCs w:val="28"/>
          <w:lang w:val="uk-UA"/>
        </w:rPr>
      </w:pPr>
      <w:r>
        <w:rPr>
          <w:b/>
          <w:sz w:val="28"/>
          <w:szCs w:val="28"/>
          <w:lang w:val="uk-UA"/>
        </w:rPr>
        <w:t xml:space="preserve">Заступник Міністра з питань </w:t>
      </w:r>
    </w:p>
    <w:p>
      <w:pPr>
        <w:pStyle w:val="Normal"/>
        <w:rPr>
          <w:b/>
          <w:b/>
          <w:sz w:val="28"/>
          <w:szCs w:val="28"/>
          <w:lang w:val="uk-UA"/>
        </w:rPr>
      </w:pPr>
      <w:r>
        <w:rPr>
          <w:b/>
          <w:sz w:val="28"/>
          <w:szCs w:val="28"/>
          <w:lang w:val="uk-UA"/>
        </w:rPr>
        <w:t xml:space="preserve">цифрового розвитку, цифрових </w:t>
      </w:r>
    </w:p>
    <w:p>
      <w:pPr>
        <w:pStyle w:val="Normal"/>
        <w:rPr>
          <w:b/>
          <w:b/>
          <w:sz w:val="28"/>
          <w:szCs w:val="28"/>
          <w:lang w:val="uk-UA"/>
        </w:rPr>
      </w:pPr>
      <w:r>
        <w:rPr>
          <w:b/>
          <w:sz w:val="28"/>
          <w:szCs w:val="28"/>
          <w:lang w:val="uk-UA"/>
        </w:rPr>
        <w:t>трансформацій і цифровізації                                              Марія КАРЧЕВИЧ</w:t>
      </w:r>
    </w:p>
    <w:p>
      <w:pPr>
        <w:pStyle w:val="33"/>
        <w:spacing w:before="0" w:after="0"/>
        <w:ind w:left="0" w:hanging="0"/>
        <w:rPr>
          <w:b/>
          <w:b/>
          <w:sz w:val="28"/>
          <w:szCs w:val="28"/>
          <w:lang w:val="uk-UA"/>
        </w:rPr>
      </w:pPr>
      <w:r>
        <w:rPr>
          <w:b/>
          <w:sz w:val="28"/>
          <w:szCs w:val="28"/>
          <w:lang w:val="uk-UA"/>
        </w:rPr>
      </w:r>
    </w:p>
    <w:p>
      <w:pPr>
        <w:sectPr>
          <w:headerReference w:type="default" r:id="rId3"/>
          <w:headerReference w:type="first" r:id="rId4"/>
          <w:footerReference w:type="default" r:id="rId5"/>
          <w:footerReference w:type="first" r:id="rId6"/>
          <w:type w:val="nextPage"/>
          <w:pgSz w:w="11906" w:h="16838"/>
          <w:pgMar w:left="1701" w:right="567" w:header="709" w:top="899" w:footer="709" w:bottom="1701" w:gutter="0"/>
          <w:pgNumType w:fmt="decimal"/>
          <w:formProt w:val="false"/>
          <w:titlePg/>
          <w:textDirection w:val="lrTb"/>
          <w:docGrid w:type="default" w:linePitch="360" w:charSpace="0"/>
        </w:sectPr>
        <w:pStyle w:val="33"/>
        <w:spacing w:before="0" w:after="0"/>
        <w:ind w:left="0" w:hanging="0"/>
        <w:rPr>
          <w:b/>
          <w:b/>
          <w:sz w:val="28"/>
          <w:szCs w:val="28"/>
          <w:lang w:val="uk-UA"/>
        </w:rPr>
      </w:pPr>
      <w:r>
        <w:rPr>
          <w:b/>
          <w:sz w:val="28"/>
          <w:szCs w:val="28"/>
          <w:lang w:val="uk-UA"/>
        </w:rPr>
      </w:r>
    </w:p>
    <w:p>
      <w:pPr>
        <w:pStyle w:val="33"/>
        <w:spacing w:before="0" w:after="0"/>
        <w:ind w:left="0" w:hanging="0"/>
        <w:rPr>
          <w:lang w:val="uk-UA"/>
        </w:rPr>
      </w:pPr>
      <w:r>
        <w:rPr>
          <w:rFonts w:eastAsia="Times New Roman"/>
          <w:b/>
          <w:sz w:val="28"/>
          <w:szCs w:val="28"/>
          <w:lang w:val="uk-UA"/>
        </w:rPr>
        <w:t xml:space="preserve">    </w:t>
      </w:r>
    </w:p>
    <w:tbl>
      <w:tblPr>
        <w:tblW w:w="3825" w:type="dxa"/>
        <w:jc w:val="left"/>
        <w:tblInd w:w="11448" w:type="dxa"/>
        <w:tblBorders/>
        <w:tblCellMar>
          <w:top w:w="0" w:type="dxa"/>
          <w:left w:w="108" w:type="dxa"/>
          <w:bottom w:w="0" w:type="dxa"/>
          <w:right w:w="108" w:type="dxa"/>
        </w:tblCellMar>
      </w:tblPr>
      <w:tblGrid>
        <w:gridCol w:w="3825"/>
      </w:tblGrid>
      <w:tr>
        <w:trPr>
          <w:trHeight w:val="711" w:hRule="atLeast"/>
        </w:trPr>
        <w:tc>
          <w:tcPr>
            <w:tcW w:w="3825" w:type="dxa"/>
            <w:tcBorders/>
            <w:shd w:fill="auto" w:val="clear"/>
          </w:tcPr>
          <w:p>
            <w:pPr>
              <w:pStyle w:val="Heading4"/>
              <w:numPr>
                <w:ilvl w:val="3"/>
                <w:numId w:val="1"/>
              </w:numPr>
              <w:tabs>
                <w:tab w:val="left" w:pos="12600" w:leader="none"/>
              </w:tabs>
              <w:spacing w:before="0" w:after="0"/>
              <w:rPr>
                <w:sz w:val="18"/>
                <w:szCs w:val="18"/>
              </w:rPr>
            </w:pPr>
            <w:r>
              <w:rPr>
                <w:sz w:val="18"/>
                <w:szCs w:val="18"/>
              </w:rPr>
              <w:t>Додаток 1</w:t>
            </w:r>
          </w:p>
          <w:p>
            <w:pPr>
              <w:pStyle w:val="Heading4"/>
              <w:numPr>
                <w:ilvl w:val="3"/>
                <w:numId w:val="1"/>
              </w:numPr>
              <w:tabs>
                <w:tab w:val="left" w:pos="12600" w:leader="none"/>
              </w:tabs>
              <w:spacing w:before="0" w:after="0"/>
              <w:rPr>
                <w:sz w:val="18"/>
                <w:szCs w:val="18"/>
              </w:rPr>
            </w:pPr>
            <w:r>
              <w:rPr>
                <w:sz w:val="18"/>
                <w:szCs w:val="18"/>
              </w:rPr>
              <w:t>до наказу Міністерства охорони</w:t>
            </w:r>
          </w:p>
          <w:p>
            <w:pPr>
              <w:pStyle w:val="Heading4"/>
              <w:numPr>
                <w:ilvl w:val="3"/>
                <w:numId w:val="1"/>
              </w:numPr>
              <w:tabs>
                <w:tab w:val="left" w:pos="12600" w:leader="none"/>
              </w:tabs>
              <w:spacing w:before="0" w:after="0"/>
              <w:rPr>
                <w:sz w:val="18"/>
                <w:szCs w:val="18"/>
              </w:rPr>
            </w:pPr>
            <w:r>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Heading4"/>
              <w:numPr>
                <w:ilvl w:val="3"/>
                <w:numId w:val="1"/>
              </w:numPr>
              <w:tabs>
                <w:tab w:val="left" w:pos="12600" w:leader="none"/>
              </w:tabs>
              <w:spacing w:before="0" w:after="0"/>
              <w:rPr>
                <w:rFonts w:cs="Arial"/>
              </w:rPr>
            </w:pPr>
            <w:r>
              <w:rPr>
                <w:bCs w:val="false"/>
                <w:iCs/>
                <w:sz w:val="18"/>
                <w:szCs w:val="18"/>
                <w:u w:val="single"/>
              </w:rPr>
              <w:t>від_24 вересня 2026 року № 1405</w:t>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b/>
          <w:b/>
          <w:sz w:val="28"/>
          <w:szCs w:val="28"/>
        </w:rPr>
      </w:pPr>
      <w:r>
        <w:rPr>
          <w:b/>
          <w:caps/>
          <w:sz w:val="28"/>
          <w:szCs w:val="28"/>
        </w:rPr>
        <w:t>ПЕРЕЛІК</w:t>
      </w:r>
    </w:p>
    <w:p>
      <w:pPr>
        <w:pStyle w:val="Normal"/>
        <w:keepNext w:val="true"/>
        <w:numPr>
          <w:ilvl w:val="0"/>
          <w:numId w:val="0"/>
        </w:numPr>
        <w:jc w:val="center"/>
        <w:outlineLvl w:val="3"/>
        <w:rPr>
          <w:rFonts w:ascii="Arial" w:hAnsi="Arial" w:cs="Arial"/>
          <w:b/>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pPr>
        <w:pStyle w:val="Normal"/>
        <w:keepNext w:val="true"/>
        <w:numPr>
          <w:ilvl w:val="0"/>
          <w:numId w:val="0"/>
        </w:numPr>
        <w:jc w:val="center"/>
        <w:outlineLvl w:val="3"/>
        <w:rPr>
          <w:rFonts w:ascii="Arial" w:hAnsi="Arial" w:cs="Arial"/>
          <w:b/>
          <w:b/>
          <w:caps/>
        </w:rPr>
      </w:pPr>
      <w:r>
        <w:rPr>
          <w:rFonts w:cs="Arial" w:ascii="Arial" w:hAnsi="Arial"/>
          <w:b/>
          <w:caps/>
        </w:rPr>
      </w:r>
    </w:p>
    <w:tbl>
      <w:tblPr>
        <w:tblW w:w="16029" w:type="dxa"/>
        <w:jc w:val="left"/>
        <w:tblInd w:w="-1031"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276"/>
        <w:gridCol w:w="1134"/>
        <w:gridCol w:w="992"/>
        <w:gridCol w:w="851"/>
        <w:gridCol w:w="1417"/>
        <w:gridCol w:w="993"/>
        <w:gridCol w:w="850"/>
        <w:gridCol w:w="1276"/>
        <w:gridCol w:w="850"/>
        <w:gridCol w:w="2268"/>
        <w:gridCol w:w="1134"/>
        <w:gridCol w:w="993"/>
        <w:gridCol w:w="1428"/>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41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226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i/>
                <w:i/>
                <w:color w:val="000000"/>
                <w:sz w:val="16"/>
                <w:szCs w:val="16"/>
              </w:rPr>
            </w:pPr>
            <w:r>
              <w:rPr>
                <w:rFonts w:cs="Arial" w:ascii="Arial" w:hAnsi="Arial"/>
                <w:b/>
                <w:sz w:val="16"/>
                <w:szCs w:val="16"/>
              </w:rPr>
              <w:t>АДЕРМІКС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pPr>
            <w:r>
              <w:rPr>
                <w:rFonts w:cs="Arial" w:ascii="Arial" w:hAnsi="Arial"/>
                <w:color w:val="000000"/>
                <w:sz w:val="16"/>
                <w:szCs w:val="16"/>
                <w:lang w:val="en-US"/>
              </w:rPr>
              <w:t>a</w:t>
            </w:r>
            <w:r>
              <w:rPr>
                <w:rFonts w:cs="Arial" w:ascii="Arial" w:hAnsi="Arial"/>
                <w:color w:val="000000"/>
                <w:sz w:val="16"/>
                <w:szCs w:val="16"/>
              </w:rPr>
              <w:t>dapalene,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адапален та бензоїлу пероксид, водний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D10AD53</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1 мг/г / 25 мг/г, по 30 г гелю у тубі, по 1 тубі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ФАРМБЕРГ Сп. з о.о.</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Адалво Лімітед, Мальта;</w:t>
              <w:br/>
              <w:t>контроль якості та контроль стабільності:</w:t>
              <w:br/>
              <w:t>Прс Тісінум Лаб С.р.л., Італiя;</w:t>
              <w:br/>
              <w:t>контроль розміру частинок:</w:t>
              <w:br/>
              <w:t>Наномол Технолоджіс СЛ, Іспанiя;</w:t>
              <w:br/>
              <w:t>виробництво за повним циклом:</w:t>
              <w:br/>
              <w:t>Белтафарм С.п.А., Італія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Мальта/ Італiя/ Іспанiя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UA/21448/01/0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lang w:val="en-US"/>
              </w:rPr>
            </w:pPr>
            <w:r>
              <w:rPr>
                <w:rFonts w:cs="Arial" w:ascii="Arial" w:hAnsi="Arial"/>
                <w:b/>
                <w:sz w:val="16"/>
                <w:szCs w:val="16"/>
                <w:lang w:val="en-US"/>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АЙГЛІП®-ФАРМАК</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vildagliptin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вілдагліптин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A10BH02</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блістері, по 3 блістери у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Інструкція для медичного застосування лікарського засобу (eCTD версія 0009), Текст маркування упаковки лікарського засобу (eCTD версія 0009) Методи контролю якості (eCTD версія 0010) Звіт про доклінічне випробування відповідно Додатку 29 (eCTD версія 0000) Звіт про клінічне випробування відповідно Додатку 30 eCTD версія 0006) План управління ризиками версія 3 погоджена (eCTD послідовність № 0000).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UA/21459/01/0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АПІКСАБАН ГЕДЕОН РІХТЕР</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apixaban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апіксабан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B01AF02</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lang w:val="ru-RU"/>
              </w:rPr>
            </w:pPr>
            <w:r>
              <w:rPr>
                <w:rFonts w:cs="Arial" w:ascii="Arial" w:hAnsi="Arial"/>
                <w:color w:val="000000"/>
                <w:sz w:val="16"/>
                <w:szCs w:val="16"/>
                <w:lang w:val="ru-RU"/>
              </w:rPr>
              <w:t>таблетки, вкриті плівковою оболонкою, по 2,5 мг, по 20 таблеток, вкритих плівковою оболонкою, у блістері; по 1 або по 3, або по 5 блістерів із карткою пацієнта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lang w:val="ru-RU"/>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випуск серій:</w:t>
              <w:br/>
              <w:t>ТОВ «Гедеон Ріхтер Польща», Польща;</w:t>
              <w:br/>
              <w:t>виробництво нерозфасованого продукту, первинна упаковка, вторинна упаковка:</w:t>
              <w:br/>
              <w:t>ТОВ «Гедеон Ріхтер Польща»,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реєстрація на 5 років</w:t>
              <w:br/>
              <w:br/>
              <w:t>Резюме ПУР версія 2.0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UA/21430/01/01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АПІКСАБАН ГЕДЕОН РІХТЕР</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apixaban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апіксабан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B01AF02</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lang w:val="ru-RU"/>
              </w:rPr>
            </w:pPr>
            <w:r>
              <w:rPr>
                <w:rFonts w:cs="Arial" w:ascii="Arial" w:hAnsi="Arial"/>
                <w:color w:val="000000"/>
                <w:sz w:val="16"/>
                <w:szCs w:val="16"/>
                <w:lang w:val="ru-RU"/>
              </w:rPr>
              <w:t>таблетки, вкриті плівковою оболонкою, по 5 мг, по 20 таблеток, вкритих плівковою оболонкою, у блістері; по 1 або по 3, або по 5 блістерів із карткою пацієнта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lang w:val="ru-RU"/>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випуск серій:</w:t>
              <w:br/>
              <w:t>ТОВ «Гедеон Ріхтер Польща», Польща;</w:t>
              <w:br/>
              <w:t>виробництво нерозфасованого продукту, первинна упаковка, вторинна упаковка:</w:t>
              <w:br/>
              <w:t>ТОВ «Гедеон Ріхтер Польща»,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реєстрація на 5 років</w:t>
              <w:br/>
              <w:br/>
              <w:t>Резюме ПУР версія 2.0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UA/21430/01/02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ВАЛЬСАКОР®-ІНДА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валсартан, індапамід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C09DA03</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з модифікованим вивільненням, по 160 мг/1,5 мг, по 10 таблеток у блістері, по 3 або по 9 блістерів у коробці</w:t>
              <w:br/>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серії (хімічні та фізичні методи контролю):</w:t>
              <w:br/>
              <w:t>Лабена д.о.о., Словенія;</w:t>
              <w:br/>
              <w:br/>
              <w:t>виробництво "in bulk", первинна та вторинна упаковка, контроль та випуск серії:</w:t>
              <w:br/>
              <w:t>КРКА, д.д., Ново место, Словенія;</w:t>
              <w:br/>
              <w:br/>
              <w:t>контроль серії (хімічні та фізичні методи контролю):</w:t>
              <w:br/>
              <w:t>Кемілаб д.о.о., Словенія;</w:t>
              <w:br/>
              <w:br/>
              <w:t>контроль серії (хімічні та фізичні методи контролю):</w:t>
              <w:br/>
              <w:t>НЛЗОХ (Національні лабораторія за здрав`є, околє ін храно), Словенія;</w:t>
              <w:br/>
              <w:br/>
              <w:t xml:space="preserve">контроль серії (хімічні та фізичні методи контролю): </w:t>
              <w:br/>
              <w:t>Кемійські інститут, Центр за валідаційске технологіє ін аналітіко (ЦВТА),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t>Резюме ПУР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UA/21458/01/0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i/>
                <w:i/>
                <w:color w:val="000000"/>
                <w:sz w:val="16"/>
                <w:szCs w:val="16"/>
              </w:rPr>
            </w:pPr>
            <w:r>
              <w:rPr>
                <w:rFonts w:cs="Arial" w:ascii="Arial" w:hAnsi="Arial"/>
                <w:b/>
                <w:sz w:val="16"/>
                <w:szCs w:val="16"/>
              </w:rPr>
              <w:t>ДАГЛІФ® ДУО</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 xml:space="preserve">metformin and dapagliflozin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дапагліфлозин аморфний та метформіну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A10BD15</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5/850 мг; по 10 таблеток у блістері; по 3 або по 6 блістерів у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Інструкція для медичного застосування лікарського засобу (eCTD верія 0012) Текст маркування упаковки лікарського засобу (eCTD верія 0013) Методи контролю якості лікарського засобу (eCTD версія 0011) Звіт згідно додатку 29 Порядку (eCTD верcія 0000) Звіт згідно додатку 30 Порядку (eCTD верcія 0004) План управління ризиками версія 2 погоджена (eCTD послідовність № 0007).</w:t>
              <w:b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UA/21449/01/0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i/>
                <w:i/>
                <w:color w:val="000000"/>
                <w:sz w:val="16"/>
                <w:szCs w:val="16"/>
              </w:rPr>
            </w:pPr>
            <w:r>
              <w:rPr>
                <w:rFonts w:cs="Arial" w:ascii="Arial" w:hAnsi="Arial"/>
                <w:b/>
                <w:sz w:val="16"/>
                <w:szCs w:val="16"/>
              </w:rPr>
              <w:t>ДАГЛІФ® ДУО</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 xml:space="preserve">metformin and dapagliflozin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дапагліфлозин аморфний та метформіну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A10BD15</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5/1000 мг; по 10 таблеток у блістері; по 3 або по 6 блістерів у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Інструкція для медичного застосування лікарського засобу (eCTD верія 0012) Текст маркування упаковки лікарського засобу (eCTD верія 0013) Методи контролю якості лікарського засобу (eCTD версія 0011) Звіт згідно додатку 29 Порядку (eCTD верcія 0000) Звіт згідно додатку 30 Порядку (eCTD верcія 0004) План управління ризиками версія 2 погоджена (eCTD послідовність № 0007).</w:t>
              <w:b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UA/21449/01/02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i/>
                <w:i/>
                <w:color w:val="000000"/>
                <w:sz w:val="16"/>
                <w:szCs w:val="16"/>
              </w:rPr>
            </w:pPr>
            <w:r>
              <w:rPr>
                <w:rFonts w:cs="Arial" w:ascii="Arial" w:hAnsi="Arial"/>
                <w:b/>
                <w:sz w:val="16"/>
                <w:szCs w:val="16"/>
              </w:rPr>
              <w:t>ЕМБОКСА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B01AF01</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 мг, по 14 таблеток, вкритих плівковою оболонкою у блістері, по 4 блістери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Фармацевтичний завод «ПОЛЬФАРМА» С.А.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Інструкція для медичного застосування лікарського засобу (eCTD верія 0006) Текст маркування упаковки лікарського засобу (eCTD верія 0006) Коротка характеристика (eCTD верія 0008) Методи контролю якості лікарського засобу для дозування 2,5 мг, 10 мг, 15 мг (eCTD версія 0009) Методи контролю якості лікарського засобу для дозування 20 мг (eCTD версія 0011) Звіт згідно додатку 29 Порядку (eCTD верcія 0000) Звіт згідно додатку 30 Порядку №1 та №2 (eCTD верcія 0001) Звіт згідно додатку 30 Порядку №3 (eCTD верcія 0003) План управління ризиками версія 0.1 погоджена (eCTD послідовність № 0005).</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UA/21450/01/0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i/>
                <w:i/>
                <w:color w:val="000000"/>
                <w:sz w:val="16"/>
                <w:szCs w:val="16"/>
              </w:rPr>
            </w:pPr>
            <w:r>
              <w:rPr>
                <w:rFonts w:cs="Arial" w:ascii="Arial" w:hAnsi="Arial"/>
                <w:b/>
                <w:sz w:val="16"/>
                <w:szCs w:val="16"/>
              </w:rPr>
              <w:t>ЕМБОКСА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B01AF01</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вкритих плівковою оболонкою у блістері, по 1 або 10 блістерів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Фармацевтичний завод «ПОЛЬФАРМА» С.А.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Інструкція для медичного застосування лікарського засобу (eCTD верія 0006) Текст маркування упаковки лікарського засобу (eCTD верія 0006) Коротка характеристика (eCTD верія 0008) Методи контролю якості лікарського засобу для дозування 2,5 мг, 10 мг, 15 мг (eCTD версія 0009) Методи контролю якості лікарського засобу для дозування 20 мг (eCTD версія 0011) Звіт згідно додатку 29 Порядку (eCTD верcія 0000) Звіт згідно додатку 30 Порядку №1 та №2 (eCTD верcія 0001) Звіт згідно додатку 30 Порядку №3 (eCTD верcія 0003) План управління ризиками версія 0.1 погоджена (eCTD послідовність № 0005).</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UA/21450/01/02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i/>
                <w:i/>
                <w:color w:val="000000"/>
                <w:sz w:val="16"/>
                <w:szCs w:val="16"/>
              </w:rPr>
            </w:pPr>
            <w:r>
              <w:rPr>
                <w:rFonts w:cs="Arial" w:ascii="Arial" w:hAnsi="Arial"/>
                <w:b/>
                <w:sz w:val="16"/>
                <w:szCs w:val="16"/>
              </w:rPr>
              <w:t>ЕМБОКСА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B01AF01</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по 14 таблеток, вкритих плівковою оболонкою у блістері, по 1 або 3 блістери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Фармацевтичний завод «ПОЛЬФАРМА» С.А.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Інструкція для медичного застосування лікарського засобу (eCTD верія 0006) Текст маркування упаковки лікарського засобу (eCTD верія 0006) Коротка характеристика (eCTD верія 0008) Методи контролю якості лікарського засобу для дозування 2,5 мг, 10 мг, 15 мг (eCTD версія 0009) Методи контролю якості лікарського засобу для дозування 20 мг (eCTD версія 0011) Звіт згідно додатку 29 Порядку (eCTD верcія 0000) Звіт згідно додатку 30 Порядку №1 та №2 (eCTD верcія 0001) Звіт згідно додатку 30 Порядку №3 (eCTD верcія 0003) План управління ризиками версія 0.1 погоджена (eCTD послідовність № 0005).</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UA/21450/01/03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i/>
                <w:i/>
                <w:color w:val="000000"/>
                <w:sz w:val="16"/>
                <w:szCs w:val="16"/>
              </w:rPr>
            </w:pPr>
            <w:r>
              <w:rPr>
                <w:rFonts w:cs="Arial" w:ascii="Arial" w:hAnsi="Arial"/>
                <w:b/>
                <w:sz w:val="16"/>
                <w:szCs w:val="16"/>
              </w:rPr>
              <w:t>ЕМБОКСА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B01AF01</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вкритих плівковою оболонкою у блістері, по 2 блістери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Фармацевтичний завод «ПОЛЬФАРМА» С.А.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Інструкція для медичного застосування лікарського засобу (eCTD верія 0006) Текст маркування упаковки лікарського засобу (eCTD верія 0006) Коротка характеристика (eCTD верія 0008) Методи контролю якості лікарського засобу для дозування 2,5 мг, 10 мг, 15 мг (eCTD версія 0009) Методи контролю якості лікарського засобу для дозування 20 мг (eCTD версія 0011) Звіт згідно додатку 29 Порядку (eCTD верcія 0000) Звіт згідно додатку 30 Порядку №1 та №2 (eCTD верcія 0001) Звіт згідно додатку 30 Порядку №3 (eCTD верcія 0003) План управління ризиками версія 0.1 погоджена (eCTD послідовність № 0005).</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UA/21450/01/04</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i/>
                <w:i/>
                <w:color w:val="000000"/>
                <w:sz w:val="16"/>
                <w:szCs w:val="16"/>
              </w:rPr>
            </w:pPr>
            <w:r>
              <w:rPr>
                <w:rFonts w:cs="Arial" w:ascii="Arial" w:hAnsi="Arial"/>
                <w:b/>
                <w:sz w:val="16"/>
                <w:szCs w:val="16"/>
              </w:rPr>
              <w:t>КЛОМАКС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clobetasol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клобетазолу пропіонат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D07AD01</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шампунь, 500 мкг/г, по 60 мл або 125 мл у пляшці, по 1 пляшці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Белупо, ліки та косметика, д.д.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Белупо, ліки та косметика, д.д.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плану управління ризиками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UA/21451/01/0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i/>
                <w:i/>
                <w:color w:val="000000"/>
                <w:sz w:val="16"/>
                <w:szCs w:val="16"/>
              </w:rPr>
            </w:pPr>
            <w:r>
              <w:rPr>
                <w:rFonts w:cs="Arial" w:ascii="Arial" w:hAnsi="Arial"/>
                <w:b/>
                <w:sz w:val="16"/>
                <w:szCs w:val="16"/>
              </w:rPr>
              <w:t>КОЛХІМЕД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thiocolchicoside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 xml:space="preserve">тіоколхікозид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M03BX05</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4 мг/2 мл, по 2 мл в ампулі; по 3 ампули у контурній чарунковій упаковці; по 2 контурні чарункові упаковки в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"Фармацевтична фірма "Дарниця"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 xml:space="preserve">Інструкція для медичного застосування лікарського засобу (eCTD версія 0003); Коротка характеристика лікарського засобу (eCTD версія 0003); текст маркування упаковки лікарського засобу (eCTD версія 0003); Методи контролю якості (eCTD версія 0007); </w:t>
              <w:br/>
              <w:t xml:space="preserve">Звіт проклінічне випробування відповідно Додатку 29 (eCTD версія 0000); Звіт про клінічне випробування відповідно Додатку 30 eCTD версія 0000); План управління ризиками версія 0.2 погоджена (eCTD послідовність № 0004). </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UA/21452/01/0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i/>
                <w:i/>
                <w:color w:val="000000"/>
                <w:sz w:val="16"/>
                <w:szCs w:val="16"/>
              </w:rPr>
            </w:pPr>
            <w:r>
              <w:rPr>
                <w:rFonts w:cs="Arial" w:ascii="Arial" w:hAnsi="Arial"/>
                <w:b/>
                <w:sz w:val="16"/>
                <w:szCs w:val="16"/>
              </w:rPr>
              <w:t>ЛЕНВАТИНІБ-ВІСТА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lenvatinib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ленватиніб (у формі беcилату)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L01EX08</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4 мг, по 5 капсул у блістері, по 6 блістерів у картонній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дільниця, що відповідає за первинне та вторинне пакування, контроль якості (фізико-хімічний, мікробіологічний), випуск серії:</w:t>
              <w:br/>
              <w:t>Сінтон Хіспанія, С.Л., Іспанія;</w:t>
              <w:br/>
              <w:t>дільниця, що відповідає за виробництво, первинне та вторинне пакування, контроль якості (фізико-хімічний, мікробіологічний):</w:t>
              <w:br/>
              <w:t>Сінтон Чилі ЛТДА., Чилі</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Чилі</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UA/21453/01/0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i/>
                <w:i/>
                <w:color w:val="000000"/>
                <w:sz w:val="16"/>
                <w:szCs w:val="16"/>
              </w:rPr>
            </w:pPr>
            <w:r>
              <w:rPr>
                <w:rFonts w:cs="Arial" w:ascii="Arial" w:hAnsi="Arial"/>
                <w:b/>
                <w:sz w:val="16"/>
                <w:szCs w:val="16"/>
              </w:rPr>
              <w:t>ЛЕНВАТИНІБ-ВІСТА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lenvatinib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ленватиніб (у формі беcилату)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L01EX08</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10 мг, по 5 капсул у блістері, по 6 блістерів у картонній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дільниця, що відповідає за первинне та вторинне пакування, контроль якості (фізико-хімічний, мікробіологічний), випуск серії:</w:t>
              <w:br/>
              <w:t>Сінтон Хіспанія, С.Л., Іспанія;</w:t>
              <w:br/>
              <w:br/>
              <w:t>дільниця, що відповідає за виробництво, первинне та вторинне пакування, контроль якості (фізико-хімічний, мікробіологічний):</w:t>
              <w:br/>
              <w:t>Сінтон Чилі ЛТДА., Чилі</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Чилі</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UA/21453/01/02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sz w:val="16"/>
                <w:szCs w:val="16"/>
                <w:lang w:val="en-US"/>
              </w:rPr>
            </w:pPr>
            <w:r>
              <w:rPr>
                <w:rFonts w:cs="Arial" w:ascii="Arial" w:hAnsi="Arial"/>
                <w:b/>
                <w:sz w:val="16"/>
                <w:szCs w:val="16"/>
              </w:rPr>
              <w:t>ОЗЛАМ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sz w:val="16"/>
                <w:szCs w:val="16"/>
              </w:rPr>
            </w:pPr>
            <w:r>
              <w:rPr>
                <w:rFonts w:cs="Arial" w:ascii="Arial" w:hAnsi="Arial"/>
                <w:sz w:val="16"/>
                <w:szCs w:val="16"/>
              </w:rPr>
              <w:t>apremilast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sz w:val="16"/>
                <w:szCs w:val="16"/>
              </w:rPr>
            </w:pPr>
            <w:r>
              <w:rPr>
                <w:rFonts w:cs="Arial" w:ascii="Arial" w:hAnsi="Arial"/>
                <w:sz w:val="16"/>
                <w:szCs w:val="16"/>
              </w:rPr>
              <w:t>апреміласт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sz w:val="16"/>
                <w:szCs w:val="16"/>
              </w:rPr>
            </w:pPr>
            <w:r>
              <w:rPr>
                <w:rFonts w:cs="Arial" w:ascii="Arial" w:hAnsi="Arial"/>
                <w:sz w:val="16"/>
                <w:szCs w:val="16"/>
              </w:rPr>
              <w:t>L04AA32</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sz w:val="16"/>
                <w:szCs w:val="16"/>
              </w:rPr>
            </w:pPr>
            <w:r>
              <w:rPr>
                <w:rFonts w:cs="Arial" w:ascii="Arial" w:hAnsi="Arial"/>
                <w:sz w:val="16"/>
                <w:szCs w:val="16"/>
              </w:rPr>
              <w:t>таблетки, вкриті плівковою оболонкою, 10 мг, 20 мг або 30 мг, стартовий набір для лікування: 4 таблетки по 10 мг у блістері, 4 таблетки по 20 мг у блістері, 9 таблеток по 30 мг у блістері та 10 таблеток по 30 мг у блістері, по 4 блістери та 1 розкладному картонному футлярі у картонній коробці; стандартна упаковка: по 14 таблеток по 30 мг у блістері, по 4 блістери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sz w:val="16"/>
                <w:szCs w:val="16"/>
                <w:lang w:val="ru-RU"/>
              </w:rPr>
            </w:pPr>
            <w:r>
              <w:rPr>
                <w:rFonts w:cs="Arial" w:ascii="Arial" w:hAnsi="Arial"/>
                <w:sz w:val="16"/>
                <w:szCs w:val="16"/>
                <w:lang w:val="ru-RU"/>
              </w:rPr>
              <w:t>Фармацевтичний завод “ПОЛЬФАРМА”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Польща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lang w:val="ru-RU"/>
              </w:rPr>
              <w:t xml:space="preserve">Фармацевтичний завод «ПОЛЬФАРМА» С.А.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Польща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sz w:val="16"/>
                <w:szCs w:val="16"/>
                <w:lang w:val="ru-RU"/>
              </w:rPr>
            </w:pPr>
            <w:r>
              <w:rPr>
                <w:rFonts w:cs="Arial" w:ascii="Arial" w:hAnsi="Arial"/>
                <w:sz w:val="16"/>
                <w:szCs w:val="16"/>
                <w:lang w:val="ru-RU"/>
              </w:rPr>
              <w:t>реєстрація на 5 років</w:t>
              <w:br/>
              <w:br/>
              <w:t>Резюме ПУР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b/>
                <w:sz w:val="16"/>
                <w:szCs w:val="16"/>
              </w:rPr>
              <w:t>UA/21457/01/0</w:t>
            </w:r>
            <w:r>
              <w:rPr>
                <w:rFonts w:cs="Arial" w:ascii="Arial" w:hAnsi="Arial"/>
                <w:b/>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sz w:val="16"/>
                <w:szCs w:val="16"/>
              </w:rPr>
            </w:pPr>
            <w:r>
              <w:rPr>
                <w:rFonts w:cs="Arial" w:ascii="Arial" w:hAnsi="Arial"/>
                <w:b/>
                <w:sz w:val="16"/>
                <w:szCs w:val="16"/>
              </w:rPr>
              <w:t>РИВАРОКСІЯ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B01AF01</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 мг, по 14 таблеток у блістері, по 4 або 7 блістерів у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серії та випуск серії:</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t xml:space="preserve">Методи контролю якості (версія 0000 для кожного дозування). Інструкція для медичного застосування лікарського засобу (eCTD версія 0007) Текст маркування упаковки лікарського засобу (eCTD версія 0007) Звіти про доклінічні випробування відповідно Додатку 29 Наказу МОЗ України від 26.08.2005 року №426 зі змінами подані у форматі eCTD (версія 0000) Звіти про клінічні випробування відповідно Додатку 30 Наказу МОЗ України від 26.08.2005 року №426 зі змінами подані у форматі eCTD (версія 0001 для кожного дозування) </w:t>
              <w:br/>
              <w:t xml:space="preserve">План управління ризиками версія 1.3 погоджена (eCTD послідовність № 0007).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UA/21401/01/01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sz w:val="16"/>
                <w:szCs w:val="16"/>
              </w:rPr>
            </w:pPr>
            <w:r>
              <w:rPr>
                <w:rFonts w:cs="Arial" w:ascii="Arial" w:hAnsi="Arial"/>
                <w:b/>
                <w:sz w:val="16"/>
                <w:szCs w:val="16"/>
              </w:rPr>
              <w:t>РИВАРОКСІЯ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B01AF01</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10 мг, по 14 таблеток у блістері, по 1 або 2 блістери у коробці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серії та випуск серії:</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t xml:space="preserve">Методи контролю якості (версія 0000 для кожного дозування). Інструкція для медичного застосування лікарського засобу (eCTD версія 0007) Текст маркування упаковки лікарського засобу (eCTD версія 0007) Звіти про доклінічні випробування відповідно Додатку 29 Наказу МОЗ України від 26.08.2005 року №426 зі змінами подані у форматі eCTD (версія 0000) Звіти про клінічні випробування відповідно Додатку 30 Наказу МОЗ України від 26.08.2005 року №426 зі змінами подані у форматі eCTD (версія 0001 для кожного дозування) </w:t>
              <w:br/>
              <w:t xml:space="preserve">План управління ризиками версія 1.3 погоджена (eCTD послідовність № 0007).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UA/21401/01/02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sz w:val="16"/>
                <w:szCs w:val="16"/>
              </w:rPr>
            </w:pPr>
            <w:r>
              <w:rPr>
                <w:rFonts w:cs="Arial" w:ascii="Arial" w:hAnsi="Arial"/>
                <w:b/>
                <w:sz w:val="16"/>
                <w:szCs w:val="16"/>
              </w:rPr>
              <w:t>РИВАРОКСІЯ</w:t>
            </w:r>
          </w:p>
          <w:p>
            <w:pPr>
              <w:pStyle w:val="Normal"/>
              <w:tabs>
                <w:tab w:val="left" w:pos="12600" w:leader="none"/>
              </w:tabs>
              <w:jc w:val="both"/>
              <w:rPr>
                <w:rFonts w:ascii="Arial" w:hAnsi="Arial" w:cs="Arial"/>
                <w:b/>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B01AF01</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по 14 таблеток у блістері, по 1, 2 або 7 блістерів у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серії та випуск серії:</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 xml:space="preserve">Методи контролю якості (версія 0000 для кожного дозування). Інструкція для медичного застосування лікарського засобу (eCTD версія 0007) Текст маркування упаковки лікарського засобу (eCTD версія 0007) Звіти про доклінічні випробування відповідно Додатку 29 Наказу МОЗ України від 26.08.2005 року №426 зі змінами подані у форматі eCTD (версія 0000) Звіти про клінічні випробування відповідно Додатку 30 Наказу МОЗ України від 26.08.2005 року №426 зі змінами подані у форматі eCTD (версія 0001 для кожного дозування) </w:t>
              <w:br/>
              <w:t xml:space="preserve">План управління ризиками версія 1.3 погоджена (eCTD послідовність № 0007).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UA/21401/01/03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sz w:val="16"/>
                <w:szCs w:val="16"/>
              </w:rPr>
            </w:pPr>
            <w:r>
              <w:rPr>
                <w:rFonts w:cs="Arial" w:ascii="Arial" w:hAnsi="Arial"/>
                <w:b/>
                <w:sz w:val="16"/>
                <w:szCs w:val="16"/>
              </w:rPr>
              <w:t>РИВАРОКСІЯ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B01AF01</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20 мг, по 14 таблеток у блістері, по 2 або 7 блістерів у коробці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серії та випуск серії:</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t xml:space="preserve">Методи контролю якості (версія 0000 для кожного дозування). Інструкція для медичного застосування лікарського засобу (eCTD версія 0007) Текст маркування упаковки лікарського засобу (eCTD версія 0007) Звіти про доклінічні випробування відповідно Додатку 29 Наказу МОЗ України від 26.08.2005 року №426 зі змінами подані у форматі eCTD (версія 0000) Звіти про клінічні випробування відповідно Додатку 30 Наказу МОЗ України від 26.08.2005 року №426 зі змінами подані у форматі eCTD (версія 0001 для кожного дозування) </w:t>
              <w:br/>
              <w:t xml:space="preserve">План управління ризиками версія 1.3 погоджена (eCTD послідовність № 0007).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UA/21401/01/04</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ФАРМАКАНН, ЕКСТРАКТ З КВІТІВ КАНАБІСУ СТАНДАРТИЗОВАНИЙ (ВМІСТ ТГК 100 МГ/МЛ)</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конопель екстракт стандартизований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рідина (субстанція) по 50 мл або 100 мл у скляних флаконах для фармацевтичного застосування</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"ФАРМАКАНН УКРАЇНА"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НИСК ХОЛДІНГС ЛЛСОП</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UA/21454/01/0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ФАРМАКАНН, ЕКСТРАКТ З КВІТІВ КАНАБІСУ СТАНДАРТИЗОВАНИЙ (ВМІСТ ТГК 10 МГ/МЛ, КБД 10 МГ/МЛ)</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конопель екстракт стандартизований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рідина (субстанція) по 30 мл у скляних флаконах для фармацевтичного застосування</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"ФАРМАКАНН УКРАЇНА"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НИСК ХОЛДІНГС ЛЛСОП</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UA/21455/01/0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ФАРМАКАНН, ЕКСТРАКТ З КВІТІВ КАНАБІСУ СТАНДАРТИЗОВАНИЙ (ВМІСТ ТГК 50 МГ/МЛ)</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конопель екстракт стандартизований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рідина (субстанція) по 50 мл або 100 мл у скляних флаконах для фармацевтичного застосування</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"ФАРМАКАНН УКРАЇНА"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НИСК ХОЛДІНГС ЛЛСОП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UA/21456/01/0</w:t>
            </w:r>
            <w:r>
              <w:rPr>
                <w:rFonts w:cs="Arial" w:ascii="Arial" w:hAnsi="Arial"/>
                <w:sz w:val="16"/>
                <w:szCs w:val="16"/>
                <w:lang w:val="en-US"/>
              </w:rPr>
              <w:t>1</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7">
        <w:r>
          <w:rPr>
            <w:rStyle w:val="InternetLink"/>
            <w:i/>
            <w:color w:val="000000"/>
            <w:szCs w:val="16"/>
          </w:rPr>
          <w:t>https://www.whocc.no/atc_ddd_index/</w:t>
        </w:r>
      </w:hyperlink>
      <w:r>
        <w:rPr>
          <w:rStyle w:val="InternetLink"/>
          <w:i/>
          <w:color w:val="000000"/>
          <w:szCs w:val="16"/>
        </w:rPr>
        <w:t>)</w:t>
      </w:r>
    </w:p>
    <w:p>
      <w:pPr>
        <w:pStyle w:val="Normal"/>
        <w:rPr>
          <w:rStyle w:val="InternetLink"/>
          <w:i/>
          <w:i/>
          <w:color w:val="000000"/>
          <w:szCs w:val="16"/>
        </w:rPr>
      </w:pPr>
      <w:r>
        <w:rPr/>
      </w:r>
    </w:p>
    <w:p>
      <w:pPr>
        <w:pStyle w:val="Normal"/>
        <w:rPr>
          <w:rStyle w:val="InternetLink"/>
          <w:rFonts w:ascii="Arial" w:hAnsi="Arial" w:cs="Arial"/>
          <w:i/>
          <w:i/>
          <w:color w:val="000000"/>
          <w:szCs w:val="16"/>
        </w:rPr>
      </w:pPr>
      <w:r>
        <w:rPr/>
      </w:r>
    </w:p>
    <w:p>
      <w:pPr>
        <w:pStyle w:val="Normal"/>
        <w:rPr>
          <w:b/>
          <w:b/>
          <w:bCs/>
          <w:sz w:val="28"/>
          <w:szCs w:val="28"/>
        </w:rPr>
      </w:pPr>
      <w:r>
        <w:rPr>
          <w:b/>
          <w:bCs/>
          <w:sz w:val="28"/>
          <w:szCs w:val="28"/>
        </w:rPr>
        <w:t>Начальник</w:t>
      </w:r>
    </w:p>
    <w:p>
      <w:pPr>
        <w:pStyle w:val="Normal"/>
        <w:rPr>
          <w:b/>
          <w:b/>
          <w:bCs/>
          <w:sz w:val="28"/>
          <w:szCs w:val="28"/>
        </w:rPr>
      </w:pPr>
      <w:r>
        <w:rPr>
          <w:b/>
          <w:bCs/>
          <w:sz w:val="28"/>
          <w:szCs w:val="28"/>
        </w:rPr>
        <w:t>Фармацевтичного управління                                                                                                        Олександр ГРІЦЕНКО</w:t>
      </w:r>
      <w:r>
        <w:br w:type="page"/>
      </w:r>
    </w:p>
    <w:p>
      <w:pPr>
        <w:pStyle w:val="Normal"/>
        <w:rPr>
          <w:rFonts w:ascii="Arial" w:hAnsi="Arial" w:cs="Arial"/>
          <w:b/>
          <w:b/>
          <w:bCs/>
          <w:sz w:val="16"/>
          <w:szCs w:val="16"/>
          <w:lang w:val="uk-UA"/>
        </w:rPr>
      </w:pPr>
      <w:r>
        <w:rPr>
          <w:rFonts w:cs="Arial" w:ascii="Arial" w:hAnsi="Arial"/>
          <w:b/>
          <w:bCs/>
          <w:sz w:val="16"/>
          <w:szCs w:val="16"/>
          <w:lang w:val="uk-UA"/>
        </w:rPr>
      </w:r>
    </w:p>
    <w:tbl>
      <w:tblPr>
        <w:tblW w:w="3544" w:type="dxa"/>
        <w:jc w:val="left"/>
        <w:tblInd w:w="11448" w:type="dxa"/>
        <w:tblBorders/>
        <w:tblCellMar>
          <w:top w:w="0" w:type="dxa"/>
          <w:left w:w="108" w:type="dxa"/>
          <w:bottom w:w="0" w:type="dxa"/>
          <w:right w:w="108" w:type="dxa"/>
        </w:tblCellMar>
      </w:tblPr>
      <w:tblGrid>
        <w:gridCol w:w="3544"/>
      </w:tblGrid>
      <w:tr>
        <w:trPr/>
        <w:tc>
          <w:tcPr>
            <w:tcW w:w="3544" w:type="dxa"/>
            <w:tcBorders/>
            <w:shd w:fill="auto" w:val="clear"/>
          </w:tcPr>
          <w:p>
            <w:pPr>
              <w:pStyle w:val="Heading4"/>
              <w:numPr>
                <w:ilvl w:val="3"/>
                <w:numId w:val="1"/>
              </w:numPr>
              <w:tabs>
                <w:tab w:val="left" w:pos="12600" w:leader="none"/>
              </w:tabs>
              <w:spacing w:before="0" w:after="0"/>
              <w:rPr>
                <w:bCs w:val="false"/>
                <w:iCs/>
                <w:sz w:val="18"/>
                <w:szCs w:val="18"/>
              </w:rPr>
            </w:pPr>
            <w:r>
              <w:rPr>
                <w:bCs w:val="false"/>
                <w:iCs/>
                <w:sz w:val="18"/>
                <w:szCs w:val="18"/>
              </w:rPr>
              <w:t>Додаток 2</w:t>
            </w:r>
          </w:p>
          <w:p>
            <w:pPr>
              <w:pStyle w:val="Heading4"/>
              <w:numPr>
                <w:ilvl w:val="3"/>
                <w:numId w:val="1"/>
              </w:numPr>
              <w:tabs>
                <w:tab w:val="left" w:pos="12600" w:leader="none"/>
              </w:tabs>
              <w:spacing w:before="0" w:after="0"/>
              <w:rPr>
                <w:bCs w:val="false"/>
                <w:iCs/>
                <w:sz w:val="18"/>
                <w:szCs w:val="18"/>
              </w:rPr>
            </w:pPr>
            <w:r>
              <w:rPr>
                <w:bCs w:val="false"/>
                <w:iCs/>
                <w:sz w:val="18"/>
                <w:szCs w:val="18"/>
              </w:rPr>
              <w:t>до наказу Міністерства охорони</w:t>
            </w:r>
          </w:p>
          <w:p>
            <w:pPr>
              <w:pStyle w:val="Heading4"/>
              <w:numPr>
                <w:ilvl w:val="3"/>
                <w:numId w:val="1"/>
              </w:numPr>
              <w:tabs>
                <w:tab w:val="left" w:pos="12600" w:leader="none"/>
              </w:tabs>
              <w:spacing w:before="0" w:after="0"/>
              <w:rPr>
                <w:bCs w:val="false"/>
                <w:iCs/>
                <w:sz w:val="18"/>
                <w:szCs w:val="18"/>
              </w:rPr>
            </w:pPr>
            <w:r>
              <w:rPr>
                <w:bCs w:val="false"/>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12"/>
              <w:rPr>
                <w:rFonts w:ascii="Arial" w:hAnsi="Arial" w:cs="Arial"/>
                <w:b/>
                <w:b/>
                <w:bCs/>
                <w:sz w:val="20"/>
                <w:szCs w:val="20"/>
              </w:rPr>
            </w:pPr>
            <w:r>
              <w:rPr>
                <w:b/>
                <w:bCs/>
                <w:iCs/>
                <w:sz w:val="18"/>
                <w:szCs w:val="18"/>
                <w:u w:val="single"/>
              </w:rPr>
              <w:t>від_24 вересня 2026 року № 1405</w:t>
            </w:r>
          </w:p>
        </w:tc>
      </w:tr>
    </w:tbl>
    <w:p>
      <w:pPr>
        <w:pStyle w:val="Normal"/>
        <w:keepNext w:val="true"/>
        <w:numPr>
          <w:ilvl w:val="0"/>
          <w:numId w:val="0"/>
        </w:numPr>
        <w:tabs>
          <w:tab w:val="left" w:pos="12600" w:leader="none"/>
        </w:tabs>
        <w:jc w:val="center"/>
        <w:outlineLvl w:val="1"/>
        <w:rPr>
          <w:rFonts w:ascii="Arial" w:hAnsi="Arial" w:cs="Arial"/>
          <w:b/>
          <w:b/>
          <w:bCs/>
          <w:caps/>
          <w:sz w:val="16"/>
          <w:szCs w:val="16"/>
        </w:rPr>
      </w:pPr>
      <w:r>
        <w:rPr>
          <w:rFonts w:cs="Arial" w:ascii="Arial" w:hAnsi="Arial"/>
          <w:b/>
          <w:bCs/>
          <w:caps/>
          <w:sz w:val="16"/>
          <w:szCs w:val="16"/>
        </w:rPr>
      </w:r>
    </w:p>
    <w:p>
      <w:pPr>
        <w:pStyle w:val="Normal"/>
        <w:keepNext w:val="true"/>
        <w:numPr>
          <w:ilvl w:val="0"/>
          <w:numId w:val="0"/>
        </w:numPr>
        <w:tabs>
          <w:tab w:val="left" w:pos="12600" w:leader="none"/>
        </w:tabs>
        <w:jc w:val="center"/>
        <w:outlineLvl w:val="1"/>
        <w:rPr>
          <w:b/>
          <w:b/>
          <w:caps/>
          <w:sz w:val="28"/>
          <w:szCs w:val="28"/>
        </w:rPr>
      </w:pPr>
      <w:r>
        <w:rPr>
          <w:b/>
          <w:caps/>
          <w:sz w:val="28"/>
          <w:szCs w:val="28"/>
        </w:rPr>
        <w:t>ПЕРЕЛІК</w:t>
      </w:r>
    </w:p>
    <w:p>
      <w:pPr>
        <w:pStyle w:val="Normal"/>
        <w:keepNext w:val="true"/>
        <w:numPr>
          <w:ilvl w:val="0"/>
          <w:numId w:val="0"/>
        </w:numPr>
        <w:tabs>
          <w:tab w:val="left" w:pos="12600" w:leader="none"/>
        </w:tabs>
        <w:jc w:val="center"/>
        <w:outlineLvl w:val="3"/>
        <w:rPr>
          <w:b/>
          <w:b/>
          <w:caps/>
          <w:sz w:val="28"/>
          <w:szCs w:val="28"/>
        </w:rPr>
      </w:pPr>
      <w:r>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pPr>
        <w:pStyle w:val="Normal"/>
        <w:keepNext w:val="true"/>
        <w:numPr>
          <w:ilvl w:val="0"/>
          <w:numId w:val="0"/>
        </w:numPr>
        <w:tabs>
          <w:tab w:val="left" w:pos="12600" w:leader="none"/>
        </w:tabs>
        <w:jc w:val="center"/>
        <w:outlineLvl w:val="3"/>
        <w:rPr>
          <w:rFonts w:ascii="Arial" w:hAnsi="Arial" w:cs="Arial"/>
          <w:b/>
          <w:b/>
          <w:caps/>
          <w:sz w:val="28"/>
          <w:szCs w:val="28"/>
        </w:rPr>
      </w:pPr>
      <w:r>
        <w:rPr>
          <w:rFonts w:cs="Arial" w:ascii="Arial" w:hAnsi="Arial"/>
          <w:b/>
          <w:caps/>
          <w:sz w:val="28"/>
          <w:szCs w:val="28"/>
        </w:rPr>
      </w:r>
    </w:p>
    <w:tbl>
      <w:tblPr>
        <w:tblW w:w="16028" w:type="dxa"/>
        <w:jc w:val="left"/>
        <w:tblInd w:w="-1173"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134"/>
        <w:gridCol w:w="992"/>
        <w:gridCol w:w="993"/>
        <w:gridCol w:w="851"/>
        <w:gridCol w:w="1701"/>
        <w:gridCol w:w="992"/>
        <w:gridCol w:w="850"/>
        <w:gridCol w:w="1418"/>
        <w:gridCol w:w="850"/>
        <w:gridCol w:w="2268"/>
        <w:gridCol w:w="992"/>
        <w:gridCol w:w="993"/>
        <w:gridCol w:w="1427"/>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226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i/>
                <w:i/>
                <w:color w:val="000000"/>
                <w:sz w:val="16"/>
                <w:szCs w:val="16"/>
              </w:rPr>
            </w:pPr>
            <w:r>
              <w:rPr>
                <w:rFonts w:cs="Arial" w:ascii="Arial" w:hAnsi="Arial"/>
                <w:b/>
                <w:sz w:val="16"/>
                <w:szCs w:val="16"/>
              </w:rPr>
              <w:t>ДУОКОПТ®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timolol, combinations</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sz w:val="16"/>
                <w:szCs w:val="16"/>
              </w:rPr>
              <w:t>дорзоламіду гідрохлорид і тимололу малеат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S01ED51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по 5 мл у багатодозовому флаконі з насосом і захисним ковпачком; по 1 флакону у допоміжному пристрої для доставки; по 1 або по 3 флакони у коробці; по 10 мл у багатодозовому флаконі з насосом і захисним ковпачком; по 1 флакону у допоміжному пристрої для доставки; по 1 або по 2 флакони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ЛАБОРАТУАР ТЕА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ДЕЛФАРМ ТУР</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Оновлено інформацію у розділах "Побічні реакції", "Місцезнаходження виробника та адреса місця провадження його діяльності" (додавання назви: "Франція/France), "Представник заявника" (додавання контактних даних) інструкції для медичного застосування лікарського засобу.</w:t>
              <w:br/>
              <w:t>Резюме плану управління ризиками версія 7.0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UA/18728/01/01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i/>
                <w:i/>
                <w:color w:val="000000"/>
                <w:sz w:val="16"/>
                <w:szCs w:val="16"/>
              </w:rPr>
            </w:pPr>
            <w:r>
              <w:rPr>
                <w:rFonts w:cs="Arial" w:ascii="Arial" w:hAnsi="Arial"/>
                <w:b/>
                <w:sz w:val="16"/>
                <w:szCs w:val="16"/>
              </w:rPr>
              <w:t>КСЕРОГЕЛЬ ПОЛІМЕТИЛСИЛОКСАНУ, ГІДРОФІЛІЗОВАНИЙ ІНУЛІНОМ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ксерогель поліметилсилоксану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двох мішках поліетиленових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"ЕОФ "КРЕОМА-ФАРМ"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"ЕОФ "КРЕОМА-ФАРМ"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UA/19277/01/01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b/>
                <w:b/>
                <w:i/>
                <w:i/>
                <w:color w:val="000000"/>
                <w:sz w:val="16"/>
                <w:szCs w:val="16"/>
              </w:rPr>
            </w:pPr>
            <w:r>
              <w:rPr>
                <w:rFonts w:cs="Arial" w:ascii="Arial" w:hAnsi="Arial"/>
                <w:b/>
                <w:sz w:val="16"/>
                <w:szCs w:val="16"/>
              </w:rPr>
              <w:t>ПОСАКОНАЗОЛ-ТЕВА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posaconazole</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посаконазол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both"/>
              <w:rPr>
                <w:rFonts w:ascii="Arial" w:hAnsi="Arial" w:cs="Arial"/>
                <w:color w:val="000000"/>
                <w:sz w:val="16"/>
                <w:szCs w:val="16"/>
              </w:rPr>
            </w:pPr>
            <w:r>
              <w:rPr>
                <w:rFonts w:cs="Arial" w:ascii="Arial" w:hAnsi="Arial"/>
                <w:color w:val="000000"/>
                <w:sz w:val="16"/>
                <w:szCs w:val="16"/>
              </w:rPr>
              <w:t>J02AC04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40 мг/мл; по 105 мл суспензії оральної у флаконах; по 1 флакону разом з мірною ложечкою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Рафарм С.А., Греція;</w:t>
              <w:br/>
              <w:br/>
              <w:t>вторинна упаковка, контроль серії та дозвіл на випуск серії:</w:t>
              <w:br/>
              <w:t>Дженефарм СА, Грецiя;</w:t>
              <w:br/>
              <w:br/>
              <w:t>контроль серії:</w:t>
              <w:br/>
              <w:t>КАКС ЛТД, Греція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Оновлено інформацію в інструкції для медичного застосування лікарського засобу в розділах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 "Побічні реакції" відповідно до інформації референтного лікарського засобу (Noxafil® 40 mg/ml Oral Suspension, Merck Sharp &amp; Dohme B.V., The Netherlands ), а також оновлено інформацію в розділі "Побічні реакції" щодо важливості звітування про побічні реакції.</w:t>
              <w:br/>
              <w:br/>
              <w:t>Резюме плану управління ризиками версія 2.1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UA/19116/01/01</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8">
        <w:r>
          <w:rPr>
            <w:rStyle w:val="InternetLink"/>
            <w:i/>
            <w:color w:val="000000"/>
            <w:szCs w:val="16"/>
          </w:rPr>
          <w:t>https://www.whocc.no/atc_ddd_index/</w:t>
        </w:r>
      </w:hyperlink>
      <w:r>
        <w:rPr>
          <w:rStyle w:val="InternetLink"/>
          <w:i/>
          <w:color w:val="000000"/>
          <w:szCs w:val="16"/>
        </w:rPr>
        <w:t>)</w:t>
      </w:r>
    </w:p>
    <w:p>
      <w:pPr>
        <w:pStyle w:val="Normal"/>
        <w:rPr>
          <w:rStyle w:val="InternetLink"/>
          <w:i/>
          <w:i/>
          <w:color w:val="000000"/>
          <w:szCs w:val="16"/>
        </w:rPr>
      </w:pPr>
      <w:r>
        <w:rPr/>
      </w:r>
    </w:p>
    <w:p>
      <w:pPr>
        <w:pStyle w:val="Normal"/>
        <w:rPr>
          <w:rStyle w:val="InternetLink"/>
          <w:rFonts w:ascii="Arial" w:hAnsi="Arial" w:cs="Arial"/>
          <w:i/>
          <w:i/>
          <w:color w:val="000000"/>
          <w:szCs w:val="16"/>
        </w:rPr>
      </w:pPr>
      <w:r>
        <w:rPr/>
      </w:r>
    </w:p>
    <w:p>
      <w:pPr>
        <w:pStyle w:val="12"/>
        <w:rPr/>
      </w:pPr>
      <w:r>
        <w:rPr>
          <w:rStyle w:val="Cs7864ebcf1"/>
          <w:color w:val="000000"/>
          <w:sz w:val="28"/>
          <w:szCs w:val="28"/>
        </w:rPr>
        <w:t>Начальник</w:t>
      </w:r>
    </w:p>
    <w:p>
      <w:pPr>
        <w:pStyle w:val="12"/>
        <w:rPr>
          <w:rStyle w:val="Cs7864ebcf1"/>
          <w:color w:val="000000"/>
          <w:sz w:val="28"/>
          <w:szCs w:val="28"/>
        </w:rPr>
      </w:pPr>
      <w:r>
        <w:rPr>
          <w:rStyle w:val="Cs7864ebcf1"/>
          <w:color w:val="000000"/>
          <w:sz w:val="28"/>
          <w:szCs w:val="28"/>
        </w:rPr>
        <w:t xml:space="preserve">Фармацевтичного управління                                                       </w:t>
      </w:r>
      <w:r>
        <w:rPr>
          <w:rStyle w:val="Cs7864ebcf1"/>
          <w:sz w:val="28"/>
          <w:szCs w:val="28"/>
        </w:rPr>
        <w:t xml:space="preserve">                         </w:t>
      </w:r>
      <w:r>
        <w:rPr>
          <w:rStyle w:val="Cs7864ebcf1"/>
          <w:color w:val="000000"/>
          <w:sz w:val="28"/>
          <w:szCs w:val="28"/>
        </w:rPr>
        <w:t xml:space="preserve">                        Олександр ГРІЦЕНКО</w:t>
      </w:r>
      <w:r>
        <w:br w:type="page"/>
      </w:r>
    </w:p>
    <w:p>
      <w:pPr>
        <w:pStyle w:val="33"/>
        <w:spacing w:before="0" w:after="0"/>
        <w:ind w:left="0" w:hanging="0"/>
        <w:rPr>
          <w:rStyle w:val="Cs7864ebcf1"/>
          <w:b/>
          <w:b/>
          <w:color w:val="000000"/>
          <w:sz w:val="28"/>
          <w:szCs w:val="28"/>
          <w:lang w:val="uk-UA"/>
        </w:rPr>
      </w:pPr>
      <w:r>
        <w:rPr/>
      </w:r>
    </w:p>
    <w:tbl>
      <w:tblPr>
        <w:tblW w:w="3828" w:type="dxa"/>
        <w:jc w:val="left"/>
        <w:tblInd w:w="11448" w:type="dxa"/>
        <w:tblBorders/>
        <w:tblCellMar>
          <w:top w:w="0" w:type="dxa"/>
          <w:left w:w="108" w:type="dxa"/>
          <w:bottom w:w="0" w:type="dxa"/>
          <w:right w:w="108" w:type="dxa"/>
        </w:tblCellMar>
      </w:tblPr>
      <w:tblGrid>
        <w:gridCol w:w="3828"/>
      </w:tblGrid>
      <w:tr>
        <w:trPr/>
        <w:tc>
          <w:tcPr>
            <w:tcW w:w="3828" w:type="dxa"/>
            <w:tcBorders/>
            <w:shd w:fill="auto" w:val="clear"/>
          </w:tcPr>
          <w:p>
            <w:pPr>
              <w:pStyle w:val="Normal"/>
              <w:keepNext w:val="true"/>
              <w:numPr>
                <w:ilvl w:val="0"/>
                <w:numId w:val="0"/>
              </w:numPr>
              <w:tabs>
                <w:tab w:val="left" w:pos="12600" w:leader="none"/>
              </w:tabs>
              <w:outlineLvl w:val="3"/>
              <w:rPr>
                <w:b/>
                <w:b/>
                <w:iCs/>
                <w:sz w:val="18"/>
                <w:szCs w:val="18"/>
              </w:rPr>
            </w:pPr>
            <w:r>
              <w:rPr>
                <w:b/>
                <w:iCs/>
                <w:sz w:val="18"/>
                <w:szCs w:val="18"/>
              </w:rPr>
              <w:t>Додаток 3</w:t>
            </w:r>
          </w:p>
          <w:p>
            <w:pPr>
              <w:pStyle w:val="Heading4"/>
              <w:numPr>
                <w:ilvl w:val="3"/>
                <w:numId w:val="1"/>
              </w:numPr>
              <w:tabs>
                <w:tab w:val="left" w:pos="12600" w:leader="none"/>
              </w:tabs>
              <w:spacing w:before="0" w:after="0"/>
              <w:rPr>
                <w:iCs/>
                <w:sz w:val="18"/>
                <w:szCs w:val="18"/>
              </w:rPr>
            </w:pPr>
            <w:r>
              <w:rPr>
                <w:iCs/>
                <w:sz w:val="18"/>
                <w:szCs w:val="18"/>
              </w:rPr>
              <w:t>до наказу Міністерства охорони</w:t>
            </w:r>
          </w:p>
          <w:p>
            <w:pPr>
              <w:pStyle w:val="Heading4"/>
              <w:numPr>
                <w:ilvl w:val="3"/>
                <w:numId w:val="1"/>
              </w:numPr>
              <w:tabs>
                <w:tab w:val="left" w:pos="12600" w:leader="none"/>
              </w:tabs>
              <w:spacing w:before="0" w:after="0"/>
              <w:rPr/>
            </w:pPr>
            <w:r>
              <w:rPr>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tabs>
                <w:tab w:val="left" w:pos="12600" w:leader="none"/>
              </w:tabs>
              <w:rPr>
                <w:rFonts w:ascii="Arial" w:hAnsi="Arial" w:cs="Arial"/>
                <w:b/>
                <w:b/>
              </w:rPr>
            </w:pPr>
            <w:r>
              <w:rPr>
                <w:b/>
                <w:iCs/>
                <w:sz w:val="18"/>
                <w:szCs w:val="18"/>
                <w:u w:val="single"/>
              </w:rPr>
              <w:t>від_24 вересня 2026 року № 1405</w:t>
            </w:r>
          </w:p>
        </w:tc>
      </w:tr>
    </w:tbl>
    <w:p>
      <w:pPr>
        <w:pStyle w:val="Normal"/>
        <w:tabs>
          <w:tab w:val="left" w:pos="12600" w:leader="none"/>
        </w:tabs>
        <w:jc w:val="center"/>
        <w:rPr>
          <w:rFonts w:ascii="Arial" w:hAnsi="Arial" w:cs="Arial"/>
          <w:sz w:val="16"/>
          <w:szCs w:val="16"/>
          <w:u w:val="single"/>
        </w:rPr>
      </w:pPr>
      <w:r>
        <w:rPr>
          <w:rFonts w:cs="Arial" w:ascii="Arial" w:hAnsi="Arial"/>
          <w:sz w:val="16"/>
          <w:szCs w:val="16"/>
          <w:u w:val="single"/>
        </w:rPr>
      </w:r>
    </w:p>
    <w:p>
      <w:pPr>
        <w:pStyle w:val="Normal"/>
        <w:keepNext w:val="true"/>
        <w:numPr>
          <w:ilvl w:val="0"/>
          <w:numId w:val="0"/>
        </w:numPr>
        <w:jc w:val="center"/>
        <w:outlineLvl w:val="1"/>
        <w:rPr>
          <w:rFonts w:ascii="Arial" w:hAnsi="Arial" w:cs="Arial"/>
          <w:b/>
          <w:b/>
          <w:caps/>
          <w:sz w:val="16"/>
          <w:szCs w:val="16"/>
          <w:u w:val="single"/>
        </w:rPr>
      </w:pPr>
      <w:r>
        <w:rPr>
          <w:rFonts w:cs="Arial" w:ascii="Arial" w:hAnsi="Arial"/>
          <w:b/>
          <w:caps/>
          <w:sz w:val="16"/>
          <w:szCs w:val="16"/>
          <w:u w:val="single"/>
        </w:rPr>
      </w:r>
    </w:p>
    <w:p>
      <w:pPr>
        <w:pStyle w:val="310"/>
        <w:jc w:val="center"/>
        <w:rPr>
          <w:b/>
          <w:b/>
          <w:caps/>
          <w:sz w:val="28"/>
          <w:szCs w:val="28"/>
          <w:lang w:eastAsia="uk-UA"/>
        </w:rPr>
      </w:pPr>
      <w:r>
        <w:rPr>
          <w:b/>
          <w:caps/>
          <w:sz w:val="28"/>
          <w:szCs w:val="28"/>
          <w:lang w:eastAsia="uk-UA"/>
        </w:rPr>
        <w:t>ПЕРЕЛІК</w:t>
      </w:r>
    </w:p>
    <w:p>
      <w:pPr>
        <w:pStyle w:val="12"/>
        <w:jc w:val="center"/>
        <w:rPr>
          <w:b/>
          <w:b/>
          <w:caps/>
          <w:sz w:val="28"/>
          <w:szCs w:val="28"/>
        </w:rPr>
      </w:pPr>
      <w:r>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pPr>
        <w:pStyle w:val="12"/>
        <w:jc w:val="center"/>
        <w:rPr>
          <w:rFonts w:ascii="Arial" w:hAnsi="Arial" w:cs="Arial"/>
        </w:rPr>
      </w:pPr>
      <w:r>
        <w:rPr>
          <w:rFonts w:cs="Arial" w:ascii="Arial" w:hAnsi="Arial"/>
        </w:rPr>
      </w:r>
    </w:p>
    <w:tbl>
      <w:tblPr>
        <w:tblW w:w="16312" w:type="dxa"/>
        <w:jc w:val="left"/>
        <w:tblInd w:w="-1173"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6"/>
        <w:gridCol w:w="1136"/>
        <w:gridCol w:w="850"/>
        <w:gridCol w:w="992"/>
        <w:gridCol w:w="709"/>
        <w:gridCol w:w="1418"/>
        <w:gridCol w:w="993"/>
        <w:gridCol w:w="850"/>
        <w:gridCol w:w="1559"/>
        <w:gridCol w:w="851"/>
        <w:gridCol w:w="3118"/>
        <w:gridCol w:w="992"/>
        <w:gridCol w:w="850"/>
        <w:gridCol w:w="1428"/>
      </w:tblGrid>
      <w:tr>
        <w:trPr>
          <w:tblHeader w:val="true"/>
        </w:trPr>
        <w:tc>
          <w:tcPr>
            <w:tcW w:w="56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13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55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31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i/>
                <w:i/>
                <w:sz w:val="16"/>
                <w:szCs w:val="16"/>
              </w:rPr>
            </w:pPr>
            <w:r>
              <w:rPr>
                <w:rFonts w:cs="Arial" w:ascii="Arial" w:hAnsi="Arial"/>
                <w:b/>
                <w:i/>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АІМАФІКС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coagulation factor IX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фактор коагуляції крові людини ІХ</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В02ВD04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інфузій, 500 МО/10 мл; флакон № 1 з порошком по 500 МО у комплекті з розчинником (вода для ін'єкцій) по 10 мл у флаконі № 1 та набором для розчинення і введення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КЕДРІОН С.П.А.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КЕДРІОН С.П.А.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w:t>
              <w:br/>
              <w:t>Зміни внесено до інструкції для медичного застосування лікарського засобу до розділів "Склад", "Фармакологічні властивості", "Особливості застосування", "Спосіб застосування та дози" щодо оновлення інформації з безпеки діючої речовини з метою гармонізації даних відповідно до core SmPC for human plasma derived and recombinant coagulation factor IX products EMA/CHMP/BPWP/277622/2024 rev. 3. Термін введення змін - протягом 6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w:t>
              <w:br/>
              <w:t>Зміни внесено до інструкції для медичного застосування лікарського засобу до розділу "Побічні реакції" щодо уточнення переліку побічних реакцій, що не спостерігались за результатами післяреєстраційного моніторингу. Термін введення змін - протягом 6 місяців після затвердження. Зміни І типу - Зміни з якості. Медичні пристрої. Зміна пристроїв для вимірювання дози або введення лікарського засобу (додавання або заміна пристрою, який не є невід'ємною частиною первинної упаковки) - Пристрій, який має СЕ-маркування. Додавання альтернативного пристрою-Nextaro®, що має СЕ-маркування, використовується для відновлення ліофілізованого порошку розчинником. Внесення редакційних правок. Зміни внесено до інструкції для медичного застосування лікарського засобу до розділу "Спосіб застосування та дози".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UA/17426/01/01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АІМАФІКС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coagulation factor IX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фактор коагуляції крові людини ІХ</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В02ВD04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та розчинник для розчину для інфузій, 1000 МО/10 мл; флакон № 1 з порошком по 1000 МО у комплекті з розчинником (вода для ін'єкцій) по 10 мл у флаконі № 1 та набором для розчинення і введення у картонній коробці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КЕДРІОН С.П.А.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КЕДРІОН С.П.А.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w:t>
              <w:br/>
              <w:t>Зміни внесено до інструкції для медичного застосування лікарського засобу до розділів "Склад", "Фармакологічні властивості", "Особливості застосування", "Спосіб застосування та дози" щодо оновлення інформації з безпеки діючої речовини з метою гармонізації даних відповідно до core SmPC for human plasma derived and recombinant coagulation factor IX products EMA/CHMP/BPWP/277622/2024 rev. 3. Термін введення змін - протягом 6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w:t>
              <w:br/>
              <w:t>Зміни внесено до інструкції для медичного застосування лікарського засобу до розділу "Побічні реакції" щодо уточнення переліку побічних реакцій, що не спостерігались за результатами післяреєстраційного моніторингу. Термін введення змін - протягом 6 місяців після затвердження. Зміни І типу - Зміни з якості. Медичні пристрої. Зміна пристроїв для вимірювання дози або введення лікарського засобу (додавання або заміна пристрою, який не є невід'ємною частиною первинної упаковки) - Пристрій, який має СЕ-маркування. Додавання альтернативного пристрою-Nextaro®, що має СЕ-маркування, використовується для відновлення ліофілізованого порошку розчинником. Внесення редакційних правок. Зміни внесено до інструкції для медичного застосування лікарського засобу до розділу "Спосіб застосування та дози".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UA/17426/01/02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АМІОДАРОН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amiodarone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аміодарону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C01BD01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0,2 г, по 10 таблеток у блістері; по 3 блістери в пачці з картону</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 Україна;</w:t>
              <w:br/>
              <w:t>ПрАТ "Технолог",</w:t>
              <w:br/>
              <w:t>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Внесено редакційні правки у текст маркування вторинної (п. 2, 4, 11, 16, 17) та первинної (п. 2, 6) упаковки лікарського засобу, також вилучено дублюючу інформацію зазначену російською мовою.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UA/8904/01/01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АМІОДАРОН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amiodarone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аміодарону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0,2 г, in bulk: по 3000 таблеток у контейнерах пластмасових</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"Лекхім-Харків"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продукції in bulk, а саме внесення редакційних правок.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UA/8905/01/01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АРГІЛАЙФ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arginine hydrochloride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bCs/>
                <w:caps/>
                <w:sz w:val="16"/>
                <w:szCs w:val="16"/>
              </w:rPr>
              <w:t>L</w:t>
            </w:r>
            <w:r>
              <w:rPr>
                <w:rFonts w:cs="Arial" w:ascii="Arial" w:hAnsi="Arial"/>
                <w:sz w:val="16"/>
                <w:szCs w:val="16"/>
              </w:rPr>
              <w:t xml:space="preserve">-аргініну </w:t>
            </w:r>
            <w:r>
              <w:rPr>
                <w:rFonts w:cs="Arial" w:ascii="Arial" w:hAnsi="Arial"/>
                <w:bCs/>
                <w:caps/>
                <w:sz w:val="16"/>
                <w:szCs w:val="16"/>
              </w:rPr>
              <w:t>L</w:t>
            </w:r>
            <w:r>
              <w:rPr>
                <w:rFonts w:cs="Arial" w:ascii="Arial" w:hAnsi="Arial"/>
                <w:sz w:val="16"/>
                <w:szCs w:val="16"/>
              </w:rPr>
              <w:t>-аспартат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C01E</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оральний, 200 мг/мл по 200 мл у флаконі; по 1 флакону з мірною ложкою в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br/>
              <w:t>Україна, 01032, м. Київ, вул. Саксаганського, 139</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br/>
              <w:t>Україна, 79024, м. Львів, вул. Опришківська, 6/8</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уточнення написання упаковки (зазначення комплектації) в наказі МОЗ України № 2374 від 28.10.2021 в процесі реєстрації у зв'язку з проведенням процедури "виправлення технічної помилки в реєстраційному посвідченні". Попередня редакція - по 200 мл у флаконі; по 1 флакону в пачці. Вірна редакція - по 200 мл у флаконі; по 1 флакону з мірною ложкою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АРТИФЛЕКС ПЛЮС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хондроїтину сульфат натрію, глюкозаміну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M01AX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lang w:val="ru-RU"/>
              </w:rPr>
            </w:pPr>
            <w:r>
              <w:rPr>
                <w:rFonts w:cs="Arial" w:ascii="Arial" w:hAnsi="Arial"/>
                <w:color w:val="000000"/>
                <w:sz w:val="16"/>
                <w:szCs w:val="16"/>
                <w:lang w:val="ru-RU"/>
              </w:rPr>
              <w:t xml:space="preserve">таблетки, вкриті оболонкою; по 10 таблеток у блістері; по 3 або 6 блістерів у коробці з картону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 xml:space="preserve">ТОВАРИСТВО З ОБМЕЖЕНОЮ ВІДПОВІДАЛЬНІСТЮ «КОРПОРАЦІЯ «ЗДОРОВ’Я»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реєстраційної процедури в наказі МОЗ України № 822 від 17.06.2026</w:t>
            </w:r>
            <w:r>
              <w:rPr>
                <w:rFonts w:cs="Arial" w:ascii="Arial" w:hAnsi="Arial"/>
                <w:color w:val="000000"/>
                <w:sz w:val="16"/>
                <w:szCs w:val="16"/>
              </w:rPr>
              <w:t xml:space="preserve">  -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 (введення нового виробника АФІ з наданням мастер-файла на АФІ) - введення нового виробника HS Nutra Co., Ltd., China для АФІ Хондроїтину сульфат натрію з наданням мастер-файла на АФІ (DMF: Version Number: 0000. Date: Nov 21, 2024). Як наслідок, внесення змін до специфікації та методів випробування на АФІ від виробника ГЛЗ. Затверджено: Yantai Dongcheng Biochemicals Co., Ltd, China. Запропоновано: Yantai Dongcheng Biochemicals Co., Ltd, China; HS Nutra Co., Ltd., China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pPr>
            <w:r>
              <w:rPr>
                <w:rFonts w:cs="Arial" w:ascii="Arial" w:hAnsi="Arial"/>
                <w:sz w:val="16"/>
                <w:szCs w:val="16"/>
              </w:rPr>
              <w:t>UA/12160/01/01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АТОРВАСТАТИН 10 АНАНТА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atorvastatin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аторвастатин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3 блістери у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Ананта Медікеар Лімітед, Індія; </w:t>
              <w:br/>
              <w:t>Артура Фармасьютікалз Пвт. Лтд., Індія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"Спосіб застосування та дози", "Діти", "Побічні реакції" згідно з інформацією щодо медичного застосування референтного лікарського засобу (ЛІПРИМАР®). Введення змін протягом 3-х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UA/0688/01/01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АТОРВАСТАТИН 20 АНАНТА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atorvastatin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аторвастатин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10 таблеток у блістері; по 3 блістери у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Ананта Медікеар Лімітед, Індія; </w:t>
              <w:br/>
              <w:t>Артура Фармасьютікалз Пвт. Лтд., Індія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"Спосіб застосування та дози", "Діти", "Побічні реакції" згідно з інформацією щодо медичного застосування референтного лікарського засобу (ЛІПРИМАР®). Введення змін протягом 3-х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UA/0689/01/01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БАРАЛГІН®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Pitofenone and analgesics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метамізолу натрію моногідрат; пітофенону гідрохлорид; фенпіверинію бромід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A03DA02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 мл або 5 мл в ампулі; по 5 ампул в блістері; по 1 або 2 блістери в картонній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АЛЕКСФАРМ ГМБХ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Сполучене Королiвство</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СК Балкан Фармасьютікалс СРЛ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Молдова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"Протипоказання", "Взаємодія з іншими лікарськими засобами та інші види взаємодій", "Особливості застосування", "Побічні реакції" згідно з інформацією щодо медичного застосування референтного лікарського засобу (Спазмалгон®, розчин для ін'єкцій).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UA/19987/01/01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БУПРІНОЛ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bupropion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бупропіону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N06AX12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таблетки з модифікованим вивільненням, по 150 мг; по 30 таблеток з модифікованим вивільненням у пластиковому контейнері, по 1 контейнеру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«Фармліга»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та відповідальний за випуск серії: БАЛКАНФАРМА–ДУПНИЦЯ АД, Болгарія; виробництво лікарського засобу, первинне та вторинне пакування, контроль якості серії: Фармацеутско-Хемійска Індустрія (ФХІ) Здравлє АД, Сербія; додаткова дільниця з контролю якості: ГЕ Фармасьютікалз Лтд., Болгарія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 Сербія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статусу рекламування в наказі МОЗ України № 1279 від 02.09.2026 в процесі внесення змін</w:t>
            </w:r>
            <w:r>
              <w:rPr>
                <w:rFonts w:cs="Arial" w:ascii="Arial" w:hAnsi="Arial"/>
                <w:color w:val="000000"/>
                <w:sz w:val="16"/>
                <w:szCs w:val="16"/>
              </w:rPr>
              <w:t xml:space="preserve">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 лікарського засобу. Термін введення змін - протягом 6 місяців після затвердження). Редакція в наказі - Сербія. </w:t>
            </w:r>
            <w:r>
              <w:rPr>
                <w:rFonts w:cs="Arial" w:ascii="Arial" w:hAnsi="Arial"/>
                <w:b/>
                <w:color w:val="000000"/>
                <w:sz w:val="16"/>
                <w:szCs w:val="16"/>
              </w:rPr>
              <w:t>Вірна редакція - не підлягає.</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i/>
                <w:i/>
                <w:sz w:val="16"/>
                <w:szCs w:val="16"/>
              </w:rPr>
            </w:pPr>
            <w:r>
              <w:rPr>
                <w:rFonts w:cs="Arial" w:ascii="Arial" w:hAnsi="Arial"/>
                <w:b/>
                <w:i/>
                <w:color w:val="000000"/>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UA/19228/01/01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ВЕЛАКСИН®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venlafaxine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венлафаксин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N06AX16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пролонгованої дії по 37,5 мг; по 10 капсул у блістері; по 3 блістери в картонній коробці; по 14 капсул у блістері; по 2 блістери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br/>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у розділи "Фармакотерапевтична група" (уточнення),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відповідно до інформації референтного лікарського засобу (Efexor). Введення змін протягом 6-ти місяців після затвердження. Зміни І типу - Зміни щодо безпеки/ефективності та фармаконагляду (інші зміни).Зміни внесені до інструкції для медичного застосування у розділи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редакційні правки відповідно до матеріалів досьє. Введення змін протягом 6-ти місяців після затвердження. Зміни І типу - Зміни щодо безпеки/ефективності та фармаконагляду (інші зміни). Зміни внесені до інструкції для медичного застосування у розділи "Взаємодія з іншими лікарськими засобами та інші види взаємодій" та "Особливості застосування" щодо безпеки застосування лікарського засобу відповідно до рекомендацій PRAC EMA. Введення змін протягом 6-ти місяців після затвердження. Зміни І типу - Зміни щодо безпеки/ефективності та фармаконагляду (інші зміни). Зміни внесені до інструкції для медичного застосування у розділ "Особливості застосування" щодо безпеки застосування лікарського засобу відповідно до рекомендацій PRAC EMA.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Зменшення терміну придатності ГЛЗ, у зв'язку з економічною політикою компанії. Діюча редакція: Термін придатності. 5 років. Пропонована редакція: </w:t>
              <w:br/>
              <w:t xml:space="preserve">Термін придатності. 3 роки. Зміни внесені до інструкції для медичного застосування у розділ "Термін придатності". </w:t>
              <w:br/>
              <w:t>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UA/3580/02/01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ВЕЛАКСИН®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venlafaxine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венлафаксин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N06AX16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пролонгованої дії по 75 мг; по 10 капсул у блістері; по 3 блістери в картонній коробці; по 14 капсул у блістері; по 2 блістери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у розділи "Фармакотерапевтична група" (уточнення),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відповідно до інформації референтного лікарського засобу (Efexor). Введення змін протягом 6-ти місяців після затвердження. Зміни І типу - Зміни щодо безпеки/ефективності та фармаконагляду (інші зміни).Зміни внесені до інструкції для медичного застосування у розділи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редакційні правки відповідно до матеріалів досьє. Введення змін протягом 6-ти місяців після затвердження. Зміни І типу - Зміни щодо безпеки/ефективності та фармаконагляду (інші зміни). Зміни внесені до інструкції для медичного застосування у розділи "Взаємодія з іншими лікарськими засобами та інші види взаємодій" та "Особливості застосування" щодо безпеки застосування лікарського засобу відповідно до рекомендацій PRAC EMA. Введення змін протягом 6-ти місяців після затвердження. Зміни І типу - Зміни щодо безпеки/ефективності та фармаконагляду (інші зміни). Зміни внесені до інструкції для медичного застосування у розділ "Особливості застосування" щодо безпеки застосування лікарського засобу відповідно до рекомендацій PRAC EMA.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Зменшення терміну придатності ГЛЗ, у зв'язку з економічною політикою компанії. Діюча редакція: Термін придатності. 5 років. Пропонована редакція: </w:t>
              <w:br/>
              <w:t xml:space="preserve">Термін придатності. 3 роки. Зміни внесені до інструкції для медичного застосування у розділ "Термін придатності". </w:t>
              <w:br/>
              <w:t>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UA/3580/02/02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ВЕЛАКСИН®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venlafaxine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венлафаксин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N06AX16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пролонгованої дії по 150 мг; по 10 капсул у блістері; по 3 блістери в картонній коробці; по 14 капсул у блістері; по 2 блістери в картонній коробціі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у розділи "Фармакотерапевтична група" (уточнення),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відповідно до інформації референтного лікарського засобу (Efexor). Введення змін протягом 6-ти місяців після затвердження. Зміни І типу - Зміни щодо безпеки/ефективності та фармаконагляду (інші зміни).Зміни внесені до інструкції для медичного застосування у розділи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редакційні правки відповідно до матеріалів досьє. Введення змін протягом 6-ти місяців після затвердження. Зміни І типу - Зміни щодо безпеки/ефективності та фармаконагляду (інші зміни). Зміни внесені до інструкції для медичного застосування у розділи "Взаємодія з іншими лікарськими засобами та інші види взаємодій" та "Особливості застосування" щодо безпеки застосування лікарського засобу відповідно до рекомендацій PRAC EMA. Введення змін протягом 6-ти місяців після затвердження. Зміни І типу - Зміни щодо безпеки/ефективності та фармаконагляду (інші зміни). Зміни внесені до інструкції для медичного застосування у розділ "Особливості застосування" щодо безпеки застосування лікарського засобу відповідно до рекомендацій PRAC EMA.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Зменшення терміну придатності ГЛЗ, у зв'язку з економічною політикою компанії. Діюча редакція: Термін придатності. 5 років. Пропонована редакція: </w:t>
              <w:br/>
              <w:t xml:space="preserve">Термін придатності. 3 роки. Зміни внесені до інструкції для медичного застосування у розділ "Термін придатності". </w:t>
              <w:br/>
              <w:t>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UA/3580/02/03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 xml:space="preserve">ГЕКСАКСИМ® / </w:t>
            </w:r>
            <w:r>
              <w:rPr>
                <w:rFonts w:cs="Arial" w:ascii="Arial" w:hAnsi="Arial"/>
                <w:b/>
                <w:sz w:val="16"/>
                <w:szCs w:val="16"/>
              </w:rPr>
              <w:t>HEXAXIM</w:t>
            </w:r>
            <w:r>
              <w:rPr>
                <w:rFonts w:cs="Arial" w:ascii="Arial" w:hAnsi="Arial"/>
                <w:b/>
                <w:sz w:val="16"/>
                <w:szCs w:val="16"/>
                <w:lang w:val="uk-UA"/>
              </w:rPr>
              <w:t xml:space="preserve"> ВАКЦИНА ДЛЯ ПРОФІЛАКТИКИ ДИФТЕРІЇ, ПРАВЦЯ, КАШЛЮКУ (АЦЕЛЮЛЯРНИЙ КОМПОНЕНТ), ГЕПАТИТУ В РЕКОМБІНАНТНА, ПОЛІОМІЄЛІТУ ІНАКТИВОВАНА ТА ЗАХВОРЮВАНЬ, СПРИЧИНЕНИХ </w:t>
            </w:r>
            <w:r>
              <w:rPr>
                <w:rFonts w:cs="Arial" w:ascii="Arial" w:hAnsi="Arial"/>
                <w:b/>
                <w:sz w:val="16"/>
                <w:szCs w:val="16"/>
              </w:rPr>
              <w:t>HAEMOPHILUS</w:t>
            </w:r>
            <w:r>
              <w:rPr>
                <w:rFonts w:cs="Arial" w:ascii="Arial" w:hAnsi="Arial"/>
                <w:b/>
                <w:sz w:val="16"/>
                <w:szCs w:val="16"/>
                <w:lang w:val="uk-UA"/>
              </w:rPr>
              <w:t xml:space="preserve"> ТИПУ </w:t>
            </w:r>
            <w:r>
              <w:rPr>
                <w:rFonts w:cs="Arial" w:ascii="Arial" w:hAnsi="Arial"/>
                <w:b/>
                <w:sz w:val="16"/>
                <w:szCs w:val="16"/>
              </w:rPr>
              <w:t>B</w:t>
            </w:r>
            <w:r>
              <w:rPr>
                <w:rFonts w:cs="Arial" w:ascii="Arial" w:hAnsi="Arial"/>
                <w:b/>
                <w:sz w:val="16"/>
                <w:szCs w:val="16"/>
                <w:lang w:val="uk-UA"/>
              </w:rPr>
              <w:t xml:space="preserve"> КОН'ЮГОВАНА, АДСОРБОВАНА, РІДКА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Diphtheria-haemophilus influenzae B-pertussis-poliomyelitis-tetanus-hepatitis 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rPr>
              <w:t>дифтерійний</w:t>
            </w:r>
            <w:r>
              <w:rPr>
                <w:rFonts w:cs="Arial" w:ascii="Arial" w:hAnsi="Arial"/>
                <w:sz w:val="16"/>
                <w:szCs w:val="16"/>
                <w:lang w:val="en-US"/>
              </w:rPr>
              <w:t xml:space="preserve"> </w:t>
            </w:r>
            <w:r>
              <w:rPr>
                <w:rFonts w:cs="Arial" w:ascii="Arial" w:hAnsi="Arial"/>
                <w:sz w:val="16"/>
                <w:szCs w:val="16"/>
              </w:rPr>
              <w:t>анатоксин</w:t>
            </w:r>
            <w:r>
              <w:rPr>
                <w:rFonts w:cs="Arial" w:ascii="Arial" w:hAnsi="Arial"/>
                <w:sz w:val="16"/>
                <w:szCs w:val="16"/>
                <w:lang w:val="en-US"/>
              </w:rPr>
              <w:t>;</w:t>
            </w:r>
          </w:p>
          <w:p>
            <w:pPr>
              <w:pStyle w:val="Normal"/>
              <w:rPr/>
            </w:pPr>
            <w:r>
              <w:rPr>
                <w:rFonts w:cs="Arial" w:ascii="Arial" w:hAnsi="Arial"/>
                <w:sz w:val="16"/>
                <w:szCs w:val="16"/>
              </w:rPr>
              <w:t>правцевий</w:t>
            </w:r>
            <w:r>
              <w:rPr>
                <w:rFonts w:cs="Arial" w:ascii="Arial" w:hAnsi="Arial"/>
                <w:sz w:val="16"/>
                <w:szCs w:val="16"/>
                <w:lang w:val="en-US"/>
              </w:rPr>
              <w:t xml:space="preserve"> </w:t>
            </w:r>
            <w:r>
              <w:rPr>
                <w:rFonts w:cs="Arial" w:ascii="Arial" w:hAnsi="Arial"/>
                <w:sz w:val="16"/>
                <w:szCs w:val="16"/>
              </w:rPr>
              <w:t>анатоксин</w:t>
            </w:r>
            <w:r>
              <w:rPr>
                <w:rFonts w:cs="Arial" w:ascii="Arial" w:hAnsi="Arial"/>
                <w:sz w:val="16"/>
                <w:szCs w:val="16"/>
                <w:lang w:val="en-US"/>
              </w:rPr>
              <w:t>;</w:t>
            </w:r>
          </w:p>
          <w:p>
            <w:pPr>
              <w:pStyle w:val="Normal"/>
              <w:rPr/>
            </w:pPr>
            <w:r>
              <w:rPr>
                <w:rFonts w:cs="Arial" w:ascii="Arial" w:hAnsi="Arial"/>
                <w:sz w:val="16"/>
                <w:szCs w:val="16"/>
              </w:rPr>
              <w:t>антигени</w:t>
            </w:r>
            <w:r>
              <w:rPr>
                <w:rFonts w:cs="Arial" w:ascii="Arial" w:hAnsi="Arial"/>
                <w:sz w:val="16"/>
                <w:szCs w:val="16"/>
                <w:lang w:val="en-US"/>
              </w:rPr>
              <w:t xml:space="preserve"> </w:t>
            </w:r>
            <w:r>
              <w:rPr>
                <w:rFonts w:cs="Arial" w:ascii="Arial" w:hAnsi="Arial"/>
                <w:i/>
                <w:iCs/>
                <w:sz w:val="16"/>
                <w:szCs w:val="16"/>
                <w:lang w:val="en-US"/>
              </w:rPr>
              <w:t>Bordetella pertussis</w:t>
            </w:r>
            <w:r>
              <w:rPr>
                <w:rFonts w:cs="Arial" w:ascii="Arial" w:hAnsi="Arial"/>
                <w:sz w:val="16"/>
                <w:szCs w:val="16"/>
                <w:lang w:val="en-US"/>
              </w:rPr>
              <w:t>:</w:t>
            </w:r>
          </w:p>
          <w:p>
            <w:pPr>
              <w:pStyle w:val="Normal"/>
              <w:rPr>
                <w:rFonts w:ascii="Arial" w:hAnsi="Arial" w:cs="Arial"/>
                <w:sz w:val="16"/>
                <w:szCs w:val="16"/>
              </w:rPr>
            </w:pPr>
            <w:r>
              <w:rPr>
                <w:rFonts w:cs="Arial" w:ascii="Arial" w:hAnsi="Arial"/>
                <w:sz w:val="16"/>
                <w:szCs w:val="16"/>
              </w:rPr>
              <w:t>кашлюковий анатоксин;</w:t>
            </w:r>
          </w:p>
          <w:p>
            <w:pPr>
              <w:pStyle w:val="Normal"/>
              <w:rPr>
                <w:rFonts w:ascii="Arial" w:hAnsi="Arial" w:cs="Arial"/>
                <w:sz w:val="16"/>
                <w:szCs w:val="16"/>
              </w:rPr>
            </w:pPr>
            <w:r>
              <w:rPr>
                <w:rFonts w:cs="Arial" w:ascii="Arial" w:hAnsi="Arial"/>
                <w:sz w:val="16"/>
                <w:szCs w:val="16"/>
              </w:rPr>
              <w:t>філаментний гемаглютинін;</w:t>
            </w:r>
          </w:p>
          <w:p>
            <w:pPr>
              <w:pStyle w:val="Normal"/>
              <w:rPr/>
            </w:pPr>
            <w:r>
              <w:rPr>
                <w:rFonts w:cs="Arial" w:ascii="Arial" w:hAnsi="Arial"/>
                <w:sz w:val="16"/>
                <w:szCs w:val="16"/>
              </w:rPr>
              <w:t>інактивований поліовірус</w:t>
            </w:r>
            <w:r>
              <w:rPr>
                <w:rFonts w:cs="Arial" w:ascii="Arial" w:hAnsi="Arial"/>
                <w:sz w:val="16"/>
                <w:szCs w:val="16"/>
                <w:vertAlign w:val="superscript"/>
              </w:rPr>
              <w:t>5</w:t>
            </w:r>
            <w:r>
              <w:rPr>
                <w:rFonts w:cs="Arial" w:ascii="Arial" w:hAnsi="Arial"/>
                <w:sz w:val="16"/>
                <w:szCs w:val="16"/>
              </w:rPr>
              <w:t>:</w:t>
            </w:r>
          </w:p>
          <w:p>
            <w:pPr>
              <w:pStyle w:val="Normal"/>
              <w:rPr>
                <w:rFonts w:ascii="Arial" w:hAnsi="Arial" w:cs="Arial"/>
                <w:sz w:val="16"/>
                <w:szCs w:val="16"/>
              </w:rPr>
            </w:pPr>
            <w:r>
              <w:rPr>
                <w:rFonts w:cs="Arial" w:ascii="Arial" w:hAnsi="Arial"/>
                <w:sz w:val="16"/>
                <w:szCs w:val="16"/>
              </w:rPr>
              <w:t>типу 1 (штам Mahoney);</w:t>
            </w:r>
          </w:p>
          <w:p>
            <w:pPr>
              <w:pStyle w:val="Normal"/>
              <w:rPr>
                <w:rFonts w:ascii="Arial" w:hAnsi="Arial" w:cs="Arial"/>
                <w:sz w:val="16"/>
                <w:szCs w:val="16"/>
              </w:rPr>
            </w:pPr>
            <w:r>
              <w:rPr>
                <w:rFonts w:cs="Arial" w:ascii="Arial" w:hAnsi="Arial"/>
                <w:sz w:val="16"/>
                <w:szCs w:val="16"/>
              </w:rPr>
              <w:t>типу 2 (штам MEF-1);</w:t>
            </w:r>
          </w:p>
          <w:p>
            <w:pPr>
              <w:pStyle w:val="Normal"/>
              <w:rPr>
                <w:rFonts w:ascii="Arial" w:hAnsi="Arial" w:cs="Arial"/>
                <w:sz w:val="16"/>
                <w:szCs w:val="16"/>
              </w:rPr>
            </w:pPr>
            <w:r>
              <w:rPr>
                <w:rFonts w:cs="Arial" w:ascii="Arial" w:hAnsi="Arial"/>
                <w:sz w:val="16"/>
                <w:szCs w:val="16"/>
              </w:rPr>
              <w:t>типу 3 (штам Saukett);</w:t>
            </w:r>
          </w:p>
          <w:p>
            <w:pPr>
              <w:pStyle w:val="Normal"/>
              <w:rPr/>
            </w:pPr>
            <w:r>
              <w:rPr>
                <w:rFonts w:cs="Arial" w:ascii="Arial" w:hAnsi="Arial"/>
                <w:sz w:val="16"/>
                <w:szCs w:val="16"/>
              </w:rPr>
              <w:t>поверхневий антиген вірусу гепатиту В</w:t>
            </w:r>
            <w:r>
              <w:rPr>
                <w:rFonts w:cs="Arial" w:ascii="Arial" w:hAnsi="Arial"/>
                <w:sz w:val="16"/>
                <w:szCs w:val="16"/>
                <w:vertAlign w:val="superscript"/>
              </w:rPr>
              <w:t>7</w:t>
            </w:r>
            <w:r>
              <w:rPr>
                <w:rFonts w:cs="Arial" w:ascii="Arial" w:hAnsi="Arial"/>
                <w:sz w:val="16"/>
                <w:szCs w:val="16"/>
              </w:rPr>
              <w:t>;</w:t>
            </w:r>
          </w:p>
          <w:p>
            <w:pPr>
              <w:pStyle w:val="Normal"/>
              <w:rPr/>
            </w:pPr>
            <w:r>
              <w:rPr>
                <w:rFonts w:cs="Arial" w:ascii="Arial" w:hAnsi="Arial"/>
                <w:sz w:val="16"/>
                <w:szCs w:val="16"/>
              </w:rPr>
              <w:t>полісахарид </w:t>
            </w:r>
            <w:r>
              <w:rPr>
                <w:rFonts w:cs="Arial" w:ascii="Arial" w:hAnsi="Arial"/>
                <w:i/>
                <w:iCs/>
                <w:sz w:val="16"/>
                <w:szCs w:val="16"/>
              </w:rPr>
              <w:t>Haemophilus influenzae</w:t>
            </w:r>
            <w:r>
              <w:rPr>
                <w:rFonts w:cs="Arial" w:ascii="Arial" w:hAnsi="Arial"/>
                <w:sz w:val="16"/>
                <w:szCs w:val="16"/>
              </w:rPr>
              <w:t> типу</w:t>
            </w:r>
            <w:r>
              <w:rPr>
                <w:rFonts w:cs="Arial" w:ascii="Arial" w:hAnsi="Arial"/>
                <w:i/>
                <w:iCs/>
                <w:sz w:val="16"/>
                <w:szCs w:val="16"/>
              </w:rPr>
              <w:t xml:space="preserve"> b </w:t>
            </w:r>
            <w:r>
              <w:rPr>
                <w:rFonts w:cs="Arial" w:ascii="Arial" w:hAnsi="Arial"/>
                <w:sz w:val="16"/>
                <w:szCs w:val="16"/>
              </w:rPr>
              <w:t>(полірибозилрибітол фосфат), кон’югований з правцевим протеїном</w:t>
            </w:r>
          </w:p>
          <w:p>
            <w:pPr>
              <w:pStyle w:val="Normal"/>
              <w:rPr/>
            </w:pPr>
            <w:r>
              <w:rPr>
                <w:rFonts w:cs="Arial" w:ascii="Arial" w:hAnsi="Arial"/>
                <w:sz w:val="16"/>
                <w:szCs w:val="16"/>
                <w:vertAlign w:val="superscript"/>
              </w:rPr>
              <w:t>5</w:t>
            </w:r>
            <w:r>
              <w:rPr>
                <w:rFonts w:cs="Arial" w:ascii="Arial" w:hAnsi="Arial"/>
                <w:sz w:val="16"/>
                <w:szCs w:val="16"/>
              </w:rPr>
              <w:t> Культивовані на клітинах </w:t>
            </w:r>
            <w:r>
              <w:rPr>
                <w:rFonts w:cs="Arial" w:ascii="Arial" w:hAnsi="Arial"/>
                <w:i/>
                <w:iCs/>
                <w:sz w:val="16"/>
                <w:szCs w:val="16"/>
              </w:rPr>
              <w:t>Vero</w:t>
            </w:r>
            <w:r>
              <w:rPr>
                <w:rFonts w:cs="Arial" w:ascii="Arial" w:hAnsi="Arial"/>
                <w:sz w:val="16"/>
                <w:szCs w:val="16"/>
              </w:rPr>
              <w:t>.</w:t>
            </w:r>
          </w:p>
          <w:p>
            <w:pPr>
              <w:pStyle w:val="Normal"/>
              <w:rPr/>
            </w:pPr>
            <w:r>
              <w:rPr>
                <w:rFonts w:cs="Arial" w:ascii="Arial" w:hAnsi="Arial"/>
                <w:sz w:val="16"/>
                <w:szCs w:val="16"/>
                <w:vertAlign w:val="superscript"/>
              </w:rPr>
              <w:t>7</w:t>
            </w:r>
            <w:r>
              <w:rPr>
                <w:rFonts w:cs="Arial" w:ascii="Arial" w:hAnsi="Arial"/>
                <w:sz w:val="16"/>
                <w:szCs w:val="16"/>
              </w:rPr>
              <w:t xml:space="preserve"> Отриманий на клітинах дріжджів </w:t>
            </w:r>
            <w:r>
              <w:rPr>
                <w:rFonts w:cs="Arial" w:ascii="Arial" w:hAnsi="Arial"/>
                <w:i/>
                <w:iCs/>
                <w:sz w:val="16"/>
                <w:szCs w:val="16"/>
              </w:rPr>
              <w:t>Hansenula polymorpha</w:t>
            </w:r>
            <w:r>
              <w:rPr>
                <w:rFonts w:cs="Arial" w:ascii="Arial" w:hAnsi="Arial"/>
                <w:sz w:val="16"/>
                <w:szCs w:val="16"/>
              </w:rPr>
              <w:t xml:space="preserve"> за допомогою рекомбінантної ДНК-технології</w:t>
            </w:r>
          </w:p>
          <w:p>
            <w:pPr>
              <w:pStyle w:val="Normal"/>
              <w:tabs>
                <w:tab w:val="left" w:pos="12600" w:leader="none"/>
              </w:tabs>
              <w:rPr>
                <w:rFonts w:ascii="Arial" w:hAnsi="Arial" w:cs="Arial"/>
                <w:sz w:val="16"/>
                <w:szCs w:val="16"/>
              </w:rPr>
            </w:pPr>
            <w:r>
              <w:rPr>
                <w:rFonts w:cs="Arial" w:ascii="Arial" w:hAnsi="Arial"/>
                <w:sz w:val="16"/>
                <w:szCs w:val="16"/>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(1 доза) в попередньо заповнених шприцах з 1-єю (або 2-ма) окремими голками, по 1 шприцу в картонній упаковці; по 0,5 мл (1 доза) в попередньо заповнених шприцах з 1-єю (або 2-ма) окремими голками, по 1 шприцу в стандартно-експортній упаковці, яка міститься у картонній коробці з інструкцією для медичного застосування; по 0,5 мл (1 доза) в попередньо заповнених шприцах з 1-єю (або 2-ма) окремими голками, по 10 шприців в картонній упаковці; по 0,5 мл (1 доза) в попередньо заповнених шприцах з 1-єю (або 2-ма) окремими голками, по 10 шприців в стандартно-експортній упаковці, яка міститься у картонній коробці з інструкцією для медичного застосування; по 0,5 мл (1 доза) у флаконах, по 10 флаконів у картонній упаковці; по 0,5 мл (1 доза) у флаконах, по 10 флаконів в стандартно-експортній упаковці, яка міститься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нерозфасованого продукту, вторинне пакування (шприци), контроль якості, випуск серій:</w:t>
              <w:br/>
              <w:t xml:space="preserve">Санофі Вінтроп Індастрі, Франція; </w:t>
              <w:br/>
              <w:t>виробництво готового нерозфасованого продукту, заповнення, вторинне пакування, контроль якості, випуск серій:</w:t>
              <w:br/>
              <w:t xml:space="preserve">Санофі Вінтроп Індастрі, Франція; </w:t>
              <w:br/>
              <w:t xml:space="preserve">випуск серій: Санофі-Авентіс Зрт., Угорщина; </w:t>
              <w:br/>
              <w:t xml:space="preserve">контроль якості (шприци): Інтернешнл Драг Девелопмент-Експерт, Франція; </w:t>
              <w:br/>
              <w:t xml:space="preserve">вторинне пакування: Кюне + Нагель Кфт., Угорщина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Угорщина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w:t>
              <w:br/>
              <w:t>Зміни у специфікації на вихідний матеріал-Hepes, а саме вилучення показників: "Зовнішній вигляд", "Розчинність", "Температура плавлення", "Хлориди", "Залізо" "Сульфати", "Втрата при висушуванні", "Сульфатна зола", "pH", "Hepes вміст". Залишається ідентифікаційний тест-"ІЧ-спектр". Термін введення змін - серпень 2027.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Зміни у специфікації на вихідний матеріал-Бичяча сироватка-теляча (збагачена залізом), а саме вилучення тесту "Пірогени"відповідно до вимог принципу 3R (Replace — заміна, Reduce —скорочення, Refine — вдосконалення) та Європейської Фармакопеї. Термін введення змін - серпень 2027. Зміни І типу - Зміни з якості. АФІ. Виробництво (інші зміни) - Внесення уточнюючих змін до розділу 3.2.S.2.3 без будь-яких змін у виробничій практиці. Термін введення змін - серпень 2027.</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UA/13080/01/01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ГЕПТРАЛ®</w:t>
            </w:r>
          </w:p>
        </w:tc>
        <w:tc>
          <w:tcPr>
            <w:tcW w:w="850"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ademetionine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адеметіоніну 1,4-бутандисульфонат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ліофілізований для розчину для ін'єкцій по 500 мг; 5 скляних флаконів з порошком ліофілізованим та 5 ампул з розчинником (L-лізин, натрію гідроксид, вода для ін’єкцій) по 5 мл в контурній чарунковій упаковці, запечатаній алюмінієвою фольгою; по 1 контурній чарунковій упаковці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Абботт Лабораторіз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пакування, контроль якості та випуск серій розчинника in bulk: Фамар Анонімос Індастріал Сінгл Мембер Компані Оф Фармасьютікалс Енд Косметікс, Греція; виробництво, первинне пакування та контроль якості розчинника: Біолоджісі Італія Лабораторіз С.Р.Л., Італiя; виробництво, первинне пакування та контроль якості порошка ліофілізованого; вторинне пакування, контроль якості та випуск серій готового лікарського засобу: Біолоджісі Італія Лабораторіз С.Р.Л., Італiя або Делфарм Сен Ремі, Францiя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 Італiя/ Францiя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13 років. </w:t>
              <w:br/>
              <w:t xml:space="preserve">Кінцева дата для включення даних до регулярно оновлюваного звіту з безпеки - 28.04.2025 р. </w:t>
              <w:br/>
              <w:t xml:space="preserve">Дата подання - 27.07.2025 р. </w:t>
              <w:br/>
              <w:t xml:space="preserve">Пропонована редакція: Частота подання регулярно оновлюваного звіту з безпеки 8 років. </w:t>
              <w:br/>
              <w:t xml:space="preserve">Кінцева дата для включення даних до регулярно оновлюваного звіту з безпеки - 03.08.2033 р. </w:t>
              <w:br/>
              <w:t xml:space="preserve">Дата подання - 01.11.2033 р. </w:t>
              <w:br/>
              <w:t>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UA/6993/02/02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ГЛІОЗОМІД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L01AX03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по 20 мг; по 1 капсулі у саше; по 5 саше у пачці з картону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ГЛЗ, пакування, тестування, випуск серії: ЕйГен Фарма Лімітед, Ірландiя; </w:t>
              <w:br/>
              <w:t>Первинне і вторинне пакування: Мілмаунт Хелскеа Лтд, Ірландiя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 для АФІ темозоломід виробництва Formosa Laboratories, Inc., Тайвань з версії СЕР № R0-CEP 2017-245-Rev 00 до версії CEP 2017-245-Rev 01.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ГЕ-сертифікату відповідності Європейській фармакопеї від вже затвердженого виробника желатину ROUSSELOT R1-CEP 2000-029 - Rev 06.(було затверджено R1-CEP 2000-029 - Rev 05).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ГЕ-сертифікату відповідності Європейській фармакопеї від вже затвердженого виробника желатину TESSENDERLO GROUP N.V. CEP 2000-045- Rev 06(було затверджено R1-CEP 2000-045-Rev 04)</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ГЛІОЗОМІД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L01AX03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по 100 мг; по 1 капсулі у саше; по 5 саше у пачці з картону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ГЛЗ, пакування, тестування, випуск серії: ЕйГен Фарма Лімітед, Ірландiя; </w:t>
              <w:br/>
              <w:t>Первинне і вторинне пакування: Мілмаунт Хелскеа Лтд, Ірландiя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 для АФІ темозоломід виробництва Formosa Laboratories, Inc., Тайвань з версії СЕР № R0-CEP 2017-245-Rev 00 до версії CEP 2017-245-Rev 01.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ГЕ-сертифікату відповідності Європейській фармакопеї від вже затвердженого виробника желатину ROUSSELOT R1-CEP 2000-029 - Rev 06.(було затверджено R1-CEP 2000-029 - Rev 05).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ГЕ-сертифікату відповідності Європейській фармакопеї від вже затвердженого виробника желатину TESSENDERLO GROUP N.V. CEP 2000-045- Rev 06(було затверджено R1-CEP 2000-045-Rev 04)</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UA/13832/01/02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ГЛІОЗОМІД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L01AX03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по 180 мг; по 1 капсулі у саше; по 5 саше у пачці з картону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ГЛЗ, пакування, тестування, випуск серії: ЕйГен Фарма Лімітед, Ірландiя; </w:t>
              <w:br/>
              <w:t>Первинне і вторинне пакування: Мілмаунт Хелскеа Лтд, Ірландiя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 для АФІ темозоломід виробництва Formosa Laboratories, Inc., Тайвань з версії СЕР № R0-CEP 2017-245-Rev 00 до версії CEP 2017-245-Rev 01.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ГЕ-сертифікату відповідності Європейській фармакопеї від вже затвердженого виробника желатину ROUSSELOT R1-CEP 2000-029 - Rev 06.(було затверджено R1-CEP 2000-029 - Rev 05).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ГЕ-сертифікату відповідності Європейській фармакопеї від вже затвердженого виробника желатину TESSENDERLO GROUP N.V. CEP 2000-045- Rev 06(було затверджено R1-CEP 2000-045-Rev 04)</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UA/13832/01/03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ГЛІОЗОМІД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L01AX03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по 250 мг; по 1 капсулі у саше; по 5 саше у пачці з картону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ГЛЗ, пакування, тестування, випуск серії: ЕйГен Фарма Лімітед, Ірландiя; </w:t>
              <w:br/>
              <w:t>Первинне і вторинне пакування: Мілмаунт Хелскеа Лтд, Ірландiя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 для АФІ темозоломід виробництва Formosa Laboratories, Inc., Тайвань з версії СЕР № R0-CEP 2017-245-Rev 00 до версії CEP 2017-245-Rev 01.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ГЕ-сертифікату відповідності Європейській фармакопеї від вже затвердженого виробника желатину ROUSSELOT R1-CEP 2000-029 - Rev 06.(було затверджено R1-CEP 2000-029 - Rev 05).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ГЕ-сертифікату відповідності Європейській фармакопеї від вже затвердженого виробника желатину TESSENDERLO GROUP N.V. CEP 2000-045- Rev 06(було затверджено R1-CEP 2000-045-Rev 04)</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UA/13832/01/04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ГЛІПТАР®-М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 and vildagliptin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вілдагліптин та 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A10BD08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50/850 мг; по 10 таблеток у блістері, по 6 блістерів у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"ПОЛІМЕТРІЯ, дистрибуція та послуги"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і пакування готової лікарської форми, контроль серії і випуск серії: САГ МАНУФАКТУРІНГ, С.Л.У., Іспанія; </w:t>
              <w:br/>
              <w:t>контроль серії (фізико-хімічний) і випуск серії: Галенікум Хелс, С.Л.У., Іспанія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1998-079-Rev 11 від затвердженого виробника Wanbury Limited, Індія діючої речовини метформіну гідрохлорид в зв’язку з оновленням викладу методики «Залишкові розчинники» (затверджено: R1- CEP 1998-079-Rev 10; запропоновано: CEP 1998-079-Rev 11)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ГЛІПТАР®-М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 and vildagliptin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вілдагліптин та 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A10BD08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50/1000 мг; по 10 таблеток у блістері, по 6 блістерів у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"ПОЛІМЕТРІЯ, дистрибуція та послуги"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і пакування готової лікарської форми, контроль серії і випуск серії: САГ МАНУФАКТУРІНГ, С.Л.У., Іспанія; </w:t>
              <w:br/>
              <w:t>контроль серії (фізико-хімічний) і випуск серії: Галенікум Хелс, С.Л.У., Іспанія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1998-079-Rev 11 від затвердженого виробника Wanbury Limited, Індія діючої речовини метформіну гідрохлорид в зв’язку з оновленням викладу методики «Залишкові розчинники» (затверджено: R1- CEP 1998-079-Rev 10; запропоновано: CEP 1998-079-Rev 11)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UA/19966/01/02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ДАЙВОБЕТ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Calcipotriol,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бетаметазону дипропіонат і кальципотріолу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D05AX52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по 15 г або 30 г мазі у тубі, по 1 тубі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ЛЕО Фарма 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ЛЕО Лабораторіс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умов відпуску в наказі МОЗ України № 1315 від 07.09.2026</w:t>
            </w:r>
            <w:r>
              <w:rPr>
                <w:rFonts w:cs="Arial" w:ascii="Arial" w:hAnsi="Arial"/>
                <w:color w:val="000000"/>
                <w:sz w:val="16"/>
                <w:szCs w:val="16"/>
              </w:rPr>
              <w:t xml:space="preserve"> в процесі внесення змін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2000-223 - Rev 06 (затверджено: R1-CEP 2000-223 - Rev 05) для АФІ Бетаметазону дипропіонат від затвердженого виробника SICOR S.r.l., Italy.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2000-223 - Rev 07 для АФІ Бетаметазону дипропіонат від затвердженого виробника SICOR S.r.l., Italy.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2000-223 - Rev 08 для АФІ Бетаметазону дипропіонат від затвердженого виробника SICOR S.r.l., Italy. Як наслідок включена повна назва виробника АФІ відповідно до бази даних ЕМА (ЄС) - SICOR S.r.l. Sicor Societa Italiana Corticosteroidi S.r.l., Italy.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нової дільниці, де здійснюється мікронізація) - введення нової дільниці, де здійснюється мікронізація АФІ Бетаметазону дипропіонату: Micro-Macinazione S.A. (для виробника АФІ SICOR S.r.l., Italy).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зміни у специфікації допоміжної речовини «Парафін білий м'який» з метою повної відповідності Європейській фармакопеї (Ph. Eur.). Версія еСTD (0000).) Редакція в наказі - за рецептом. </w:t>
            </w:r>
            <w:r>
              <w:rPr>
                <w:rFonts w:cs="Arial" w:ascii="Arial" w:hAnsi="Arial"/>
                <w:b/>
                <w:color w:val="000000"/>
                <w:sz w:val="16"/>
                <w:szCs w:val="16"/>
              </w:rPr>
              <w:t>Вірна редакція - без рецепта</w:t>
            </w: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b/>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UA/7276/01/01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ДЕКАМЕКС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декскетопрофену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25 мг/мл, по 2 мл в ампулі, по 5 ампул у блістері, по 1 блістеру в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w:t>
              <w:br/>
              <w:t xml:space="preserve">"Торговий дім "Інфузія"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«Лекхім-Харків»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Лебединець Інна Василівна. Пропонована редакція: Шлапак Володимир Григорович.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w:t>
              <w:br/>
              <w:t>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UA/20485/01/01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ДЕРМОВЕЙТ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clobetasol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клобетазолу пропіонат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D07AD01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0,05 %; по 25 г у тубі; по 1 тубі в картонній упаковці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Делфарм Познань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до розділів "Особливості застосування" та "Побічні реакції" відповідно до оновленої інформації щодо безпеки застосування лікарського засобу (синдром відміни топічних стероїдів). </w:t>
              <w:br/>
              <w:t xml:space="preserve">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розділу "Побічні реакції" (центральна серозна хоріоретинопатія). </w:t>
              <w:br/>
              <w:t>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розділів "Фармакологічні властивості" (підрозділи "Фармакодинаміка" та "Фармакокінетика"), "Особливості застосування", "Застосування у період вагітності або годування груддю" (додано підрозділ "Фертильність"), "Спосіб застосування та дози" (уточнення інформації), а також до розділу "Побічні реакції" внесено інформацію щодо повідомлень про підозрювані побічні реакції та додано розділи "Представник заявника", "Місцезнаходження представника заявника".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UA/1600/02/01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ДЖІСІ ФЛЮ / GC FLU ВАКЦИНА ДЛЯ ПРОФІЛАКТИКИ ГРИПУ (РОЗЩЕПЛЕНИЙ ВІРІОН, ІНАКТИВОВАНИЙ)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Influenza, inactivated, split virus or surface antigen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rPr>
              <w:t>очищені</w:t>
            </w:r>
            <w:r>
              <w:rPr>
                <w:rFonts w:cs="Arial" w:ascii="Arial" w:hAnsi="Arial"/>
                <w:color w:val="000000"/>
                <w:sz w:val="16"/>
                <w:szCs w:val="16"/>
                <w:lang w:val="en-US"/>
              </w:rPr>
              <w:t xml:space="preserve"> </w:t>
            </w:r>
            <w:r>
              <w:rPr>
                <w:rFonts w:cs="Arial" w:ascii="Arial" w:hAnsi="Arial"/>
                <w:color w:val="000000"/>
                <w:sz w:val="16"/>
                <w:szCs w:val="16"/>
              </w:rPr>
              <w:t>інактивовані</w:t>
            </w:r>
            <w:r>
              <w:rPr>
                <w:rFonts w:cs="Arial" w:ascii="Arial" w:hAnsi="Arial"/>
                <w:color w:val="000000"/>
                <w:sz w:val="16"/>
                <w:szCs w:val="16"/>
                <w:lang w:val="en-US"/>
              </w:rPr>
              <w:t xml:space="preserve"> </w:t>
            </w:r>
            <w:r>
              <w:rPr>
                <w:rFonts w:cs="Arial" w:ascii="Arial" w:hAnsi="Arial"/>
                <w:color w:val="000000"/>
                <w:sz w:val="16"/>
                <w:szCs w:val="16"/>
              </w:rPr>
              <w:t>віруси</w:t>
            </w:r>
            <w:r>
              <w:rPr>
                <w:rFonts w:cs="Arial" w:ascii="Arial" w:hAnsi="Arial"/>
                <w:color w:val="000000"/>
                <w:sz w:val="16"/>
                <w:szCs w:val="16"/>
                <w:lang w:val="en-US"/>
              </w:rPr>
              <w:t>  </w:t>
            </w:r>
            <w:r>
              <w:rPr>
                <w:rFonts w:cs="Arial" w:ascii="Arial" w:hAnsi="Arial"/>
                <w:color w:val="000000"/>
                <w:sz w:val="16"/>
                <w:szCs w:val="16"/>
              </w:rPr>
              <w:t>грипу</w:t>
            </w:r>
            <w:r>
              <w:rPr>
                <w:rFonts w:cs="Arial" w:ascii="Arial" w:hAnsi="Arial"/>
                <w:color w:val="000000"/>
                <w:sz w:val="16"/>
                <w:szCs w:val="16"/>
                <w:lang w:val="en-US"/>
              </w:rPr>
              <w:t>:</w:t>
            </w:r>
          </w:p>
          <w:p>
            <w:pPr>
              <w:pStyle w:val="Normal"/>
              <w:jc w:val="both"/>
              <w:rPr/>
            </w:pPr>
            <w:r>
              <w:rPr>
                <w:rFonts w:cs="Arial" w:ascii="Arial" w:hAnsi="Arial"/>
                <w:color w:val="000000"/>
                <w:sz w:val="16"/>
                <w:szCs w:val="16"/>
              </w:rPr>
              <w:t>очищений</w:t>
            </w:r>
            <w:r>
              <w:rPr>
                <w:rFonts w:cs="Arial" w:ascii="Arial" w:hAnsi="Arial"/>
                <w:color w:val="000000"/>
                <w:sz w:val="16"/>
                <w:szCs w:val="16"/>
                <w:lang w:val="en-US"/>
              </w:rPr>
              <w:t xml:space="preserve"> </w:t>
            </w:r>
            <w:r>
              <w:rPr>
                <w:rFonts w:cs="Arial" w:ascii="Arial" w:hAnsi="Arial"/>
                <w:color w:val="000000"/>
                <w:sz w:val="16"/>
                <w:szCs w:val="16"/>
              </w:rPr>
              <w:t>інактивований</w:t>
            </w:r>
            <w:r>
              <w:rPr>
                <w:rFonts w:cs="Arial" w:ascii="Arial" w:hAnsi="Arial"/>
                <w:color w:val="000000"/>
                <w:sz w:val="16"/>
                <w:szCs w:val="16"/>
                <w:lang w:val="en-US"/>
              </w:rPr>
              <w:t xml:space="preserve"> </w:t>
            </w:r>
            <w:r>
              <w:rPr>
                <w:rFonts w:cs="Arial" w:ascii="Arial" w:hAnsi="Arial"/>
                <w:color w:val="000000"/>
                <w:sz w:val="16"/>
                <w:szCs w:val="16"/>
              </w:rPr>
              <w:t>вірусний</w:t>
            </w:r>
            <w:r>
              <w:rPr>
                <w:rFonts w:cs="Arial" w:ascii="Arial" w:hAnsi="Arial"/>
                <w:color w:val="000000"/>
                <w:sz w:val="16"/>
                <w:szCs w:val="16"/>
                <w:lang w:val="en-US"/>
              </w:rPr>
              <w:t xml:space="preserve"> </w:t>
            </w:r>
            <w:r>
              <w:rPr>
                <w:rFonts w:cs="Arial" w:ascii="Arial" w:hAnsi="Arial"/>
                <w:color w:val="000000"/>
                <w:sz w:val="16"/>
                <w:szCs w:val="16"/>
              </w:rPr>
              <w:t>антиген</w:t>
            </w:r>
            <w:r>
              <w:rPr>
                <w:rFonts w:cs="Arial" w:ascii="Arial" w:hAnsi="Arial"/>
                <w:color w:val="000000"/>
                <w:sz w:val="16"/>
                <w:szCs w:val="16"/>
                <w:lang w:val="en-US"/>
              </w:rPr>
              <w:t xml:space="preserve"> </w:t>
            </w:r>
            <w:r>
              <w:rPr>
                <w:rFonts w:cs="Arial" w:ascii="Arial" w:hAnsi="Arial"/>
                <w:color w:val="000000"/>
                <w:sz w:val="16"/>
                <w:szCs w:val="16"/>
              </w:rPr>
              <w:t>грипу</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A [A/Guangdong-Maonan/SWL1536/2019 (H1N1)pdm09-</w:t>
            </w:r>
            <w:r>
              <w:rPr>
                <w:rFonts w:cs="Arial" w:ascii="Arial" w:hAnsi="Arial"/>
                <w:color w:val="000000"/>
                <w:sz w:val="16"/>
                <w:szCs w:val="16"/>
              </w:rPr>
              <w:t>подібний</w:t>
            </w:r>
            <w:r>
              <w:rPr>
                <w:rFonts w:cs="Arial" w:ascii="Arial" w:hAnsi="Arial"/>
                <w:color w:val="000000"/>
                <w:sz w:val="16"/>
                <w:szCs w:val="16"/>
                <w:lang w:val="en-US"/>
              </w:rPr>
              <w:t xml:space="preserve"> – A/Guangdong-Maonan/SWL1536/2019 CNIC-1909];</w:t>
            </w:r>
          </w:p>
          <w:p>
            <w:pPr>
              <w:pStyle w:val="Normal"/>
              <w:jc w:val="both"/>
              <w:rPr/>
            </w:pPr>
            <w:r>
              <w:rPr>
                <w:rFonts w:cs="Arial" w:ascii="Arial" w:hAnsi="Arial"/>
                <w:color w:val="000000"/>
                <w:sz w:val="16"/>
                <w:szCs w:val="16"/>
              </w:rPr>
              <w:t>очищений</w:t>
            </w:r>
            <w:r>
              <w:rPr>
                <w:rFonts w:cs="Arial" w:ascii="Arial" w:hAnsi="Arial"/>
                <w:color w:val="000000"/>
                <w:sz w:val="16"/>
                <w:szCs w:val="16"/>
                <w:lang w:val="en-US"/>
              </w:rPr>
              <w:t xml:space="preserve"> </w:t>
            </w:r>
            <w:r>
              <w:rPr>
                <w:rFonts w:cs="Arial" w:ascii="Arial" w:hAnsi="Arial"/>
                <w:color w:val="000000"/>
                <w:sz w:val="16"/>
                <w:szCs w:val="16"/>
              </w:rPr>
              <w:t>інактивований</w:t>
            </w:r>
            <w:r>
              <w:rPr>
                <w:rFonts w:cs="Arial" w:ascii="Arial" w:hAnsi="Arial"/>
                <w:color w:val="000000"/>
                <w:sz w:val="16"/>
                <w:szCs w:val="16"/>
                <w:lang w:val="en-US"/>
              </w:rPr>
              <w:t xml:space="preserve"> </w:t>
            </w:r>
            <w:r>
              <w:rPr>
                <w:rFonts w:cs="Arial" w:ascii="Arial" w:hAnsi="Arial"/>
                <w:color w:val="000000"/>
                <w:sz w:val="16"/>
                <w:szCs w:val="16"/>
              </w:rPr>
              <w:t>вірусний</w:t>
            </w:r>
            <w:r>
              <w:rPr>
                <w:rFonts w:cs="Arial" w:ascii="Arial" w:hAnsi="Arial"/>
                <w:color w:val="000000"/>
                <w:sz w:val="16"/>
                <w:szCs w:val="16"/>
                <w:lang w:val="en-US"/>
              </w:rPr>
              <w:t xml:space="preserve"> </w:t>
            </w:r>
            <w:r>
              <w:rPr>
                <w:rFonts w:cs="Arial" w:ascii="Arial" w:hAnsi="Arial"/>
                <w:color w:val="000000"/>
                <w:sz w:val="16"/>
                <w:szCs w:val="16"/>
              </w:rPr>
              <w:t>антиген</w:t>
            </w:r>
            <w:r>
              <w:rPr>
                <w:rFonts w:cs="Arial" w:ascii="Arial" w:hAnsi="Arial"/>
                <w:color w:val="000000"/>
                <w:sz w:val="16"/>
                <w:szCs w:val="16"/>
                <w:lang w:val="en-US"/>
              </w:rPr>
              <w:t xml:space="preserve"> </w:t>
            </w:r>
            <w:r>
              <w:rPr>
                <w:rFonts w:cs="Arial" w:ascii="Arial" w:hAnsi="Arial"/>
                <w:color w:val="000000"/>
                <w:sz w:val="16"/>
                <w:szCs w:val="16"/>
              </w:rPr>
              <w:t>грипу</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A [A/Hong Kong/2671/2019 (H3N2)-</w:t>
            </w:r>
            <w:r>
              <w:rPr>
                <w:rFonts w:cs="Arial" w:ascii="Arial" w:hAnsi="Arial"/>
                <w:color w:val="000000"/>
                <w:sz w:val="16"/>
                <w:szCs w:val="16"/>
              </w:rPr>
              <w:t>подібний</w:t>
            </w:r>
            <w:r>
              <w:rPr>
                <w:rFonts w:cs="Arial" w:ascii="Arial" w:hAnsi="Arial"/>
                <w:color w:val="000000"/>
                <w:sz w:val="16"/>
                <w:szCs w:val="16"/>
                <w:lang w:val="en-US"/>
              </w:rPr>
              <w:t xml:space="preserve"> – A/Hong Kong/2671/2019 IVR-208];</w:t>
            </w:r>
          </w:p>
          <w:p>
            <w:pPr>
              <w:pStyle w:val="Normal"/>
              <w:jc w:val="both"/>
              <w:rPr>
                <w:rFonts w:ascii="Arial" w:hAnsi="Arial" w:cs="Arial"/>
                <w:sz w:val="16"/>
                <w:szCs w:val="16"/>
                <w:lang w:val="en-US"/>
              </w:rPr>
            </w:pPr>
            <w:r>
              <w:rPr>
                <w:rFonts w:cs="Arial" w:ascii="Arial" w:hAnsi="Arial"/>
                <w:color w:val="000000"/>
                <w:sz w:val="16"/>
                <w:szCs w:val="16"/>
              </w:rPr>
              <w:t>очищений</w:t>
            </w:r>
            <w:r>
              <w:rPr>
                <w:rFonts w:cs="Arial" w:ascii="Arial" w:hAnsi="Arial"/>
                <w:color w:val="000000"/>
                <w:sz w:val="16"/>
                <w:szCs w:val="16"/>
                <w:lang w:val="en-US"/>
              </w:rPr>
              <w:t xml:space="preserve"> </w:t>
            </w:r>
            <w:r>
              <w:rPr>
                <w:rFonts w:cs="Arial" w:ascii="Arial" w:hAnsi="Arial"/>
                <w:color w:val="000000"/>
                <w:sz w:val="16"/>
                <w:szCs w:val="16"/>
              </w:rPr>
              <w:t>інактивований</w:t>
            </w:r>
            <w:r>
              <w:rPr>
                <w:rFonts w:cs="Arial" w:ascii="Arial" w:hAnsi="Arial"/>
                <w:color w:val="000000"/>
                <w:sz w:val="16"/>
                <w:szCs w:val="16"/>
                <w:lang w:val="en-US"/>
              </w:rPr>
              <w:t xml:space="preserve"> </w:t>
            </w:r>
            <w:r>
              <w:rPr>
                <w:rFonts w:cs="Arial" w:ascii="Arial" w:hAnsi="Arial"/>
                <w:color w:val="000000"/>
                <w:sz w:val="16"/>
                <w:szCs w:val="16"/>
              </w:rPr>
              <w:t>вірусний</w:t>
            </w:r>
            <w:r>
              <w:rPr>
                <w:rFonts w:cs="Arial" w:ascii="Arial" w:hAnsi="Arial"/>
                <w:color w:val="000000"/>
                <w:sz w:val="16"/>
                <w:szCs w:val="16"/>
                <w:lang w:val="en-US"/>
              </w:rPr>
              <w:t xml:space="preserve"> </w:t>
            </w:r>
            <w:r>
              <w:rPr>
                <w:rFonts w:cs="Arial" w:ascii="Arial" w:hAnsi="Arial"/>
                <w:color w:val="000000"/>
                <w:sz w:val="16"/>
                <w:szCs w:val="16"/>
              </w:rPr>
              <w:t>антиген</w:t>
            </w:r>
            <w:r>
              <w:rPr>
                <w:rFonts w:cs="Arial" w:ascii="Arial" w:hAnsi="Arial"/>
                <w:color w:val="000000"/>
                <w:sz w:val="16"/>
                <w:szCs w:val="16"/>
                <w:lang w:val="en-US"/>
              </w:rPr>
              <w:t xml:space="preserve"> </w:t>
            </w:r>
            <w:r>
              <w:rPr>
                <w:rFonts w:cs="Arial" w:ascii="Arial" w:hAnsi="Arial"/>
                <w:color w:val="000000"/>
                <w:sz w:val="16"/>
                <w:szCs w:val="16"/>
              </w:rPr>
              <w:t>грипу</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B [B/Washington/02/2019 (</w:t>
            </w:r>
            <w:r>
              <w:rPr>
                <w:rFonts w:cs="Arial" w:ascii="Arial" w:hAnsi="Arial"/>
                <w:color w:val="000000"/>
                <w:sz w:val="16"/>
                <w:szCs w:val="16"/>
              </w:rPr>
              <w:t>В</w:t>
            </w:r>
            <w:r>
              <w:rPr>
                <w:rFonts w:cs="Arial" w:ascii="Arial" w:hAnsi="Arial"/>
                <w:color w:val="000000"/>
                <w:sz w:val="16"/>
                <w:szCs w:val="16"/>
                <w:lang w:val="en-US"/>
              </w:rPr>
              <w:t xml:space="preserve">/Victoria </w:t>
            </w:r>
            <w:r>
              <w:rPr>
                <w:rFonts w:cs="Arial" w:ascii="Arial" w:hAnsi="Arial"/>
                <w:color w:val="000000"/>
                <w:sz w:val="16"/>
                <w:szCs w:val="16"/>
              </w:rPr>
              <w:t>лінія</w:t>
            </w:r>
            <w:r>
              <w:rPr>
                <w:rFonts w:cs="Arial" w:ascii="Arial" w:hAnsi="Arial"/>
                <w:color w:val="000000"/>
                <w:sz w:val="16"/>
                <w:szCs w:val="16"/>
                <w:lang w:val="en-US"/>
              </w:rPr>
              <w:t>)-</w:t>
            </w:r>
            <w:r>
              <w:rPr>
                <w:rFonts w:cs="Arial" w:ascii="Arial" w:hAnsi="Arial"/>
                <w:color w:val="000000"/>
                <w:sz w:val="16"/>
                <w:szCs w:val="16"/>
              </w:rPr>
              <w:t>подібний</w:t>
            </w:r>
            <w:r>
              <w:rPr>
                <w:rFonts w:cs="Arial" w:ascii="Arial" w:hAnsi="Arial"/>
                <w:color w:val="000000"/>
                <w:sz w:val="16"/>
                <w:szCs w:val="16"/>
                <w:lang w:val="en-US"/>
              </w:rPr>
              <w:t xml:space="preserve"> – B/Washington/02/2019]</w:t>
            </w:r>
          </w:p>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lang w:val="en-US"/>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0,25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0,5 мл у попередньо наповнених шприцах з одноразовою голкою, по одному в блістері; по 1 або по 10 шприців у пачці з картону з маркуванням українською мовою; по 0,25 мл у попередньо наповнених шприцах з одноразовою голкою, по одному в блістері; по 1 або по 10 шприців у пачці з картону з маркуванням українською мовою</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М.БІОТЕК ЛІМІТЕД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ДжіСі Біофарма Корп.</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Корея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Виробництво. Зміни в активній речовині сезонних, передпандемічних або пандемічних вакцин проти вірусу грипу людини (заміна штаму(ів) у сезонних, передпандемічних або пандемічних вакцинах проти вірусу грипу людини) - зміна штамового складу вакцини для профілактики грипу відповідно до рекомендацій ВООЗ встановленими на сезон 2026-2027. Зміни внесено в інструкцію для медичного застосування лікарського засобу в розділ "Склад" та, як наслідок, в розділ "Імунологічні і біологічні властивості" щодо зміни штамового складу вакцини у зв’язку з рекомендаціями ВООЗ, встановленими на сезон 2026-2027 років. Відповідні зміни внесно в текст маркування вторинної упаковки (стикера та пачки з картону - в пункти 2, 17), вторинної упаковки (блістер - в пункт 17) та первинної упаковки (в пункт 6)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ДЖІСІ ФЛЮ / GC FLU ВАКЦИНА ДЛЯ ПРОФІЛАКТИКИ ГРИПУ (РОЗЩЕПЛЕНИЙ ВІРІОН, ІНАКТИВОВАНИЙ)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Influenza, inactivated, split virus or surface antigen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rPr>
              <w:t>очищені</w:t>
            </w:r>
            <w:r>
              <w:rPr>
                <w:rFonts w:cs="Arial" w:ascii="Arial" w:hAnsi="Arial"/>
                <w:color w:val="000000"/>
                <w:sz w:val="16"/>
                <w:szCs w:val="16"/>
                <w:lang w:val="en-US"/>
              </w:rPr>
              <w:t xml:space="preserve"> </w:t>
            </w:r>
            <w:r>
              <w:rPr>
                <w:rFonts w:cs="Arial" w:ascii="Arial" w:hAnsi="Arial"/>
                <w:color w:val="000000"/>
                <w:sz w:val="16"/>
                <w:szCs w:val="16"/>
              </w:rPr>
              <w:t>інактивовані</w:t>
            </w:r>
            <w:r>
              <w:rPr>
                <w:rFonts w:cs="Arial" w:ascii="Arial" w:hAnsi="Arial"/>
                <w:color w:val="000000"/>
                <w:sz w:val="16"/>
                <w:szCs w:val="16"/>
                <w:lang w:val="en-US"/>
              </w:rPr>
              <w:t xml:space="preserve"> </w:t>
            </w:r>
            <w:r>
              <w:rPr>
                <w:rFonts w:cs="Arial" w:ascii="Arial" w:hAnsi="Arial"/>
                <w:color w:val="000000"/>
                <w:sz w:val="16"/>
                <w:szCs w:val="16"/>
              </w:rPr>
              <w:t>віруси</w:t>
            </w:r>
            <w:r>
              <w:rPr>
                <w:rFonts w:cs="Arial" w:ascii="Arial" w:hAnsi="Arial"/>
                <w:color w:val="000000"/>
                <w:sz w:val="16"/>
                <w:szCs w:val="16"/>
                <w:lang w:val="en-US"/>
              </w:rPr>
              <w:t>  </w:t>
            </w:r>
            <w:r>
              <w:rPr>
                <w:rFonts w:cs="Arial" w:ascii="Arial" w:hAnsi="Arial"/>
                <w:color w:val="000000"/>
                <w:sz w:val="16"/>
                <w:szCs w:val="16"/>
              </w:rPr>
              <w:t>грипу</w:t>
            </w:r>
            <w:r>
              <w:rPr>
                <w:rFonts w:cs="Arial" w:ascii="Arial" w:hAnsi="Arial"/>
                <w:color w:val="000000"/>
                <w:sz w:val="16"/>
                <w:szCs w:val="16"/>
                <w:lang w:val="en-US"/>
              </w:rPr>
              <w:t>:</w:t>
            </w:r>
          </w:p>
          <w:p>
            <w:pPr>
              <w:pStyle w:val="Normal"/>
              <w:jc w:val="both"/>
              <w:rPr/>
            </w:pPr>
            <w:r>
              <w:rPr>
                <w:rFonts w:cs="Arial" w:ascii="Arial" w:hAnsi="Arial"/>
                <w:color w:val="000000"/>
                <w:sz w:val="16"/>
                <w:szCs w:val="16"/>
              </w:rPr>
              <w:t>очищений</w:t>
            </w:r>
            <w:r>
              <w:rPr>
                <w:rFonts w:cs="Arial" w:ascii="Arial" w:hAnsi="Arial"/>
                <w:color w:val="000000"/>
                <w:sz w:val="16"/>
                <w:szCs w:val="16"/>
                <w:lang w:val="en-US"/>
              </w:rPr>
              <w:t xml:space="preserve"> </w:t>
            </w:r>
            <w:r>
              <w:rPr>
                <w:rFonts w:cs="Arial" w:ascii="Arial" w:hAnsi="Arial"/>
                <w:color w:val="000000"/>
                <w:sz w:val="16"/>
                <w:szCs w:val="16"/>
              </w:rPr>
              <w:t>інактивований</w:t>
            </w:r>
            <w:r>
              <w:rPr>
                <w:rFonts w:cs="Arial" w:ascii="Arial" w:hAnsi="Arial"/>
                <w:color w:val="000000"/>
                <w:sz w:val="16"/>
                <w:szCs w:val="16"/>
                <w:lang w:val="en-US"/>
              </w:rPr>
              <w:t xml:space="preserve"> </w:t>
            </w:r>
            <w:r>
              <w:rPr>
                <w:rFonts w:cs="Arial" w:ascii="Arial" w:hAnsi="Arial"/>
                <w:color w:val="000000"/>
                <w:sz w:val="16"/>
                <w:szCs w:val="16"/>
              </w:rPr>
              <w:t>вірусний</w:t>
            </w:r>
            <w:r>
              <w:rPr>
                <w:rFonts w:cs="Arial" w:ascii="Arial" w:hAnsi="Arial"/>
                <w:color w:val="000000"/>
                <w:sz w:val="16"/>
                <w:szCs w:val="16"/>
                <w:lang w:val="en-US"/>
              </w:rPr>
              <w:t xml:space="preserve"> </w:t>
            </w:r>
            <w:r>
              <w:rPr>
                <w:rFonts w:cs="Arial" w:ascii="Arial" w:hAnsi="Arial"/>
                <w:color w:val="000000"/>
                <w:sz w:val="16"/>
                <w:szCs w:val="16"/>
              </w:rPr>
              <w:t>антиген</w:t>
            </w:r>
            <w:r>
              <w:rPr>
                <w:rFonts w:cs="Arial" w:ascii="Arial" w:hAnsi="Arial"/>
                <w:color w:val="000000"/>
                <w:sz w:val="16"/>
                <w:szCs w:val="16"/>
                <w:lang w:val="en-US"/>
              </w:rPr>
              <w:t xml:space="preserve"> </w:t>
            </w:r>
            <w:r>
              <w:rPr>
                <w:rFonts w:cs="Arial" w:ascii="Arial" w:hAnsi="Arial"/>
                <w:color w:val="000000"/>
                <w:sz w:val="16"/>
                <w:szCs w:val="16"/>
              </w:rPr>
              <w:t>грипу</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A [A/Guangdong-Maonan/SWL1536/2019 (H1N1)pdm09-</w:t>
            </w:r>
            <w:r>
              <w:rPr>
                <w:rFonts w:cs="Arial" w:ascii="Arial" w:hAnsi="Arial"/>
                <w:color w:val="000000"/>
                <w:sz w:val="16"/>
                <w:szCs w:val="16"/>
              </w:rPr>
              <w:t>подібний</w:t>
            </w:r>
            <w:r>
              <w:rPr>
                <w:rFonts w:cs="Arial" w:ascii="Arial" w:hAnsi="Arial"/>
                <w:color w:val="000000"/>
                <w:sz w:val="16"/>
                <w:szCs w:val="16"/>
                <w:lang w:val="en-US"/>
              </w:rPr>
              <w:t xml:space="preserve"> – A/Guangdong-Maonan/SWL1536/2019 CNIC-1909];</w:t>
            </w:r>
          </w:p>
          <w:p>
            <w:pPr>
              <w:pStyle w:val="Normal"/>
              <w:jc w:val="both"/>
              <w:rPr/>
            </w:pPr>
            <w:r>
              <w:rPr>
                <w:rFonts w:cs="Arial" w:ascii="Arial" w:hAnsi="Arial"/>
                <w:color w:val="000000"/>
                <w:sz w:val="16"/>
                <w:szCs w:val="16"/>
              </w:rPr>
              <w:t>очищений</w:t>
            </w:r>
            <w:r>
              <w:rPr>
                <w:rFonts w:cs="Arial" w:ascii="Arial" w:hAnsi="Arial"/>
                <w:color w:val="000000"/>
                <w:sz w:val="16"/>
                <w:szCs w:val="16"/>
                <w:lang w:val="en-US"/>
              </w:rPr>
              <w:t xml:space="preserve"> </w:t>
            </w:r>
            <w:r>
              <w:rPr>
                <w:rFonts w:cs="Arial" w:ascii="Arial" w:hAnsi="Arial"/>
                <w:color w:val="000000"/>
                <w:sz w:val="16"/>
                <w:szCs w:val="16"/>
              </w:rPr>
              <w:t>інактивований</w:t>
            </w:r>
            <w:r>
              <w:rPr>
                <w:rFonts w:cs="Arial" w:ascii="Arial" w:hAnsi="Arial"/>
                <w:color w:val="000000"/>
                <w:sz w:val="16"/>
                <w:szCs w:val="16"/>
                <w:lang w:val="en-US"/>
              </w:rPr>
              <w:t xml:space="preserve"> </w:t>
            </w:r>
            <w:r>
              <w:rPr>
                <w:rFonts w:cs="Arial" w:ascii="Arial" w:hAnsi="Arial"/>
                <w:color w:val="000000"/>
                <w:sz w:val="16"/>
                <w:szCs w:val="16"/>
              </w:rPr>
              <w:t>вірусний</w:t>
            </w:r>
            <w:r>
              <w:rPr>
                <w:rFonts w:cs="Arial" w:ascii="Arial" w:hAnsi="Arial"/>
                <w:color w:val="000000"/>
                <w:sz w:val="16"/>
                <w:szCs w:val="16"/>
                <w:lang w:val="en-US"/>
              </w:rPr>
              <w:t xml:space="preserve"> </w:t>
            </w:r>
            <w:r>
              <w:rPr>
                <w:rFonts w:cs="Arial" w:ascii="Arial" w:hAnsi="Arial"/>
                <w:color w:val="000000"/>
                <w:sz w:val="16"/>
                <w:szCs w:val="16"/>
              </w:rPr>
              <w:t>антиген</w:t>
            </w:r>
            <w:r>
              <w:rPr>
                <w:rFonts w:cs="Arial" w:ascii="Arial" w:hAnsi="Arial"/>
                <w:color w:val="000000"/>
                <w:sz w:val="16"/>
                <w:szCs w:val="16"/>
                <w:lang w:val="en-US"/>
              </w:rPr>
              <w:t xml:space="preserve"> </w:t>
            </w:r>
            <w:r>
              <w:rPr>
                <w:rFonts w:cs="Arial" w:ascii="Arial" w:hAnsi="Arial"/>
                <w:color w:val="000000"/>
                <w:sz w:val="16"/>
                <w:szCs w:val="16"/>
              </w:rPr>
              <w:t>грипу</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A [A/Hong Kong/2671/2019 (H3N2)-</w:t>
            </w:r>
            <w:r>
              <w:rPr>
                <w:rFonts w:cs="Arial" w:ascii="Arial" w:hAnsi="Arial"/>
                <w:color w:val="000000"/>
                <w:sz w:val="16"/>
                <w:szCs w:val="16"/>
              </w:rPr>
              <w:t>подібний</w:t>
            </w:r>
            <w:r>
              <w:rPr>
                <w:rFonts w:cs="Arial" w:ascii="Arial" w:hAnsi="Arial"/>
                <w:color w:val="000000"/>
                <w:sz w:val="16"/>
                <w:szCs w:val="16"/>
                <w:lang w:val="en-US"/>
              </w:rPr>
              <w:t xml:space="preserve"> – A/Hong Kong/2671/2019 IVR-208];</w:t>
            </w:r>
          </w:p>
          <w:p>
            <w:pPr>
              <w:pStyle w:val="Normal"/>
              <w:jc w:val="both"/>
              <w:rPr>
                <w:rFonts w:ascii="Arial" w:hAnsi="Arial" w:cs="Arial"/>
                <w:sz w:val="16"/>
                <w:szCs w:val="16"/>
                <w:lang w:val="en-US"/>
              </w:rPr>
            </w:pPr>
            <w:r>
              <w:rPr>
                <w:rFonts w:cs="Arial" w:ascii="Arial" w:hAnsi="Arial"/>
                <w:color w:val="000000"/>
                <w:sz w:val="16"/>
                <w:szCs w:val="16"/>
              </w:rPr>
              <w:t>очищений</w:t>
            </w:r>
            <w:r>
              <w:rPr>
                <w:rFonts w:cs="Arial" w:ascii="Arial" w:hAnsi="Arial"/>
                <w:color w:val="000000"/>
                <w:sz w:val="16"/>
                <w:szCs w:val="16"/>
                <w:lang w:val="en-US"/>
              </w:rPr>
              <w:t xml:space="preserve"> </w:t>
            </w:r>
            <w:r>
              <w:rPr>
                <w:rFonts w:cs="Arial" w:ascii="Arial" w:hAnsi="Arial"/>
                <w:color w:val="000000"/>
                <w:sz w:val="16"/>
                <w:szCs w:val="16"/>
              </w:rPr>
              <w:t>інактивований</w:t>
            </w:r>
            <w:r>
              <w:rPr>
                <w:rFonts w:cs="Arial" w:ascii="Arial" w:hAnsi="Arial"/>
                <w:color w:val="000000"/>
                <w:sz w:val="16"/>
                <w:szCs w:val="16"/>
                <w:lang w:val="en-US"/>
              </w:rPr>
              <w:t xml:space="preserve"> </w:t>
            </w:r>
            <w:r>
              <w:rPr>
                <w:rFonts w:cs="Arial" w:ascii="Arial" w:hAnsi="Arial"/>
                <w:color w:val="000000"/>
                <w:sz w:val="16"/>
                <w:szCs w:val="16"/>
              </w:rPr>
              <w:t>вірусний</w:t>
            </w:r>
            <w:r>
              <w:rPr>
                <w:rFonts w:cs="Arial" w:ascii="Arial" w:hAnsi="Arial"/>
                <w:color w:val="000000"/>
                <w:sz w:val="16"/>
                <w:szCs w:val="16"/>
                <w:lang w:val="en-US"/>
              </w:rPr>
              <w:t xml:space="preserve"> </w:t>
            </w:r>
            <w:r>
              <w:rPr>
                <w:rFonts w:cs="Arial" w:ascii="Arial" w:hAnsi="Arial"/>
                <w:color w:val="000000"/>
                <w:sz w:val="16"/>
                <w:szCs w:val="16"/>
              </w:rPr>
              <w:t>антиген</w:t>
            </w:r>
            <w:r>
              <w:rPr>
                <w:rFonts w:cs="Arial" w:ascii="Arial" w:hAnsi="Arial"/>
                <w:color w:val="000000"/>
                <w:sz w:val="16"/>
                <w:szCs w:val="16"/>
                <w:lang w:val="en-US"/>
              </w:rPr>
              <w:t xml:space="preserve"> </w:t>
            </w:r>
            <w:r>
              <w:rPr>
                <w:rFonts w:cs="Arial" w:ascii="Arial" w:hAnsi="Arial"/>
                <w:color w:val="000000"/>
                <w:sz w:val="16"/>
                <w:szCs w:val="16"/>
              </w:rPr>
              <w:t>грипу</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B [B/Washington/02/2019 (</w:t>
            </w:r>
            <w:r>
              <w:rPr>
                <w:rFonts w:cs="Arial" w:ascii="Arial" w:hAnsi="Arial"/>
                <w:color w:val="000000"/>
                <w:sz w:val="16"/>
                <w:szCs w:val="16"/>
              </w:rPr>
              <w:t>В</w:t>
            </w:r>
            <w:r>
              <w:rPr>
                <w:rFonts w:cs="Arial" w:ascii="Arial" w:hAnsi="Arial"/>
                <w:color w:val="000000"/>
                <w:sz w:val="16"/>
                <w:szCs w:val="16"/>
                <w:lang w:val="en-US"/>
              </w:rPr>
              <w:t xml:space="preserve">/Victoria </w:t>
            </w:r>
            <w:r>
              <w:rPr>
                <w:rFonts w:cs="Arial" w:ascii="Arial" w:hAnsi="Arial"/>
                <w:color w:val="000000"/>
                <w:sz w:val="16"/>
                <w:szCs w:val="16"/>
              </w:rPr>
              <w:t>лінія</w:t>
            </w:r>
            <w:r>
              <w:rPr>
                <w:rFonts w:cs="Arial" w:ascii="Arial" w:hAnsi="Arial"/>
                <w:color w:val="000000"/>
                <w:sz w:val="16"/>
                <w:szCs w:val="16"/>
                <w:lang w:val="en-US"/>
              </w:rPr>
              <w:t>)-</w:t>
            </w:r>
            <w:r>
              <w:rPr>
                <w:rFonts w:cs="Arial" w:ascii="Arial" w:hAnsi="Arial"/>
                <w:color w:val="000000"/>
                <w:sz w:val="16"/>
                <w:szCs w:val="16"/>
              </w:rPr>
              <w:t>подібний</w:t>
            </w:r>
            <w:r>
              <w:rPr>
                <w:rFonts w:cs="Arial" w:ascii="Arial" w:hAnsi="Arial"/>
                <w:color w:val="000000"/>
                <w:sz w:val="16"/>
                <w:szCs w:val="16"/>
                <w:lang w:val="en-US"/>
              </w:rPr>
              <w:t xml:space="preserve"> – B/Washington/02/2019]</w:t>
            </w:r>
          </w:p>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lang w:val="en-US"/>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0,25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0,5 мл у попередньо наповнених шприцах з одноразовою голкою, по одному в блістері; по 1 або по 10 шприців у пачці з картону з маркуванням українською мовою; по 0,25 мл у попередньо наповнених шприцах з одноразовою голкою, по одному в блістері; по 1 або по 10 шприців у пачці з картону з маркуванням українською мовою</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М.БІОТЕК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ДжіСі Біофарма Корп.</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Корея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 Приведення випробування на наявність мікоплазми (Mycoplasma Test) для робочого вірусного посівного матеріалу (working virus seed), який використовується у процесі виробництва діючої речовини, у відповідність до монографії Європейської фармакопеї, зокрема, було доповнено методом індикаторної клітинної культури (Cell Indicator Method) Супутня зміна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Оновлення посилання у специфікації для випробування на наявність мікоплазми (Mycoplasma Test) з In-house на EP (Ph.Eur 2.6.7. Mycoplasmas)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ДЖІСІ ФЛЮ / GC FLU ВАКЦИНА ДЛЯ ПРОФІЛАКТИКИ ГРИПУ (РОЗЩЕПЛЕНИЙ ВІРІОН, ІНАКТИВОВАНИЙ)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Influenza, inactivated, split virus or surface antigen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rPr>
              <w:t>очищені</w:t>
            </w:r>
            <w:r>
              <w:rPr>
                <w:rFonts w:cs="Arial" w:ascii="Arial" w:hAnsi="Arial"/>
                <w:color w:val="000000"/>
                <w:sz w:val="16"/>
                <w:szCs w:val="16"/>
                <w:lang w:val="en-US"/>
              </w:rPr>
              <w:t xml:space="preserve"> </w:t>
            </w:r>
            <w:r>
              <w:rPr>
                <w:rFonts w:cs="Arial" w:ascii="Arial" w:hAnsi="Arial"/>
                <w:color w:val="000000"/>
                <w:sz w:val="16"/>
                <w:szCs w:val="16"/>
              </w:rPr>
              <w:t>інактивовані</w:t>
            </w:r>
            <w:r>
              <w:rPr>
                <w:rFonts w:cs="Arial" w:ascii="Arial" w:hAnsi="Arial"/>
                <w:color w:val="000000"/>
                <w:sz w:val="16"/>
                <w:szCs w:val="16"/>
                <w:lang w:val="en-US"/>
              </w:rPr>
              <w:t xml:space="preserve"> </w:t>
            </w:r>
            <w:r>
              <w:rPr>
                <w:rFonts w:cs="Arial" w:ascii="Arial" w:hAnsi="Arial"/>
                <w:color w:val="000000"/>
                <w:sz w:val="16"/>
                <w:szCs w:val="16"/>
              </w:rPr>
              <w:t>віруси</w:t>
            </w:r>
            <w:r>
              <w:rPr>
                <w:rFonts w:cs="Arial" w:ascii="Arial" w:hAnsi="Arial"/>
                <w:color w:val="000000"/>
                <w:sz w:val="16"/>
                <w:szCs w:val="16"/>
                <w:lang w:val="en-US"/>
              </w:rPr>
              <w:t>  </w:t>
            </w:r>
            <w:r>
              <w:rPr>
                <w:rFonts w:cs="Arial" w:ascii="Arial" w:hAnsi="Arial"/>
                <w:color w:val="000000"/>
                <w:sz w:val="16"/>
                <w:szCs w:val="16"/>
              </w:rPr>
              <w:t>грипу</w:t>
            </w:r>
            <w:r>
              <w:rPr>
                <w:rFonts w:cs="Arial" w:ascii="Arial" w:hAnsi="Arial"/>
                <w:color w:val="000000"/>
                <w:sz w:val="16"/>
                <w:szCs w:val="16"/>
                <w:lang w:val="en-US"/>
              </w:rPr>
              <w:t>:</w:t>
            </w:r>
          </w:p>
          <w:p>
            <w:pPr>
              <w:pStyle w:val="Normal"/>
              <w:jc w:val="both"/>
              <w:rPr/>
            </w:pPr>
            <w:r>
              <w:rPr>
                <w:rFonts w:cs="Arial" w:ascii="Arial" w:hAnsi="Arial"/>
                <w:color w:val="000000"/>
                <w:sz w:val="16"/>
                <w:szCs w:val="16"/>
              </w:rPr>
              <w:t>очищений</w:t>
            </w:r>
            <w:r>
              <w:rPr>
                <w:rFonts w:cs="Arial" w:ascii="Arial" w:hAnsi="Arial"/>
                <w:color w:val="000000"/>
                <w:sz w:val="16"/>
                <w:szCs w:val="16"/>
                <w:lang w:val="en-US"/>
              </w:rPr>
              <w:t xml:space="preserve"> </w:t>
            </w:r>
            <w:r>
              <w:rPr>
                <w:rFonts w:cs="Arial" w:ascii="Arial" w:hAnsi="Arial"/>
                <w:color w:val="000000"/>
                <w:sz w:val="16"/>
                <w:szCs w:val="16"/>
              </w:rPr>
              <w:t>інактивований</w:t>
            </w:r>
            <w:r>
              <w:rPr>
                <w:rFonts w:cs="Arial" w:ascii="Arial" w:hAnsi="Arial"/>
                <w:color w:val="000000"/>
                <w:sz w:val="16"/>
                <w:szCs w:val="16"/>
                <w:lang w:val="en-US"/>
              </w:rPr>
              <w:t xml:space="preserve"> </w:t>
            </w:r>
            <w:r>
              <w:rPr>
                <w:rFonts w:cs="Arial" w:ascii="Arial" w:hAnsi="Arial"/>
                <w:color w:val="000000"/>
                <w:sz w:val="16"/>
                <w:szCs w:val="16"/>
              </w:rPr>
              <w:t>вірусний</w:t>
            </w:r>
            <w:r>
              <w:rPr>
                <w:rFonts w:cs="Arial" w:ascii="Arial" w:hAnsi="Arial"/>
                <w:color w:val="000000"/>
                <w:sz w:val="16"/>
                <w:szCs w:val="16"/>
                <w:lang w:val="en-US"/>
              </w:rPr>
              <w:t xml:space="preserve"> </w:t>
            </w:r>
            <w:r>
              <w:rPr>
                <w:rFonts w:cs="Arial" w:ascii="Arial" w:hAnsi="Arial"/>
                <w:color w:val="000000"/>
                <w:sz w:val="16"/>
                <w:szCs w:val="16"/>
              </w:rPr>
              <w:t>антиген</w:t>
            </w:r>
            <w:r>
              <w:rPr>
                <w:rFonts w:cs="Arial" w:ascii="Arial" w:hAnsi="Arial"/>
                <w:color w:val="000000"/>
                <w:sz w:val="16"/>
                <w:szCs w:val="16"/>
                <w:lang w:val="en-US"/>
              </w:rPr>
              <w:t xml:space="preserve"> </w:t>
            </w:r>
            <w:r>
              <w:rPr>
                <w:rFonts w:cs="Arial" w:ascii="Arial" w:hAnsi="Arial"/>
                <w:color w:val="000000"/>
                <w:sz w:val="16"/>
                <w:szCs w:val="16"/>
              </w:rPr>
              <w:t>грипу</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A [A/Guangdong-Maonan/SWL1536/2019 (H1N1)pdm09-</w:t>
            </w:r>
            <w:r>
              <w:rPr>
                <w:rFonts w:cs="Arial" w:ascii="Arial" w:hAnsi="Arial"/>
                <w:color w:val="000000"/>
                <w:sz w:val="16"/>
                <w:szCs w:val="16"/>
              </w:rPr>
              <w:t>подібний</w:t>
            </w:r>
            <w:r>
              <w:rPr>
                <w:rFonts w:cs="Arial" w:ascii="Arial" w:hAnsi="Arial"/>
                <w:color w:val="000000"/>
                <w:sz w:val="16"/>
                <w:szCs w:val="16"/>
                <w:lang w:val="en-US"/>
              </w:rPr>
              <w:t xml:space="preserve"> – A/Guangdong-Maonan/SWL1536/2019 CNIC-1909];</w:t>
            </w:r>
          </w:p>
          <w:p>
            <w:pPr>
              <w:pStyle w:val="Normal"/>
              <w:jc w:val="both"/>
              <w:rPr/>
            </w:pPr>
            <w:r>
              <w:rPr>
                <w:rFonts w:cs="Arial" w:ascii="Arial" w:hAnsi="Arial"/>
                <w:color w:val="000000"/>
                <w:sz w:val="16"/>
                <w:szCs w:val="16"/>
              </w:rPr>
              <w:t>очищений</w:t>
            </w:r>
            <w:r>
              <w:rPr>
                <w:rFonts w:cs="Arial" w:ascii="Arial" w:hAnsi="Arial"/>
                <w:color w:val="000000"/>
                <w:sz w:val="16"/>
                <w:szCs w:val="16"/>
                <w:lang w:val="en-US"/>
              </w:rPr>
              <w:t xml:space="preserve"> </w:t>
            </w:r>
            <w:r>
              <w:rPr>
                <w:rFonts w:cs="Arial" w:ascii="Arial" w:hAnsi="Arial"/>
                <w:color w:val="000000"/>
                <w:sz w:val="16"/>
                <w:szCs w:val="16"/>
              </w:rPr>
              <w:t>інактивований</w:t>
            </w:r>
            <w:r>
              <w:rPr>
                <w:rFonts w:cs="Arial" w:ascii="Arial" w:hAnsi="Arial"/>
                <w:color w:val="000000"/>
                <w:sz w:val="16"/>
                <w:szCs w:val="16"/>
                <w:lang w:val="en-US"/>
              </w:rPr>
              <w:t xml:space="preserve"> </w:t>
            </w:r>
            <w:r>
              <w:rPr>
                <w:rFonts w:cs="Arial" w:ascii="Arial" w:hAnsi="Arial"/>
                <w:color w:val="000000"/>
                <w:sz w:val="16"/>
                <w:szCs w:val="16"/>
              </w:rPr>
              <w:t>вірусний</w:t>
            </w:r>
            <w:r>
              <w:rPr>
                <w:rFonts w:cs="Arial" w:ascii="Arial" w:hAnsi="Arial"/>
                <w:color w:val="000000"/>
                <w:sz w:val="16"/>
                <w:szCs w:val="16"/>
                <w:lang w:val="en-US"/>
              </w:rPr>
              <w:t xml:space="preserve"> </w:t>
            </w:r>
            <w:r>
              <w:rPr>
                <w:rFonts w:cs="Arial" w:ascii="Arial" w:hAnsi="Arial"/>
                <w:color w:val="000000"/>
                <w:sz w:val="16"/>
                <w:szCs w:val="16"/>
              </w:rPr>
              <w:t>антиген</w:t>
            </w:r>
            <w:r>
              <w:rPr>
                <w:rFonts w:cs="Arial" w:ascii="Arial" w:hAnsi="Arial"/>
                <w:color w:val="000000"/>
                <w:sz w:val="16"/>
                <w:szCs w:val="16"/>
                <w:lang w:val="en-US"/>
              </w:rPr>
              <w:t xml:space="preserve"> </w:t>
            </w:r>
            <w:r>
              <w:rPr>
                <w:rFonts w:cs="Arial" w:ascii="Arial" w:hAnsi="Arial"/>
                <w:color w:val="000000"/>
                <w:sz w:val="16"/>
                <w:szCs w:val="16"/>
              </w:rPr>
              <w:t>грипу</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A [A/Hong Kong/2671/2019 (H3N2)-</w:t>
            </w:r>
            <w:r>
              <w:rPr>
                <w:rFonts w:cs="Arial" w:ascii="Arial" w:hAnsi="Arial"/>
                <w:color w:val="000000"/>
                <w:sz w:val="16"/>
                <w:szCs w:val="16"/>
              </w:rPr>
              <w:t>подібний</w:t>
            </w:r>
            <w:r>
              <w:rPr>
                <w:rFonts w:cs="Arial" w:ascii="Arial" w:hAnsi="Arial"/>
                <w:color w:val="000000"/>
                <w:sz w:val="16"/>
                <w:szCs w:val="16"/>
                <w:lang w:val="en-US"/>
              </w:rPr>
              <w:t xml:space="preserve"> – A/Hong Kong/2671/2019 IVR-208];</w:t>
            </w:r>
          </w:p>
          <w:p>
            <w:pPr>
              <w:pStyle w:val="Normal"/>
              <w:jc w:val="both"/>
              <w:rPr>
                <w:rFonts w:ascii="Arial" w:hAnsi="Arial" w:cs="Arial"/>
                <w:sz w:val="16"/>
                <w:szCs w:val="16"/>
                <w:lang w:val="en-US"/>
              </w:rPr>
            </w:pPr>
            <w:r>
              <w:rPr>
                <w:rFonts w:cs="Arial" w:ascii="Arial" w:hAnsi="Arial"/>
                <w:color w:val="000000"/>
                <w:sz w:val="16"/>
                <w:szCs w:val="16"/>
              </w:rPr>
              <w:t>очищений</w:t>
            </w:r>
            <w:r>
              <w:rPr>
                <w:rFonts w:cs="Arial" w:ascii="Arial" w:hAnsi="Arial"/>
                <w:color w:val="000000"/>
                <w:sz w:val="16"/>
                <w:szCs w:val="16"/>
                <w:lang w:val="en-US"/>
              </w:rPr>
              <w:t xml:space="preserve"> </w:t>
            </w:r>
            <w:r>
              <w:rPr>
                <w:rFonts w:cs="Arial" w:ascii="Arial" w:hAnsi="Arial"/>
                <w:color w:val="000000"/>
                <w:sz w:val="16"/>
                <w:szCs w:val="16"/>
              </w:rPr>
              <w:t>інактивований</w:t>
            </w:r>
            <w:r>
              <w:rPr>
                <w:rFonts w:cs="Arial" w:ascii="Arial" w:hAnsi="Arial"/>
                <w:color w:val="000000"/>
                <w:sz w:val="16"/>
                <w:szCs w:val="16"/>
                <w:lang w:val="en-US"/>
              </w:rPr>
              <w:t xml:space="preserve"> </w:t>
            </w:r>
            <w:r>
              <w:rPr>
                <w:rFonts w:cs="Arial" w:ascii="Arial" w:hAnsi="Arial"/>
                <w:color w:val="000000"/>
                <w:sz w:val="16"/>
                <w:szCs w:val="16"/>
              </w:rPr>
              <w:t>вірусний</w:t>
            </w:r>
            <w:r>
              <w:rPr>
                <w:rFonts w:cs="Arial" w:ascii="Arial" w:hAnsi="Arial"/>
                <w:color w:val="000000"/>
                <w:sz w:val="16"/>
                <w:szCs w:val="16"/>
                <w:lang w:val="en-US"/>
              </w:rPr>
              <w:t xml:space="preserve"> </w:t>
            </w:r>
            <w:r>
              <w:rPr>
                <w:rFonts w:cs="Arial" w:ascii="Arial" w:hAnsi="Arial"/>
                <w:color w:val="000000"/>
                <w:sz w:val="16"/>
                <w:szCs w:val="16"/>
              </w:rPr>
              <w:t>антиген</w:t>
            </w:r>
            <w:r>
              <w:rPr>
                <w:rFonts w:cs="Arial" w:ascii="Arial" w:hAnsi="Arial"/>
                <w:color w:val="000000"/>
                <w:sz w:val="16"/>
                <w:szCs w:val="16"/>
                <w:lang w:val="en-US"/>
              </w:rPr>
              <w:t xml:space="preserve"> </w:t>
            </w:r>
            <w:r>
              <w:rPr>
                <w:rFonts w:cs="Arial" w:ascii="Arial" w:hAnsi="Arial"/>
                <w:color w:val="000000"/>
                <w:sz w:val="16"/>
                <w:szCs w:val="16"/>
              </w:rPr>
              <w:t>грипу</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B [B/Washington/02/2019 (</w:t>
            </w:r>
            <w:r>
              <w:rPr>
                <w:rFonts w:cs="Arial" w:ascii="Arial" w:hAnsi="Arial"/>
                <w:color w:val="000000"/>
                <w:sz w:val="16"/>
                <w:szCs w:val="16"/>
              </w:rPr>
              <w:t>В</w:t>
            </w:r>
            <w:r>
              <w:rPr>
                <w:rFonts w:cs="Arial" w:ascii="Arial" w:hAnsi="Arial"/>
                <w:color w:val="000000"/>
                <w:sz w:val="16"/>
                <w:szCs w:val="16"/>
                <w:lang w:val="en-US"/>
              </w:rPr>
              <w:t xml:space="preserve">/Victoria </w:t>
            </w:r>
            <w:r>
              <w:rPr>
                <w:rFonts w:cs="Arial" w:ascii="Arial" w:hAnsi="Arial"/>
                <w:color w:val="000000"/>
                <w:sz w:val="16"/>
                <w:szCs w:val="16"/>
              </w:rPr>
              <w:t>лінія</w:t>
            </w:r>
            <w:r>
              <w:rPr>
                <w:rFonts w:cs="Arial" w:ascii="Arial" w:hAnsi="Arial"/>
                <w:color w:val="000000"/>
                <w:sz w:val="16"/>
                <w:szCs w:val="16"/>
                <w:lang w:val="en-US"/>
              </w:rPr>
              <w:t>)-</w:t>
            </w:r>
            <w:r>
              <w:rPr>
                <w:rFonts w:cs="Arial" w:ascii="Arial" w:hAnsi="Arial"/>
                <w:color w:val="000000"/>
                <w:sz w:val="16"/>
                <w:szCs w:val="16"/>
              </w:rPr>
              <w:t>подібний</w:t>
            </w:r>
            <w:r>
              <w:rPr>
                <w:rFonts w:cs="Arial" w:ascii="Arial" w:hAnsi="Arial"/>
                <w:color w:val="000000"/>
                <w:sz w:val="16"/>
                <w:szCs w:val="16"/>
                <w:lang w:val="en-US"/>
              </w:rPr>
              <w:t xml:space="preserve"> – B/Washington/02/2019]</w:t>
            </w:r>
          </w:p>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lang w:val="en-US"/>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0,25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0,5 мл у попередньо наповнених шприцах з одноразовою голкою, по одному в блістері; по 1 або по 10 шприців у пачці з картону з маркуванням українською мовою; по 0,25 мл у попередньо наповнених шприцах з одноразовою голкою, по одному в блістері; по 1 або по 10 шприців у пачці з картону з маркуванням українською мовою</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М.БІОТЕК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ДжіСі Біофарма Корп.</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Корея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виробника АФІ. Адреса виробника АФІ залишається без змін. Діюча редакція: Грін Кросс Корпорейшн, Корея / Green Cross Corporation, Republic of Korea </w:t>
              <w:br/>
              <w:t xml:space="preserve">Пропонована редакція: ДжіСі Біофарма Корп., Корея / GC Biopharma Corp., Republic of Korea.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готового лікарського засобу. Адреса виробника ГЛЗ залишається без змін. </w:t>
              <w:br/>
              <w:t>Діюча редакція: Грін Кросс Корпорейшн, Корея / Green Cross Corporation, Republic of Korea. Пропонована редакція: ДжіСі Біофарма Корп., Корея / GC Biopharma Corp., Republic of Korea. Зміни внесені в інструкцію для медичного застосування лікарського засобу у розділ «Виробник»; відповідні зміни внесені в текст маркування упаковки лікарського засобу. Зміни І типу - Зміни щодо безпеки/ефективності та фармаконагляду (інші зміни). Оновлення тексту маркування упаковки лікарського засобу, а саме: внесення редакційних правок по тексту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ДІАНІЛ ПД4 З ВМІСТОМ ГЛЮКОЗИ 1,36% М/ОБ / 13,6 МГ/МЛ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глюкоза, моногідрат; натрію хлорид; кальцію хлорид, дигідрат; магнію хлорид, гексагідрат; натрію лактат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B05DB</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перитонеального діалізу; по 2000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5 комплектів у картонній коробці;</w:t>
              <w:br/>
              <w:t>по 2500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4 комплекти у картонній коробці;</w:t>
              <w:br/>
              <w:t>по 3000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3 комплекти у картонній коробці;</w:t>
              <w:br/>
              <w:t>по 5000 мл розчину у пластиковому мішку з ПВХ PL 146-3, одинарному, обладнаному ін’єкційним портом та з’єднувачем, вкладеному у прозорий пластиковий пакет; по 2 комплекти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не впливає на коротку характеристику лікарського засобу) - Додавання альтернативного постачальника дренажних мішків Vantive Suzhou до затвердженого виробника Baxter Lessines для забезпечення безперервного постачання. Зміна стосується конфігурації з двома мішками і не застосовується до конфігурації з однокамерним мішком.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UA/12425/01/03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ДІАНІЛ ПД4 З ВМІСТОМ ГЛЮКОЗИ 2,27% М/ОБ / 22,7 МГ/МЛ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глюкоза, моногідрат; натрію хлорид; кальцію хлорид, дигідрат; магнію хлорид, гексагідрат; натрію лактат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B05DB</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перитонеального діалізу; по 2000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5 комплектів у картонній коробці;</w:t>
              <w:br/>
              <w:t>по 2500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4 комплекти у картонній коробці;</w:t>
              <w:br/>
              <w:t>по 3000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3 комплекти у картонній коробці;</w:t>
              <w:br/>
              <w:t>по 5000 мл розчину у пластиковому мішку з ПВХ PL 146-3, одинарному, обладнаному ін’єкційним портом та з’єднувачем, вкладеному у прозорий пластиковий пакет; по 2 комплекти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не впливає на коротку характеристику лікарського засобу) - Додавання альтернативного постачальника дренажних мішків Vantive Suzhou до затвердженого виробника Baxter Lessines для забезпечення безперервного постачання. Зміна стосується конфігурації з двома мішками і не застосовується до конфігурації з однокамерним мішком.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UA/12425/01/02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ДІАНІЛ ПД4 З ВМІСТОМ ГЛЮКОЗИ 3,86% М/ОБ/38,6 МГ/МЛ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глюкоза, моногідрат; натрію хлорид; кальцію хлорид, дигідрат; магнію хлорид, гексагідрат; натрію лактат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B05DB</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перитонеального діалізу; по 2000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5 комплектів у картонній коробці;</w:t>
              <w:br/>
              <w:t>по 2500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4 комплекти у картонній коробці;</w:t>
              <w:br/>
              <w:t>по 3000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3 комплекти у картонній коробці;</w:t>
              <w:br/>
              <w:t>по 5000 мл розчину у пластиковому мішку з ПВХ PL 146-3, одинарному, обладнаному ін’єкційним портом та з’єднувачем, вкладеному у прозорий пластиковий пакет; по 2 комплекти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Вентів Менуфекчуринг Лімітед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не впливає на коротку характеристику лікарського засобу) - Додавання альтернативного постачальника дренажних мішків Vantive Suzhou до затвердженого виробника Baxter Lessines для забезпечення безперервного постачання. Зміна стосується конфігурації з двома мішками і не застосовується до конфігурації з однокамерним мішком.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ДІФЕНДА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drospirenone and ethinylestradiol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етинілестрадіол та дроспіренон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3 мг/0,02 мг; по 28 таблеток у блістері (24 таблетки рожевого та 4 таблетки плацебо білого кольору); по 1 блістеру у пачці з картону</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повний цикл виробництва: Лабораторіос Леон Фарма, С.А., Іспанія; альтернативний виробник, який відповідає за вторинне пакування: МАНАНТІАЛ ІНТЕГРА, С.Л.У., Іспанiя; альтернативний виробник, який відповідає за вторинне пакування: АТДІС ФАРМА, С.Л., Іспанiя; виробник, який відповідає за мікробіологічне тестування: Лабораторіо Ечеварне, С.А., Іспанiя; </w:t>
              <w:br/>
              <w:t>виробник, який відповідає за мікробіологічне тестування: Біолаб, С.Л., Іспанiя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виправлення технічної помилки допущеної в МКЯ ЛЗ (затверджені Наказом МОЗ України від 19.02.2026 № 217). Діюча редакція: МЕТОДИ КОНТРОЛЮ ЯКОСТІ ЛІКАРСЬКОГО ЗАСОБУ СПЕЦИФІКАЦІЯ - Виправлення технічної помилки відповідає матеріалам Реєстраційного досьє які знаходяться в архіві. Технічну помилку виправлено в інструкції для медичного застосування лікарського засобу у розділі "Лікарська форма" (основні фізико-хімічні властивості), яка була допущена при перекладі реєстраційних матеріалів при внесені змін з якості затверджених наказом МОЗ України від 19.02.2026 р. № 217. Затверджено: Лікарська форма. Таблетки, вкриті плівковою оболонкою. Основні фізико-хімічні властивості: таблетки круглої форми, двоопуклі, вкриті плівковою оболонкою рожевого кольору, та таблетки круглої форми, двоопуклі, вкриті плівковою оболонкою білого кольору (плацебо). Запропоновано: Лікарська форма. Таблетки, вкриті плівковою оболонкою. Основні фізико-хімічні властивості: таблетки круглої форми, вкриті плівковою оболонкою рожевого кольору, та таблетки круглої форми, гладкі, вкриті плівковою оболонкою білого кольору (плацебо).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UA/13227/01/01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ДОВПРЕЛА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pretomanid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претоманід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J04AК08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200 мг; по 14 таблеток у блістері; по 1 або по 13 блістерів у пачці з картону; по 26 або по 182 таблетки у флаконі; по 1 флакону у пачці з картону</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до інструкції для медичного застосування лікарського засобу до розділу "Місцезнаходження виробника та адреса місця провадження його діяльності" (уточнення інформації).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"Фармакологічні властивості", "Особливості застосування", "Спосіб застосування та дози", "Побічні реакції".</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Інструкція для медичного застосування лікарського засобу (eCTD версія 0003).</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UA/19473/01/01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ДОВПРЕЛА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pretomanid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претоманід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J04AК08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200 мг, по 14 таблеток у блістері; по 1 або по 13 блістерів у пачці з картону; по 26 або по 182 таблетки у флаконі; по 1 флакону у пачці з картону</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 xml:space="preserve">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UA/19473/01/01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ДРОВЕЛІС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drospirenone and estetrol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дроспіренон та естетролу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G03AA18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3 мг/14,2 мг; по 28 таблеток, вкритих плівковою оболонкою, у блістері (24 рожеві активні таблетки та 4 білі таблетки плацебо); по 1 або по 3, або по 6, або по 13 блістерів разом із картонним футляром для зберігання блістера та 1, 3, 6 або 13 самоклеючими тижневими календарями-стикерами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готової лікарської форми, фасовка, упаковка, контроль якості (хіміко-фізичні показники), випуск серії: ВАТ "Гедеон Ріхтер", Угорщина; контроль якості (мікробіологія): ВАТ "Гедеон Ріхтер", Угорщина; виробництво готової лікарської форми, фасовка, упаковка, контроль якості (хіміко-фізичні показники): Хаупт Фарма Мюнстер ГмбХ, Німеччина; контроль якості (мікробіологія): ТЕХФарм ГмбХ, Німеччина; контроль якості (мікробіологія): Лабор ЛС СЕ енд Ко. КГ, Німеччина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 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в інструкцію для медичного застосування лікарського засобу до розділів "Фармакологічні властивості", "Спосіб застосування та дози" відповідно до результатів досліджень MIT-Do001-C103. </w:t>
              <w:br/>
              <w:t xml:space="preserve">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в інструкцію для медичного застосування лікарського засобу до розділів "Фармакологічні властивості", "Спосіб застосування та дози", "Діти" та "Побічні реакції" відповідно до результатів досліджень MIT-Es001-C303.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ДУОКОПТ®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Timolol,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дорзоламіду гідрохлорид та  тимололу малеат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S01ED51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по 5 мл у багатодозовому флаконі з насосом і захисним ковпачком; по 1 флакону у допоміжному пристрої для доставки; по 1 або по 3 флакони у коробці; по 10 мл у багатодозовому флаконі з насосом і захисним ковпачком; по 1 флакону у допоміжному пристрої для доставки; по 1 або по 2 флакони у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ЛАБОРАТУАР ТЕА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Делфарм Тур</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назви лікарського засобу - Зміна назви лікарського засобу. ЗАТВЕРДЖЕНО: Дуокопт (Duokopt). ЗАПРОПОНОВАНО: Дуокопт® (Duokopt®)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 Інструкція для медичного застосування лікарського засобу (eCTD версія 0002).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 Текст маркування упаковки лікарського засобу (eCTD версія 0002).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Проект МКЯ (eCTD версія 0001).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UA/18728/01/01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ДУСПАТАЛІН®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mebeverine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мебеверину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A03AA04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135 мг; по 15 таблеток у блістері; по 1 бліcтеру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Абботт Хелскеа Продактс Б.В.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САС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13 років. Кінцева дата для включення даних до РОЗБ - 10.11.2025 р. Дата подання РОЗБ - 08.02.2026 р. Пропонована редакція: Частота подання регулярно оновлюваного звіту з безпеки 9 років. Кінцева дата для включення даних до РОЗБ - 03.03.2028 р. Дата подання РОЗБ - 01.06.2028 р. 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UA/8813/01/01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ДУСПАТАЛІН® РЕТАРД 200</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mebeverine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мебеверину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A03AA04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пролонгованої дії, тверді по 200 мг; по 10 капсул у блістері; по 3 блістери в картонній коробці; по 15 капсул у блістері; по 1, 2, або 4 блістери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Абботт Хелскеа Продактс Б.В.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САС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w:t>
              <w:br/>
              <w:t>Діюча редакція: Частота подання регулярно оновлюваного звіту з безпеки 13 років. Кінцева дата для включення даних до РОЗБ - 10.11.2025 р. Дата подання РОЗБ - 08.02.2026 р. Пропонована редакція: Частота подання регулярно оновлюваного звіту з безпеки 9 років. Кінцева дата для включення даних до РОЗБ - 03.03.2028 р. Дата подання РОЗБ - 01.06.2028 р. 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UA/8813/02/01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ЕПАЙДРА®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Insulin glulisine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інсулін глюлізин (продукт рекомбінантної ДНК-технології із застосуванням Escherichia coli)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A10AB06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Од./мл № 5: по 1 картриджу по 3 мл, вмонтованому в одноразовий пристрій - шприц-ручку СолоСтар® (без голок для ін'єкцій), по 5 шприц-ручок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Санофі-Авентіс Дойчланд ГмбХ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 Зміни внесено в інструкцію для медичного застосування, а саме додано розділ "Місцезнаходження заявника" та як наслідок - відповідні зміни щодо місцезнаходження заявника внесено у текст маркування вторинної упаковки лікарського засобу (п. 11). Також зроблено незначні редакційні правки щодо прописання інформації шрифтом Брайля у тексті маркування вторинної упаковки (п. 16). Введення змін протягом 6-ти місяців після затвердження. Зміни І типу - Зміни щодо безпеки/ефективності та фармаконагляду (інші зміни) - Уточнення розділу "Умови зберігання" відповідно до оригінальних документів. Узгоджено написання умов зберігання в інструкції для медичного застосування (р. "Умови зберігання"), тексті маркування упаковки лікарського засобу та інших матеріалах реєстраційного досьє.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UA/10240/01/01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ІМЕТ®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10 таблеток у блістері; по 1 або по 2, або по 3 блістери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БЕРЛІН-ХЕМІ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виконує виробництво препарату "in bulk" та контроль серії: БЕРЛІН-ХЕМІ АГ, Німеччина; Виробник, що виконує виробництво препарату "in bulk", пакування та контроль серії: Менаріні-Фон Хейден ГмбХ, Німеччина; Виробник, що виконує пакування, контроль та випуск серії: БЕРЛІН-ХЕМІ АГ, Німеччина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реєстраційної процедури в наказі МОЗ України № 217 від 19.02.2026</w:t>
            </w:r>
            <w:r>
              <w:rPr>
                <w:rFonts w:cs="Arial" w:ascii="Arial" w:hAnsi="Arial"/>
                <w:color w:val="000000"/>
                <w:sz w:val="16"/>
                <w:szCs w:val="16"/>
              </w:rPr>
              <w:t xml:space="preserve"> - Зміни І типу - Зміни щодо безпеки/ефективності та фармаконагляду (інші зміни) - зміни внесено в текст маркування вторинної упаковки лікарського засобу у пункти 15, 17 та в текст маркування первинної упаковки лікарського засобу у пункти 3, 4, 6. (eCTD версія 0003).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UA/4029/01/01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sz w:val="16"/>
                <w:szCs w:val="16"/>
              </w:rPr>
            </w:pPr>
            <w:r>
              <w:rPr>
                <w:rFonts w:cs="Arial" w:ascii="Arial" w:hAnsi="Arial"/>
                <w:b/>
                <w:sz w:val="16"/>
                <w:szCs w:val="16"/>
              </w:rPr>
              <w:t xml:space="preserve">ІНДАПЕН SR </w:t>
            </w:r>
          </w:p>
          <w:p>
            <w:pPr>
              <w:pStyle w:val="Normal"/>
              <w:tabs>
                <w:tab w:val="left" w:pos="12600" w:leader="none"/>
              </w:tabs>
              <w:rPr>
                <w:rFonts w:ascii="Arial" w:hAnsi="Arial" w:cs="Arial"/>
                <w:b/>
                <w:b/>
                <w:sz w:val="16"/>
                <w:szCs w:val="16"/>
              </w:rPr>
            </w:pPr>
            <w:r>
              <w:rPr>
                <w:rFonts w:cs="Arial" w:ascii="Arial" w:hAnsi="Arial"/>
                <w:b/>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Indapamide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індапамід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sz w:val="16"/>
                <w:szCs w:val="16"/>
              </w:rPr>
              <w:t>C03BA11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таблетки, вкриті оболонкою з модифікованим вивільненням по 1,5 мг; по 14 таблеток у блістері; по 2 або по 4 блістери в картонній коробці; по 15 таблеток у блістері; по 2 або по 4 блістери в картонній коробці; по 30 таблеток у блістері; по 1 блістеру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sz w:val="16"/>
                <w:szCs w:val="16"/>
              </w:rPr>
              <w:t>Фармацевтичний завод "ПОЛЬФАРМА" С.А.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sz w:val="16"/>
                <w:szCs w:val="16"/>
              </w:rPr>
              <w:t>Фармацевтичний завод "ПОЛЬФАРМА" С.А.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sz w:val="16"/>
                <w:szCs w:val="16"/>
              </w:rPr>
              <w:t>Польща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Введення додаткового розміру упаковки, що знаходиться у діапазоні затверджених розмірів в зв’язку з маркетинговим рішенням. Зміни внесено в розділ "Упаковка" в інструкцію для медичного застосування у зв'язку з введенням додаткового розміру упаковки в діапазоні затверджених розмірів упаковки.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UA/0877/02/01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КОДЕЇНУ ФОСФАТ ГЕМІГІДРАТ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codeine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кодеїну фосфат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 Старт"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Вінзроп Індастрі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1997-118 - Rev 13 (затверджено: CEP 1997-118 - Rev 12) для АФІ Кодеїну фосфат гемігідрат від вже затвердженого виробника Sanofi Winthrop Industries, France. Оновлення СЕР обумовлено зміною адреси власника СЕР "Francopia".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UA/20797/01/01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КРИНОН®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progesterone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прогестерон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G03DA04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вагінальний 8 %; по 1,45 г (що відповідає дозі для введення 1,125 г) в однодозовому аплікаторі, вкладеному в багатошарову упаковку; по 6 або 15 однодозових аплікаторів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нерозфасованої продукції та контроль якості:</w:t>
              <w:br/>
              <w:t>Дендрон Брендс Лімітед, Великобританія; Контроль якості:</w:t>
              <w:br/>
              <w:t>Херд Манді Річардсон Лімітед, Великобританія;</w:t>
              <w:br/>
              <w:t>Первинна упаковка:</w:t>
              <w:br/>
              <w:t xml:space="preserve">Роммелаг СДМО Свізерленд АГ, Швейцарія; </w:t>
              <w:br/>
              <w:br/>
              <w:t>Вторинна упаковка та випуск серії:</w:t>
              <w:br/>
              <w:t>Централ Фарма (Контракт Пекінг) Лімітед, Великобританія</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Великобританія/ Швейцарія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найменування та уточнення адреси виробника, відповідального за первинне пакування готового лікарського засобу.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в методиці лазерної дифракції для визначення розподілу часток за розміром (PSD) в субстанції активної речовини прогестерону у зв’язку з додаванням Malvern Mastersizer 3000 як альтернативного випробувального обладнання до Mastersizer 2000 (Malvern).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Внесення змін до специфікації готового лікарського засобу внаслідок звуження допустимих меж параметру 6-кетопрогестерону (протягом терміну придатності) та звуження допустимих меж параметру суми домішок (при випуску). Ці зміни супроводжуються уточненням назви показника, а саме замість назви «Споріднені домішки» та «Сума домішок» пропонується замінити на «Продукти розкладу» та «Сума продуктів розкладу». Заявлена зміна передбачає застосування суворішого підходу для контролю споріднених домішок шляхом додавання параметру 6-кетопрогестерон з більш жорстким критерієм прийнятності “не більше 0,1% “ до специфікації лікарського засобу при випуску. *Тести проводяться лише для гелю in bulk.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Внесення змін до методу визначення споріднених домішок (продуктів розкладу) у перелік відомих споріднених домішок, а саме: доповнення домішкою К та домішкою L таблиці “Типові відносні часи утримування піків та відносні коефіцієнти відгуку споріднених домішок та продуктів розкладу прогестерона” та зазначення походження кожної домішки.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нормування домішки </w:t>
            </w:r>
            <w:r>
              <w:rPr>
                <w:rStyle w:val="Cs9ff1b61117"/>
              </w:rPr>
              <w:t>Δ</w:t>
            </w:r>
            <w:r>
              <w:rPr>
                <w:rFonts w:cs="Arial" w:ascii="Arial" w:hAnsi="Arial"/>
                <w:color w:val="000000"/>
                <w:sz w:val="16"/>
                <w:szCs w:val="16"/>
              </w:rPr>
              <w:t>-14 прогестерон (домішка А, Євр. Фарм.) зі специфікації готового лікарського засобу, показник Споріднені домішки та видалення домішки андростендіону з таблиці “Типові відносні часи утримування піків та відносні коефіцієнти відгуку споріднених домішок та продуктів розкладу прогестерона” (розділ 3.2.Р.5.2.) яка містить перелік відомих домішок.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2005-299-Rev 03 (затверджено: R1-CEP 2005-299-Rev 02) для АФІ прогестерону від вже затвердженого виробника Pharmacia &amp; Upjohn Company LLC, США.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UA/3490/01/01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КСИЛОСПРЕЙ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xylometazoline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 xml:space="preserve">ксилометазоліну гідрохлорид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R01AA07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 xml:space="preserve">спрей назальний, 1,0 мг/мл по 10 мл у флаконі з насосом дозатором із розпилювачем; по 1 флакону в пачці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статусу рекламування в наказі МОЗ України № 1315 від 07.09.2026 в процесі перереєстрації</w:t>
            </w:r>
            <w:r>
              <w:rPr>
                <w:rFonts w:cs="Arial" w:ascii="Arial" w:hAnsi="Arial"/>
                <w:color w:val="000000"/>
                <w:sz w:val="16"/>
                <w:szCs w:val="16"/>
              </w:rPr>
              <w:t xml:space="preserve">. Редакція в наказі - Не підлягає. </w:t>
            </w:r>
            <w:r>
              <w:rPr>
                <w:rFonts w:cs="Arial" w:ascii="Arial" w:hAnsi="Arial"/>
                <w:b/>
                <w:color w:val="000000"/>
                <w:sz w:val="16"/>
                <w:szCs w:val="16"/>
              </w:rPr>
              <w:t>Вірна редакція - підлягає.</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i/>
                <w:i/>
                <w:sz w:val="16"/>
                <w:szCs w:val="16"/>
              </w:rPr>
            </w:pPr>
            <w:r>
              <w:rPr>
                <w:rFonts w:cs="Arial" w:ascii="Arial" w:hAnsi="Arial"/>
                <w:b/>
                <w:i/>
                <w:color w:val="000000"/>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UA/19065/01/02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КСОЛАР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omalizumab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омалізумаб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R03DX05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розчину для ін`єкцій по 75 мг; 1 флакон з порошком у комплекті з розчинником (вода для ін`єкцій) </w:t>
              <w:br/>
              <w:t>по 2 мл в ампулах № 1 в упаковці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Штейн АГ, Швейцарія; Виробництво, контроль якості, первинне пакування розчинника: ДЕЛЬФАРМ ДІЖОН, Франція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 Франція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в методах випробування (включаючи заміну або доповнення) для реагенту, що не спричиняє істотного впливу на якість АФІ) - Зміна у методах випробування вихідного матеріалу метотрексату (Methotrexate, Sodium Injection), що використовується у процесі виробництва АФІ: додавання альтернативного фізико-хімічного методу для випробування на ідентифікацію (ВЕРХ) до затвердженого методу випробування (Інфрачервона (ІЧ) спектроскопія).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Зміна у параметрах специфікації на вихідний матеріал метотрексат (Methotrexate, Sodium Injection), що використовується у процесі виробництва АФІ, а саме вилучення незначного параметра специфікації (оновлення опису ідентифікації конфігурації продукту). Зміни І типу - Зміни з якості. АФІ. Виробництво. Зміни в процесі виробництва АФІ (інші зміни) - Збільшення кількості циклів повторного використання смол для катіонообмінної хроматографії (Cation Exchange Chromatography – CEX) та аніонообмінної хроматографії (Anion Exchange Chromatography – AEX), що використовується у процесі виробництва Омалізумабу 4%. Зміни І типу - Зміни з якості. АФІ. Виробництво. Зміни в процесі виробництва АФІ (інші зміни) - Зміни в процесі виробництва АФІ, а саме оновлення опису системи нумерації серій Омалізумабу 4%, що виробляється на дільниці Novartis Huningue. Також внесення редакційних правок.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UA/9055/01/01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КСОЛАР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omalizumab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омалізумаб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R03DX05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розчину для ін’єкцій по 150 мг; 1 флакон з порошком у комплекті з розчинником (вода для ін’єкцій) по 2 мл в ампулах №1 в упаковкці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Штейн АГ, Швейцарія; Вторинне пакування, випуск серії: Лек Фармасьютикалс д.д., Словенія; Виробництво, контроль якості, первинне пакування розчинника: ДЕЛЬФАРМ ДІЖОН, Франція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 Словенія /Франція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в методах випробування (включаючи заміну або доповнення) для реагенту, що не спричиняє істотного впливу на якість АФІ) - Зміна у методах випробування вихідного матеріалу метотрексату (Methotrexate, Sodium Injection), що використовується у процесі виробництва АФІ: додавання альтернативного фізико-хімічного методу для випробування на ідентифікацію (ВЕРХ) до затвердженого методу випробування (Інфрачервона (ІЧ) спектроскопія).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Зміна у параметрах специфікації на вихідний матеріал метотрексат (Methotrexate, Sodium Injection), що використовується у процесі виробництва АФІ, а саме вилучення незначного параметра специфікації (оновлення опису ідентифікації конфігурації продукту). Зміни І типу - Зміни з якості. АФІ. Виробництво. Зміни в процесі виробництва АФІ (інші зміни) - Збільшення кількості циклів повторного використання смол для катіонообмінної хроматографії (Cation Exchange Chromatography – CEX) та аніонообмінної хроматографії (Anion Exchange Chromatography – AEX), що використовується у процесі виробництва Омалізумабу 4%. Зміни І типу - Зміни з якості. АФІ. Виробництво. Зміни в процесі виробництва АФІ (інші зміни) - Зміни в процесі виробництва АФІ, а саме оновлення опису системи нумерації серій Омалізумабу 4%, що виробляється на дільниці Novartis Huningue. Також внесення редакційних правок.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UA/9055/01/02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ЛАЙС КІТ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алергенні одиниці (АО)</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p>
            <w:pPr>
              <w:pStyle w:val="Normal"/>
              <w:tabs>
                <w:tab w:val="left" w:pos="12600" w:leader="none"/>
              </w:tabs>
              <w:rPr>
                <w:rFonts w:ascii="Arial" w:hAnsi="Arial" w:cs="Arial"/>
                <w:i/>
                <w:i/>
                <w:color w:val="000000"/>
                <w:sz w:val="16"/>
                <w:szCs w:val="16"/>
              </w:rPr>
            </w:pPr>
            <w:r>
              <w:rPr>
                <w:rFonts w:cs="Arial" w:ascii="Arial" w:hAnsi="Arial"/>
                <w:i/>
                <w:sz w:val="16"/>
                <w:szCs w:val="16"/>
              </w:rPr>
              <w:t>АО – алергенна одиниця дозування специфічного засобу для імунотерапії</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V01AA11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сублінгвальні 300 АО або 1000 АО; таблетки сублінгвальні №40: 10 таблеток по 300 АО (1 блістерна упаковка) та 30 таблеток по 1000 АО (3 блістерні упаковки) у картонній коробці; таблетки сублінгвальні №70: 10 таблеток по 300 АО (1 блістерна упаковка) та 60 таблеток по 1000 АО (6 блістерних упаковок)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ЛОФАРМА С.П.А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ЛОФАРМА С.П.А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досьє)(новий виробник вихідного продукту, для якого вимагається попередня оцінка вірусної безпеки та/або ризику передачі збудників ГЕ) - Введення альтернативного виробника вихідної сировини, а саме лупи котячої, компанії Allergen Servilab S.L. до вже затвердженого виробника Stallergenes Greer для виробництва АФІ-хімічно модифікованого алергенного екстракту лупи котячої.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UA/20831/01/01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ЛЕВОМЕКОЛЬ</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хлорамфенікол, 6-метилурацил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D03AX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по 30 г або по 40 г у тубі; по 1 тубі в пачці з картону</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Тверді, м’які та нестерильні рідкі лікарські форми - Незначна зміна в пакуванні продукту полягає у введенні альтернативного типу первинного пакування – ламінатної туби, яка може використовуватись поряд із існуючим типом – алюмінієвою тубою. Запропонований пакувальний матеріал є ідентичним затвердженому за відповідними властивостями. Запропонована зміна зумовлена необхідністю розширення варіантів різновиду первинного пакування з метою забезпечення гнучкості виробничого процесу та логістики, шляхом введення ламінатної туби як альтернативи існуючій алюмінієвій тубі.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UA/8367/01/01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ЛІДОКАЇН 10 МГ/МЛ АДРЕНАЛІН 0,005 МГ/МЛ АГЕТАН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Lidocaine,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лідокаїну гідрохлориду моногідрат, адреналіну тартрат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N01BB52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ін'єкцій, по 10 мг/мл та 0,005 мг/мл по 10 мл у ампулі, по 10 ампул у картонній коробці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Лабораторія Агетан САС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відповідає за випуск серії: Лабораторія Агетан, Франція; повний цикл виробництва: Дельфарм Турс, Франція; повний цикл виробництва: Дельфарм Діжон, Франція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у текст маркування первинної (п. 2, 6) та вторинної (п. 2, 5, 8, 16, 17) упаковки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ЛІДОКАЇН 20 МГ/МЛ АДРЕНАЛІН 0,005 МГ/МЛ АГЕТАН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Lidocaine,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лідокаїну гідрохлориду моногідрат, адреналіну тартрат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N01BB52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20 мг/мл та 0,005 мг/мл;</w:t>
              <w:br/>
              <w:t xml:space="preserve">по 10 мл у ампулі, по 10 ампул у картонній коробці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Лабораторія Агетан САС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відповідає за випуск серії: Лабораторія Агетан, Франція; повний цикл виробництва: Дельфарм Турс, Франція;</w:t>
              <w:br/>
              <w:t>повний цикл виробництва: Дельфарм Діжон, Франція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w:t>
              <w:br/>
              <w:t>Зміни внесено у текст маркування первинної (п. 2, 6) та вторинної (п. 2, 5, 8, 16, 17) упаковки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UA/21200/01/02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МАНІТ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mannitol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маніт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B05BC01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150 мг/мл по 200 мл у пляшках</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"Юрія-Фарм"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 Зміни внесено у текст маркування первинної упаковки (п. 7, 8, 11,13, 17) лікарського засобу.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UA/8478/01/01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МЕРКАПТОПУРИН-ВІСТА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mercaptopurine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меркаптопурин (у вигляді меркаптопурину моногідрату)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L01BB02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50 мг; по 25 таблеток у флаконі; по 1 флакону у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готової лікарської форми, первинна та вторинна упаковка, контроль серії, випуск серії: АРДЕНА ПАМПЛОНА С.Л., Іспанія;</w:t>
              <w:br/>
              <w:t>контроль серії: ІНФАРМЕЙД, С.Л., Іспанія; Контроль серії (мікробіологічний): Нетфармалаб Консалтінг Сервайсез С.Л., Іспанія;</w:t>
              <w:br/>
              <w:t>вторинна упаковка: ЛАБОРАТОРІЗ ЕНТЕМА, С.Л., Іспанія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 Заявником надано оновлений План управління ризиками версія 1.0. Зміни внесено до частин: </w:t>
              <w:br/>
              <w:t xml:space="preserve">І "Загальна інформація" </w:t>
              <w:br/>
              <w:t xml:space="preserve">ІІ "Специфікація з безпеки" </w:t>
              <w:br/>
              <w:t xml:space="preserve">V "Заходи з мінімізації ризиків" </w:t>
              <w:br/>
              <w:t xml:space="preserve">VI "Резюме плану управління ризиками" </w:t>
              <w:br/>
              <w:t xml:space="preserve">VII "Додатки" (додатки 1-8) </w:t>
              <w:br/>
              <w:t xml:space="preserve">у зв’язку з видаленням важливих ідентифікованих ризиків, важливих потенційних ризиків, а також видалення відсутньої інформації відповідно до рекомендацій загальнодоступного сайту CMDh (https://www.hma.eu/cmdh.html), а також у зв'язку із зміною формату відповідно до вимог Evaluation Guidance on the format of the risk management plan (RMP) in the EU – in integrated format. </w:t>
            </w:r>
            <w:r>
              <w:rPr>
                <w:rFonts w:cs="Arial" w:ascii="Arial" w:hAnsi="Arial"/>
                <w:color w:val="000000"/>
                <w:sz w:val="16"/>
                <w:szCs w:val="16"/>
                <w:lang w:val="en-US"/>
              </w:rPr>
              <w:t xml:space="preserve">31 October 2018 EMA/164014/2018 Rev.2.0.1 accompanying GVP Module V Rev.2 Human Medicines). </w:t>
            </w:r>
            <w:r>
              <w:rPr>
                <w:rFonts w:cs="Arial" w:ascii="Arial" w:hAnsi="Arial"/>
                <w:color w:val="000000"/>
                <w:sz w:val="16"/>
                <w:szCs w:val="16"/>
              </w:rPr>
              <w:t xml:space="preserve">Резюме плану управління ризиками додається.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UA/20062/01/01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МЕТФОРМІН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1000 мг; по 10 таблеток у блістері; по 3 або 5, або 6 блістерів у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Виправлено технічну помилку у примірниках змін до інструкції для медичного застосування, допущену при процедурі внесення змін у розділі «Термін придатності» (наказ від 16.03.2026 р. № 322), а саме: вилучення торгового знака ® з назви лікарського засобу, зазначеної українською мовою. ЗАТВЕРДЖЕНО: METFORMIN </w:t>
              <w:br/>
              <w:t xml:space="preserve">МЕТФОРМІН®, ЗАПРОПОНОВАНО: METFORMIN МЕТФОРМІН, Зазначене виправлення відповідає матеріалам реєстраційного досьє.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UA/18846/01/01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МЕТФОРМІН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850 мг, по 10 таблеток у блістері; по 6 блістерів у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"Київмедпрепарат"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Виправлено технічну помилку у примірниках змін до інструкції для медичного застосування, допущену при процедурі внесення змін у розділі «Термін придатності» (наказ від 16.03.2026 р. № 322), а саме: вилучення торгового знака ® з назви лікарського засобу, зазначеної українською мовою. ЗАТВЕРДЖЕНО: METFORMIN </w:t>
              <w:br/>
              <w:t xml:space="preserve">МЕТФОРМІН®, ЗАПРОПОНОВАНО: METFORMIN МЕТФОРМІН, Зазначене виправлення відповідає матеріалам реєстраційного досьє.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UA/18846/01/02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МЕТФОРМІН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10 таблеток у блістері, по 6 блістерів у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"Київмедпрепарат"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Виправлено технічну помилку у примірниках змін до інструкції для медичного застосування, допущену при процедурі внесення змін у розділі «Термін придатності» (наказ від 16.03.2026 р. № 322), а саме: вилучення торгового знака ® з назви лікарського засобу, зазначеної українською мовою. ЗАТВЕРДЖЕНО: METFORMIN </w:t>
              <w:br/>
              <w:t xml:space="preserve">МЕТФОРМІН®, ЗАПРОПОНОВАНО: METFORMIN МЕТФОРМІН, Зазначене виправлення відповідає матеріалам реєстраційного досьє.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UA/18846/01/03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МІРАМІДЕЗ®</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бензилдиметил[3-(мірістоіламіно)пропіл]амонію хлориду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D08AJ</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нашкірний, спиртовий, 0,1 % по 100 мл у флаконі; по 1 флакону в картонній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випуск серії: </w:t>
              <w:br/>
              <w:t xml:space="preserve">ТОВ "ВАЛАРТІН ФАРМА", Україна; виробництво, пакування, контроль якості: </w:t>
              <w:br/>
              <w:t xml:space="preserve">ТОВ "Тернофарм" </w:t>
              <w:br/>
              <w:t xml:space="preserve">Україна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Затверджено: КНВМП "ІСНА", Україна. Запропоновано: ТОВ "ВАЛАРТІН ФАРМА", Україна. Зміна заявника лікарського засобу (власника реєстраційного посвідчення), як наслідок – внесено зміни в текст маркування первинної та вторинної упаковок лікарського у пункт 11.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Діюча редакція: Савченко Наталія Віталіївна. </w:t>
              <w:br/>
              <w:t>Пропонована редакція: Давидова Олена Миколаївна. Зміна контактних даних уповноваженої особи заявника, відповідальної за здійснення фармаконагляду.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МІРАМІДЕЗ®</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бензилдиметил[3-(мірістоіламіно)пропіл]амонію хлориду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S02AA</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вушні, розчин спиртовий 0,1 % по 5 мл у полімерному флаконі з крапельницею; по 1 флакону в пачці з картону</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пакування, контроль якості: </w:t>
              <w:br/>
              <w:t xml:space="preserve">ТОВ "Тернофарм", </w:t>
              <w:br/>
              <w:t xml:space="preserve">Україна; </w:t>
              <w:br/>
              <w:t xml:space="preserve">випуск серії: </w:t>
              <w:br/>
              <w:t>ТОВ "ВАЛАРТІН ФАРМА",</w:t>
              <w:br/>
              <w:t>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460).Зміни внесені в текст маркування упаковки лікарського засобу щодо найменування заявника.</w:t>
              <w:b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Діюча редакція: Савченко Наталія Віталіївна. Пропонована редакція: Давидова Олена Миколаївна. </w:t>
              <w:br/>
              <w:t>Зміна контактних даних уповноваженої особи заявника, відповідальної за здійснення фармаконагляду.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UA/0237/02/01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МОВІКСИКАМ® ОДТ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meloxicam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мелоксикам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M01AC06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15 мг; по 10 таблеток у блістері, по 1 або по 2 блістери у картонній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Алпекс Фарма СА, Швейцарія; Первинне та вторинне пакування: Ламп Сан Просперо С.п.А., Італiя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 Італiя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уточнення реєстраційного номера в наказі МОЗ України № 1340 від 11.09.2026 в процесі внесення змін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2.0. Зміни внесено до частин: І «Загальна інформація» ІІ «Специфікація з безпеки» ІІІ «План з фармаконагляду» V «Заходи з мінімізації ризиків» VI «Резюме плану управління ризиками» VII «Додатки» у зв'язку видаленням проблем з безпеки, включаючи відсутню інформацію, у зв'язку із зміною формату відповідно до вимог Evaluation Guidance on the format of the risk management plan (RMP) in the EU – in integrated format. </w:t>
            </w:r>
            <w:r>
              <w:rPr>
                <w:rFonts w:cs="Arial" w:ascii="Arial" w:hAnsi="Arial"/>
                <w:color w:val="000000"/>
                <w:sz w:val="16"/>
                <w:szCs w:val="16"/>
                <w:lang w:val="en-US"/>
              </w:rPr>
              <w:t xml:space="preserve">31 October 2018 EMA/164014/2018 Rev.2.0.1 accompanying GVP Module V Rev.2 Human Medicines). </w:t>
            </w:r>
            <w:r>
              <w:rPr>
                <w:rFonts w:cs="Arial" w:ascii="Arial" w:hAnsi="Arial"/>
                <w:color w:val="000000"/>
                <w:sz w:val="16"/>
                <w:szCs w:val="16"/>
              </w:rPr>
              <w:t>Резюме Плану управління ризиками версія 2.0 додається). Редакція в наказі - UA/13585/01/02. Вірна редакція - UA/13585/01/01.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UA/13585/01/01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МОВІКСИКАМ® ОДТ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meloxicam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мелоксикам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M01AC06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7,5 мг; по 10 таблеток у блістері, по 2 блістери у картонній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Алпекс Фарма СА, Швейцарія; Первинне та вторинне пакування: Ламп Сан Просперо С.п.А., Італiя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 Італiя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уточнення реєстраційного номера в наказі МОЗ України № 1340 від 11.09.2026 в процесі внесення змін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2.0. Зміни внесено до частин: І «Загальна інформація» ІІ «Специфікація з безпеки» ІІІ «План з фармаконагляду» V «Заходи з мінімізації ризиків» VI «Резюме плану управління ризиками» VII «Додатки» у зв'язку видаленням проблем з безпеки, включаючи відсутню інформацію, у зв'язку із зміною формату відповідно до вимог Evaluation Guidance on the format of the risk management plan (RMP) in the EU – in integrated format. </w:t>
            </w:r>
            <w:r>
              <w:rPr>
                <w:rFonts w:cs="Arial" w:ascii="Arial" w:hAnsi="Arial"/>
                <w:color w:val="000000"/>
                <w:sz w:val="16"/>
                <w:szCs w:val="16"/>
                <w:lang w:val="en-US"/>
              </w:rPr>
              <w:t xml:space="preserve">31 October 2018 EMA/164014/2018 Rev.2.0.1 accompanying GVP Module V Rev.2 Human Medicines). </w:t>
            </w:r>
            <w:r>
              <w:rPr>
                <w:rFonts w:cs="Arial" w:ascii="Arial" w:hAnsi="Arial"/>
                <w:color w:val="000000"/>
                <w:sz w:val="16"/>
                <w:szCs w:val="16"/>
              </w:rPr>
              <w:t>Резюме Плану управління ризиками версія 2.0 додається). Редакція в наказі - UA/13585/01/01. Вірна редакція - UA/13585/01/02.</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UA/13585/01/02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НАЗЕХАЛЕР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mometasone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мометазону фуроат (у формі мометазону фуроату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R01AD09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суспензія 50 мкг/дозу по 18 г (140 доз) суспензії у флаконі з дозувальним насосом-розпилювачем та ковпачком, по 1 флакону у картонній упаковці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Ципла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Ципла Лімітед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адреси виробничої дільниці готового лікарського засобу, без зміни фактичного місцезнаходження виробництва.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відповідні зміни внесені в текст маркування упаковки лікарського засобу Введення змін протягом 6-ти місяців після затвердження. Зміни І типу - Зміни щодо безпеки/ефективності та фармаконагляду (інші зміни) </w:t>
              <w:br/>
              <w:t xml:space="preserve">Зміни внесенні в текст маркування вторинної (пункти 2, 4, 5, 16, 17) та первинної (пункт 2) упаковок лікарського засобу. </w:t>
              <w:br/>
              <w:t>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UA/16788/01/01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НАЗІК®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ксилометазоліну гідрохлорид, декспантенол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R01AB06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lang w:val="ru-RU"/>
              </w:rPr>
            </w:pPr>
            <w:r>
              <w:rPr>
                <w:rFonts w:cs="Arial" w:ascii="Arial" w:hAnsi="Arial"/>
                <w:color w:val="000000"/>
                <w:sz w:val="16"/>
                <w:szCs w:val="16"/>
                <w:lang w:val="ru-RU"/>
              </w:rPr>
              <w:t>спрей назальний, розчин; по 10 мл у флаконі; по 1 флакону з насадкою для розпилення в картонній коробці; по 10 мл у флаконі; по 1 флакону разом з фіксованою насадкою для розпилення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pPr>
            <w:r>
              <w:rPr>
                <w:rFonts w:cs="Arial" w:ascii="Arial" w:hAnsi="Arial"/>
                <w:color w:val="000000"/>
                <w:sz w:val="16"/>
                <w:szCs w:val="16"/>
                <w:lang w:val="ru-RU"/>
              </w:rPr>
              <w:t xml:space="preserve">Касселла-мед ГмбХ енд Ко. </w:t>
            </w:r>
            <w:r>
              <w:rPr>
                <w:rFonts w:cs="Arial" w:ascii="Arial" w:hAnsi="Arial"/>
                <w:color w:val="000000"/>
                <w:sz w:val="16"/>
                <w:szCs w:val="16"/>
              </w:rPr>
              <w:t>КГ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Клостерфрау Берлін ГмбХ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UA/9132/01/01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НАЗІК®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xylometazoline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ксилометазоліну гідрохлорид, декспантенол;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R01AB</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розчин по 10 мл у флаконі; по 1 флакону з насадкою для розпилення в картонній коробці; по 10 мл у флаконі; по 1 флакону разом з фіксованою насадкою для розпилення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Касселла-мед ГмбХ енд Ко. КГ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Клостерфрау Берлін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доповнення специфікації ГЛЗ за показником «Чистота» параметром «Пантоєва кислота» з нормуванням ≤0,5% при випуску та ≤3 % протягом терміну придатності. Відповідно оновлюється аналітичний метод «Кількісне визначення та ідентифікація декспантенолу і продуктів його розпаду».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додавання альтернативного методу визначення 3-амінопропанолу, що є продуктом деградації декспантенолу, за допомогою методу ВЕРХ.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додавання альтернативного методу визначення продуктів деградації бензалконію хлориду за допомогою газової хроматографії.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в методі випробування ГЛЗ за показником «Визначення кількісного вмісту ксилометазоліну гідрохлориду, домішок ксилометазоліну та бензалконію хлориду» методом ВЕРХ, а саме зміна в пробопідготовці вихідного розчину А ксилометазоліну гідрохлориду та зміна показника RSD в оцінці придатності хроматографічної системи. Зміни І типу - Зміни з якості. Готовий лікарський засіб. Система контейнер/закупорювальний засіб (інші зміни) вилучення з розділу 3.2.Р.7.Система контейнер/закупорювальний засіб торгової назви матеріалу захисного ковпачка Moplen RP348R.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зміна вимог специфікації ГЛЗ за показником «Сума продуктів розпаду декспантенолу» на термін придатності.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UA/9132/01/01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НАЗІК® ДЛЯ ДІТЕЙ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ксилометазоліну гідрохлорид, декспантенол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R01AB06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lang w:val="ru-RU"/>
              </w:rPr>
            </w:pPr>
            <w:r>
              <w:rPr>
                <w:rFonts w:cs="Arial" w:ascii="Arial" w:hAnsi="Arial"/>
                <w:color w:val="000000"/>
                <w:sz w:val="16"/>
                <w:szCs w:val="16"/>
                <w:lang w:val="ru-RU"/>
              </w:rPr>
              <w:t>спрей назальний, розчин; по 10 мл у флаконі; по 1 флакону разом з насадкою для розпилення в картонній коробці; по 10 мл у флаконі; по 1 флакону з фіксованою насадкою для розпилення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pPr>
            <w:r>
              <w:rPr>
                <w:rFonts w:cs="Arial" w:ascii="Arial" w:hAnsi="Arial"/>
                <w:color w:val="000000"/>
                <w:sz w:val="16"/>
                <w:szCs w:val="16"/>
                <w:lang w:val="ru-RU"/>
              </w:rPr>
              <w:t xml:space="preserve">Касселла-мед ГмбХ енд Ко. </w:t>
            </w:r>
            <w:r>
              <w:rPr>
                <w:rFonts w:cs="Arial" w:ascii="Arial" w:hAnsi="Arial"/>
                <w:color w:val="000000"/>
                <w:sz w:val="16"/>
                <w:szCs w:val="16"/>
              </w:rPr>
              <w:t>КГ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Клостерфрау Берлін ГмбХ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UA/9133/01/01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НАЗІК® ДЛЯ ДІТЕЙ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ксилометазоліну гідрохлорид, декспантенол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R01AB06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розчин по 10 мл у флаконі; по 1 флакону разом з насадкою для розпилення в картонній коробці; по 10 мл у флаконі, по 1 флакону з фіксованою насадкою для розпилення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Касселла-мед ГмбХ енд Ко. КГ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Клостерфрау Берлін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доповнення специфікації ГЛЗ за показником «Чистота» параметром «Пантоєва кислота» з нормуванням ≤0,5 % при випуску та ≤3 % протягом терміну придатності. Відповідно оновлюється аналітичний метод «Кількісне визначення та ідентифікація декспантенолу і продуктів його розпаду».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додавання альтернативного методу визначення 3-амінопропанолу, що є продуктом деградації декспантенолу, за допомогою ВЕРХ.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додавання альтернативного методу визначення продуктів деградації бензалконію хлориду за допомогою газової хроматографії.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в методі випробування ГЛЗ за показником «Визначення кількісного вмісту ксилометазоліну гідрохлориду, домішок ксилометазоліну та бензалконію хлориду» методом ВЕРХ, а саме зміна в пробопідготовці вихідного розчину А ксилометазоліну гідрохлориду та зміна показника RSD в оцінці придатності хроматографічної системи. Зміни І типу - Зміни з якості. Готовий лікарський засіб. Система контейнер/закупорювальний засіб (інші зміни) вилучення з розділу 3.2.Р.7.Система контейнер/закупорювальний засіб торгової назви матеріалу захисного ковпачка Moplen RP348R.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зміна вимог специфікації ГЛЗ за показником «Сума продуктів розпаду декспантенолу» на термін придатності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UA/9133/01/01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НІЗОРАЛ®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ketoconazole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кетоконазол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D01AC08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шампунь, 20 мг/г; по 25 мл або по 60 мл, або по 100 мл, або по 200 мл у пляшці; по 1 пляшці в картонній коробці; по 7,5 мл у саше; по 8 саше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пакування, вторинне пакування, контроль якості лікарського засобу, випуск серії: Янссен Фармацевтика НВ, Бельгія; вторинне пакування, контроль якості лікарського засобу, випуск серії: СТАДА Арцнайміттель АГ, Німеччина; </w:t>
              <w:br/>
              <w:t xml:space="preserve">виробництво, первинне пакування, вторинне пакування: «Хемофарм» АД, Вршац, відділ виробнича дільниця Шабац, Республіка Сербія; контроль серій: СТАДА Хемофарм СРЛ, Румунія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 Німеччина/ Республіка Сербія/ Румунія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 Переклад МКЯ з російської мови на українську мову для приведення у відповідність із вимогами чинної редакції Наказу МОЗ України № 426 від 26.08.2005</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UA/2753/02/01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НІКСАР® 10 МГ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bilastine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біластин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R06AX29 </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10 мг; по 10 таблеток у блістері; по 1 або по 3 блістери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Менаріні Інтернешонал Оперейшонс Люксембург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Люксембург</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“in bulk”, пакування, випуск серій: А. Менаріні Мануфактурінг Логістікс енд Сервісес С.р.Л., Італія; </w:t>
              <w:br/>
              <w:t>Контроль серій: А. Менаріні Мануфактурінг Логістікс енд Сервісес С.р.Л., Італія; Єврофінс Біолаб срл, Італiя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Виправлено технічну помилку в інструкції для медичного застосування лікарського засобу у розділі "Побічні реакції" щодо частоти виникнення побічної реакції, яка допущена під час процедури внесення змін (наказ МОЗ № 477 від 07.04.2026). Зазначене виправлення відповідає матеріалам реєстраційного досьє.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UA/13866/02/01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НІКСАР® 2,5 МГ/МЛ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bilastine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біластин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R06AX29</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оральний, 2,5 мг/мл; по 120 мл у флаконі; по 1 флакону з мірним стаканом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Менаріні Інтернешонал Оперейшонс Люксембург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Люксембург</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контроль та випуск серії: БЕРЛІН-ХЕМІ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Виправлено технічну помилку в інструкції для медичного застосування лікарського засобу у розділі "Побічні реакції" щодо частоти виникнення побічної реакції, яка допущена під час процедури внесення змін (наказ МОЗ № 655 від 21.05.2026). Зазначене виправлення відповідає матеріалам реєстраційного досьє.</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UA/13866/03/01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ОМЕЗ® ДСР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омепразол, домперидон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з модифікованим вивільненням, тверді по 10 капсул у блістері; по 3 блістери в картонній коробці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Редді'с Лабораторіс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Індія, 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Редді’с Лабораторіс Лтд, ФТО – ІІ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до інструкції для медичного застосування лікарського засобу до розділу "Протипоказання" відповідно до оновленої інформації з безпеки застосування діючої речовини. Термін введення змін - протягом 6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розділів "Склад" (редакційні правки) та "Побічні реакції" щодо звітування про підозрювані побічні реакції.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UA/11149/01/01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ОПТІН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tetryzoline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тетризоліну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S01GA02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очні краплі, розчин 0,5 мг/мл, по 10 мл у флаконі з дозуючим пристроєм; по 1 флакону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Ядран-Галенський Лабораторій д.д.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Ядран-Галенський Лабораторій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Виправлено технічну помилку в інструкції для медичного застосування лікарського засобу в назві документа та в розділі «Передозування» (граматичну помилку), допущену під час процедури перереєстрації (наказ МОЗ № 1404 від 08.09.2025). Зазначене виправлення відповідає матеріалам реєстраційного досьє.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ОРФАДИН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nitisinone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нітизинон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A16AX04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2 мг; по 60 капсул у флаконі; по 1 флакону в картонній упаковці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Свідіш Орфан Біовітрум Інтернешенел АБ</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Апотек Продакшн &amp; Леборетріер АБ, Швеція;</w:t>
              <w:br/>
              <w:t xml:space="preserve">Контроль якості: Апотек Продакшн &amp; Леборетріер АБ,  Швеція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 </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Вітковська Тетяна Віталіївна. Пропонована редакція: Хілько Євгенія Олександрівна.</w:t>
              <w:br/>
              <w:t>Зміна контактних даних контактної особи заявника, відповідальної за фармаконагляд в Україні.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UA/13603/01/01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ОРФАДИН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nitisinone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нітизинон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A16AX04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5 мг, по 60 капсул у флаконі; по 1 флакону в картонній упаковці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Свідіш Орфан Біовітрум Інтернешенел АБ</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Апотек Продакшн &amp; Леборетріер АБ, Швеція;</w:t>
              <w:br/>
              <w:t xml:space="preserve">Контроль якості: Апотек Продакшн &amp; Леборетріер АБ,  Швеція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Вітковська Тетяна Віталіївна. Пропонована редакція: Хілько Євгенія Олександрівна.</w:t>
              <w:br/>
              <w:t>Зміна контактних даних контактної особи заявника, відповідальної за фармаконагляд в Україні.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UA/13603/01/02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ОРФАДИН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nitisinone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нітизинон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A16AX04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10 мг,по 60 капсул у флаконі; по 1 флакону в картонній упаковці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Свідіш Орфан Біовітрум Інтернешенел АБ</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Апотек Продакшн &amp; Леборетріер АБ, Швеція;</w:t>
              <w:br/>
              <w:t xml:space="preserve">Контроль якості: Апотек Продакшн &amp; Леборетріер АБ,  Швеція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Вітковська Тетяна Віталіївна. Пропонована редакція: Хілько Євгенія Олександрівна.</w:t>
              <w:br/>
              <w:t>Зміна контактних даних контактної особи заявника, відповідальної за фармаконагляд в Україні.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UA/13603/01/03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ПАКЛІТАКСЕЛ АККОРД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paclitaxel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паклітаксел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L01CD01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6 мг/мл; по 5 мл (30 мг), по 16,7 мл (100 мг), по 50 мл (300 мг) у флаконі; по 1 флакону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виробництво bulk, первинне пакування, вторинне пакування, контроль якості серії:</w:t>
              <w:br/>
              <w:t>Інтас Фармасьютікалз Лімітед, Індія; Вторинне пакування: Аккорд Хелскеа Лімітед, Велика Британія; Виробництво готового лікарського засобу, первинне та вторинне пакування, контроль якості серії (альтернативний виробник): Інтас Фармасьютікалс Лімітед, Індія; Контроль якості серій: ЛАБАНАЛІЗІС С.Р.Л, Італія; Контроль якості серій: Фармавалід Лтд. Мікробіологічна лабораторія, Угорщина;</w:t>
              <w:br/>
              <w:t>Відповідальний за випуск серії: Аккорд Хелскеа Полска Сп. з о.о. Склад Імпортера, Польща; вторинне пакування, контроль якості серії: Аккорд Хелскеа Сінгл Мембер С.А., Греція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Угорщина/ Греція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додавання специфікації скляного флакона від нового постачальника упаковки Nipro Pharma об'ємом 5 мл для готового препарату Паклітаксел Акорд 6 мг/мл концентрат для розчину для інфузій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ПАСКОРБІН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color w:val="000000"/>
                <w:sz w:val="16"/>
                <w:szCs w:val="16"/>
              </w:rPr>
            </w:pPr>
            <w:r>
              <w:rPr>
                <w:rFonts w:cs="Arial" w:ascii="Arial" w:hAnsi="Arial"/>
                <w:b/>
                <w:color w:val="000000"/>
                <w:sz w:val="16"/>
                <w:szCs w:val="16"/>
              </w:rPr>
              <w:t>Ascorbic</w:t>
            </w:r>
            <w:r>
              <w:rPr>
                <w:rFonts w:cs="Arial" w:ascii="Arial" w:hAnsi="Arial"/>
                <w:b/>
                <w:color w:val="000000"/>
                <w:sz w:val="16"/>
                <w:szCs w:val="16"/>
                <w:lang w:val="ru-RU"/>
              </w:rPr>
              <w:t xml:space="preserve"> </w:t>
            </w:r>
            <w:r>
              <w:rPr>
                <w:rFonts w:cs="Arial" w:ascii="Arial" w:hAnsi="Arial"/>
                <w:b/>
                <w:color w:val="000000"/>
                <w:sz w:val="16"/>
                <w:szCs w:val="16"/>
              </w:rPr>
              <w:t>acid</w:t>
            </w:r>
            <w:r>
              <w:rPr>
                <w:rFonts w:cs="Arial" w:ascii="Arial" w:hAnsi="Arial"/>
                <w:b/>
                <w:color w:val="000000"/>
                <w:sz w:val="16"/>
                <w:szCs w:val="16"/>
                <w:lang w:val="ru-RU"/>
              </w:rPr>
              <w:t xml:space="preserve"> (</w:t>
            </w:r>
            <w:r>
              <w:rPr>
                <w:rFonts w:cs="Arial" w:ascii="Arial" w:hAnsi="Arial"/>
                <w:b/>
                <w:color w:val="000000"/>
                <w:sz w:val="16"/>
                <w:szCs w:val="16"/>
              </w:rPr>
              <w:t>vit</w:t>
            </w:r>
            <w:r>
              <w:rPr>
                <w:rFonts w:cs="Arial" w:ascii="Arial" w:hAnsi="Arial"/>
                <w:b/>
                <w:color w:val="000000"/>
                <w:sz w:val="16"/>
                <w:szCs w:val="16"/>
                <w:lang w:val="ru-RU"/>
              </w:rPr>
              <w:t xml:space="preserve"> </w:t>
            </w:r>
            <w:r>
              <w:rPr>
                <w:rFonts w:cs="Arial" w:ascii="Arial" w:hAnsi="Arial"/>
                <w:b/>
                <w:color w:val="000000"/>
                <w:sz w:val="16"/>
                <w:szCs w:val="16"/>
              </w:rPr>
              <w:t>C</w:t>
            </w:r>
            <w:r>
              <w:rPr>
                <w:rFonts w:cs="Arial" w:ascii="Arial" w:hAnsi="Arial"/>
                <w:b/>
                <w:color w:val="000000"/>
                <w:sz w:val="16"/>
                <w:szCs w:val="16"/>
                <w:lang w:val="ru-RU"/>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кислота аскорбінова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A11GA01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lang w:val="ru-RU"/>
              </w:rPr>
            </w:pPr>
            <w:r>
              <w:rPr>
                <w:rFonts w:cs="Arial" w:ascii="Arial" w:hAnsi="Arial"/>
                <w:color w:val="000000"/>
                <w:sz w:val="16"/>
                <w:szCs w:val="16"/>
                <w:lang w:val="ru-RU"/>
              </w:rPr>
              <w:t>концентрат для розчину для ін'єкцій та інфузій, 7,5 г, по 50 мл у флаконі, по 1 флакону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 xml:space="preserve">Паско фармацойтіше Препарате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uk-UA"/>
              </w:rPr>
            </w:pPr>
            <w:r>
              <w:rPr>
                <w:rFonts w:cs="Arial" w:ascii="Arial" w:hAnsi="Arial"/>
                <w:color w:val="000000"/>
                <w:sz w:val="16"/>
                <w:szCs w:val="16"/>
                <w:lang w:val="uk-UA"/>
              </w:rPr>
              <w:t>виробництво балку (заповнені флакони); випробування об’єму, що витягається:</w:t>
              <w:br/>
              <w:t>Солюфарм Фармацойтіше Ерцойгніссе ГмбХ, Німеччина;</w:t>
              <w:br/>
              <w:br/>
              <w:t>вторинна упаковка:</w:t>
              <w:br/>
              <w:t>Паско фармацойтіше Препарате ГмбХ, Німеччина;</w:t>
              <w:br/>
              <w:br/>
              <w:t>вторинна упаковка, контроль якості (фізико-хімічні випробування), дозвіл на випуск серії:</w:t>
              <w:br/>
              <w:t>Паско фармацойтіше Препарате ГмбХ, Німеччина;</w:t>
            </w:r>
          </w:p>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br/>
              <w:t>контроль якості (стерильність та бактеріальні ендотоксини):</w:t>
              <w:br/>
              <w:t>Лабор ЛС СЕ енд Ко. КГ, Німеччина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lang w:val="ru-RU"/>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lang w:val="ru-RU"/>
              </w:rPr>
              <w:t>уточнення написання мнн в наказі МОЗ України № 1279 від 02.09.2026 в процесі реєстрації на 5 років</w:t>
            </w:r>
            <w:r>
              <w:rPr>
                <w:rFonts w:cs="Arial" w:ascii="Arial" w:hAnsi="Arial"/>
                <w:color w:val="000000"/>
                <w:sz w:val="16"/>
                <w:szCs w:val="16"/>
                <w:lang w:val="ru-RU"/>
              </w:rPr>
              <w:t xml:space="preserve">. Редакція в наказі - </w:t>
            </w:r>
            <w:r>
              <w:rPr>
                <w:rFonts w:cs="Arial" w:ascii="Arial" w:hAnsi="Arial"/>
                <w:color w:val="000000"/>
                <w:sz w:val="16"/>
                <w:szCs w:val="16"/>
              </w:rPr>
              <w:t>ascorbic</w:t>
            </w:r>
            <w:r>
              <w:rPr>
                <w:rFonts w:cs="Arial" w:ascii="Arial" w:hAnsi="Arial"/>
                <w:color w:val="000000"/>
                <w:sz w:val="16"/>
                <w:szCs w:val="16"/>
                <w:lang w:val="ru-RU"/>
              </w:rPr>
              <w:t xml:space="preserve"> </w:t>
            </w:r>
            <w:r>
              <w:rPr>
                <w:rFonts w:cs="Arial" w:ascii="Arial" w:hAnsi="Arial"/>
                <w:color w:val="000000"/>
                <w:sz w:val="16"/>
                <w:szCs w:val="16"/>
              </w:rPr>
              <w:t>acid</w:t>
            </w:r>
            <w:r>
              <w:rPr>
                <w:rFonts w:cs="Arial" w:ascii="Arial" w:hAnsi="Arial"/>
                <w:color w:val="000000"/>
                <w:sz w:val="16"/>
                <w:szCs w:val="16"/>
                <w:lang w:val="ru-RU"/>
              </w:rPr>
              <w:t xml:space="preserve">. </w:t>
            </w:r>
            <w:r>
              <w:rPr>
                <w:rFonts w:cs="Arial" w:ascii="Arial" w:hAnsi="Arial"/>
                <w:b/>
                <w:color w:val="000000"/>
                <w:sz w:val="16"/>
                <w:szCs w:val="16"/>
                <w:lang w:val="ru-RU"/>
              </w:rPr>
              <w:t xml:space="preserve">Вірна редакція - </w:t>
            </w:r>
            <w:r>
              <w:rPr>
                <w:rFonts w:cs="Arial" w:ascii="Arial" w:hAnsi="Arial"/>
                <w:b/>
                <w:color w:val="000000"/>
                <w:sz w:val="16"/>
                <w:szCs w:val="16"/>
              </w:rPr>
              <w:t>Ascorbic</w:t>
            </w:r>
            <w:r>
              <w:rPr>
                <w:rFonts w:cs="Arial" w:ascii="Arial" w:hAnsi="Arial"/>
                <w:b/>
                <w:color w:val="000000"/>
                <w:sz w:val="16"/>
                <w:szCs w:val="16"/>
                <w:lang w:val="ru-RU"/>
              </w:rPr>
              <w:t xml:space="preserve"> </w:t>
            </w:r>
            <w:r>
              <w:rPr>
                <w:rFonts w:cs="Arial" w:ascii="Arial" w:hAnsi="Arial"/>
                <w:b/>
                <w:color w:val="000000"/>
                <w:sz w:val="16"/>
                <w:szCs w:val="16"/>
              </w:rPr>
              <w:t>acid</w:t>
            </w:r>
            <w:r>
              <w:rPr>
                <w:rFonts w:cs="Arial" w:ascii="Arial" w:hAnsi="Arial"/>
                <w:b/>
                <w:color w:val="000000"/>
                <w:sz w:val="16"/>
                <w:szCs w:val="16"/>
                <w:lang w:val="ru-RU"/>
              </w:rPr>
              <w:t xml:space="preserve"> (</w:t>
            </w:r>
            <w:r>
              <w:rPr>
                <w:rFonts w:cs="Arial" w:ascii="Arial" w:hAnsi="Arial"/>
                <w:b/>
                <w:color w:val="000000"/>
                <w:sz w:val="16"/>
                <w:szCs w:val="16"/>
              </w:rPr>
              <w:t>vit</w:t>
            </w:r>
            <w:r>
              <w:rPr>
                <w:rFonts w:cs="Arial" w:ascii="Arial" w:hAnsi="Arial"/>
                <w:b/>
                <w:color w:val="000000"/>
                <w:sz w:val="16"/>
                <w:szCs w:val="16"/>
                <w:lang w:val="ru-RU"/>
              </w:rPr>
              <w:t xml:space="preserve"> </w:t>
            </w:r>
            <w:r>
              <w:rPr>
                <w:rFonts w:cs="Arial" w:ascii="Arial" w:hAnsi="Arial"/>
                <w:b/>
                <w:color w:val="000000"/>
                <w:sz w:val="16"/>
                <w:szCs w:val="16"/>
              </w:rPr>
              <w:t>C</w:t>
            </w:r>
            <w:r>
              <w:rPr>
                <w:rFonts w:cs="Arial" w:ascii="Arial" w:hAnsi="Arial"/>
                <w:b/>
                <w:color w:val="000000"/>
                <w:sz w:val="16"/>
                <w:szCs w:val="16"/>
                <w:lang w:val="ru-RU"/>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UA/21421/01/01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ПЕРІНДОПРЕС®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perindopril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периндоприлу трет-бутиламін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C09AA04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 мг, по 10 таблеток у контурній чарунковій упаковці; по 3 контурних чарункових упаковок у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2004-284-Rev 02 (затверджений: CEP № R1- CEP 2004-284-Rev 01) для АФІ Периндоприлу трет-бутиламін від вже затвердженого виробника Rolabo Outsourcing, S. L., Spain.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ПЕРІНДОПРЕС®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perindopril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периндоприлу трет-бутиламін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C09AA04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 мг, по 10 таблеток у контурній чарунковій упаковці; по 3 контурних чарункових упаковок у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2004-284-Rev 02 (затверджений: CEP № R1- CEP 2004-284-Rev 01) для АФІ Периндоприлу трет-бутиламін від вже затвердженого виробника Rolabo Outsourcing, S. L., Spain.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UA/16982/01/02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РАНЕКСА® 1000</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ranolazine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ранолазин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C01EB18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пролонгованої дії по 1000 мг; по 10 таблеток у блістері; по 6 блістерів у картонній коробці; по 15 таблеток у блістері; по 4 блістери у картонній коробці; по 20 таблеток у блістері; по 3 блістери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Менаріні Інтернешонал Оперейшонс Люксембург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Люксембург</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контроль та випуск серії: Менаріні-Фон Хейден ГмбХ, Німеччина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(інші зміни) - Зміни у зв’язку з оновленням ASMF виробника AФI ранолазину "Zhejiang Huahai Pharmaceutical Co., Ltd.". Затверджено: ASMF version EU-02.1 (25-05-2021). Запропоновано: ASMF version EU-03 (30.03.2025)</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UA/13676/01/01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РАНЕКСА® 500</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ranolazine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ранолазин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C01EB18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пролонгованої дії по 500 мг; по 10 таблеток у блістері; по 6 блістерів у картонній коробці; по 15 таблеток у блістері; по 4 блістери у картонній коробці; по 20 таблеток у блістері; по 3 блістери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Менаріні Інтернешонал Оперейшонс Люксембург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Люксембург</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контроль та випуск серії: Менаріні-Фон Хейден ГмбХ, Німеччина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(інші зміни) - Зміни у зв’язку з оновленням ASMF виробника AФI ранолазину "Zhejiang Huahai Pharmaceutical Co., Ltd.". Затверджено: ASMF version EU-02.1 (25-05-2021). Запропоновано: ASMF version EU-03 (30.03.2025)</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UA/13676/01/02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РАПІМАКС ФОРТЕ</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парацетамол; </w:t>
              <w:br/>
              <w:t xml:space="preserve">пропіфеназон; </w:t>
              <w:br/>
              <w:t>кофеїн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блістері; по 1 блістеру у картонній упаковці; по 10 таблеток у блістері; по 10 блістерів у картонній упаковці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ДЖІВДХАРА ФАРМА ПРАЙВІТ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Бафна Фармасьютікалс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"Побічні реакції" відповідно до оновленої інформації з безпеки діючої речовини. Термін введення змін протягом 6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 Термін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r>
              <w:rPr>
                <w:rFonts w:eastAsia="Arial" w:cs="Arial" w:ascii="Arial" w:hAnsi="Arial"/>
                <w:i/>
                <w:sz w:val="16"/>
                <w:szCs w:val="16"/>
              </w:rPr>
              <w:t xml:space="preserve"> </w:t>
            </w:r>
            <w:r>
              <w:rPr>
                <w:rFonts w:cs="Arial" w:ascii="Arial" w:hAnsi="Arial"/>
                <w:i/>
                <w:sz w:val="16"/>
                <w:szCs w:val="16"/>
              </w:rPr>
              <w:t>10 – без рецепта; № 100 – 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UA/10270/01/01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РЕВІТ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ретинолу ацетат (вітамін А); тіаміну гідрохлорид (вітамін В1); рибофлавін (вітамін В2); кислота аскорбінова (вітамін С)</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A11BA</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драже, по 80 або по 100 драже у контейнерах; по 80 або по 100 драже у контейнері; по 1 контейнеру в пачці з картону</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"ВІТАМІНИ"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"ВІТАМІНИ"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розширення допустимих меж, визначених у специфікації на контейнери пластмасові (полімерні) та кришки для закупорювання, а саме внесені зміни до п. «Розміри»: висота корпусу (Н) (для контейнера) та зовнішній діаметр (D1) (для кришки).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РЕДЦИТЕПЛАС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b/>
                <w:color w:val="000000"/>
                <w:sz w:val="16"/>
                <w:szCs w:val="16"/>
              </w:rPr>
              <w:t>Iron, parenteral preparations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lang w:val="ru-RU"/>
              </w:rPr>
            </w:pPr>
            <w:r>
              <w:rPr>
                <w:rFonts w:cs="Arial" w:ascii="Arial" w:hAnsi="Arial"/>
                <w:sz w:val="16"/>
                <w:szCs w:val="16"/>
              </w:rPr>
              <w:t>залізо карбоксимальтози</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B03AC</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 xml:space="preserve">дисперсія для ін'єкцій та інфузій, 50 мг/мл, по 100 мг/2 мл, 500 мг/10 мл або 1000 мг/20 мл у флаконі, по 1 флакону у картонній коробці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Д-р Редді'с Лабораторіс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Д-р Редді'с Лабораторіс Лімітед, Виробнича дільниця ФТО–11</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lang w:val="ru-RU"/>
              </w:rPr>
              <w:t>уточнення написання мнн в наказі МОЗ України № 1279 від 02.09.2026 в процесі реєстрації на 5 років.</w:t>
            </w:r>
            <w:r>
              <w:rPr>
                <w:rFonts w:cs="Arial" w:ascii="Arial" w:hAnsi="Arial"/>
                <w:color w:val="000000"/>
                <w:sz w:val="16"/>
                <w:szCs w:val="16"/>
                <w:lang w:val="ru-RU"/>
              </w:rPr>
              <w:t xml:space="preserve"> </w:t>
            </w:r>
            <w:r>
              <w:rPr>
                <w:rFonts w:cs="Arial" w:ascii="Arial" w:hAnsi="Arial"/>
                <w:color w:val="000000"/>
                <w:sz w:val="16"/>
                <w:szCs w:val="16"/>
              </w:rPr>
              <w:t xml:space="preserve">Редакція в наказі - ferric oxide polymaltose complexes. </w:t>
            </w:r>
            <w:r>
              <w:rPr>
                <w:rFonts w:cs="Arial" w:ascii="Arial" w:hAnsi="Arial"/>
                <w:b/>
                <w:color w:val="000000"/>
                <w:sz w:val="16"/>
                <w:szCs w:val="16"/>
              </w:rPr>
              <w:t>Вірна редакція - Iron, parenteral preparations.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UA/21423/01/01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РІНВОК®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upadacitinib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упадацитинібу гемігідрат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L04AF03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пролонгованої дії, 15 мг; №28: по 7 таблеток у блістері, по 4 блістери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ЕббВі Біофармасьютікалз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первинне та вторинне пакування, випуск серії: Еббві С.р.л., Італія; виробництво лікарського засобу, тестування: Еббві Айрленд НЛ Б.В., Ірландiя; тестування під час зберігання: Еббві Інк., США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 США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вносяться до аналітичної методики «Розчинення» ГЛЗ, що дозволяють використовувати фільтри PVDF з розміром пор 0,45 мкм під час автоматичного відбору проб.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UA/18371/01/01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РОВАМЕД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rosuvastatin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розувастатин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C10AA07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по 10 таблеток у блістері; по 3 або 6, або 9 блістерів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дозвіл на випуск серії:</w:t>
              <w:br/>
              <w:t>Медокемі Лімітед, Кіпр;</w:t>
              <w:br/>
              <w:t>виробництво нерозфасованого продукту, контроль якості, первинне та вторинне пакування, дозвіл на випуск серії:</w:t>
              <w:br/>
              <w:t>Медокемі Лімітед, Кіпр;</w:t>
              <w:br/>
              <w:t xml:space="preserve">первинне пакування, вторинне пакування: </w:t>
              <w:br/>
              <w:t>Медокемі (Фа Іст) Лтд., В'єтнам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Кіпр/</w:t>
            </w:r>
          </w:p>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В'єтнам</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виробництва Медокемі (Фа Іст) Лтд., В'єтнам/Medochemie (Far East) Ltd., Viet Nam як дільниці для вторинного пакування.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додаткової дільниці виробництва Медокемі (Фа Іст) Лтд., В'єтнам/Medochemie (Far East) Ltd., Viet Nam як дільниці для первинного пакування.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UA/15599/01/01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РОВАМЕД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rosuvastatin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розувастатин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C10AA07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3 або 6, або 9 блістерів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дозвіл на випуск серії:</w:t>
              <w:br/>
              <w:t>Медокемі Лімітед, Кіпр;</w:t>
              <w:br/>
              <w:t>виробництво нерозфасованого продукту, контроль якості, первинне та вторинне пакування, дозвіл на випуск серії:</w:t>
              <w:br/>
              <w:t>Медокемі Лімітед, Кіпр;</w:t>
              <w:br/>
              <w:t xml:space="preserve">первинне пакування, вторинне пакування: </w:t>
              <w:br/>
              <w:t>Медокемі (Фа Іст) Лтд., В'єтнам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Кіпр/</w:t>
            </w:r>
          </w:p>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В'єтнам</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виробництва Медокемі (Фа Іст) Лтд., В'єтнам/Medochemie (Far East) Ltd., Viet Nam як дільниці для вторинного пакування.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додаткової дільниці виробництва Медокемі (Фа Іст) Лтд., В'єтнам/Medochemie (Far East) Ltd., Viet Nam як дільниці для первинного пакування.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UA/15599/01/02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РОВАМЕД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rosuvastatin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розувастатин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C10AA07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10 таблеток у блістері; по 3 або 6, або 9 блістерів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дозвіл на випуск серії:</w:t>
              <w:br/>
              <w:t>Медокемі Лімітед, Кіпр;</w:t>
              <w:br/>
              <w:t>виробництво нерозфасованого продукту, контроль якості, первинне та вторинне пакування, дозвіл на випуск серії:</w:t>
              <w:br/>
              <w:t>Медокемі Лімітед, Кіпр;</w:t>
              <w:br/>
              <w:t xml:space="preserve">первинне пакування, вторинне пакування: </w:t>
              <w:br/>
              <w:t>Медокемі (Фа Іст) Лтд., В'єтнам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Кіпр/</w:t>
            </w:r>
          </w:p>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В'єтнам</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виробництва Медокемі (Фа Іст) Лтд., В'єтнам/Medochemie (Far East) Ltd., Viet Nam як дільниці для вторинного пакування.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додаткової дільниці виробництва Медокемі (Фа Іст) Лтд., В'єтнам/Medochemie (Far East) Ltd., Viet Nam як дільниці для первинного пакування.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UA/15599/01/03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РОВАМЕД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rosuvastatin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розувастатин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C10AA07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по 10 таблеток у блістері; по 3 або 6, або 9 блістерів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дозвіл на випуск серії:</w:t>
              <w:br/>
              <w:t>Медокемі Лімітед, Кіпр;</w:t>
              <w:br/>
              <w:t>виробництво нерозфасованого продукту, контроль якості, первинне та вторинне пакування, дозвіл на випуск серії:</w:t>
              <w:br/>
              <w:t>Медокемі Лімітед, Кіпр;</w:t>
              <w:br/>
              <w:t xml:space="preserve">первинне пакування, вторинне пакування: </w:t>
              <w:br/>
              <w:t>Медокемі (Фа Іст) Лтд., В'єтнам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Кіпр/</w:t>
            </w:r>
          </w:p>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В'єтнам</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виробництва Медокемі (Фа Іст) Лтд., В'єтнам/Medochemie (Far East) Ltd., Viet Nam як дільниці для вторинного пакування.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додаткової дільниці виробництва Медокемі (Фа Іст) Лтд., В'єтнам/Medochemie (Far East) Ltd., Viet Nam як дільниці для первинного пакування.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UA/15599/01/04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СЕДАФІТОН® ФОРТЕ</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pPr>
            <w:r>
              <w:rPr>
                <w:rFonts w:cs="Arial" w:ascii="Arial" w:hAnsi="Arial"/>
                <w:color w:val="000000"/>
                <w:sz w:val="16"/>
                <w:szCs w:val="16"/>
              </w:rPr>
              <w:t>валеріани кореневищ з коренями екстракт густий (</w:t>
            </w:r>
            <w:r>
              <w:rPr>
                <w:rFonts w:cs="Arial" w:ascii="Arial" w:hAnsi="Arial"/>
                <w:iCs/>
                <w:color w:val="000000"/>
                <w:sz w:val="16"/>
                <w:szCs w:val="16"/>
              </w:rPr>
              <w:t>Valerianae radix cum radicibus</w:t>
            </w:r>
            <w:r>
              <w:rPr>
                <w:rFonts w:cs="Arial" w:ascii="Arial" w:hAnsi="Arial"/>
                <w:color w:val="000000"/>
                <w:sz w:val="16"/>
                <w:szCs w:val="16"/>
              </w:rPr>
              <w:t>), пустирника трави екстракт густий (</w:t>
            </w:r>
            <w:r>
              <w:rPr>
                <w:rFonts w:cs="Arial" w:ascii="Arial" w:hAnsi="Arial"/>
                <w:iCs/>
                <w:color w:val="000000"/>
                <w:sz w:val="16"/>
                <w:szCs w:val="16"/>
              </w:rPr>
              <w:t>Leonuri herba</w:t>
            </w:r>
            <w:r>
              <w:rPr>
                <w:rFonts w:cs="Arial" w:ascii="Arial" w:hAnsi="Arial"/>
                <w:color w:val="000000"/>
                <w:sz w:val="16"/>
                <w:szCs w:val="16"/>
              </w:rPr>
              <w:t>), глоду плодів екстракт густий (</w:t>
            </w:r>
            <w:r>
              <w:rPr>
                <w:rFonts w:cs="Arial" w:ascii="Arial" w:hAnsi="Arial"/>
                <w:iCs/>
                <w:color w:val="000000"/>
                <w:sz w:val="16"/>
                <w:szCs w:val="16"/>
              </w:rPr>
              <w:t>Сrataegi fructus</w:t>
            </w: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N05CM</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6 капсул у блістері; по 2 або 4, або 8 блістерів у пачці; по 30 капсул у контейнері з кришкою з контролем першого відкриття, по 1 контейнеру в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"ФІТОФАРМ"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первинне/вторинне пакування, контроль якості та випуск серії: ПРАТ "ФІТОФАРМ", Україна;</w:t>
              <w:br/>
              <w:t>відповідальний за виробництво, первинне/вторинне пакування та контроль якості: АТ "Лубнифарм", Україна;</w:t>
              <w:br/>
              <w:t>відповідальний за випуск серії, не включаючи контроль/випробування серії: ПРАТ "ФІТОФАРМ",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Зміни до розділу 3.2.Р.7 Система контейнер/ закупорювальний засіб та актуалізовано специфікації на первинне пакування плівку полівінілхлоридну та фольгу алюмінієву, а саме: - до специфікацій на плівку полівінілхлоридну - додано контроль за показниками «МБЧ», та в показника "Умови зберігання і застережні заходи" змінено температурний режим з "0°С до 35°С " на "5 °С до 25 °С "; вилучено показники "Товщина", "Ширина", та "Зсідання під час прогрівання". - до специфікацій на фольгу алюмінієву - внесено уточнення критеріїв прийнятності до показника «МБЧ» згідно вимог ДФУ, вилучено показників "Документи, що підтверджують якість" та "Якість адгезії", заміна пункту "Розмір фольги (товщина та ширини)" на "Розміри, мм". У показника "Умови зберігання і застережні заходи" змінено температурний режим з "0 °С до 35 °С " на "5 °С до 25 °С ". Змін якісного та кількісного складу не відбулось. </w:t>
              <w:br/>
              <w:t>Зміни вносяться з метою уніфікації документації для контролю первинного пакування.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UA/4826/02/01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СЕРВОНЕКС®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donepezil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донепезилу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N06DA02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 мг, по 14 таблеток у блістері; по 2 блістери в картонній упаковці; по 10 таблеток у блістері; по 3 блістери в картонній упаковці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«ГЛЕДФАРМ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 або виробництво продукції in bulk:</w:t>
              <w:br/>
              <w:t>КУСУМ ХЕЛТХКЕР ПВТ ЛТД, Індія; вторинне пакування, контроль якості, випуск серії з продукції in bulk: ТОВ "КУСУМ ФАРМ", Україна</w:t>
              <w:br/>
              <w:t>або ТОВ «ГЛЕДФАРМ ЛТД»,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уточнення реєстраційної процедури в наказі МОЗ України № 1340 від 11.09.2026 -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видалення розмірів серій 500 000 таблеток для дозування 10 мг. Затверджено: Для дозування 10 мг: Розмір серії 100 000, 250 000, 500 000 таблеток. Запропоновано: Для дозування 10 мг: Розмір серії 100 000, 250 000 таблеток. Було -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видалення розмірів серій 1000 000 таблеток для дозування 10 мг. Затверджено: Для дозування 10 мг: Розмір серії 100 000, 250 000, 500 000 таблеток. Запропоновано: Для дозування 10 мг: Розмір серії 100 000, 250 000 таблеток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UA/13114/01/02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СЕРВОНЕКС®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donepezil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донепезилу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N06DA02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оболонкою, по 10 мг in bulk № 14х240: по 14 таблеток у блістері; по 240 блістерів у картонній коробці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«ГЛЕДФАРМ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уточнення реєстраційної процедури в наказі МОЗ України № 1340 від 11.09.2026 -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видалення розмірів серій 500 000 таблеток для дозування 10 мг. Затверджено: Для дозування 10 мг: Розмір серії 100 000, 250 000, 500 000 таблеток. Запропоновано: Для дозування 10 мг: Розмір серії 100 000, 250 000 таблеток. Було -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видалення розмірів серій 1000 000 таблеток для дозування 10 мг. Затверджено: Для дозування 10 мг: Розмір серії 100 000, 250 000, 500 000 таблеток. Запропоновано: Для дозування 10 мг: Розмір серії 100 000, 250 000 таблеток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UA/15767/01/02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СИМВАСТАТИН САНДОЗ® 20</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simvastatin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симвастатин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10 таблеток у блістері; по 3 блістери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in bulk: Сандоз Груп Саглик Урунлері Ілакларі Сан. ве Тік. А.С., Туреччина; </w:t>
              <w:br/>
              <w:t>первинне та вторинне пакування, контроль/випробування серій, випуск серій: Лек С.А., Польща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 Польща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- 3 роки </w:t>
              <w:br/>
              <w:t xml:space="preserve">Кінцева дата для включення даних до РОЗБ - 05.04.2026 р. Дата подання - 04.07.2026 р. </w:t>
              <w:br/>
              <w:t xml:space="preserve">Пропонована редакція: Частота подання регулярно оновлюваного звіту з безпеки - 5 років </w:t>
              <w:br/>
              <w:t xml:space="preserve">Кінцева дата для включення даних до РОЗБ – 05.04.2030 р. Дата подання – 04.07.2030 р. </w:t>
              <w:br/>
              <w:t>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СИМВАСТАТИН САНДОЗ® 40</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simvastatin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симвастатин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по 10 таблеток у блістері; по 3 блістери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in bulk: Сандоз Груп Саглик Урунлері Ілакларі Сан. ве Тік. А.С., Туреччина; </w:t>
              <w:br/>
              <w:t>первинне та вторинне пакування, контроль/випробування серій, випуск серій: Лек С.А., Польща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 Польща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- 3 роки </w:t>
              <w:br/>
              <w:t xml:space="preserve">Кінцева дата для включення даних до РОЗБ - 05.04.2026 р. Дата подання - 04.07.2026 р. </w:t>
              <w:br/>
              <w:t xml:space="preserve">Пропонована редакція: Частота подання регулярно оновлюваного звіту з безпеки - 5 років </w:t>
              <w:br/>
              <w:t xml:space="preserve">Кінцева дата для включення даних до РОЗБ – 05.04.2030 р. Дата подання – 04.07.2030 р. </w:t>
              <w:br/>
              <w:t>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UA/21254/01/02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СОЛІКВА®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Insulin glargine and lixisenatide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інсулін гларгін та ліксисенатид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A10AE54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од/мл+33 мкг/мл, № 3 або № 5: по 3 мл у картриджі, вмонтованому в одноразову шприц-ручку; по 3 або по 5 шприц-ручок в картонній коробці. Голки в упаковку не включені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Санофі-Авентіс Дойчланд ГмбХ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Видалення виробничої дільниці Celonic Deutschland GmbH &amp; Co. KG, Germany в якості альтернативної дільниці, відповідальної за контроль якості АФІ для тестування за показником вмісту E. coli білків (ECP), затверджений виробник Analytical testing and final batch release: Sanofi-Aventis Deutschland GmbH Industriepark Hochst Bruningstrasse 50 65926 Frankfurt am Main Germany.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 Заміна методу тестування АФІ для визначення E. coli білків (ECP) з (ILA) методу (Immuno-Ligand Assay) на новий ELISA метод (Enzyme-Linked Immunosorbent Assay). Тестування методом ELISA впроваджується для виробничої дільниці Sanofi-Aventis Deutschland GmbH, Germany, яка відповідає за контроль якості та випуск серії АФІ.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СОЛІКВА®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Insulin glargine and lixisenatide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інсулін гларгін та ліксисенатид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A10AE54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од/мл+50 мкг/мл, № 3 або № 5: по 3 мл у картриджі, вмонтованому в одноразову шприц-ручку; по 3 або по 5 шприц-ручок в картонній коробці. Голки в упаковку не включені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Санофі-Авентіс Дойчланд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Видалення виробничої дільниці Celonic Deutschland GmbH &amp; Co. KG, Germany в якості альтернативної дільниці, відповідальної за контроль якості АФІ для тестування за показником вмісту E. coli білків (ECP), затверджений виробник Analytical testing and final batch release: Sanofi-Aventis Deutschland GmbH Industriepark Hochst Bruningstrasse 50 65926 Frankfurt am Main Germany.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 Заміна методу тестування АФІ для визначення E. coli білків (ECP) з (ILA) методу (Immuno-Ligand Assay) на новий ELISA метод (Enzyme-Linked Immunosorbent Assay). Тестування методом ELISA впроваджується для виробничої дільниці Sanofi-Aventis Deutschland GmbH, Germany, яка відповідає за контроль якості та випуск серії АФІ.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UA/20960/01/02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СПІОЛТО® РЕСПІМАТ®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Olodaterol and tiotropium bromide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тіотропій (у вигляді броміду моногідрату), олодатерол (у вигляді гідрохлориду)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R03AL06</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інгаляцій по 2,5 мкг/2,5 мкг; по 4 мл у картриджі (60 інгаляцій); по 1 картриджу в комплекті з 1 інгалятором Респімат®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Берінгер Інгельхайм Інтернешнл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пакування, маркування, контроль якості та випуск серій лікарського засобу: Берінгер Інгельхайм Фарма ГмбХ і Ко. КГ, Німеччина; контроль якості за показником "Мікробіологічна чистота": СГС Інститут Фрезеніус ГмбХ, Німеччина; контроль якості за показником "Мікробіологічна чистота": Лабор ЛС СЕ &amp; Ко.КГ, Німеччина; контроль якості за виключенням показника ''Мікробіологічна частота": Куассар Гмбх, Німеччина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w:t>
              <w:br/>
              <w:t>Зміни до специфікацій вихідних матеріалів що використовуються у виробничому процесі діючої речовини олодатеролу гідрохлориду: активоване вугілля, DIP хлорид (-) у гептані, етилацетат, хлороводнева кислота, ізопропанол, метанол, метилтрет-бутиловий ефір, розчин хлориду паладію(II), натрій хлорид, тетрагідрофуран, толуол і вода.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СТЕРОФУНДИН ISO</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electrolytes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shd w:fill="FFFFFF" w:val="clear"/>
              </w:rPr>
              <w:t>натрію хлорид; калію хлорид; магнію хлорид, гексагідрат; кальцію хлорид, дигідрат; натрію ацетат, тригідрат; кислота L-малонова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B05BB01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по 250 мл, 500 мл, 1000 мл у поліетиленовому контейнері; по 10 контейнерів у картонній коробці; по 250 мл, 500 мл, 1000 мл у пластиковому мішку; по 10 мішків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 Браун Мельзунген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 Браун Медікал СА, Іспанія;</w:t>
              <w:br/>
              <w:t>Б. Браун Медикал СА, Швейцарія;</w:t>
              <w:br/>
              <w:t xml:space="preserve">Виробництво, первинна та вторинна упаковка, випуск серії, контроль серії: </w:t>
              <w:br/>
              <w:t>Б. Браун Мельзунген АГ, Німеччина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 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Опис та склад (інші зміни)</w:t>
              <w:br/>
              <w:t>зміна назви діючої речовини із кислоти L-малонової на кислоту L-яблучну, а саме виправлення перекладу діючої речовини згідно оригінального досьє (L-malic acid), з відповідними змінами в розділ «Склад» МКЯ ЛЗ. Також відповідні зміни назви речовини із кислоти L-малонової на кислоту L-яблучну вносяться в методи контролю МКЯ ЛЗ за показниками «Ацетати» і «Малати». Зміни внесено в інструкцію для медичного застосування лікарського засобу у розділ "Склад" (щодо зміни назви діючої речовини) з відповідними змінами в тексті маркування упаковок лікарського засобу.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UA/9618/01/01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rPr>
            </w:pPr>
            <w:r>
              <w:rPr>
                <w:rFonts w:cs="Arial" w:ascii="Arial" w:hAnsi="Arial"/>
                <w:b/>
                <w:sz w:val="16"/>
                <w:szCs w:val="16"/>
              </w:rPr>
              <w:t>СТРЕПСІЛС® ХЕРБАЛ ВІД КАШЛЮ ТА ПОДРАЗНЕННЯ ГОРЛА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сухий екстракт трави сухоребрику (Sisymbrium officinale (L.) Scop., herba)</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R02A 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пастилки по 10 мг; по 12 пастилок у блістері; по 2 або 3 блістери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контроль якості та випробування стабільності, пакування, випуск серії:</w:t>
              <w:br/>
              <w:t>Болдер Арцнайміттел ГмбХ енд Ко. КГ, Німеччина;</w:t>
              <w:br/>
              <w:t>відповідальний за контроль якості та випробування стабільності:</w:t>
              <w:br/>
              <w:t>ФітоЛаб ГмбХ енд Ко. КГ, Німеччина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мнн в наказі МОЗ України № 1279 від 02.09.2026 в процесі реєстрації.</w:t>
            </w:r>
            <w:r>
              <w:rPr>
                <w:rFonts w:cs="Arial" w:ascii="Arial" w:hAnsi="Arial"/>
                <w:color w:val="000000"/>
                <w:sz w:val="16"/>
                <w:szCs w:val="16"/>
              </w:rPr>
              <w:t xml:space="preserve"> Редакція в наказі - Sisymbrium officinale (L.) Scop., herba. </w:t>
            </w:r>
            <w:r>
              <w:rPr>
                <w:rFonts w:cs="Arial" w:ascii="Arial" w:hAnsi="Arial"/>
                <w:b/>
                <w:color w:val="000000"/>
                <w:sz w:val="16"/>
                <w:szCs w:val="16"/>
              </w:rPr>
              <w:t>Вірна редакція -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UA/21424/01/01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ТАЛЛІТОН®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carvedilol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карведилол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C07AG02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по 6,25 мг, по 7 таблеток у блістері; по 2 або 4 блістери у картонній коробці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первинне пакування, вторинне пакування, контроль, випуск серії: ЗАТ Фармацевтичний завод ЕГІС, Угорщина;</w:t>
              <w:br/>
              <w:t>повний цикл виробництва, включаючи випуск серії: ЗАТ Фармацевтичний завод ЕГІС, Угорщина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Єфімкін Андрій Георгійович. Пропонована редакція: Браташова Ірина Миколаївна. </w:t>
              <w:br/>
              <w:t>Зміна контактних даних контактної особи, відповідальної за фармаконагляд в Україні.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UA/0947/01/01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ТАЛЛІТОН®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carvedilol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карведилол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C07AG02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12,5 мг по 14 таблеток у блістері; по 1 або 2 блістери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первинне пакування, вторинне пакування, контроль, випуск серії: ЗАТ Фармацевтичний завод ЕГІС, Угорщина;</w:t>
              <w:br/>
              <w:t>повний цикл виробництва, включаючи випуск серії: ЗАТ Фармацевтичний завод ЕГІС, Угорщина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Єфімкін Андрій Георгійович. Пропонована редакція: Браташова Ірина Миколаївна. </w:t>
              <w:br/>
              <w:t>Зміна контактних даних контактної особи, відповідальної за фармаконагляд в Україні.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UA/0947/01/02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ТАЛЛІТОН®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carvedilol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карведилол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C07AG02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25 мг, по 14 таблеток у блістері; по 1 або 2 блістери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первинне пакування, вторинне пакування, контроль, випуск серії: ЗАТ Фармацевтичний завод ЕГІС, Угорщина;</w:t>
              <w:br/>
              <w:t>повний цикл виробництва, включаючи випуск серії: ЗАТ Фармацевтичний завод ЕГІС, Угорщина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Єфімкін Андрій Георгійович. Пропонована редакція: Браташова Ірина Миколаївна. </w:t>
              <w:br/>
              <w:t>Зміна контактних даних контактної особи, відповідальної за фармаконагляд в Україні.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UA/0947/01/03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ТЕБОКАН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Ginkgo folium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екстракт з листя гінкго білоби сухого (EGb 761®) (Ginkgo biloba L., folium)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N06DX02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120 мг; по 20 таблеток у блістері; по 1, 2 або 3 блістери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Вільмар Швабе ГмбХ і Ко. КГ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Вільмар Швабе ГмбХ і Ко. КГ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вторинної і первинної упаковок лікарського засобу, а саме: внесення незначних редакційних правок по тексту.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UA/14890/01/01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ТИЗЕРЦИН®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levomepromazine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левомепромазину малеат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N05AA02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25 мг, по 50 таблеток у флаконі; по 1 флакону в картонній упаковці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Єфімкін Андрій Георгійович. Пропонована редакція: Браташова Ірина Миколаївна. </w:t>
              <w:br/>
              <w:t>Зміна контактних даних контактної особи, відповідальної за фармаконагляд в Україні.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UA/0175/01/01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ТІАМЕКС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етилметилгідроксипіридину сукцинат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N07XX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2 мл в ампулі; по 5 ампул у блістері; по 2 блістери в пачці; по 5 мл в ампулі; по 5 ампул у блістері; по 1 блістеру в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w:t>
              <w:br/>
              <w:t xml:space="preserve">"Торговий дім "Інфузія"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"Лекхім-Харків"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 Зміни внесено в інструкцію для медичного застосування лікарського засобу, а саме додано розділи "Заявник", "Місцезнаходження заявника" з відповідними змінами в тексті маркування упаковок лікарського засобу. </w:t>
              <w:br/>
              <w:t xml:space="preserve">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Лебединець Інна Василівна. Пропонована редакція: Шлапак Володимир Григорович.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ТІФІМ ВІ ®/ TYPHIM VІ ВАКЦИНА ДЛЯ ПРОФІЛАКТИКИ ЧЕРЕВНОГО ТИФУ ПОЛІСАХАРИДНА РІДКА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sz w:val="16"/>
                <w:szCs w:val="16"/>
              </w:rPr>
            </w:pPr>
            <w:r>
              <w:rPr>
                <w:rFonts w:cs="Arial" w:ascii="Arial" w:hAnsi="Arial"/>
                <w:sz w:val="16"/>
                <w:szCs w:val="16"/>
                <w:shd w:fill="F8F8F8" w:val="clear"/>
              </w:rPr>
              <w:t>Typhoid, purified polysaccharide antigen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sz w:val="16"/>
                <w:szCs w:val="16"/>
              </w:rPr>
            </w:pPr>
            <w:r>
              <w:rPr>
                <w:rFonts w:cs="Arial" w:ascii="Arial" w:hAnsi="Arial"/>
                <w:sz w:val="16"/>
                <w:szCs w:val="16"/>
                <w:shd w:fill="F8F8F8" w:val="clear"/>
              </w:rPr>
              <w:t>очищений Vi-капсулярний полісахарид Salmonella typhi (штам Ty2)</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sz w:val="16"/>
                <w:szCs w:val="16"/>
              </w:rPr>
            </w:pPr>
            <w:r>
              <w:rPr>
                <w:rFonts w:cs="Arial" w:ascii="Arial" w:hAnsi="Arial"/>
                <w:sz w:val="16"/>
                <w:szCs w:val="16"/>
              </w:rPr>
              <w:t>J07AP03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25 мкг/доза; по 0,5 мл (1 доза) у попередньо заповненому шприці з прикріпленою голкою №1 в картонній коробці з маркуванням українською або англійською мовами, або іншими іноземними мовами; по 0,5 мл (1 доза) у попередньо заповненому шприці з прикріпленою голкою №1 в стандартно-експортній упаковці, яка міститься у картонній коробці з інструкцією для медичного застосування з маркуванням українською мовою</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нерозфасованого продукту, вторинне пакування, контроль якості та випуск серії: Санофі Вінтроп Індастрі, Франція; Вторинне пакування, випуск серії: Санофі Вінтроп Індастрі, Франція; Наповнення шприців (включаючи cтерилізуючу фільтрацію) та їх інспектування, контроль якості за показником стерильність): САНОФІ ВІНТРОП ІНДАСТРІА , Франція;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Санофі-Авентіс Зрт., Угорщина; Вторинне пакування: Кюне + Нагель Кфт., Угорщина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Угорщина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Вилучення випробувань: зовнішній вигляд, розчинність в етанолі, pH (водного розчину 10 % м/об), ступінь гідролізу, хлориди (у перерахунку на NaCl), гістамін, індол, сульфатна зола та походження (тваринного походження - бичаче/сертифікат постачальника). Розділ 3.2.S.2.3 «Контроль матеріалів» – контроль джерела та вихідних матеріалів біологічного походження оновлено. Термін введення змін - другий квартал 2028. Зміни І типу - Зміни з якості. АФІ. Контроль АФІ (інші зміни). Незначні зміни, внесені до розділів CTD, такі як переформулювання тексту для кращого розуміння та узгодження інформації з метою гармонізації досьє. Редакційні зміни у розділі 3.2.S.2.3 «Контроль матеріалів» – контроль джерела та вихідних матеріалів біологічного походження, на які впливає дане подання. Термін введення змін - другий квартал 2028</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ТІФІМ ВІ ®/ TYPHIM VІ ВАКЦИНА ДЛЯ ПРОФІЛАКТИКИ ЧЕРЕВНОГО ТИФУ ПОЛІСАХАРИДНА РІДКА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sz w:val="16"/>
                <w:szCs w:val="16"/>
              </w:rPr>
            </w:pPr>
            <w:r>
              <w:rPr>
                <w:rFonts w:cs="Arial" w:ascii="Arial" w:hAnsi="Arial"/>
                <w:sz w:val="16"/>
                <w:szCs w:val="16"/>
                <w:shd w:fill="F8F8F8" w:val="clear"/>
              </w:rPr>
              <w:t>Typhoid, purified polysaccharide antigen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sz w:val="16"/>
                <w:szCs w:val="16"/>
              </w:rPr>
            </w:pPr>
            <w:r>
              <w:rPr>
                <w:rFonts w:cs="Arial" w:ascii="Arial" w:hAnsi="Arial"/>
                <w:sz w:val="16"/>
                <w:szCs w:val="16"/>
                <w:shd w:fill="F8F8F8" w:val="clear"/>
              </w:rPr>
              <w:t>очищений Vi-капсулярний полісахарид Salmonella typhi (штам Ty2)</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sz w:val="16"/>
                <w:szCs w:val="16"/>
              </w:rPr>
            </w:pPr>
            <w:r>
              <w:rPr>
                <w:rFonts w:cs="Arial" w:ascii="Arial" w:hAnsi="Arial"/>
                <w:sz w:val="16"/>
                <w:szCs w:val="16"/>
              </w:rPr>
              <w:t>J07AP03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25 мкг/доза; по 0,5 мл (1 доза) у попередньо заповненому шприці з прикріпленою голкою №1 в картонній коробці з маркуванням українською або англійською мовами, або іншими іноземними мовами; по 0,5 мл (1 доза) у попередньо заповненому шприці з прикріпленою голкою №1 в стандартно-експортній упаковці, яка міститься у картонній коробці з інструкцією для медичного застосування з маркуванням українською мовою</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готового нерозфасованого продукту, вторинне пакування, контроль якості та випуск серії: Санофі Вінтроп Індастрі, Франція; Вторинне пакування, випуск серії: Санофі Вінтроп Індастрі, Франція; Наповнення шприців (включаючи cтерилізуючу фільтрацію) та їх інспектування, контроль якості за показником стерильність): САНОФІ ВІНТРОП ІНДАСТРІА, Франція; </w:t>
              <w:br/>
              <w:t xml:space="preserve">Випуск серії: Санофі-Авентіс Зрт., Угорщина; Вторинне пакування: Кюне + Нагель Кфт., Угорщина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Угорщина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(інші зміни) - Додавання випробування на біонавантаження (Bioburden test) до профілю контролю діючої речовини при закінченні терміну придатності (the End of Shelf-Life profile).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інформації щодо будівлі V4 на виробничій дільниці Марсі Л Етуаль стосовно параметрів процесу або контролю в процесі виробництва, оскільки ця будівля більше не використовується для виробництва цетримідного преципітату Vi полісахариду. Також внесення редакційних правок для коригування інформації без змін у промисловій практиці, вилучення нерелевантної інформації без змін у промисловій практиці, а також для реорганізації інформації в CTD. Зміни II типу - Зміни з якості. АФІ. Контроль АФІ (інші зміни) - Зміни до стратегії контролю діючої речовини. Перегляд стратегії контролю, що застосовується до діючої речовини Очищеного Vi полісахариду, на основі комплексного аналізу, проведеного мультидисциплінарною групою з урахуванням поточного розуміння продукту та процесу, а також вимог Європейської фармакопеї, що діють на даний час, для забезпечення ефективності процесу та якості продукту (визначення стратегії контролю згідно з ICH Q10). Термін введення змін - червень 2027</w:t>
              <w:br/>
              <w:t>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Зміни до контролю у процесі виробництва готового лікарського засобу. Перегляд контролю у процесі виробництва (IPC) шляхом вилучення випробувань: визначення осмоляльності (Osmolality ) на етапі готового нерозфасованого продукту (FBP), випробування на біонавантаження (Bioburden) на етапі FBP, а також визначення об'єму наповнення та його альтернативний метод - вага, що виводиться (Filled Volume and Expellable Weight), виконана на етапі наповненого продукту FP як IPC , оскільки вони не впливають на якість продукту (об'єм, що екстрагується, контролюється при випуску). Термін введення змін - червень 2027. Зміни II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(суттєва зміна у процесі виробництва, яка може мати істотний влив на якість, безпеку та ефективність лікарського засобу) - Зміни у процесі виробництва готового лікарського засобу, а саме впровадження аналізу критичності процесу (PCA) для виробництва готового лікарського засобу відповідно до вимог ICH Q8–Q11. Термін введення змін - червень 2027</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ТОЖЕО СОЛОСТАР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insulin glargine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інсулін гларгін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A10AE04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300 Од./мл; № 1, № 3, № 5: по 1,5 мл у картриджі, вмонтованому в одноразову шприц-ручку; по 1, 3 або 5 шприц-ручок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Санофі-Авентіс Дойчланд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Санофі-Авентіс Дойчланд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Видалення виробничої дільниці Celonic Deutschland GmbH &amp; Co. KG, Germany в якості альтернативної дільниці, відповідальної за контроль якості АФІ для тестування за показником вмісту E. coli білків (ECP), затверджений виробник Analytical testing and final batch release: </w:t>
              <w:br/>
              <w:t>Sanofi-Aventis Deutschland GmbH Industriepark Hochst Bruningstrasse 50 65926 Frankfurt am Main Germany.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 Заміна методу тестування АФІ для визначення E. coli білків (ECP) з (ILA) методу (Immuno-Ligand Assay) на новий ELISA метод (Enzyme-Linked Immunosorbent Assay). Тестування методом ELISA впроваджується для виробничої дільниці Sanofi-Aventis Deutschland GmbH, Germany, яка відповідає за контроль якості та випуск серії АФІ.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ТОЖЕО СОЛОСТАР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insulin glargine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інсулін гларгін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A10AE04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300 Од./мл; № 1, № 3, № 5: по 1,5 мл у картриджі, вмонтованому в одноразову шприц-ручку; по 1, 3 або 5 шприц-ручок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Санофі-Авентіс Дойчланд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Санофі-Авентіс Дойчланд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 Зміни внесено в інструкцію для медичного застосування до розділу "Передозування" відповідно до оновленої інформації щодо безпеки застосування лікарського засобу. </w:t>
              <w:br/>
              <w:t>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ФЕМІНАТІ®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drospirenone and ethinylestradiol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етинілестрадіол, дроспіренон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0,03 мг/3 мг, по 28 (21+7) таблеток у блістері; по 1 блістеру разом з календарною шкалою та тримачем для блістеру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«ВОРВАРТС ФАРМА»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таблеток, первинне та вторинне пакування, контроль якості (окрім контролю якості (мікробіологічна чистота)) та випуск серій кінцевого продукту: Лабораторіос Леон Фарма, С.А., Іспанія; </w:t>
              <w:br/>
              <w:t xml:space="preserve">контроль якості (мікробіологічна чистота): </w:t>
              <w:br/>
              <w:t xml:space="preserve">Лабораторіо Ечеварне С.А., Іспанія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заміна ділянки, де здійснюється мікробіологічне тестування при фінальному контролі серій на Лабораторіо Ечеварне С.А., Іспанiя.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ФОСФОСЕПТИК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fosfomycin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фосфоміцину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J01XX01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3,0 г по 8,0 г гранул для орального розчину у саше; по 1 або 2 саше в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«ІНФАРМА Трейдінг»</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Латвійська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Адіфарм ЕАД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Оляна Севальдо Занева. Пропонована редакція: Поліна Амато.Зміна контактних даних уповноваженої особи, відповідальної за фармаконагляд. Зміна контактної особи заявника, відповідальної за фармаконагляд в Україні. Діюча редакція: Булигіна Лідія Олексіївна. Пропонована редакція: Мілієнко Марія Валентинівна. Зміна контактних даних контактної особи заявника, відповідальної за фармаконагляд в Україні. Зміна місця здійснення основної діяльності з фармаконагляду. Зміна місцезнаходження мастер-файла систми фармаконагляду та його номера. Зміни І типу - Зміни щодо безпеки/ефективності та фармаконагляду (інші зміни). Зміни внесені в текст маркування вторинної і первинної упаковок лікарського засобу, а саме: видалення логотипу та внесення редакційної правки щодо написання «штрихкоду». Термін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ХАРТИЛ®-Н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Ramipril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раміприл і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C09BA05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5 мг/25 мг, по 14 таблеток у блістері; по 2 блістери у картонній упаковці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Відповідальні за повний цикл виробництва:</w:t>
              <w:br/>
              <w:t>ЗАТ Фармацевтичний завод ЕГІС</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"Протипоказання", "Взаємодія з іншими лікарськими засобами та інші види взаємодій", "Особливості застосування" відповідно до оновленої інформації з безпеки застосування лікарського засобу. Термін введення змін - протягом 6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розділів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(внесення додаткових застережень), "Здатність впливати на швидкість реакції при керуванні автотранспортом або іншими механізмами", "Спосіб застосування та дози", "Побічні реакції" відповідно до оновленої інформації з безпеки застосування лікарського засобу, а також внесено редакційну правку в назву розділу "Місцезнаходження виробника та адреса місця провадження його діяльності". Термін введення змін - протягом 6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"Побічні реакції" щодо необхідності звітування про побічні реакції. Термін введення змін - протягом 6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w:t>
              <w:br/>
              <w:t>Зміни внесено до інструкції для медичного застосування лікарського засобу до розділів "Фармакотерапевтична група", "Фармакологічні властивості", "Показання" (уточнення формулювання тексту розділу),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(внесення додаткових застережень), "Спосіб застосування та дози", "Передозування", "Побічні реакції" відповідно до оновленої інформації з безпеки застосування лікарського засобу відповідно до інформації референтного лікарського засобу Delix® 5 Plus, таблетки, 5мг/25мг.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UA/6486/01/02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ХЕЛПЕКС® АНТИКОЛД DX</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парацетамол, кофеїн, фенілефрину гідрохлорид, хлорфеніраміну малеат, декстрометорфану гідроброміду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таблетки: in bulk: по 5000 таблеток у подвійному поліетиленовому пакеті в контейнері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«Мові Хелс»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Сава Хелскеа Лтд, Індія;</w:t>
              <w:br/>
              <w:t>Медітоп Фармасьютікал Лтд., Угорщина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діючої речовини в наказі МОЗ України № 1315 від 07.09.2026 в процесі внесення змін</w:t>
            </w:r>
            <w:r>
              <w:rPr>
                <w:rFonts w:cs="Arial" w:ascii="Arial" w:hAnsi="Arial"/>
                <w:color w:val="000000"/>
                <w:sz w:val="16"/>
                <w:szCs w:val="16"/>
              </w:rPr>
              <w:t xml:space="preserve">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сертифікату відповідності Європейській фармакопеї № CEP 2021-257 - Rev 01 (затверджено: мастер-файл) на АФІ Декстрометорфану гідробромід від вже затвердженого виробника Exemed Pharmaceuticals, India. Як наслідок відповідно до нового СЕР було оновлено назву діючої речовини (було: Декстрометорфану гідробромід / Dextromethorphan hydrobromide; стало: Декстрометорфану гідроброміду моногідрат / Dextromethorphan hydrobromide monohydrate) з відповідними змінами у розділі "Склад" МКЯ ЛЗ. Термін введення змін протягом 12 місяців після затвердження). Редакція в наказі - парацетамол, кофеїн, фенілефрину гідрохлорид, хлорфеніраміну малеат, декстрометорфану гідробромід. </w:t>
            </w:r>
            <w:r>
              <w:rPr>
                <w:rFonts w:cs="Arial" w:ascii="Arial" w:hAnsi="Arial"/>
                <w:b/>
                <w:color w:val="000000"/>
                <w:sz w:val="16"/>
                <w:szCs w:val="16"/>
              </w:rPr>
              <w:t>Вірна редакція - парацетамол, кофеїн, фенілефрину гідрохлорид, хлорфеніраміну малеат, декстрометорфану гідроброміду моногідрат.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UA/9722/01/01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b/>
                <w:b/>
                <w:i/>
                <w:i/>
                <w:color w:val="000000"/>
                <w:sz w:val="16"/>
                <w:szCs w:val="16"/>
                <w:lang w:val="en-US"/>
              </w:rPr>
            </w:pPr>
            <w:r>
              <w:rPr>
                <w:rFonts w:cs="Arial" w:ascii="Arial" w:hAnsi="Arial"/>
                <w:b/>
                <w:sz w:val="16"/>
                <w:szCs w:val="16"/>
              </w:rPr>
              <w:t>ХЕЛПЕКС® АНТИКОЛД DX</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парацетамол, кофеїн, фенілефрину гідрохлорид, хлорфеніраміну малеат, декстрометорфану гідроброміду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N02BE51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таблетки, по 4 таблетки у блістері; по 1 блістеру в картонній пачці; по 4 таблетки у блістері; по 1 блістеру в картонній пачці; по 10 пачок у груповій картонній упаковці; по 4 таблетки у блістері; по 1 блістеру в картонній пачці; по 20 пачок у груповій картонній упаковці; по 10 таблеток у блістері; по 1 блістеру в картонній пачці; по 10 таблеток у блістері; по 1 блістеру в картонній пачці; по 10 пачок у груповій картонній упаковці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«Мові Хелс»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Сава Хелскеа Лтд, Індія;</w:t>
              <w:br/>
              <w:t>Медітоп Фармасьютікал Лтд., Угорщина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діючої речовини в наказі МОЗ України № 1315 від 07.09.2026 в процесі внесення змін</w:t>
            </w:r>
            <w:r>
              <w:rPr>
                <w:rFonts w:cs="Arial" w:ascii="Arial" w:hAnsi="Arial"/>
                <w:color w:val="000000"/>
                <w:sz w:val="16"/>
                <w:szCs w:val="16"/>
              </w:rPr>
              <w:t xml:space="preserve">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сертифікату відповідності Європейській фармакопеї № CEP 2021-257 - Rev 01 (затверджено: мастер-файл) на АФІ Декстрометорфану гідробромід від вже затвердженого виробника Exemed Pharmaceuticals, India. Як наслідок відповідно до нового СЕР було оновлено назву діючої речовини (було: Декстрометорфану гідробромід / Dextromethorphan hydrobromide; стало: Декстрометорфану гідроброміду моногідрат / Dextromethorphan hydrobromide monohydrate) з відповідними змінами у розділі "Склад" МКЯ ЛЗ. Зміни внесено в розділ "Склад" (діючі речовини) в інструкцію для медичного застосування та як наслідок - у текст маркування упаковки лікарського засобу. Термін введення змін протягом 12 місяців після затвердження). Редакція в наказі - парацетамол, кофеїн, фенілефрину гідрохлорид, хлорфеніраміну малеат, декстрометорфану гідробромід. </w:t>
            </w:r>
            <w:r>
              <w:rPr>
                <w:rFonts w:cs="Arial" w:ascii="Arial" w:hAnsi="Arial"/>
                <w:b/>
                <w:color w:val="000000"/>
                <w:sz w:val="16"/>
                <w:szCs w:val="16"/>
              </w:rPr>
              <w:t>Вірна редакція - парацетамол, кофеїн, фенілефрину гідрохлорид, хлорфеніраміну малеат, декстрометорфану гідроброміду моногідрат.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
              <w:tabs>
                <w:tab w:val="left" w:pos="12600" w:leader="none"/>
              </w:tabs>
              <w:jc w:val="center"/>
              <w:rPr>
                <w:rFonts w:ascii="Arial" w:hAnsi="Arial" w:cs="Arial"/>
                <w:sz w:val="16"/>
                <w:szCs w:val="16"/>
              </w:rPr>
            </w:pPr>
            <w:r>
              <w:rPr>
                <w:rFonts w:cs="Arial" w:ascii="Arial" w:hAnsi="Arial"/>
                <w:sz w:val="16"/>
                <w:szCs w:val="16"/>
              </w:rPr>
              <w:t>UA/9825/01/01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ЦЕФМА ДИТЯЧА СУСПЕНЗІЯ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cefpodoxime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цефподоксиму проксетил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J01DD13</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40 мг/5 мл; по 50 мл або 100 мл у флаконі; по 1 флакону та шприцу у картонній коробці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Салютас Фарма ГмбХ, Німеччина; виробництво "in bulk", первинне та вторинне пакування, тестування, випуск серії: Сандоз ГмбХ - Виробнича дільниця Антиінфекційні ГЛЗ та Хімічні Операції Кундль (АІХО ГЛЗ Кундль), Австрія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Австрія</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додавання нового параметра специфікації разом із відповідним методом випробування – тест на мікробне число.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ЯРИНА®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drospirenone and ethinylestradiol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етинілестрадіол, дроспіренон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21 таблетці у блістері з календарною шкалою; по 1 блістеру в картонній пачці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Байєр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дозвіл на випуск серії: Байєр АГ, Німеччина; виробництво нерозфасованої продукції:</w:t>
              <w:br/>
              <w:t>Байєр Ваймар ГмбХ і Ко. КГ, Німеччина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31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подання регулярно оновлюваного звіту з безпеки (РОЗБ) лікарського засобу: </w:t>
              <w:br/>
              <w:t xml:space="preserve">Діюча редакція: Частота подання РОЗБ - 3 роки; </w:t>
              <w:br/>
              <w:t xml:space="preserve">Кінцева дата для включення даних до РОЗБ - 06.09.2019; </w:t>
              <w:br/>
              <w:t xml:space="preserve">дата подання РОЗБ - 05.12.2019 </w:t>
              <w:br/>
              <w:t xml:space="preserve">Пропонована редакція: Частота подання РОЗБ - 5 років; </w:t>
              <w:br/>
              <w:t xml:space="preserve">Кінцева дата для включення даних до РОЗБ - 06.09.2030; </w:t>
              <w:br/>
              <w:t xml:space="preserve">дата подання РОЗБ - 05.12.2030 </w:t>
              <w:br/>
              <w:t xml:space="preserve">Рекомендовано до затвердження відповідно до періодичності подання регулярно оновлюваних звітів з безпеки лікарських засобів у Європейському Союзі.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UA/11479/01/01</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9">
        <w:r>
          <w:rPr>
            <w:rStyle w:val="InternetLink"/>
            <w:i/>
            <w:color w:val="000000"/>
            <w:szCs w:val="16"/>
          </w:rPr>
          <w:t>https://www.whocc.no/atc_ddd_index/</w:t>
        </w:r>
      </w:hyperlink>
      <w:r>
        <w:rPr>
          <w:rStyle w:val="InternetLink"/>
          <w:i/>
          <w:color w:val="000000"/>
          <w:szCs w:val="16"/>
        </w:rPr>
        <w:t>)</w:t>
      </w:r>
    </w:p>
    <w:p>
      <w:pPr>
        <w:pStyle w:val="Normal"/>
        <w:ind w:right="20" w:hanging="0"/>
        <w:rPr>
          <w:rFonts w:ascii="Arial" w:hAnsi="Arial" w:cs="Arial"/>
          <w:i/>
          <w:i/>
          <w:sz w:val="16"/>
          <w:szCs w:val="16"/>
        </w:rPr>
      </w:pPr>
      <w:r>
        <w:rPr>
          <w:rFonts w:cs="Arial" w:ascii="Arial" w:hAnsi="Arial"/>
          <w:i/>
          <w:sz w:val="16"/>
          <w:szCs w:val="16"/>
        </w:rPr>
        <w:t>**у разі внесення змін до інструкції про медичне застосування</w:t>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12"/>
        <w:rPr/>
      </w:pPr>
      <w:r>
        <w:rPr>
          <w:rStyle w:val="Cs7864ebcf1"/>
          <w:color w:val="000000"/>
          <w:sz w:val="28"/>
          <w:szCs w:val="28"/>
        </w:rPr>
        <w:t>Начальник</w:t>
      </w:r>
    </w:p>
    <w:p>
      <w:pPr>
        <w:pStyle w:val="12"/>
        <w:rPr>
          <w:rStyle w:val="Cs7864ebcf1"/>
          <w:color w:val="000000"/>
          <w:sz w:val="28"/>
          <w:szCs w:val="28"/>
        </w:rPr>
      </w:pPr>
      <w:r>
        <w:rPr>
          <w:rStyle w:val="Cs7864ebcf1"/>
          <w:color w:val="000000"/>
          <w:sz w:val="28"/>
          <w:szCs w:val="28"/>
        </w:rPr>
        <w:t>Фармацевтичного управління                                                                                                       Олександр ГРІЦЕНКО</w:t>
      </w:r>
    </w:p>
    <w:p>
      <w:pPr>
        <w:pStyle w:val="33"/>
        <w:spacing w:before="0" w:after="0"/>
        <w:ind w:left="0" w:hanging="0"/>
        <w:rPr>
          <w:rStyle w:val="Cs7864ebcf1"/>
          <w:b/>
          <w:b/>
          <w:color w:val="000000"/>
          <w:sz w:val="28"/>
          <w:szCs w:val="28"/>
          <w:lang w:val="uk-UA"/>
        </w:rPr>
      </w:pPr>
      <w:r>
        <w:rPr/>
      </w:r>
    </w:p>
    <w:sectPr>
      <w:headerReference w:type="default" r:id="rId10"/>
      <w:headerReference w:type="first" r:id="rId11"/>
      <w:footerReference w:type="default" r:id="rId12"/>
      <w:footerReference w:type="first" r:id="rId13"/>
      <w:type w:val="nextPage"/>
      <w:pgSz w:orient="landscape" w:w="16838" w:h="11906"/>
      <w:pgMar w:left="1701" w:right="902" w:header="709" w:top="1134" w:footer="709" w:bottom="765"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Arial">
    <w:charset w:val="cc"/>
    <w:family w:val="swiss"/>
    <w:pitch w:val="variable"/>
  </w:font>
  <w:font w:name="Courier New">
    <w:charset w:val="cc"/>
    <w:family w:val="modern"/>
    <w:pitch w:val="default"/>
  </w:font>
  <w:font w:name="Segoe UI">
    <w:charset w:val="cc"/>
    <w:family w:val="swiss"/>
    <w:pitch w:val="variable"/>
  </w:font>
  <w:font w:name="Tahoma">
    <w:charset w:val="cc"/>
    <w:family w:val="swiss"/>
    <w:pitch w:val="variable"/>
  </w:font>
  <w:font w:name="Microsoft YaHei">
    <w:charset w:val="86"/>
    <w:family w:val="swiss"/>
    <w:pitch w:val="variable"/>
  </w:font>
  <w:font w:name="Cambria">
    <w:charset w:val="cc"/>
    <w:family w:val="roman"/>
    <w:pitch w:val="variable"/>
  </w:font>
  <w:font w:name="Calibri Light">
    <w:charset w:val="cc"/>
    <w:family w:val="swiss"/>
    <w:pitch w:val="variable"/>
  </w:font>
  <w:font w:name="Calibri">
    <w:charset w:val="cc"/>
    <w:family w:val="swiss"/>
    <w:pitch w:val="variable"/>
  </w:font>
  <w:font w:name="Times New Roman CYR">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r>
      <mc:AlternateContent>
        <mc:Choice Requires="wps">
          <w:drawing>
            <wp:anchor behindDoc="0" distT="0" distB="0" distL="0" distR="0" simplePos="0" locked="0" layoutInCell="1" allowOverlap="1" relativeHeight="3">
              <wp:simplePos x="0" y="0"/>
              <wp:positionH relativeFrom="margin">
                <wp:align>center</wp:align>
              </wp:positionH>
              <wp:positionV relativeFrom="paragraph">
                <wp:posOffset>635</wp:posOffset>
              </wp:positionV>
              <wp:extent cx="64135" cy="145415"/>
              <wp:effectExtent l="0" t="0" r="0" b="0"/>
              <wp:wrapSquare wrapText="largest"/>
              <wp:docPr id="2" name="Frame1"/>
              <a:graphic xmlns:a="http://schemas.openxmlformats.org/drawingml/2006/main">
                <a:graphicData uri="http://schemas.microsoft.com/office/word/2010/wordprocessingShape">
                  <wps:wsp>
                    <wps:cNvSpPr txBox="1"/>
                    <wps:spPr>
                      <a:xfrm>
                        <a:off x="0" y="0"/>
                        <a:ext cx="64135" cy="145415"/>
                      </a:xfrm>
                      <a:prstGeom prst="rect"/>
                      <a:solidFill>
                        <a:srgbClr val="FFFFFF">
                          <a:alpha val="0"/>
                        </a:srgbClr>
                      </a:solidFill>
                    </wps:spPr>
                    <wps:txbx>
                      <w:txbxContent>
                        <w:p>
                          <w:pPr>
                            <w:pStyle w:val="Header"/>
                            <w:rPr>
                              <w:rStyle w:val="PageNumber"/>
                            </w:rPr>
                          </w:pPr>
                          <w:r>
                            <w:rPr>
                              <w:rStyle w:val="PageNumber"/>
                            </w:rPr>
                            <w:fldChar w:fldCharType="begin"/>
                          </w:r>
                          <w:r>
                            <w:instrText> PAGE </w:instrText>
                          </w:r>
                          <w:r>
                            <w:fldChar w:fldCharType="separate"/>
                          </w:r>
                          <w:r>
                            <w:t>2</w:t>
                          </w:r>
                          <w:r>
                            <w:fldChar w:fldCharType="end"/>
                          </w:r>
                        </w:p>
                      </w:txbxContent>
                    </wps:txbx>
                    <wps:bodyPr anchor="t">
                      <a:noAutofit/>
                    </wps:bodyPr>
                  </wps:wsp>
                </a:graphicData>
              </a:graphic>
            </wp:anchor>
          </w:drawing>
        </mc:Choice>
        <mc:Fallback>
          <w:pict>
            <v:rect fillcolor="#FFFFFF" style="position:absolute;rotation:0;width:5.05pt;height:11.45pt;margin-top:0.05pt;mso-position-vertical-relative:text;margin-left:238.45pt;mso-position-horizontal:center;mso-position-horizontal-relative:margin">
              <v:fill opacity="0f"/>
              <v:textbox>
                <w:txbxContent>
                  <w:p>
                    <w:pPr>
                      <w:pStyle w:val="Header"/>
                      <w:rPr>
                        <w:rStyle w:val="PageNumber"/>
                      </w:rPr>
                    </w:pPr>
                    <w:r>
                      <w:rPr>
                        <w:rStyle w:val="PageNumber"/>
                      </w:rPr>
                      <w:fldChar w:fldCharType="begin"/>
                    </w:r>
                    <w:r>
                      <w:instrText> PAGE </w:instrText>
                    </w:r>
                    <w:r>
                      <w:fldChar w:fldCharType="separate"/>
                    </w:r>
                    <w:r>
                      <w:t>2</w:t>
                    </w:r>
                    <w:r>
                      <w:fldChar w:fldCharType="end"/>
                    </w:r>
                  </w:p>
                </w:txbxContent>
              </v:textbox>
              <w10:wrap type="square" side="largest"/>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r>
      <mc:AlternateContent>
        <mc:Choice Requires="wps">
          <w:drawing>
            <wp:anchor behindDoc="0" distT="0" distB="0" distL="0" distR="0" simplePos="0" locked="0" layoutInCell="1" allowOverlap="1" relativeHeight="121">
              <wp:simplePos x="0" y="0"/>
              <wp:positionH relativeFrom="margin">
                <wp:align>center</wp:align>
              </wp:positionH>
              <wp:positionV relativeFrom="paragraph">
                <wp:posOffset>635</wp:posOffset>
              </wp:positionV>
              <wp:extent cx="191135" cy="145415"/>
              <wp:effectExtent l="0" t="0" r="0" b="0"/>
              <wp:wrapSquare wrapText="largest"/>
              <wp:docPr id="3" name="Frame2"/>
              <a:graphic xmlns:a="http://schemas.openxmlformats.org/drawingml/2006/main">
                <a:graphicData uri="http://schemas.microsoft.com/office/word/2010/wordprocessingShape">
                  <wps:wsp>
                    <wps:cNvSpPr txBox="1"/>
                    <wps:spPr>
                      <a:xfrm>
                        <a:off x="0" y="0"/>
                        <a:ext cx="191135" cy="145415"/>
                      </a:xfrm>
                      <a:prstGeom prst="rect"/>
                      <a:solidFill>
                        <a:srgbClr val="FFFFFF">
                          <a:alpha val="0"/>
                        </a:srgbClr>
                      </a:solidFill>
                    </wps:spPr>
                    <wps:txbx>
                      <w:txbxContent>
                        <w:p>
                          <w:pPr>
                            <w:pStyle w:val="Header"/>
                            <w:rPr/>
                          </w:pPr>
                          <w:r>
                            <w:rPr>
                              <w:rStyle w:val="PageNumber"/>
                            </w:rPr>
                            <w:fldChar w:fldCharType="begin"/>
                          </w:r>
                          <w:r>
                            <w:instrText> PAGE </w:instrText>
                          </w:r>
                          <w:r>
                            <w:fldChar w:fldCharType="separate"/>
                          </w:r>
                          <w:r>
                            <w:t>121</w:t>
                          </w:r>
                          <w:r>
                            <w:fldChar w:fldCharType="end"/>
                          </w:r>
                        </w:p>
                      </w:txbxContent>
                    </wps:txbx>
                    <wps:bodyPr anchor="t">
                      <a:noAutofit/>
                    </wps:bodyPr>
                  </wps:wsp>
                </a:graphicData>
              </a:graphic>
            </wp:anchor>
          </w:drawing>
        </mc:Choice>
        <mc:Fallback>
          <w:pict>
            <v:rect fillcolor="#FFFFFF" style="position:absolute;rotation:0;width:15.05pt;height:11.45pt;margin-top:0.05pt;mso-position-vertical-relative:text;margin-left:348.35pt;mso-position-horizontal:center;mso-position-horizontal-relative:margin">
              <v:fill opacity="0f"/>
              <v:textbox>
                <w:txbxContent>
                  <w:p>
                    <w:pPr>
                      <w:pStyle w:val="Header"/>
                      <w:rPr/>
                    </w:pPr>
                    <w:r>
                      <w:rPr>
                        <w:rStyle w:val="PageNumber"/>
                      </w:rPr>
                      <w:fldChar w:fldCharType="begin"/>
                    </w:r>
                    <w:r>
                      <w:instrText> PAGE </w:instrText>
                    </w:r>
                    <w:r>
                      <w:fldChar w:fldCharType="separate"/>
                    </w:r>
                    <w:r>
                      <w:t>121</w:t>
                    </w:r>
                    <w:r>
                      <w:fldChar w:fldCharType="end"/>
                    </w:r>
                  </w:p>
                </w:txbxContent>
              </v:textbox>
              <w10:wrap type="square" side="largest"/>
            </v:rect>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right"/>
      <w:pPr>
        <w:ind w:left="720" w:hanging="360"/>
      </w:pPr>
      <w:rPr/>
    </w:lvl>
  </w:abstractNum>
  <w:abstractNum w:abstractNumId="3">
    <w:lvl w:ilvl="0">
      <w:start w:val="1"/>
      <w:numFmt w:val="decimal"/>
      <w:lvlText w:val="%1."/>
      <w:lvlJc w:val="right"/>
      <w:pPr>
        <w:ind w:left="720" w:hanging="360"/>
      </w:pPr>
      <w:rPr/>
    </w:lvl>
  </w:abstractNum>
  <w:abstractNum w:abstractNumId="4">
    <w:lvl w:ilvl="0">
      <w:start w:val="1"/>
      <w:numFmt w:val="decimal"/>
      <w:lvlText w:val="%1."/>
      <w:lvlJc w:val="right"/>
      <w:pPr>
        <w:ind w:left="72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8"/>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bidi w:val="0"/>
    </w:pPr>
    <w:rPr>
      <w:rFonts w:ascii="Times New Roman" w:hAnsi="Times New Roman" w:eastAsia="Calibri"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jc w:val="both"/>
      <w:outlineLvl w:val="0"/>
    </w:pPr>
    <w:rPr>
      <w:rFonts w:eastAsia="Times New Roman"/>
      <w:b/>
      <w:sz w:val="26"/>
      <w:lang w:val="ru-RU"/>
    </w:rPr>
  </w:style>
  <w:style w:type="paragraph" w:styleId="Heading2">
    <w:name w:val="Heading 2"/>
    <w:basedOn w:val="Normal"/>
    <w:next w:val="12"/>
    <w:qFormat/>
    <w:pPr>
      <w:keepNext w:val="true"/>
      <w:numPr>
        <w:ilvl w:val="1"/>
        <w:numId w:val="1"/>
      </w:numPr>
      <w:outlineLvl w:val="1"/>
    </w:pPr>
    <w:rPr>
      <w:rFonts w:ascii="Arial" w:hAnsi="Arial" w:eastAsia="Times New Roman" w:cs="Arial"/>
      <w:b/>
      <w:caps/>
      <w:sz w:val="16"/>
      <w:lang w:val="uk-UA"/>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6">
    <w:name w:val="Heading 6"/>
    <w:basedOn w:val="Normal"/>
    <w:next w:val="TextBody"/>
    <w:qFormat/>
    <w:pPr>
      <w:numPr>
        <w:ilvl w:val="5"/>
        <w:numId w:val="1"/>
      </w:numPr>
      <w:spacing w:before="240" w:after="60"/>
      <w:outlineLvl w:val="5"/>
    </w:pPr>
    <w:rPr>
      <w:b/>
      <w:bCs/>
      <w:sz w:val="22"/>
      <w:szCs w:val="22"/>
      <w:lang w:val="en-U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Style9">
    <w:name w:val="Основной шрифт абзаца"/>
    <w:qFormat/>
    <w:rPr/>
  </w:style>
  <w:style w:type="character" w:styleId="1">
    <w:name w:val="Заголовок 1 Знак"/>
    <w:qFormat/>
    <w:rPr>
      <w:rFonts w:ascii="Times New Roman" w:hAnsi="Times New Roman" w:eastAsia="Times New Roman" w:cs="Times New Roman"/>
      <w:b/>
      <w:sz w:val="26"/>
    </w:rPr>
  </w:style>
  <w:style w:type="character" w:styleId="3">
    <w:name w:val="Заголовок 3 Знак"/>
    <w:qFormat/>
    <w:rPr>
      <w:rFonts w:ascii="Arial" w:hAnsi="Arial" w:eastAsia="Times New Roman" w:cs="Arial"/>
      <w:b/>
      <w:bCs/>
      <w:sz w:val="26"/>
      <w:szCs w:val="26"/>
      <w:lang w:val="ru-RU"/>
    </w:rPr>
  </w:style>
  <w:style w:type="character" w:styleId="HTML">
    <w:name w:val="Стандартный HTML Знак"/>
    <w:qFormat/>
    <w:rPr>
      <w:rFonts w:ascii="Courier New" w:hAnsi="Courier New" w:cs="Courier New"/>
      <w:color w:val="000000"/>
      <w:sz w:val="21"/>
      <w:szCs w:val="21"/>
      <w:lang w:val="ru-RU"/>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Style10">
    <w:name w:val="Верхний колонтитул Знак"/>
    <w:qFormat/>
    <w:rPr>
      <w:rFonts w:ascii="Times New Roman" w:hAnsi="Times New Roman" w:cs="Times New Roman"/>
      <w:lang w:val="ru-RU"/>
    </w:rPr>
  </w:style>
  <w:style w:type="character" w:styleId="Style11">
    <w:name w:val="Нижний колонтитул Знак"/>
    <w:qFormat/>
    <w:rPr>
      <w:rFonts w:ascii="Times New Roman" w:hAnsi="Times New Roman" w:cs="Times New Roman"/>
      <w:lang w:val="ru-RU"/>
    </w:rPr>
  </w:style>
  <w:style w:type="character" w:styleId="PageNumber">
    <w:name w:val="Page Number"/>
    <w:basedOn w:val="Style9"/>
    <w:rPr/>
  </w:style>
  <w:style w:type="character" w:styleId="Appleconvertedspace">
    <w:name w:val="apple-converted-space"/>
    <w:basedOn w:val="Style9"/>
    <w:qFormat/>
    <w:rPr/>
  </w:style>
  <w:style w:type="character" w:styleId="InternetLink">
    <w:name w:val="Internet Link"/>
    <w:rPr>
      <w:rFonts w:ascii="Segoe UI" w:hAnsi="Segoe UI" w:cs="Segoe UI"/>
      <w:color w:val="0000FF"/>
      <w:sz w:val="18"/>
      <w:szCs w:val="18"/>
      <w:u w:val="single"/>
    </w:rPr>
  </w:style>
  <w:style w:type="character" w:styleId="Cs7864ebcf1">
    <w:name w:val="cs7864ebcf1"/>
    <w:qFormat/>
    <w:rPr>
      <w:rFonts w:ascii="Times New Roman" w:hAnsi="Times New Roman" w:cs="Times New Roman"/>
      <w:b/>
      <w:bCs/>
      <w:i w:val="false"/>
      <w:iCs w:val="false"/>
      <w:color w:val="000000"/>
      <w:sz w:val="26"/>
      <w:szCs w:val="26"/>
      <w:shd w:fill="auto" w:val="clear"/>
    </w:rPr>
  </w:style>
  <w:style w:type="character" w:styleId="2">
    <w:name w:val="Заголовок 2 Знак"/>
    <w:qFormat/>
    <w:rPr>
      <w:rFonts w:ascii="Arial" w:hAnsi="Arial" w:eastAsia="Times New Roman" w:cs="Arial"/>
      <w:b/>
      <w:caps/>
      <w:sz w:val="16"/>
    </w:rPr>
  </w:style>
  <w:style w:type="character" w:styleId="6">
    <w:name w:val="Заголовок 6 Знак"/>
    <w:qFormat/>
    <w:rPr>
      <w:rFonts w:ascii="Times New Roman" w:hAnsi="Times New Roman" w:cs="Times New Roman"/>
      <w:b/>
      <w:bCs/>
      <w:sz w:val="22"/>
      <w:szCs w:val="22"/>
      <w:lang w:val="en-US"/>
    </w:rPr>
  </w:style>
  <w:style w:type="character" w:styleId="4">
    <w:name w:val="Заголовок 4 Знак"/>
    <w:qFormat/>
    <w:rPr>
      <w:rFonts w:ascii="Times New Roman" w:hAnsi="Times New Roman" w:cs="Times New Roman"/>
      <w:b/>
      <w:bCs/>
      <w:sz w:val="28"/>
      <w:szCs w:val="28"/>
      <w:lang w:val="ru-RU"/>
    </w:rPr>
  </w:style>
  <w:style w:type="character" w:styleId="Heading2Char">
    <w:name w:val="Heading 2 Char"/>
    <w:qFormat/>
    <w:rPr>
      <w:rFonts w:ascii="Arial" w:hAnsi="Arial" w:eastAsia="Times New Roman" w:cs="Arial"/>
      <w:b/>
      <w:caps/>
      <w:sz w:val="16"/>
      <w:lang w:val="ru-RU"/>
    </w:rPr>
  </w:style>
  <w:style w:type="character" w:styleId="Heading4Char">
    <w:name w:val="Heading 4 Char"/>
    <w:qFormat/>
    <w:rPr>
      <w:rFonts w:ascii="Arial" w:hAnsi="Arial" w:eastAsia="Times New Roman" w:cs="Arial"/>
      <w:b/>
      <w:lang w:val="ru-RU"/>
    </w:rPr>
  </w:style>
  <w:style w:type="character" w:styleId="Csb3e8c9cf24">
    <w:name w:val="csb3e8c9cf24"/>
    <w:qFormat/>
    <w:rPr>
      <w:rFonts w:ascii="Arial" w:hAnsi="Arial" w:cs="Arial"/>
      <w:b/>
      <w:bCs/>
      <w:i w:val="false"/>
      <w:iCs w:val="false"/>
      <w:color w:val="000000"/>
      <w:sz w:val="18"/>
      <w:szCs w:val="18"/>
      <w:shd w:fill="auto" w:val="clear"/>
    </w:rPr>
  </w:style>
  <w:style w:type="character" w:styleId="Style12">
    <w:name w:val="Текст выноски Знак"/>
    <w:qFormat/>
    <w:rPr>
      <w:rFonts w:ascii="Tahoma" w:hAnsi="Tahoma" w:eastAsia="Times New Roman" w:cs="Tahoma"/>
      <w:sz w:val="16"/>
      <w:szCs w:val="16"/>
      <w:lang w:val="ru-RU"/>
    </w:rPr>
  </w:style>
  <w:style w:type="character" w:styleId="BodyTextIndentChar">
    <w:name w:val="Body Text Indent Char"/>
    <w:qFormat/>
    <w:rPr>
      <w:rFonts w:ascii="Arial" w:hAnsi="Arial" w:eastAsia="Times New Roman" w:cs="Arial"/>
      <w:sz w:val="18"/>
      <w:lang w:val="ru-RU"/>
    </w:rPr>
  </w:style>
  <w:style w:type="character" w:styleId="Csab6e076947">
    <w:name w:val="csab6e076947"/>
    <w:qFormat/>
    <w:rPr>
      <w:rFonts w:ascii="Arial" w:hAnsi="Arial" w:cs="Arial"/>
      <w:b w:val="false"/>
      <w:bCs w:val="false"/>
      <w:i w:val="false"/>
      <w:iCs w:val="false"/>
      <w:color w:val="000000"/>
      <w:sz w:val="18"/>
      <w:szCs w:val="18"/>
      <w:shd w:fill="auto" w:val="clear"/>
    </w:rPr>
  </w:style>
  <w:style w:type="character" w:styleId="Csab6e076986">
    <w:name w:val="csab6e076986"/>
    <w:qFormat/>
    <w:rPr>
      <w:rFonts w:ascii="Arial" w:hAnsi="Arial" w:cs="Arial"/>
      <w:b w:val="false"/>
      <w:bCs w:val="false"/>
      <w:i w:val="false"/>
      <w:iCs w:val="false"/>
      <w:color w:val="000000"/>
      <w:sz w:val="18"/>
      <w:szCs w:val="18"/>
      <w:shd w:fill="auto" w:val="clear"/>
    </w:rPr>
  </w:style>
  <w:style w:type="character" w:styleId="Csf229d0ff18">
    <w:name w:val="csf229d0ff18"/>
    <w:qFormat/>
    <w:rPr>
      <w:rFonts w:ascii="Arial" w:hAnsi="Arial" w:cs="Arial"/>
      <w:b w:val="false"/>
      <w:bCs w:val="false"/>
      <w:i w:val="false"/>
      <w:iCs w:val="false"/>
      <w:color w:val="000000"/>
      <w:sz w:val="18"/>
      <w:szCs w:val="18"/>
      <w:shd w:fill="auto" w:val="clear"/>
    </w:rPr>
  </w:style>
  <w:style w:type="character" w:styleId="Csf229d0ff2">
    <w:name w:val="csf229d0ff2"/>
    <w:qFormat/>
    <w:rPr>
      <w:rFonts w:ascii="Arial" w:hAnsi="Arial" w:cs="Arial"/>
      <w:b w:val="false"/>
      <w:bCs w:val="false"/>
      <w:i w:val="false"/>
      <w:iCs w:val="false"/>
      <w:color w:val="000000"/>
      <w:sz w:val="18"/>
      <w:szCs w:val="18"/>
      <w:shd w:fill="auto" w:val="clear"/>
    </w:rPr>
  </w:style>
  <w:style w:type="character" w:styleId="Csf229d0ff9">
    <w:name w:val="csf229d0ff9"/>
    <w:qFormat/>
    <w:rPr>
      <w:rFonts w:ascii="Arial" w:hAnsi="Arial" w:cs="Arial"/>
      <w:b w:val="false"/>
      <w:bCs w:val="false"/>
      <w:i w:val="false"/>
      <w:iCs w:val="false"/>
      <w:color w:val="000000"/>
      <w:sz w:val="18"/>
      <w:szCs w:val="18"/>
      <w:shd w:fill="auto" w:val="clear"/>
    </w:rPr>
  </w:style>
  <w:style w:type="character" w:styleId="Csab6e076950">
    <w:name w:val="csab6e076950"/>
    <w:qFormat/>
    <w:rPr>
      <w:rFonts w:ascii="Arial" w:hAnsi="Arial" w:cs="Arial"/>
      <w:b w:val="false"/>
      <w:bCs w:val="false"/>
      <w:i w:val="false"/>
      <w:iCs w:val="false"/>
      <w:color w:val="000000"/>
      <w:sz w:val="18"/>
      <w:szCs w:val="18"/>
      <w:shd w:fill="auto" w:val="clear"/>
    </w:rPr>
  </w:style>
  <w:style w:type="character" w:styleId="Csab6e0769107">
    <w:name w:val="csab6e0769107"/>
    <w:qFormat/>
    <w:rPr>
      <w:rFonts w:ascii="Arial" w:hAnsi="Arial" w:cs="Arial"/>
      <w:b w:val="false"/>
      <w:bCs w:val="false"/>
      <w:i w:val="false"/>
      <w:iCs w:val="false"/>
      <w:color w:val="000000"/>
      <w:sz w:val="18"/>
      <w:szCs w:val="18"/>
      <w:shd w:fill="auto" w:val="clear"/>
    </w:rPr>
  </w:style>
  <w:style w:type="character" w:styleId="Csab6e076910">
    <w:name w:val="csab6e076910"/>
    <w:qFormat/>
    <w:rPr>
      <w:rFonts w:ascii="Arial" w:hAnsi="Arial" w:cs="Arial"/>
      <w:b w:val="false"/>
      <w:bCs w:val="false"/>
      <w:i w:val="false"/>
      <w:iCs w:val="false"/>
      <w:color w:val="000000"/>
      <w:sz w:val="18"/>
      <w:szCs w:val="18"/>
      <w:shd w:fill="auto" w:val="clear"/>
    </w:rPr>
  </w:style>
  <w:style w:type="character" w:styleId="Csab6e076929">
    <w:name w:val="csab6e076929"/>
    <w:qFormat/>
    <w:rPr>
      <w:rFonts w:ascii="Arial" w:hAnsi="Arial" w:cs="Arial"/>
      <w:b w:val="false"/>
      <w:bCs w:val="false"/>
      <w:i w:val="false"/>
      <w:iCs w:val="false"/>
      <w:color w:val="000000"/>
      <w:sz w:val="18"/>
      <w:szCs w:val="18"/>
      <w:shd w:fill="auto" w:val="clear"/>
    </w:rPr>
  </w:style>
  <w:style w:type="character" w:styleId="Csf229d0ff17">
    <w:name w:val="csf229d0ff17"/>
    <w:qFormat/>
    <w:rPr>
      <w:rFonts w:ascii="Arial" w:hAnsi="Arial" w:cs="Arial"/>
      <w:b w:val="false"/>
      <w:bCs w:val="false"/>
      <w:i w:val="false"/>
      <w:iCs w:val="false"/>
      <w:color w:val="000000"/>
      <w:sz w:val="18"/>
      <w:szCs w:val="18"/>
      <w:shd w:fill="auto" w:val="clear"/>
    </w:rPr>
  </w:style>
  <w:style w:type="character" w:styleId="Csab6e076981">
    <w:name w:val="csab6e076981"/>
    <w:qFormat/>
    <w:rPr>
      <w:rFonts w:ascii="Arial" w:hAnsi="Arial" w:cs="Arial"/>
      <w:b w:val="false"/>
      <w:bCs w:val="false"/>
      <w:i w:val="false"/>
      <w:iCs w:val="false"/>
      <w:color w:val="000000"/>
      <w:sz w:val="18"/>
      <w:szCs w:val="18"/>
      <w:shd w:fill="auto" w:val="clear"/>
    </w:rPr>
  </w:style>
  <w:style w:type="character" w:styleId="Csab6e076982">
    <w:name w:val="csab6e076982"/>
    <w:qFormat/>
    <w:rPr>
      <w:rFonts w:ascii="Arial" w:hAnsi="Arial" w:cs="Arial"/>
      <w:b w:val="false"/>
      <w:bCs w:val="false"/>
      <w:i w:val="false"/>
      <w:iCs w:val="false"/>
      <w:color w:val="000000"/>
      <w:sz w:val="18"/>
      <w:szCs w:val="18"/>
      <w:shd w:fill="auto" w:val="clear"/>
    </w:rPr>
  </w:style>
  <w:style w:type="character" w:styleId="Csf229d0ff11">
    <w:name w:val="csf229d0ff11"/>
    <w:qFormat/>
    <w:rPr>
      <w:rFonts w:ascii="Arial" w:hAnsi="Arial" w:cs="Arial"/>
      <w:b w:val="false"/>
      <w:bCs w:val="false"/>
      <w:i w:val="false"/>
      <w:iCs w:val="false"/>
      <w:color w:val="000000"/>
      <w:sz w:val="18"/>
      <w:szCs w:val="18"/>
      <w:shd w:fill="auto" w:val="clear"/>
    </w:rPr>
  </w:style>
  <w:style w:type="character" w:styleId="Csf229d0ff32">
    <w:name w:val="csf229d0ff32"/>
    <w:qFormat/>
    <w:rPr>
      <w:rFonts w:ascii="Arial" w:hAnsi="Arial" w:cs="Arial"/>
      <w:b w:val="false"/>
      <w:bCs w:val="false"/>
      <w:i w:val="false"/>
      <w:iCs w:val="false"/>
      <w:color w:val="000000"/>
      <w:sz w:val="18"/>
      <w:szCs w:val="18"/>
      <w:shd w:fill="auto" w:val="clear"/>
    </w:rPr>
  </w:style>
  <w:style w:type="character" w:styleId="Csafaf574182">
    <w:name w:val="csafaf574182"/>
    <w:qFormat/>
    <w:rPr>
      <w:rFonts w:ascii="Arial" w:hAnsi="Arial" w:cs="Arial"/>
      <w:b/>
      <w:bCs/>
      <w:i w:val="false"/>
      <w:iCs w:val="false"/>
      <w:color w:val="000000"/>
      <w:sz w:val="18"/>
      <w:szCs w:val="18"/>
      <w:shd w:fill="auto" w:val="clear"/>
    </w:rPr>
  </w:style>
  <w:style w:type="character" w:styleId="Csab6e076980">
    <w:name w:val="csab6e076980"/>
    <w:qFormat/>
    <w:rPr>
      <w:rFonts w:ascii="Arial" w:hAnsi="Arial" w:cs="Arial"/>
      <w:b w:val="false"/>
      <w:bCs w:val="false"/>
      <w:i w:val="false"/>
      <w:iCs w:val="false"/>
      <w:color w:val="000000"/>
      <w:sz w:val="18"/>
      <w:szCs w:val="18"/>
      <w:shd w:fill="auto" w:val="clear"/>
    </w:rPr>
  </w:style>
  <w:style w:type="character" w:styleId="Csf229d0ff53">
    <w:name w:val="csf229d0ff53"/>
    <w:qFormat/>
    <w:rPr>
      <w:rFonts w:ascii="Arial" w:hAnsi="Arial" w:cs="Arial"/>
      <w:b w:val="false"/>
      <w:bCs w:val="false"/>
      <w:i w:val="false"/>
      <w:iCs w:val="false"/>
      <w:color w:val="000000"/>
      <w:sz w:val="18"/>
      <w:szCs w:val="18"/>
      <w:shd w:fill="auto" w:val="clear"/>
    </w:rPr>
  </w:style>
  <w:style w:type="character" w:styleId="Csb3e8c9cf8">
    <w:name w:val="csb3e8c9cf8"/>
    <w:qFormat/>
    <w:rPr>
      <w:rFonts w:ascii="Arial" w:hAnsi="Arial" w:cs="Arial"/>
      <w:b/>
      <w:bCs/>
      <w:i w:val="false"/>
      <w:iCs w:val="false"/>
      <w:color w:val="000000"/>
      <w:sz w:val="18"/>
      <w:szCs w:val="18"/>
      <w:shd w:fill="auto" w:val="clear"/>
    </w:rPr>
  </w:style>
  <w:style w:type="character" w:styleId="Csab6e076961">
    <w:name w:val="csab6e076961"/>
    <w:qFormat/>
    <w:rPr>
      <w:rFonts w:ascii="Arial" w:hAnsi="Arial" w:cs="Arial"/>
      <w:b w:val="false"/>
      <w:bCs w:val="false"/>
      <w:i w:val="false"/>
      <w:iCs w:val="false"/>
      <w:color w:val="000000"/>
      <w:sz w:val="18"/>
      <w:szCs w:val="18"/>
      <w:shd w:fill="auto" w:val="clear"/>
    </w:rPr>
  </w:style>
  <w:style w:type="character" w:styleId="Csf229d0ff27">
    <w:name w:val="csf229d0ff27"/>
    <w:qFormat/>
    <w:rPr>
      <w:rFonts w:ascii="Arial" w:hAnsi="Arial" w:cs="Arial"/>
      <w:b w:val="false"/>
      <w:bCs w:val="false"/>
      <w:i w:val="false"/>
      <w:iCs w:val="false"/>
      <w:color w:val="000000"/>
      <w:sz w:val="18"/>
      <w:szCs w:val="18"/>
      <w:shd w:fill="auto" w:val="clear"/>
    </w:rPr>
  </w:style>
  <w:style w:type="character" w:styleId="Csf229d0ff3">
    <w:name w:val="csf229d0ff3"/>
    <w:qFormat/>
    <w:rPr>
      <w:rFonts w:ascii="Arial" w:hAnsi="Arial" w:cs="Arial"/>
      <w:b w:val="false"/>
      <w:bCs w:val="false"/>
      <w:i w:val="false"/>
      <w:iCs w:val="false"/>
      <w:color w:val="000000"/>
      <w:sz w:val="18"/>
      <w:szCs w:val="18"/>
      <w:shd w:fill="auto" w:val="clear"/>
    </w:rPr>
  </w:style>
  <w:style w:type="character" w:styleId="Csab6e0769122">
    <w:name w:val="csab6e0769122"/>
    <w:qFormat/>
    <w:rPr>
      <w:rFonts w:ascii="Arial" w:hAnsi="Arial" w:cs="Arial"/>
      <w:b w:val="false"/>
      <w:bCs w:val="false"/>
      <w:i w:val="false"/>
      <w:iCs w:val="false"/>
      <w:color w:val="000000"/>
      <w:sz w:val="18"/>
      <w:szCs w:val="18"/>
      <w:shd w:fill="auto" w:val="clear"/>
    </w:rPr>
  </w:style>
  <w:style w:type="character" w:styleId="Csab6e076957">
    <w:name w:val="csab6e076957"/>
    <w:qFormat/>
    <w:rPr>
      <w:rFonts w:ascii="Arial" w:hAnsi="Arial" w:cs="Arial"/>
      <w:b w:val="false"/>
      <w:bCs w:val="false"/>
      <w:i w:val="false"/>
      <w:iCs w:val="false"/>
      <w:color w:val="000000"/>
      <w:sz w:val="18"/>
      <w:szCs w:val="18"/>
      <w:shd w:fill="auto" w:val="clear"/>
    </w:rPr>
  </w:style>
  <w:style w:type="character" w:styleId="Csab6e076941">
    <w:name w:val="csab6e076941"/>
    <w:qFormat/>
    <w:rPr>
      <w:rFonts w:ascii="Arial" w:hAnsi="Arial" w:cs="Arial"/>
      <w:b w:val="false"/>
      <w:bCs w:val="false"/>
      <w:i w:val="false"/>
      <w:iCs w:val="false"/>
      <w:color w:val="000000"/>
      <w:sz w:val="18"/>
      <w:szCs w:val="18"/>
      <w:shd w:fill="auto" w:val="clear"/>
    </w:rPr>
  </w:style>
  <w:style w:type="character" w:styleId="Csab6e076991">
    <w:name w:val="csab6e076991"/>
    <w:qFormat/>
    <w:rPr>
      <w:rFonts w:ascii="Arial" w:hAnsi="Arial" w:cs="Arial"/>
      <w:b w:val="false"/>
      <w:bCs w:val="false"/>
      <w:i w:val="false"/>
      <w:iCs w:val="false"/>
      <w:color w:val="000000"/>
      <w:sz w:val="18"/>
      <w:szCs w:val="18"/>
      <w:shd w:fill="auto" w:val="clear"/>
    </w:rPr>
  </w:style>
  <w:style w:type="character" w:styleId="Csab6e0769156">
    <w:name w:val="csab6e0769156"/>
    <w:qFormat/>
    <w:rPr>
      <w:rFonts w:ascii="Arial" w:hAnsi="Arial" w:cs="Arial"/>
      <w:b w:val="false"/>
      <w:bCs w:val="false"/>
      <w:i w:val="false"/>
      <w:iCs w:val="false"/>
      <w:color w:val="000000"/>
      <w:sz w:val="18"/>
      <w:szCs w:val="18"/>
      <w:shd w:fill="auto" w:val="clear"/>
    </w:rPr>
  </w:style>
  <w:style w:type="character" w:styleId="Csafaf5741248">
    <w:name w:val="csafaf5741248"/>
    <w:qFormat/>
    <w:rPr>
      <w:rFonts w:ascii="Arial" w:hAnsi="Arial" w:cs="Arial"/>
      <w:b/>
      <w:bCs/>
      <w:i w:val="false"/>
      <w:iCs w:val="false"/>
      <w:color w:val="000000"/>
      <w:sz w:val="18"/>
      <w:szCs w:val="18"/>
      <w:shd w:fill="auto" w:val="clear"/>
    </w:rPr>
  </w:style>
  <w:style w:type="character" w:styleId="Csab6e0769276">
    <w:name w:val="csab6e0769276"/>
    <w:qFormat/>
    <w:rPr>
      <w:rFonts w:ascii="Arial" w:hAnsi="Arial" w:cs="Arial"/>
      <w:b w:val="false"/>
      <w:bCs w:val="false"/>
      <w:i w:val="false"/>
      <w:iCs w:val="false"/>
      <w:color w:val="000000"/>
      <w:sz w:val="18"/>
      <w:szCs w:val="18"/>
      <w:shd w:fill="auto" w:val="clear"/>
    </w:rPr>
  </w:style>
  <w:style w:type="character" w:styleId="Csab6e0769219">
    <w:name w:val="csab6e0769219"/>
    <w:qFormat/>
    <w:rPr>
      <w:rFonts w:ascii="Arial" w:hAnsi="Arial" w:cs="Arial"/>
      <w:b w:val="false"/>
      <w:bCs w:val="false"/>
      <w:i w:val="false"/>
      <w:iCs w:val="false"/>
      <w:color w:val="000000"/>
      <w:sz w:val="18"/>
      <w:szCs w:val="18"/>
      <w:shd w:fill="auto" w:val="clear"/>
    </w:rPr>
  </w:style>
  <w:style w:type="character" w:styleId="Csafaf574111">
    <w:name w:val="csafaf574111"/>
    <w:qFormat/>
    <w:rPr>
      <w:rFonts w:ascii="Arial" w:hAnsi="Arial" w:cs="Arial"/>
      <w:b/>
      <w:bCs/>
      <w:i w:val="false"/>
      <w:iCs w:val="false"/>
      <w:color w:val="000000"/>
      <w:sz w:val="18"/>
      <w:szCs w:val="18"/>
      <w:shd w:fill="auto" w:val="clear"/>
    </w:rPr>
  </w:style>
  <w:style w:type="character" w:styleId="Csf229d0ff13">
    <w:name w:val="csf229d0ff13"/>
    <w:qFormat/>
    <w:rPr>
      <w:rFonts w:ascii="Arial" w:hAnsi="Arial" w:cs="Arial"/>
      <w:b w:val="false"/>
      <w:bCs w:val="false"/>
      <w:i w:val="false"/>
      <w:iCs w:val="false"/>
      <w:color w:val="000000"/>
      <w:sz w:val="18"/>
      <w:szCs w:val="18"/>
      <w:shd w:fill="auto" w:val="clear"/>
    </w:rPr>
  </w:style>
  <w:style w:type="character" w:styleId="Csab6e0769131">
    <w:name w:val="csab6e0769131"/>
    <w:qFormat/>
    <w:rPr>
      <w:rFonts w:ascii="Arial" w:hAnsi="Arial" w:cs="Arial"/>
      <w:b w:val="false"/>
      <w:bCs w:val="false"/>
      <w:i w:val="false"/>
      <w:iCs w:val="false"/>
      <w:color w:val="000000"/>
      <w:sz w:val="18"/>
      <w:szCs w:val="18"/>
      <w:shd w:fill="auto" w:val="clear"/>
    </w:rPr>
  </w:style>
  <w:style w:type="character" w:styleId="Csafaf574199">
    <w:name w:val="csafaf574199"/>
    <w:qFormat/>
    <w:rPr>
      <w:rFonts w:ascii="Arial" w:hAnsi="Arial" w:cs="Arial"/>
      <w:b/>
      <w:bCs/>
      <w:i w:val="false"/>
      <w:iCs w:val="false"/>
      <w:color w:val="000000"/>
      <w:sz w:val="18"/>
      <w:szCs w:val="18"/>
      <w:shd w:fill="auto" w:val="clear"/>
    </w:rPr>
  </w:style>
  <w:style w:type="character" w:styleId="Csafaf5741100">
    <w:name w:val="csafaf5741100"/>
    <w:qFormat/>
    <w:rPr>
      <w:rFonts w:ascii="Arial" w:hAnsi="Arial" w:cs="Arial"/>
      <w:b/>
      <w:bCs/>
      <w:i w:val="false"/>
      <w:iCs w:val="false"/>
      <w:color w:val="000000"/>
      <w:sz w:val="18"/>
      <w:szCs w:val="18"/>
      <w:shd w:fill="auto" w:val="clear"/>
    </w:rPr>
  </w:style>
  <w:style w:type="character" w:styleId="Style13">
    <w:name w:val="Основной текст с отступом Знак"/>
    <w:qFormat/>
    <w:rPr>
      <w:rFonts w:ascii="Times New Roman" w:hAnsi="Times New Roman" w:eastAsia="Times New Roman" w:cs="Times New Roman"/>
      <w:sz w:val="24"/>
      <w:szCs w:val="24"/>
      <w:lang w:val="ru-RU"/>
    </w:rPr>
  </w:style>
  <w:style w:type="character" w:styleId="Csf229d0ff16">
    <w:name w:val="csf229d0ff16"/>
    <w:qFormat/>
    <w:rPr>
      <w:rFonts w:ascii="Arial" w:hAnsi="Arial" w:cs="Arial"/>
      <w:b w:val="false"/>
      <w:bCs w:val="false"/>
      <w:i w:val="false"/>
      <w:iCs w:val="false"/>
      <w:color w:val="000000"/>
      <w:sz w:val="18"/>
      <w:szCs w:val="18"/>
      <w:shd w:fill="auto" w:val="clear"/>
    </w:rPr>
  </w:style>
  <w:style w:type="character" w:styleId="Cs188c92b51">
    <w:name w:val="cs188c92b51"/>
    <w:qFormat/>
    <w:rPr>
      <w:rFonts w:ascii="Times New Roman" w:hAnsi="Times New Roman" w:cs="Times New Roman"/>
      <w:b w:val="false"/>
      <w:bCs w:val="false"/>
      <w:i w:val="false"/>
      <w:iCs w:val="false"/>
      <w:color w:val="000000"/>
      <w:sz w:val="26"/>
      <w:szCs w:val="26"/>
      <w:shd w:fill="auto" w:val="clear"/>
    </w:rPr>
  </w:style>
  <w:style w:type="character" w:styleId="32">
    <w:name w:val="Основной текст 3 Знак"/>
    <w:qFormat/>
    <w:rPr>
      <w:rFonts w:ascii="Times New Roman" w:hAnsi="Times New Roman" w:eastAsia="Times New Roman" w:cs="Times New Roman"/>
      <w:sz w:val="16"/>
      <w:szCs w:val="16"/>
    </w:rPr>
  </w:style>
  <w:style w:type="character" w:styleId="Csab6e076931">
    <w:name w:val="csab6e076931"/>
    <w:qFormat/>
    <w:rPr>
      <w:rFonts w:ascii="Arial" w:hAnsi="Arial" w:cs="Arial"/>
      <w:b w:val="false"/>
      <w:bCs w:val="false"/>
      <w:i w:val="false"/>
      <w:iCs w:val="false"/>
      <w:color w:val="000000"/>
      <w:sz w:val="18"/>
      <w:szCs w:val="18"/>
      <w:shd w:fill="auto" w:val="clear"/>
    </w:rPr>
  </w:style>
  <w:style w:type="character" w:styleId="Csab6e076928">
    <w:name w:val="csab6e076928"/>
    <w:qFormat/>
    <w:rPr>
      <w:rFonts w:ascii="Arial" w:hAnsi="Arial" w:cs="Arial"/>
      <w:b w:val="false"/>
      <w:bCs w:val="false"/>
      <w:i w:val="false"/>
      <w:iCs w:val="false"/>
      <w:color w:val="000000"/>
      <w:sz w:val="18"/>
      <w:szCs w:val="18"/>
      <w:shd w:fill="auto" w:val="clear"/>
    </w:rPr>
  </w:style>
  <w:style w:type="character" w:styleId="Csf229d0ff15">
    <w:name w:val="csf229d0ff15"/>
    <w:qFormat/>
    <w:rPr>
      <w:rFonts w:ascii="Arial" w:hAnsi="Arial" w:cs="Arial"/>
      <w:b w:val="false"/>
      <w:bCs w:val="false"/>
      <w:i w:val="false"/>
      <w:iCs w:val="false"/>
      <w:color w:val="000000"/>
      <w:sz w:val="18"/>
      <w:szCs w:val="18"/>
      <w:shd w:fill="auto" w:val="clear"/>
    </w:rPr>
  </w:style>
  <w:style w:type="character" w:styleId="Csafaf574134">
    <w:name w:val="csafaf574134"/>
    <w:qFormat/>
    <w:rPr>
      <w:rFonts w:ascii="Arial" w:hAnsi="Arial" w:cs="Arial"/>
      <w:b/>
      <w:bCs/>
      <w:i w:val="false"/>
      <w:iCs w:val="false"/>
      <w:color w:val="000000"/>
      <w:sz w:val="18"/>
      <w:szCs w:val="18"/>
      <w:shd w:fill="auto" w:val="clear"/>
    </w:rPr>
  </w:style>
  <w:style w:type="character" w:styleId="Csf229d0ff25">
    <w:name w:val="csf229d0ff25"/>
    <w:qFormat/>
    <w:rPr>
      <w:rFonts w:ascii="Arial" w:hAnsi="Arial" w:cs="Arial"/>
      <w:b w:val="false"/>
      <w:bCs w:val="false"/>
      <w:i w:val="false"/>
      <w:iCs w:val="false"/>
      <w:color w:val="000000"/>
      <w:sz w:val="18"/>
      <w:szCs w:val="18"/>
      <w:shd w:fill="auto" w:val="clear"/>
    </w:rPr>
  </w:style>
  <w:style w:type="character" w:styleId="Cs95e872d01">
    <w:name w:val="cs95e872d01"/>
    <w:qFormat/>
    <w:rPr/>
  </w:style>
  <w:style w:type="character" w:styleId="Csb3e8c9cf10">
    <w:name w:val="csb3e8c9cf10"/>
    <w:qFormat/>
    <w:rPr>
      <w:rFonts w:ascii="Arial" w:hAnsi="Arial" w:cs="Arial"/>
      <w:b/>
      <w:bCs/>
      <w:i w:val="false"/>
      <w:iCs w:val="false"/>
      <w:color w:val="000000"/>
      <w:sz w:val="18"/>
      <w:szCs w:val="18"/>
      <w:shd w:fill="auto" w:val="clear"/>
    </w:rPr>
  </w:style>
  <w:style w:type="character" w:styleId="Csafaf574127">
    <w:name w:val="csafaf574127"/>
    <w:qFormat/>
    <w:rPr>
      <w:rFonts w:ascii="Arial" w:hAnsi="Arial" w:cs="Arial"/>
      <w:b/>
      <w:bCs/>
      <w:i w:val="false"/>
      <w:iCs w:val="false"/>
      <w:color w:val="000000"/>
      <w:sz w:val="18"/>
      <w:szCs w:val="18"/>
      <w:shd w:fill="auto" w:val="clear"/>
    </w:rPr>
  </w:style>
  <w:style w:type="character" w:styleId="Csf229d0ff10">
    <w:name w:val="csf229d0ff10"/>
    <w:qFormat/>
    <w:rPr>
      <w:rFonts w:ascii="Arial" w:hAnsi="Arial" w:cs="Arial"/>
      <w:b w:val="false"/>
      <w:bCs w:val="false"/>
      <w:i w:val="false"/>
      <w:iCs w:val="false"/>
      <w:color w:val="000000"/>
      <w:sz w:val="18"/>
      <w:szCs w:val="18"/>
      <w:shd w:fill="auto" w:val="clear"/>
    </w:rPr>
  </w:style>
  <w:style w:type="character" w:styleId="Csab6e0769103">
    <w:name w:val="csab6e0769103"/>
    <w:qFormat/>
    <w:rPr>
      <w:rFonts w:ascii="Arial" w:hAnsi="Arial" w:cs="Arial"/>
      <w:b w:val="false"/>
      <w:bCs w:val="false"/>
      <w:i w:val="false"/>
      <w:iCs w:val="false"/>
      <w:color w:val="000000"/>
      <w:sz w:val="18"/>
      <w:szCs w:val="18"/>
      <w:shd w:fill="auto" w:val="clear"/>
    </w:rPr>
  </w:style>
  <w:style w:type="character" w:styleId="Csab6e0769104">
    <w:name w:val="csab6e0769104"/>
    <w:qFormat/>
    <w:rPr>
      <w:rFonts w:ascii="Arial" w:hAnsi="Arial" w:cs="Arial"/>
      <w:b w:val="false"/>
      <w:bCs w:val="false"/>
      <w:i w:val="false"/>
      <w:iCs w:val="false"/>
      <w:color w:val="000000"/>
      <w:sz w:val="18"/>
      <w:szCs w:val="18"/>
      <w:shd w:fill="auto" w:val="clear"/>
    </w:rPr>
  </w:style>
  <w:style w:type="character" w:styleId="Csafaf5741105">
    <w:name w:val="csafaf5741105"/>
    <w:qFormat/>
    <w:rPr>
      <w:rFonts w:ascii="Arial" w:hAnsi="Arial" w:cs="Arial"/>
      <w:b/>
      <w:bCs/>
      <w:i w:val="false"/>
      <w:iCs w:val="false"/>
      <w:color w:val="000000"/>
      <w:sz w:val="18"/>
      <w:szCs w:val="18"/>
      <w:shd w:fill="auto" w:val="clear"/>
    </w:rPr>
  </w:style>
  <w:style w:type="character" w:styleId="Csafaf5741106">
    <w:name w:val="csafaf5741106"/>
    <w:qFormat/>
    <w:rPr>
      <w:rFonts w:ascii="Arial" w:hAnsi="Arial" w:cs="Arial"/>
      <w:b/>
      <w:bCs/>
      <w:i w:val="false"/>
      <w:iCs w:val="false"/>
      <w:color w:val="000000"/>
      <w:sz w:val="18"/>
      <w:szCs w:val="18"/>
      <w:shd w:fill="auto" w:val="clear"/>
    </w:rPr>
  </w:style>
  <w:style w:type="character" w:styleId="Csafaf5741216">
    <w:name w:val="csafaf5741216"/>
    <w:qFormat/>
    <w:rPr>
      <w:rFonts w:ascii="Arial" w:hAnsi="Arial" w:cs="Arial"/>
      <w:b/>
      <w:bCs/>
      <w:i w:val="false"/>
      <w:iCs w:val="false"/>
      <w:color w:val="000000"/>
      <w:sz w:val="18"/>
      <w:szCs w:val="18"/>
      <w:shd w:fill="auto" w:val="clear"/>
    </w:rPr>
  </w:style>
  <w:style w:type="character" w:styleId="Csf229d0ff19">
    <w:name w:val="csf229d0ff19"/>
    <w:qFormat/>
    <w:rPr>
      <w:rFonts w:ascii="Arial" w:hAnsi="Arial" w:cs="Arial"/>
      <w:b w:val="false"/>
      <w:bCs w:val="false"/>
      <w:i w:val="false"/>
      <w:iCs w:val="false"/>
      <w:color w:val="000000"/>
      <w:sz w:val="18"/>
      <w:szCs w:val="18"/>
      <w:shd w:fill="auto" w:val="clear"/>
    </w:rPr>
  </w:style>
  <w:style w:type="character" w:styleId="Csf229d0ff24">
    <w:name w:val="csf229d0ff24"/>
    <w:qFormat/>
    <w:rPr>
      <w:rFonts w:ascii="Arial" w:hAnsi="Arial" w:cs="Arial"/>
      <w:b w:val="false"/>
      <w:bCs w:val="false"/>
      <w:i w:val="false"/>
      <w:iCs w:val="false"/>
      <w:color w:val="000000"/>
      <w:sz w:val="18"/>
      <w:szCs w:val="18"/>
      <w:shd w:fill="auto" w:val="clear"/>
    </w:rPr>
  </w:style>
  <w:style w:type="character" w:styleId="Csf229d0ff14">
    <w:name w:val="csf229d0ff14"/>
    <w:qFormat/>
    <w:rPr>
      <w:rFonts w:ascii="Arial" w:hAnsi="Arial" w:cs="Arial"/>
      <w:b w:val="false"/>
      <w:bCs w:val="false"/>
      <w:i w:val="false"/>
      <w:iCs w:val="false"/>
      <w:color w:val="000000"/>
      <w:sz w:val="18"/>
      <w:szCs w:val="18"/>
      <w:shd w:fill="auto" w:val="clear"/>
    </w:rPr>
  </w:style>
  <w:style w:type="character" w:styleId="Csab6e0769225">
    <w:name w:val="csab6e0769225"/>
    <w:qFormat/>
    <w:rPr>
      <w:rFonts w:ascii="Arial" w:hAnsi="Arial" w:cs="Arial"/>
      <w:b w:val="false"/>
      <w:bCs w:val="false"/>
      <w:i w:val="false"/>
      <w:iCs w:val="false"/>
      <w:color w:val="000000"/>
      <w:sz w:val="18"/>
      <w:szCs w:val="18"/>
      <w:shd w:fill="auto" w:val="clear"/>
    </w:rPr>
  </w:style>
  <w:style w:type="character" w:styleId="Csb3e8c9cf3">
    <w:name w:val="csb3e8c9cf3"/>
    <w:qFormat/>
    <w:rPr>
      <w:rFonts w:ascii="Arial" w:hAnsi="Arial" w:cs="Arial"/>
      <w:b/>
      <w:bCs/>
      <w:i w:val="false"/>
      <w:iCs w:val="false"/>
      <w:color w:val="000000"/>
      <w:sz w:val="18"/>
      <w:szCs w:val="18"/>
      <w:shd w:fill="auto" w:val="clear"/>
    </w:rPr>
  </w:style>
  <w:style w:type="character" w:styleId="Csb86c8cfe1">
    <w:name w:val="csb86c8cfe1"/>
    <w:qFormat/>
    <w:rPr>
      <w:rFonts w:ascii="Times New Roman" w:hAnsi="Times New Roman" w:cs="Times New Roman"/>
      <w:b/>
      <w:bCs/>
      <w:i w:val="false"/>
      <w:iCs w:val="false"/>
      <w:color w:val="000000"/>
      <w:sz w:val="24"/>
      <w:szCs w:val="24"/>
    </w:rPr>
  </w:style>
  <w:style w:type="character" w:styleId="Csf229d0ff21">
    <w:name w:val="csf229d0ff21"/>
    <w:qFormat/>
    <w:rPr>
      <w:rFonts w:ascii="Arial" w:hAnsi="Arial" w:cs="Arial"/>
      <w:b w:val="false"/>
      <w:bCs w:val="false"/>
      <w:i w:val="false"/>
      <w:iCs w:val="false"/>
      <w:color w:val="000000"/>
      <w:sz w:val="18"/>
      <w:szCs w:val="18"/>
    </w:rPr>
  </w:style>
  <w:style w:type="character" w:styleId="Csf229d0ff26">
    <w:name w:val="csf229d0ff26"/>
    <w:qFormat/>
    <w:rPr>
      <w:rFonts w:ascii="Arial" w:hAnsi="Arial" w:cs="Arial"/>
      <w:b w:val="false"/>
      <w:bCs w:val="false"/>
      <w:i w:val="false"/>
      <w:iCs w:val="false"/>
      <w:color w:val="000000"/>
      <w:sz w:val="18"/>
      <w:szCs w:val="18"/>
      <w:shd w:fill="auto" w:val="clear"/>
    </w:rPr>
  </w:style>
  <w:style w:type="character" w:styleId="Cs8c2cf3831">
    <w:name w:val="cs8c2cf3831"/>
    <w:qFormat/>
    <w:rPr>
      <w:rFonts w:ascii="Arial" w:hAnsi="Arial" w:cs="Arial"/>
      <w:b/>
      <w:bCs/>
      <w:i/>
      <w:iCs/>
      <w:color w:val="102B56"/>
      <w:sz w:val="18"/>
      <w:szCs w:val="18"/>
      <w:shd w:fill="auto" w:val="clear"/>
    </w:rPr>
  </w:style>
  <w:style w:type="character" w:styleId="Csd71f5e5a1">
    <w:name w:val="csd71f5e5a1"/>
    <w:qFormat/>
    <w:rPr>
      <w:rFonts w:ascii="Arial" w:hAnsi="Arial" w:cs="Arial"/>
      <w:b w:val="false"/>
      <w:bCs w:val="false"/>
      <w:i/>
      <w:iCs/>
      <w:color w:val="102B56"/>
      <w:sz w:val="18"/>
      <w:szCs w:val="18"/>
      <w:shd w:fill="auto" w:val="clear"/>
    </w:rPr>
  </w:style>
  <w:style w:type="character" w:styleId="Cs8f6c24af1">
    <w:name w:val="cs8f6c24af1"/>
    <w:qFormat/>
    <w:rPr>
      <w:rFonts w:ascii="Arial" w:hAnsi="Arial" w:cs="Arial"/>
      <w:b/>
      <w:bCs/>
      <w:i w:val="false"/>
      <w:iCs w:val="false"/>
      <w:color w:val="102B56"/>
      <w:sz w:val="18"/>
      <w:szCs w:val="18"/>
      <w:shd w:fill="auto" w:val="clear"/>
    </w:rPr>
  </w:style>
  <w:style w:type="character" w:styleId="Csa5a0f5421">
    <w:name w:val="csa5a0f5421"/>
    <w:qFormat/>
    <w:rPr>
      <w:rFonts w:ascii="Arial" w:hAnsi="Arial" w:cs="Arial"/>
      <w:b w:val="false"/>
      <w:bCs w:val="false"/>
      <w:i w:val="false"/>
      <w:iCs w:val="false"/>
      <w:color w:val="102B56"/>
      <w:sz w:val="18"/>
      <w:szCs w:val="18"/>
      <w:shd w:fill="auto" w:val="clear"/>
    </w:rPr>
  </w:style>
  <w:style w:type="character" w:styleId="Cs3f9137501">
    <w:name w:val="cs3f9137501"/>
    <w:qFormat/>
    <w:rPr>
      <w:rFonts w:ascii="Arial" w:hAnsi="Arial" w:cs="Arial"/>
      <w:b w:val="false"/>
      <w:bCs w:val="false"/>
      <w:i/>
      <w:iCs/>
      <w:color w:val="102B56"/>
      <w:sz w:val="18"/>
      <w:szCs w:val="18"/>
      <w:u w:val="single"/>
      <w:shd w:fill="auto" w:val="clear"/>
    </w:rPr>
  </w:style>
  <w:style w:type="character" w:styleId="LineNumbering">
    <w:name w:val="Line Numbering"/>
    <w:rPr>
      <w:rFonts w:ascii="Segoe UI" w:hAnsi="Segoe UI" w:cs="Segoe UI"/>
      <w:color w:val="000000"/>
      <w:sz w:val="18"/>
      <w:szCs w:val="18"/>
    </w:rPr>
  </w:style>
  <w:style w:type="character" w:styleId="Csa939b0971">
    <w:name w:val="csa939b0971"/>
    <w:qFormat/>
    <w:rPr>
      <w:rFonts w:ascii="Times New Roman" w:hAnsi="Times New Roman" w:cs="Times New Roman"/>
      <w:b/>
      <w:bCs/>
      <w:i/>
      <w:iCs/>
      <w:color w:val="000000"/>
      <w:sz w:val="20"/>
      <w:szCs w:val="20"/>
      <w:shd w:fill="auto" w:val="clear"/>
    </w:rPr>
  </w:style>
  <w:style w:type="character" w:styleId="Style14">
    <w:name w:val="Знак примечания"/>
    <w:qFormat/>
    <w:rPr>
      <w:sz w:val="16"/>
      <w:szCs w:val="16"/>
    </w:rPr>
  </w:style>
  <w:style w:type="character" w:styleId="Style15">
    <w:name w:val="Текст примечания Знак"/>
    <w:qFormat/>
    <w:rPr>
      <w:rFonts w:ascii="Times New Roman" w:hAnsi="Times New Roman" w:eastAsia="Times New Roman" w:cs="Times New Roman"/>
    </w:rPr>
  </w:style>
  <w:style w:type="character" w:styleId="Style16">
    <w:name w:val="Тема примечания Знак"/>
    <w:qFormat/>
    <w:rPr>
      <w:rFonts w:ascii="Times New Roman" w:hAnsi="Times New Roman" w:eastAsia="Times New Roman" w:cs="Times New Roman"/>
      <w:b/>
      <w:bCs/>
    </w:rPr>
  </w:style>
  <w:style w:type="character" w:styleId="Csb3e8c9cf69">
    <w:name w:val="csb3e8c9cf69"/>
    <w:qFormat/>
    <w:rPr>
      <w:rFonts w:ascii="Arial" w:hAnsi="Arial" w:cs="Arial"/>
      <w:b/>
      <w:bCs/>
      <w:i w:val="false"/>
      <w:iCs w:val="false"/>
      <w:color w:val="000000"/>
      <w:sz w:val="18"/>
      <w:szCs w:val="18"/>
      <w:shd w:fill="auto" w:val="clear"/>
    </w:rPr>
  </w:style>
  <w:style w:type="character" w:styleId="Csf229d0ff64">
    <w:name w:val="csf229d0ff64"/>
    <w:qFormat/>
    <w:rPr>
      <w:rFonts w:ascii="Arial" w:hAnsi="Arial" w:cs="Arial"/>
      <w:b w:val="false"/>
      <w:bCs w:val="false"/>
      <w:i w:val="false"/>
      <w:iCs w:val="false"/>
      <w:color w:val="000000"/>
      <w:sz w:val="18"/>
      <w:szCs w:val="18"/>
      <w:shd w:fill="auto" w:val="clear"/>
    </w:rPr>
  </w:style>
  <w:style w:type="character" w:styleId="Csd398459525">
    <w:name w:val="csd398459525"/>
    <w:qFormat/>
    <w:rPr>
      <w:rFonts w:ascii="Arial" w:hAnsi="Arial" w:cs="Arial"/>
      <w:b/>
      <w:bCs/>
      <w:i/>
      <w:iCs/>
      <w:color w:val="000000"/>
      <w:sz w:val="18"/>
      <w:szCs w:val="18"/>
      <w:u w:val="single"/>
      <w:shd w:fill="auto" w:val="clear"/>
    </w:rPr>
  </w:style>
  <w:style w:type="character" w:styleId="Csd3c90d4325">
    <w:name w:val="csd3c90d4325"/>
    <w:qFormat/>
    <w:rPr>
      <w:rFonts w:ascii="Arial" w:hAnsi="Arial" w:cs="Arial"/>
      <w:b w:val="false"/>
      <w:bCs w:val="false"/>
      <w:i/>
      <w:iCs/>
      <w:color w:val="000000"/>
      <w:sz w:val="18"/>
      <w:szCs w:val="18"/>
      <w:shd w:fill="auto" w:val="clear"/>
    </w:rPr>
  </w:style>
  <w:style w:type="character" w:styleId="Csb86c8cfe3">
    <w:name w:val="csb86c8cfe3"/>
    <w:qFormat/>
    <w:rPr>
      <w:rFonts w:ascii="Times New Roman" w:hAnsi="Times New Roman" w:cs="Times New Roman"/>
      <w:b/>
      <w:bCs/>
      <w:i w:val="false"/>
      <w:iCs w:val="false"/>
      <w:color w:val="000000"/>
      <w:sz w:val="24"/>
      <w:szCs w:val="24"/>
      <w:shd w:fill="auto" w:val="clear"/>
    </w:rPr>
  </w:style>
  <w:style w:type="character" w:styleId="Csab6e076977">
    <w:name w:val="csab6e076977"/>
    <w:qFormat/>
    <w:rPr>
      <w:rFonts w:ascii="Arial" w:hAnsi="Arial" w:cs="Arial"/>
      <w:b w:val="false"/>
      <w:bCs w:val="false"/>
      <w:i w:val="false"/>
      <w:iCs w:val="false"/>
      <w:color w:val="000000"/>
      <w:sz w:val="18"/>
      <w:szCs w:val="18"/>
      <w:shd w:fill="auto" w:val="clear"/>
    </w:rPr>
  </w:style>
  <w:style w:type="character" w:styleId="Cs9f0a40401">
    <w:name w:val="cs9f0a40401"/>
    <w:qFormat/>
    <w:rPr>
      <w:rFonts w:ascii="Arial" w:hAnsi="Arial" w:cs="Arial"/>
      <w:b w:val="false"/>
      <w:bCs w:val="false"/>
      <w:i w:val="false"/>
      <w:iCs w:val="false"/>
      <w:color w:val="000000"/>
      <w:sz w:val="20"/>
      <w:szCs w:val="20"/>
      <w:shd w:fill="auto" w:val="clear"/>
    </w:rPr>
  </w:style>
  <w:style w:type="character" w:styleId="Csb3e8c9cf23">
    <w:name w:val="csb3e8c9cf23"/>
    <w:qFormat/>
    <w:rPr>
      <w:rFonts w:ascii="Arial" w:hAnsi="Arial" w:cs="Arial"/>
      <w:b/>
      <w:bCs/>
      <w:i w:val="false"/>
      <w:iCs w:val="false"/>
      <w:color w:val="000000"/>
      <w:sz w:val="18"/>
      <w:szCs w:val="18"/>
      <w:shd w:fill="auto" w:val="clear"/>
    </w:rPr>
  </w:style>
  <w:style w:type="character" w:styleId="Cs607602ac2">
    <w:name w:val="cs607602ac2"/>
    <w:qFormat/>
    <w:rPr>
      <w:rFonts w:ascii="Arial" w:hAnsi="Arial" w:cs="Arial"/>
      <w:b/>
      <w:bCs/>
      <w:i w:val="false"/>
      <w:iCs w:val="false"/>
      <w:color w:val="000000"/>
      <w:sz w:val="18"/>
      <w:szCs w:val="18"/>
      <w:u w:val="single"/>
      <w:shd w:fill="auto" w:val="clear"/>
    </w:rPr>
  </w:style>
  <w:style w:type="character" w:styleId="Csab6e0769291">
    <w:name w:val="csab6e0769291"/>
    <w:qFormat/>
    <w:rPr>
      <w:rFonts w:ascii="Arial" w:hAnsi="Arial" w:cs="Arial"/>
      <w:b w:val="false"/>
      <w:bCs w:val="false"/>
      <w:i w:val="false"/>
      <w:iCs w:val="false"/>
      <w:color w:val="000000"/>
      <w:sz w:val="18"/>
      <w:szCs w:val="18"/>
      <w:shd w:fill="auto" w:val="clear"/>
    </w:rPr>
  </w:style>
  <w:style w:type="character" w:styleId="Csafaf5741219">
    <w:name w:val="csafaf5741219"/>
    <w:qFormat/>
    <w:rPr>
      <w:rFonts w:ascii="Arial" w:hAnsi="Arial" w:cs="Arial"/>
      <w:b/>
      <w:bCs/>
      <w:i w:val="false"/>
      <w:iCs w:val="false"/>
      <w:color w:val="000000"/>
      <w:sz w:val="18"/>
      <w:szCs w:val="18"/>
      <w:shd w:fill="auto" w:val="clear"/>
    </w:rPr>
  </w:style>
  <w:style w:type="character" w:styleId="Csf562b92915">
    <w:name w:val="csf562b92915"/>
    <w:qFormat/>
    <w:rPr>
      <w:rFonts w:ascii="Arial" w:hAnsi="Arial" w:cs="Arial"/>
      <w:b/>
      <w:bCs/>
      <w:i/>
      <w:iCs/>
      <w:color w:val="000000"/>
      <w:sz w:val="18"/>
      <w:szCs w:val="18"/>
      <w:shd w:fill="auto" w:val="clear"/>
    </w:rPr>
  </w:style>
  <w:style w:type="character" w:styleId="Cseed234731">
    <w:name w:val="cseed234731"/>
    <w:qFormat/>
    <w:rPr>
      <w:rFonts w:ascii="Arial" w:hAnsi="Arial" w:cs="Arial"/>
      <w:b/>
      <w:bCs/>
      <w:i/>
      <w:iCs/>
      <w:color w:val="000000"/>
      <w:sz w:val="12"/>
      <w:szCs w:val="12"/>
      <w:shd w:fill="auto" w:val="clear"/>
    </w:rPr>
  </w:style>
  <w:style w:type="character" w:styleId="Csb3e8c9cf35">
    <w:name w:val="csb3e8c9cf35"/>
    <w:qFormat/>
    <w:rPr>
      <w:rFonts w:ascii="Arial" w:hAnsi="Arial" w:cs="Arial"/>
      <w:b/>
      <w:bCs/>
      <w:i w:val="false"/>
      <w:iCs w:val="false"/>
      <w:color w:val="000000"/>
      <w:sz w:val="18"/>
      <w:szCs w:val="18"/>
      <w:shd w:fill="auto" w:val="clear"/>
    </w:rPr>
  </w:style>
  <w:style w:type="character" w:styleId="Csb3e8c9cf28">
    <w:name w:val="csb3e8c9cf28"/>
    <w:qFormat/>
    <w:rPr>
      <w:rFonts w:ascii="Arial" w:hAnsi="Arial" w:cs="Arial"/>
      <w:b/>
      <w:bCs/>
      <w:i w:val="false"/>
      <w:iCs w:val="false"/>
      <w:color w:val="000000"/>
      <w:sz w:val="18"/>
      <w:szCs w:val="18"/>
      <w:shd w:fill="auto" w:val="clear"/>
    </w:rPr>
  </w:style>
  <w:style w:type="character" w:styleId="Csf562b9296">
    <w:name w:val="csf562b9296"/>
    <w:qFormat/>
    <w:rPr>
      <w:rFonts w:ascii="Arial" w:hAnsi="Arial" w:cs="Arial"/>
      <w:b/>
      <w:bCs/>
      <w:i/>
      <w:iCs/>
      <w:color w:val="000000"/>
      <w:sz w:val="18"/>
      <w:szCs w:val="18"/>
      <w:shd w:fill="auto" w:val="clear"/>
    </w:rPr>
  </w:style>
  <w:style w:type="character" w:styleId="Csab6e076930">
    <w:name w:val="csab6e076930"/>
    <w:qFormat/>
    <w:rPr>
      <w:rFonts w:ascii="Arial" w:hAnsi="Arial" w:cs="Arial"/>
      <w:b w:val="false"/>
      <w:bCs w:val="false"/>
      <w:i w:val="false"/>
      <w:iCs w:val="false"/>
      <w:color w:val="000000"/>
      <w:sz w:val="18"/>
      <w:szCs w:val="18"/>
      <w:shd w:fill="auto" w:val="clear"/>
    </w:rPr>
  </w:style>
  <w:style w:type="character" w:styleId="14">
    <w:name w:val="Основной текст (14)_"/>
    <w:qFormat/>
    <w:rPr>
      <w:rFonts w:ascii="Times New Roman" w:hAnsi="Times New Roman" w:cs="Times New Roman"/>
      <w:sz w:val="21"/>
      <w:szCs w:val="21"/>
      <w:shd w:fill="FFFFFF" w:val="clear"/>
    </w:rPr>
  </w:style>
  <w:style w:type="character" w:styleId="Csab6e076965">
    <w:name w:val="csab6e076965"/>
    <w:qFormat/>
    <w:rPr>
      <w:rFonts w:ascii="Arial" w:hAnsi="Arial" w:cs="Arial"/>
      <w:b w:val="false"/>
      <w:bCs w:val="false"/>
      <w:i w:val="false"/>
      <w:iCs w:val="false"/>
      <w:color w:val="000000"/>
      <w:sz w:val="18"/>
      <w:szCs w:val="18"/>
      <w:shd w:fill="auto" w:val="clear"/>
    </w:rPr>
  </w:style>
  <w:style w:type="character" w:styleId="Csf229d0ff33">
    <w:name w:val="csf229d0ff33"/>
    <w:qFormat/>
    <w:rPr>
      <w:rFonts w:ascii="Arial" w:hAnsi="Arial" w:cs="Arial"/>
      <w:b w:val="false"/>
      <w:bCs w:val="false"/>
      <w:i w:val="false"/>
      <w:iCs w:val="false"/>
      <w:color w:val="000000"/>
      <w:sz w:val="18"/>
      <w:szCs w:val="18"/>
      <w:shd w:fill="auto" w:val="clear"/>
    </w:rPr>
  </w:style>
  <w:style w:type="character" w:styleId="Csab6e076920">
    <w:name w:val="csab6e076920"/>
    <w:qFormat/>
    <w:rPr>
      <w:rFonts w:ascii="Arial" w:hAnsi="Arial" w:cs="Arial"/>
      <w:b w:val="false"/>
      <w:bCs w:val="false"/>
      <w:i w:val="false"/>
      <w:iCs w:val="false"/>
      <w:color w:val="000000"/>
      <w:sz w:val="18"/>
      <w:szCs w:val="18"/>
      <w:shd w:fill="auto" w:val="clear"/>
    </w:rPr>
  </w:style>
  <w:style w:type="character" w:styleId="Csf229d0ff28">
    <w:name w:val="csf229d0ff28"/>
    <w:qFormat/>
    <w:rPr>
      <w:rFonts w:ascii="Arial" w:hAnsi="Arial" w:cs="Arial"/>
      <w:b w:val="false"/>
      <w:bCs w:val="false"/>
      <w:i w:val="false"/>
      <w:iCs w:val="false"/>
      <w:color w:val="000000"/>
      <w:sz w:val="18"/>
      <w:szCs w:val="18"/>
      <w:shd w:fill="auto" w:val="clear"/>
    </w:rPr>
  </w:style>
  <w:style w:type="character" w:styleId="Csf229d0ff50">
    <w:name w:val="csf229d0ff50"/>
    <w:qFormat/>
    <w:rPr>
      <w:rFonts w:ascii="Arial" w:hAnsi="Arial" w:cs="Arial"/>
      <w:b w:val="false"/>
      <w:bCs w:val="false"/>
      <w:i w:val="false"/>
      <w:iCs w:val="false"/>
      <w:color w:val="000000"/>
      <w:sz w:val="18"/>
      <w:szCs w:val="18"/>
      <w:shd w:fill="auto" w:val="clear"/>
    </w:rPr>
  </w:style>
  <w:style w:type="character" w:styleId="Csf229d0ff22">
    <w:name w:val="csf229d0ff22"/>
    <w:qFormat/>
    <w:rPr>
      <w:rFonts w:ascii="Arial" w:hAnsi="Arial" w:cs="Arial"/>
      <w:b w:val="false"/>
      <w:bCs w:val="false"/>
      <w:i w:val="false"/>
      <w:iCs w:val="false"/>
      <w:color w:val="000000"/>
      <w:sz w:val="18"/>
      <w:szCs w:val="18"/>
      <w:shd w:fill="auto" w:val="clear"/>
    </w:rPr>
  </w:style>
  <w:style w:type="character" w:styleId="Csf229d0ff83">
    <w:name w:val="csf229d0ff83"/>
    <w:qFormat/>
    <w:rPr>
      <w:rFonts w:ascii="Arial" w:hAnsi="Arial" w:cs="Arial"/>
      <w:b w:val="false"/>
      <w:bCs w:val="false"/>
      <w:i w:val="false"/>
      <w:iCs w:val="false"/>
      <w:color w:val="000000"/>
      <w:sz w:val="18"/>
      <w:szCs w:val="18"/>
      <w:shd w:fill="auto" w:val="clear"/>
    </w:rPr>
  </w:style>
  <w:style w:type="character" w:styleId="Csf229d0ff76">
    <w:name w:val="csf229d0ff76"/>
    <w:qFormat/>
    <w:rPr>
      <w:rFonts w:ascii="Arial" w:hAnsi="Arial" w:cs="Arial"/>
      <w:b w:val="false"/>
      <w:bCs w:val="false"/>
      <w:i w:val="false"/>
      <w:iCs w:val="false"/>
      <w:color w:val="000000"/>
      <w:sz w:val="18"/>
      <w:szCs w:val="18"/>
      <w:shd w:fill="auto" w:val="clear"/>
    </w:rPr>
  </w:style>
  <w:style w:type="character" w:styleId="Csf229d0ff20">
    <w:name w:val="csf229d0ff20"/>
    <w:qFormat/>
    <w:rPr>
      <w:rFonts w:ascii="Arial" w:hAnsi="Arial" w:cs="Arial"/>
      <w:b w:val="false"/>
      <w:bCs w:val="false"/>
      <w:i w:val="false"/>
      <w:iCs w:val="false"/>
      <w:color w:val="000000"/>
      <w:sz w:val="18"/>
      <w:szCs w:val="18"/>
      <w:shd w:fill="auto" w:val="clear"/>
    </w:rPr>
  </w:style>
  <w:style w:type="character" w:styleId="Csab6e07697">
    <w:name w:val="csab6e07697"/>
    <w:qFormat/>
    <w:rPr>
      <w:rFonts w:ascii="Arial" w:hAnsi="Arial" w:cs="Arial"/>
      <w:b w:val="false"/>
      <w:bCs w:val="false"/>
      <w:i w:val="false"/>
      <w:iCs w:val="false"/>
      <w:color w:val="000000"/>
      <w:sz w:val="18"/>
      <w:szCs w:val="18"/>
      <w:shd w:fill="auto" w:val="clear"/>
    </w:rPr>
  </w:style>
  <w:style w:type="character" w:styleId="Csb3e8c9cf94">
    <w:name w:val="csb3e8c9cf94"/>
    <w:qFormat/>
    <w:rPr>
      <w:rFonts w:ascii="Arial" w:hAnsi="Arial" w:cs="Arial"/>
      <w:b/>
      <w:bCs/>
      <w:i w:val="false"/>
      <w:iCs w:val="false"/>
      <w:color w:val="000000"/>
      <w:sz w:val="18"/>
      <w:szCs w:val="18"/>
      <w:shd w:fill="auto" w:val="clear"/>
    </w:rPr>
  </w:style>
  <w:style w:type="character" w:styleId="Csf229d0ff91">
    <w:name w:val="csf229d0ff91"/>
    <w:qFormat/>
    <w:rPr>
      <w:rFonts w:ascii="Arial" w:hAnsi="Arial" w:cs="Arial"/>
      <w:b w:val="false"/>
      <w:bCs w:val="false"/>
      <w:i w:val="false"/>
      <w:iCs w:val="false"/>
      <w:color w:val="000000"/>
      <w:sz w:val="18"/>
      <w:szCs w:val="18"/>
      <w:shd w:fill="auto" w:val="clear"/>
    </w:rPr>
  </w:style>
  <w:style w:type="character" w:styleId="21">
    <w:name w:val="Заголовок 2 Знак1"/>
    <w:qFormat/>
    <w:rPr>
      <w:rFonts w:ascii="Arial" w:hAnsi="Arial" w:eastAsia="Times New Roman" w:cs="Arial"/>
      <w:b/>
      <w:caps/>
      <w:sz w:val="16"/>
      <w:lang w:val="ru-RU"/>
    </w:rPr>
  </w:style>
  <w:style w:type="character" w:styleId="41">
    <w:name w:val="Заголовок 4 Знак1"/>
    <w:qFormat/>
    <w:rPr>
      <w:rFonts w:ascii="Arial" w:hAnsi="Arial" w:eastAsia="Times New Roman" w:cs="Arial"/>
      <w:b/>
      <w:lang w:val="ru-RU"/>
    </w:rPr>
  </w:style>
  <w:style w:type="character" w:styleId="Csf229d0ff74">
    <w:name w:val="csf229d0ff74"/>
    <w:qFormat/>
    <w:rPr>
      <w:rFonts w:ascii="Arial" w:hAnsi="Arial" w:cs="Arial"/>
      <w:b w:val="false"/>
      <w:bCs w:val="false"/>
      <w:i w:val="false"/>
      <w:iCs w:val="false"/>
      <w:color w:val="000000"/>
      <w:sz w:val="18"/>
      <w:szCs w:val="18"/>
      <w:shd w:fill="auto" w:val="clear"/>
    </w:rPr>
  </w:style>
  <w:style w:type="character" w:styleId="Csf229d0ff97">
    <w:name w:val="csf229d0ff97"/>
    <w:qFormat/>
    <w:rPr>
      <w:rFonts w:ascii="Arial" w:hAnsi="Arial" w:cs="Arial"/>
      <w:b w:val="false"/>
      <w:bCs w:val="false"/>
      <w:i w:val="false"/>
      <w:iCs w:val="false"/>
      <w:color w:val="000000"/>
      <w:sz w:val="18"/>
      <w:szCs w:val="18"/>
      <w:shd w:fill="auto" w:val="clear"/>
    </w:rPr>
  </w:style>
  <w:style w:type="character" w:styleId="Csab6e076939">
    <w:name w:val="csab6e076939"/>
    <w:qFormat/>
    <w:rPr>
      <w:rFonts w:ascii="Arial" w:hAnsi="Arial" w:cs="Arial"/>
      <w:b w:val="false"/>
      <w:bCs w:val="false"/>
      <w:i w:val="false"/>
      <w:iCs w:val="false"/>
      <w:color w:val="000000"/>
      <w:sz w:val="18"/>
      <w:szCs w:val="18"/>
      <w:shd w:fill="auto" w:val="clear"/>
    </w:rPr>
  </w:style>
  <w:style w:type="character" w:styleId="Csf229d0ff57">
    <w:name w:val="csf229d0ff57"/>
    <w:qFormat/>
    <w:rPr>
      <w:rFonts w:ascii="Arial" w:hAnsi="Arial" w:cs="Arial"/>
      <w:b w:val="false"/>
      <w:bCs w:val="false"/>
      <w:i w:val="false"/>
      <w:iCs w:val="false"/>
      <w:color w:val="000000"/>
      <w:sz w:val="18"/>
      <w:szCs w:val="18"/>
      <w:shd w:fill="auto" w:val="clear"/>
    </w:rPr>
  </w:style>
  <w:style w:type="character" w:styleId="Csf229d0ff149">
    <w:name w:val="csf229d0ff149"/>
    <w:qFormat/>
    <w:rPr>
      <w:rFonts w:ascii="Arial" w:hAnsi="Arial" w:cs="Arial"/>
      <w:b w:val="false"/>
      <w:bCs w:val="false"/>
      <w:i w:val="false"/>
      <w:iCs w:val="false"/>
      <w:color w:val="000000"/>
      <w:sz w:val="18"/>
      <w:szCs w:val="18"/>
      <w:shd w:fill="auto" w:val="clear"/>
    </w:rPr>
  </w:style>
  <w:style w:type="character" w:styleId="Csf229d0ff65">
    <w:name w:val="csf229d0ff65"/>
    <w:qFormat/>
    <w:rPr>
      <w:rFonts w:ascii="Arial" w:hAnsi="Arial" w:cs="Arial"/>
      <w:b w:val="false"/>
      <w:bCs w:val="false"/>
      <w:i w:val="false"/>
      <w:iCs w:val="false"/>
      <w:color w:val="000000"/>
      <w:sz w:val="18"/>
      <w:szCs w:val="18"/>
      <w:shd w:fill="auto" w:val="clear"/>
    </w:rPr>
  </w:style>
  <w:style w:type="character" w:styleId="Csf229d0ff132">
    <w:name w:val="csf229d0ff132"/>
    <w:qFormat/>
    <w:rPr>
      <w:rFonts w:ascii="Arial" w:hAnsi="Arial" w:cs="Arial"/>
      <w:b w:val="false"/>
      <w:bCs w:val="false"/>
      <w:i w:val="false"/>
      <w:iCs w:val="false"/>
      <w:color w:val="000000"/>
      <w:sz w:val="18"/>
      <w:szCs w:val="18"/>
      <w:shd w:fill="auto" w:val="clear"/>
    </w:rPr>
  </w:style>
  <w:style w:type="character" w:styleId="Csf229d0ff96">
    <w:name w:val="csf229d0ff96"/>
    <w:qFormat/>
    <w:rPr>
      <w:rFonts w:ascii="Arial" w:hAnsi="Arial" w:cs="Arial"/>
      <w:b w:val="false"/>
      <w:bCs w:val="false"/>
      <w:i w:val="false"/>
      <w:iCs w:val="false"/>
      <w:color w:val="000000"/>
      <w:sz w:val="18"/>
      <w:szCs w:val="18"/>
      <w:shd w:fill="auto" w:val="clear"/>
    </w:rPr>
  </w:style>
  <w:style w:type="character" w:styleId="Csf229d0ff148">
    <w:name w:val="csf229d0ff148"/>
    <w:qFormat/>
    <w:rPr>
      <w:rFonts w:ascii="Arial" w:hAnsi="Arial" w:cs="Arial"/>
      <w:b w:val="false"/>
      <w:bCs w:val="false"/>
      <w:i w:val="false"/>
      <w:iCs w:val="false"/>
      <w:color w:val="000000"/>
      <w:sz w:val="18"/>
      <w:szCs w:val="18"/>
      <w:shd w:fill="auto" w:val="clear"/>
    </w:rPr>
  </w:style>
  <w:style w:type="character" w:styleId="Csf229d0ff176">
    <w:name w:val="csf229d0ff176"/>
    <w:qFormat/>
    <w:rPr>
      <w:rFonts w:ascii="Arial" w:hAnsi="Arial" w:cs="Arial"/>
      <w:b w:val="false"/>
      <w:bCs w:val="false"/>
      <w:i w:val="false"/>
      <w:iCs w:val="false"/>
      <w:color w:val="000000"/>
      <w:sz w:val="18"/>
      <w:szCs w:val="18"/>
      <w:shd w:fill="auto" w:val="clear"/>
    </w:rPr>
  </w:style>
  <w:style w:type="character" w:styleId="Csf229d0ff231">
    <w:name w:val="csf229d0ff231"/>
    <w:qFormat/>
    <w:rPr>
      <w:rFonts w:ascii="Arial" w:hAnsi="Arial" w:cs="Arial"/>
      <w:b w:val="false"/>
      <w:bCs w:val="false"/>
      <w:i w:val="false"/>
      <w:iCs w:val="false"/>
      <w:color w:val="000000"/>
      <w:sz w:val="18"/>
      <w:szCs w:val="18"/>
      <w:shd w:fill="auto" w:val="clear"/>
    </w:rPr>
  </w:style>
  <w:style w:type="character" w:styleId="Csf229d0ff238">
    <w:name w:val="csf229d0ff238"/>
    <w:qFormat/>
    <w:rPr>
      <w:rFonts w:ascii="Arial" w:hAnsi="Arial" w:cs="Arial"/>
      <w:b w:val="false"/>
      <w:bCs w:val="false"/>
      <w:i w:val="false"/>
      <w:iCs w:val="false"/>
      <w:color w:val="000000"/>
      <w:sz w:val="18"/>
      <w:szCs w:val="18"/>
      <w:shd w:fill="auto" w:val="clear"/>
    </w:rPr>
  </w:style>
  <w:style w:type="character" w:styleId="Csf229d0ff127">
    <w:name w:val="csf229d0ff127"/>
    <w:qFormat/>
    <w:rPr>
      <w:rFonts w:ascii="Arial" w:hAnsi="Arial" w:cs="Arial"/>
      <w:b w:val="false"/>
      <w:bCs w:val="false"/>
      <w:i w:val="false"/>
      <w:iCs w:val="false"/>
      <w:color w:val="000000"/>
      <w:sz w:val="18"/>
      <w:szCs w:val="18"/>
      <w:shd w:fill="auto" w:val="clear"/>
    </w:rPr>
  </w:style>
  <w:style w:type="character" w:styleId="Csab6e076951">
    <w:name w:val="csab6e076951"/>
    <w:qFormat/>
    <w:rPr>
      <w:rFonts w:ascii="Arial" w:hAnsi="Arial" w:cs="Arial"/>
      <w:b w:val="false"/>
      <w:bCs w:val="false"/>
      <w:i w:val="false"/>
      <w:iCs w:val="false"/>
      <w:color w:val="000000"/>
      <w:sz w:val="18"/>
      <w:szCs w:val="18"/>
      <w:shd w:fill="auto" w:val="clear"/>
    </w:rPr>
  </w:style>
  <w:style w:type="character" w:styleId="Csf229d0ff43">
    <w:name w:val="csf229d0ff43"/>
    <w:qFormat/>
    <w:rPr>
      <w:rFonts w:ascii="Arial" w:hAnsi="Arial" w:cs="Arial"/>
      <w:b w:val="false"/>
      <w:bCs w:val="false"/>
      <w:i w:val="false"/>
      <w:iCs w:val="false"/>
      <w:color w:val="000000"/>
      <w:sz w:val="18"/>
      <w:szCs w:val="18"/>
      <w:shd w:fill="auto" w:val="clear"/>
    </w:rPr>
  </w:style>
  <w:style w:type="character" w:styleId="Cs958d30211">
    <w:name w:val="cs958d30211"/>
    <w:qFormat/>
    <w:rPr>
      <w:rFonts w:ascii="Microsoft YaHei" w:hAnsi="Microsoft YaHei" w:eastAsia="Microsoft YaHei" w:cs="Microsoft YaHei"/>
      <w:b w:val="false"/>
      <w:bCs w:val="false"/>
      <w:i w:val="false"/>
      <w:iCs w:val="false"/>
      <w:color w:val="000000"/>
      <w:sz w:val="18"/>
      <w:szCs w:val="18"/>
      <w:shd w:fill="auto" w:val="clear"/>
    </w:rPr>
  </w:style>
  <w:style w:type="character" w:styleId="Csab6e07691">
    <w:name w:val="csab6e07691"/>
    <w:qFormat/>
    <w:rPr>
      <w:rFonts w:ascii="Arial" w:hAnsi="Arial" w:cs="Arial"/>
      <w:b w:val="false"/>
      <w:bCs w:val="false"/>
      <w:i w:val="false"/>
      <w:iCs w:val="false"/>
      <w:color w:val="000000"/>
      <w:sz w:val="18"/>
      <w:szCs w:val="18"/>
      <w:shd w:fill="auto" w:val="clear"/>
    </w:rPr>
  </w:style>
  <w:style w:type="character" w:styleId="Csf229d0ff193">
    <w:name w:val="csf229d0ff193"/>
    <w:qFormat/>
    <w:rPr>
      <w:rFonts w:ascii="Arial" w:hAnsi="Arial" w:cs="Arial"/>
      <w:b w:val="false"/>
      <w:bCs w:val="false"/>
      <w:i w:val="false"/>
      <w:iCs w:val="false"/>
      <w:color w:val="000000"/>
      <w:sz w:val="18"/>
      <w:szCs w:val="18"/>
      <w:shd w:fill="auto" w:val="clear"/>
    </w:rPr>
  </w:style>
  <w:style w:type="character" w:styleId="Csab6e076922">
    <w:name w:val="csab6e076922"/>
    <w:qFormat/>
    <w:rPr>
      <w:rFonts w:ascii="Arial" w:hAnsi="Arial" w:cs="Arial"/>
      <w:b w:val="false"/>
      <w:bCs w:val="false"/>
      <w:i w:val="false"/>
      <w:iCs w:val="false"/>
      <w:color w:val="000000"/>
      <w:sz w:val="18"/>
      <w:szCs w:val="18"/>
      <w:shd w:fill="auto" w:val="clear"/>
    </w:rPr>
  </w:style>
  <w:style w:type="character" w:styleId="Csab6e076996">
    <w:name w:val="csab6e076996"/>
    <w:qFormat/>
    <w:rPr>
      <w:rFonts w:ascii="Arial" w:hAnsi="Arial" w:cs="Arial"/>
      <w:b w:val="false"/>
      <w:bCs w:val="false"/>
      <w:i w:val="false"/>
      <w:iCs w:val="false"/>
      <w:color w:val="000000"/>
      <w:sz w:val="18"/>
      <w:szCs w:val="18"/>
      <w:shd w:fill="auto" w:val="clear"/>
    </w:rPr>
  </w:style>
  <w:style w:type="character" w:styleId="Csab6e076995">
    <w:name w:val="csab6e076995"/>
    <w:qFormat/>
    <w:rPr>
      <w:rFonts w:ascii="Arial" w:hAnsi="Arial" w:cs="Arial"/>
      <w:b w:val="false"/>
      <w:bCs w:val="false"/>
      <w:i w:val="false"/>
      <w:iCs w:val="false"/>
      <w:color w:val="000000"/>
      <w:sz w:val="18"/>
      <w:szCs w:val="18"/>
      <w:shd w:fill="auto" w:val="clear"/>
    </w:rPr>
  </w:style>
  <w:style w:type="character" w:styleId="Csf229d0ff200">
    <w:name w:val="csf229d0ff200"/>
    <w:qFormat/>
    <w:rPr>
      <w:rFonts w:ascii="Arial" w:hAnsi="Arial" w:cs="Arial"/>
      <w:b w:val="false"/>
      <w:bCs w:val="false"/>
      <w:i w:val="false"/>
      <w:iCs w:val="false"/>
      <w:color w:val="000000"/>
      <w:sz w:val="18"/>
      <w:szCs w:val="18"/>
      <w:shd w:fill="auto" w:val="clear"/>
    </w:rPr>
  </w:style>
  <w:style w:type="character" w:styleId="Csba294252">
    <w:name w:val="csba294252"/>
    <w:qFormat/>
    <w:rPr>
      <w:rFonts w:ascii="Segoe UI" w:hAnsi="Segoe UI" w:cs="Segoe UI"/>
      <w:b/>
      <w:bCs/>
      <w:i/>
      <w:iCs/>
      <w:color w:val="102B56"/>
      <w:sz w:val="18"/>
      <w:szCs w:val="18"/>
      <w:shd w:fill="auto" w:val="clear"/>
    </w:rPr>
  </w:style>
  <w:style w:type="character" w:styleId="Csf229d0ff131">
    <w:name w:val="csf229d0ff131"/>
    <w:qFormat/>
    <w:rPr>
      <w:rFonts w:ascii="Arial" w:hAnsi="Arial" w:cs="Arial"/>
      <w:b w:val="false"/>
      <w:bCs w:val="false"/>
      <w:i w:val="false"/>
      <w:iCs w:val="false"/>
      <w:color w:val="000000"/>
      <w:sz w:val="18"/>
      <w:szCs w:val="18"/>
      <w:shd w:fill="auto" w:val="clear"/>
    </w:rPr>
  </w:style>
  <w:style w:type="character" w:styleId="Csf229d0ff154">
    <w:name w:val="csf229d0ff154"/>
    <w:qFormat/>
    <w:rPr>
      <w:rFonts w:ascii="Arial" w:hAnsi="Arial" w:cs="Arial"/>
      <w:b w:val="false"/>
      <w:bCs w:val="false"/>
      <w:i w:val="false"/>
      <w:iCs w:val="false"/>
      <w:color w:val="000000"/>
      <w:sz w:val="18"/>
      <w:szCs w:val="18"/>
      <w:shd w:fill="auto" w:val="clear"/>
    </w:rPr>
  </w:style>
  <w:style w:type="character" w:styleId="Csa5a0f5422">
    <w:name w:val="csa5a0f5422"/>
    <w:qFormat/>
    <w:rPr>
      <w:rFonts w:ascii="Arial" w:hAnsi="Arial" w:cs="Arial"/>
      <w:b w:val="false"/>
      <w:bCs w:val="false"/>
      <w:i w:val="false"/>
      <w:iCs w:val="false"/>
      <w:color w:val="102B56"/>
      <w:sz w:val="18"/>
      <w:szCs w:val="18"/>
      <w:shd w:fill="auto" w:val="clear"/>
    </w:rPr>
  </w:style>
  <w:style w:type="character" w:styleId="Csf229d0ff153">
    <w:name w:val="csf229d0ff153"/>
    <w:qFormat/>
    <w:rPr>
      <w:rFonts w:ascii="Arial" w:hAnsi="Arial" w:cs="Arial"/>
      <w:b w:val="false"/>
      <w:bCs w:val="false"/>
      <w:i w:val="false"/>
      <w:iCs w:val="false"/>
      <w:color w:val="000000"/>
      <w:sz w:val="18"/>
      <w:szCs w:val="18"/>
      <w:shd w:fill="auto" w:val="clear"/>
    </w:rPr>
  </w:style>
  <w:style w:type="character" w:styleId="Cs7ca65d8c1">
    <w:name w:val="cs7ca65d8c1"/>
    <w:qFormat/>
    <w:rPr>
      <w:rFonts w:ascii="Segoe UI" w:hAnsi="Segoe UI" w:cs="Segoe UI"/>
      <w:b w:val="false"/>
      <w:bCs w:val="false"/>
      <w:i w:val="false"/>
      <w:iCs w:val="false"/>
      <w:color w:val="102B56"/>
      <w:sz w:val="18"/>
      <w:szCs w:val="18"/>
      <w:shd w:fill="auto" w:val="clear"/>
    </w:rPr>
  </w:style>
  <w:style w:type="character" w:styleId="Csf229d0ff166">
    <w:name w:val="csf229d0ff166"/>
    <w:qFormat/>
    <w:rPr>
      <w:rFonts w:ascii="Arial" w:hAnsi="Arial" w:cs="Arial"/>
      <w:b w:val="false"/>
      <w:bCs w:val="false"/>
      <w:i w:val="false"/>
      <w:iCs w:val="false"/>
      <w:color w:val="000000"/>
      <w:sz w:val="18"/>
      <w:szCs w:val="18"/>
      <w:shd w:fill="auto" w:val="clear"/>
    </w:rPr>
  </w:style>
  <w:style w:type="character" w:styleId="Csf229d0ff177">
    <w:name w:val="csf229d0ff177"/>
    <w:qFormat/>
    <w:rPr>
      <w:rFonts w:ascii="Arial" w:hAnsi="Arial" w:cs="Arial"/>
      <w:b w:val="false"/>
      <w:bCs w:val="false"/>
      <w:i w:val="false"/>
      <w:iCs w:val="false"/>
      <w:color w:val="000000"/>
      <w:sz w:val="18"/>
      <w:szCs w:val="18"/>
      <w:shd w:fill="auto" w:val="clear"/>
    </w:rPr>
  </w:style>
  <w:style w:type="character" w:styleId="Csf229d0ff104">
    <w:name w:val="csf229d0ff104"/>
    <w:qFormat/>
    <w:rPr>
      <w:rFonts w:ascii="Arial" w:hAnsi="Arial" w:cs="Arial"/>
      <w:b w:val="false"/>
      <w:bCs w:val="false"/>
      <w:i w:val="false"/>
      <w:iCs w:val="false"/>
      <w:color w:val="000000"/>
      <w:sz w:val="18"/>
      <w:szCs w:val="18"/>
      <w:shd w:fill="auto" w:val="clear"/>
    </w:rPr>
  </w:style>
  <w:style w:type="character" w:styleId="Csf229d0ff156">
    <w:name w:val="csf229d0ff156"/>
    <w:qFormat/>
    <w:rPr>
      <w:rFonts w:ascii="Arial" w:hAnsi="Arial" w:cs="Arial"/>
      <w:b w:val="false"/>
      <w:bCs w:val="false"/>
      <w:i w:val="false"/>
      <w:iCs w:val="false"/>
      <w:color w:val="000000"/>
      <w:sz w:val="18"/>
      <w:szCs w:val="18"/>
      <w:shd w:fill="auto" w:val="clear"/>
    </w:rPr>
  </w:style>
  <w:style w:type="character" w:styleId="Csab6e076917">
    <w:name w:val="csab6e076917"/>
    <w:qFormat/>
    <w:rPr>
      <w:rFonts w:ascii="Arial" w:hAnsi="Arial" w:cs="Arial"/>
      <w:b w:val="false"/>
      <w:bCs w:val="false"/>
      <w:i w:val="false"/>
      <w:iCs w:val="false"/>
      <w:color w:val="000000"/>
      <w:sz w:val="18"/>
      <w:szCs w:val="18"/>
      <w:shd w:fill="auto" w:val="clear"/>
    </w:rPr>
  </w:style>
  <w:style w:type="character" w:styleId="Csab6e076935">
    <w:name w:val="csab6e076935"/>
    <w:qFormat/>
    <w:rPr>
      <w:rFonts w:ascii="Arial" w:hAnsi="Arial" w:cs="Arial"/>
      <w:b w:val="false"/>
      <w:bCs w:val="false"/>
      <w:i w:val="false"/>
      <w:iCs w:val="false"/>
      <w:color w:val="000000"/>
      <w:sz w:val="18"/>
      <w:szCs w:val="18"/>
      <w:shd w:fill="auto" w:val="clear"/>
    </w:rPr>
  </w:style>
  <w:style w:type="character" w:styleId="Csab6e076934">
    <w:name w:val="csab6e076934"/>
    <w:qFormat/>
    <w:rPr>
      <w:rFonts w:ascii="Arial" w:hAnsi="Arial" w:cs="Arial"/>
      <w:b w:val="false"/>
      <w:bCs w:val="false"/>
      <w:i w:val="false"/>
      <w:iCs w:val="false"/>
      <w:color w:val="000000"/>
      <w:sz w:val="18"/>
      <w:szCs w:val="18"/>
      <w:shd w:fill="auto" w:val="clear"/>
    </w:rPr>
  </w:style>
  <w:style w:type="character" w:styleId="Csf229d0ff121">
    <w:name w:val="csf229d0ff121"/>
    <w:qFormat/>
    <w:rPr>
      <w:rFonts w:ascii="Arial" w:hAnsi="Arial" w:cs="Arial"/>
      <w:b w:val="false"/>
      <w:bCs w:val="false"/>
      <w:i w:val="false"/>
      <w:iCs w:val="false"/>
      <w:color w:val="000000"/>
      <w:sz w:val="18"/>
      <w:szCs w:val="18"/>
      <w:shd w:fill="auto" w:val="clear"/>
    </w:rPr>
  </w:style>
  <w:style w:type="character" w:styleId="Csf229d0ff105">
    <w:name w:val="csf229d0ff105"/>
    <w:qFormat/>
    <w:rPr>
      <w:rFonts w:ascii="Arial" w:hAnsi="Arial" w:cs="Arial"/>
      <w:b w:val="false"/>
      <w:bCs w:val="false"/>
      <w:i w:val="false"/>
      <w:iCs w:val="false"/>
      <w:color w:val="000000"/>
      <w:sz w:val="18"/>
      <w:szCs w:val="18"/>
      <w:shd w:fill="auto" w:val="clear"/>
    </w:rPr>
  </w:style>
  <w:style w:type="character" w:styleId="Csab6e076976">
    <w:name w:val="csab6e076976"/>
    <w:qFormat/>
    <w:rPr>
      <w:rFonts w:ascii="Arial" w:hAnsi="Arial" w:cs="Arial"/>
      <w:b w:val="false"/>
      <w:bCs w:val="false"/>
      <w:i w:val="false"/>
      <w:iCs w:val="false"/>
      <w:color w:val="000000"/>
      <w:sz w:val="18"/>
      <w:szCs w:val="18"/>
      <w:shd w:fill="auto" w:val="clear"/>
    </w:rPr>
  </w:style>
  <w:style w:type="character" w:styleId="Csf229d0ff169">
    <w:name w:val="csf229d0ff169"/>
    <w:qFormat/>
    <w:rPr>
      <w:rFonts w:ascii="Arial" w:hAnsi="Arial" w:cs="Arial"/>
      <w:b w:val="false"/>
      <w:bCs w:val="false"/>
      <w:i w:val="false"/>
      <w:iCs w:val="false"/>
      <w:color w:val="000000"/>
      <w:sz w:val="18"/>
      <w:szCs w:val="18"/>
      <w:shd w:fill="auto" w:val="clear"/>
    </w:rPr>
  </w:style>
  <w:style w:type="character" w:styleId="Csab6e076938">
    <w:name w:val="csab6e076938"/>
    <w:qFormat/>
    <w:rPr>
      <w:rFonts w:ascii="Arial" w:hAnsi="Arial" w:cs="Arial"/>
      <w:b w:val="false"/>
      <w:bCs w:val="false"/>
      <w:i w:val="false"/>
      <w:iCs w:val="false"/>
      <w:color w:val="000000"/>
      <w:sz w:val="18"/>
      <w:szCs w:val="18"/>
      <w:shd w:fill="auto" w:val="clear"/>
    </w:rPr>
  </w:style>
  <w:style w:type="character" w:styleId="Csf562b9293">
    <w:name w:val="csf562b9293"/>
    <w:qFormat/>
    <w:rPr>
      <w:rFonts w:ascii="Arial" w:hAnsi="Arial" w:cs="Arial"/>
      <w:b/>
      <w:bCs/>
      <w:i/>
      <w:iCs/>
      <w:color w:val="000000"/>
      <w:sz w:val="18"/>
      <w:szCs w:val="18"/>
      <w:shd w:fill="auto" w:val="clear"/>
    </w:rPr>
  </w:style>
  <w:style w:type="character" w:styleId="Csf229d0ff144">
    <w:name w:val="csf229d0ff144"/>
    <w:qFormat/>
    <w:rPr>
      <w:rFonts w:ascii="Arial" w:hAnsi="Arial" w:cs="Arial"/>
      <w:b w:val="false"/>
      <w:bCs w:val="false"/>
      <w:i w:val="false"/>
      <w:iCs w:val="false"/>
      <w:color w:val="000000"/>
      <w:sz w:val="18"/>
      <w:szCs w:val="18"/>
      <w:shd w:fill="auto" w:val="clear"/>
    </w:rPr>
  </w:style>
  <w:style w:type="character" w:styleId="Csf229d0ff318">
    <w:name w:val="csf229d0ff318"/>
    <w:qFormat/>
    <w:rPr>
      <w:rFonts w:ascii="Arial" w:hAnsi="Arial" w:cs="Arial"/>
      <w:b w:val="false"/>
      <w:bCs w:val="false"/>
      <w:i w:val="false"/>
      <w:iCs w:val="false"/>
      <w:color w:val="000000"/>
      <w:sz w:val="18"/>
      <w:szCs w:val="18"/>
      <w:shd w:fill="auto" w:val="clear"/>
    </w:rPr>
  </w:style>
  <w:style w:type="character" w:styleId="Csf562b9294">
    <w:name w:val="csf562b9294"/>
    <w:qFormat/>
    <w:rPr>
      <w:rFonts w:ascii="Arial" w:hAnsi="Arial" w:cs="Arial"/>
      <w:b/>
      <w:bCs/>
      <w:i/>
      <w:iCs/>
      <w:color w:val="000000"/>
      <w:sz w:val="18"/>
      <w:szCs w:val="18"/>
      <w:shd w:fill="auto" w:val="clear"/>
    </w:rPr>
  </w:style>
  <w:style w:type="character" w:styleId="Csf229d0ff122">
    <w:name w:val="csf229d0ff122"/>
    <w:qFormat/>
    <w:rPr>
      <w:rFonts w:ascii="Arial" w:hAnsi="Arial" w:cs="Arial"/>
      <w:b w:val="false"/>
      <w:bCs w:val="false"/>
      <w:i w:val="false"/>
      <w:iCs w:val="false"/>
      <w:color w:val="000000"/>
      <w:sz w:val="18"/>
      <w:szCs w:val="18"/>
      <w:shd w:fill="auto" w:val="clear"/>
    </w:rPr>
  </w:style>
  <w:style w:type="character" w:styleId="Csf229d0ff167">
    <w:name w:val="csf229d0ff167"/>
    <w:qFormat/>
    <w:rPr>
      <w:rFonts w:ascii="Arial" w:hAnsi="Arial" w:cs="Arial"/>
      <w:b w:val="false"/>
      <w:bCs w:val="false"/>
      <w:i w:val="false"/>
      <w:iCs w:val="false"/>
      <w:color w:val="000000"/>
      <w:sz w:val="18"/>
      <w:szCs w:val="18"/>
      <w:shd w:fill="auto" w:val="clear"/>
    </w:rPr>
  </w:style>
  <w:style w:type="character" w:styleId="Csf229d0ff62">
    <w:name w:val="csf229d0ff62"/>
    <w:qFormat/>
    <w:rPr>
      <w:rFonts w:ascii="Arial" w:hAnsi="Arial" w:cs="Arial"/>
      <w:b w:val="false"/>
      <w:bCs w:val="false"/>
      <w:i w:val="false"/>
      <w:iCs w:val="false"/>
      <w:color w:val="000000"/>
      <w:sz w:val="18"/>
      <w:szCs w:val="18"/>
      <w:shd w:fill="auto" w:val="clear"/>
    </w:rPr>
  </w:style>
  <w:style w:type="character" w:styleId="Csf229d0ff68">
    <w:name w:val="csf229d0ff68"/>
    <w:qFormat/>
    <w:rPr>
      <w:rFonts w:ascii="Arial" w:hAnsi="Arial" w:cs="Arial"/>
      <w:b w:val="false"/>
      <w:bCs w:val="false"/>
      <w:i w:val="false"/>
      <w:iCs w:val="false"/>
      <w:color w:val="000000"/>
      <w:sz w:val="18"/>
      <w:szCs w:val="18"/>
      <w:shd w:fill="auto" w:val="clear"/>
    </w:rPr>
  </w:style>
  <w:style w:type="character" w:styleId="Csf229d0ff138">
    <w:name w:val="csf229d0ff138"/>
    <w:qFormat/>
    <w:rPr>
      <w:rFonts w:ascii="Arial" w:hAnsi="Arial" w:cs="Arial"/>
      <w:b w:val="false"/>
      <w:bCs w:val="false"/>
      <w:i w:val="false"/>
      <w:iCs w:val="false"/>
      <w:color w:val="000000"/>
      <w:sz w:val="18"/>
      <w:szCs w:val="18"/>
      <w:shd w:fill="auto" w:val="clear"/>
    </w:rPr>
  </w:style>
  <w:style w:type="character" w:styleId="Csf229d0ff160">
    <w:name w:val="csf229d0ff160"/>
    <w:qFormat/>
    <w:rPr>
      <w:rFonts w:ascii="Arial" w:hAnsi="Arial" w:cs="Arial"/>
      <w:b w:val="false"/>
      <w:bCs w:val="false"/>
      <w:i w:val="false"/>
      <w:iCs w:val="false"/>
      <w:color w:val="000000"/>
      <w:sz w:val="18"/>
      <w:szCs w:val="18"/>
      <w:shd w:fill="auto" w:val="clear"/>
    </w:rPr>
  </w:style>
  <w:style w:type="character" w:styleId="Csf06730b61">
    <w:name w:val="csf06730b61"/>
    <w:qFormat/>
    <w:rPr>
      <w:rFonts w:ascii="Times New Roman" w:hAnsi="Times New Roman" w:cs="Times New Roman"/>
      <w:b/>
      <w:bCs/>
      <w:i w:val="false"/>
      <w:iCs w:val="false"/>
      <w:color w:val="000000"/>
      <w:sz w:val="16"/>
      <w:szCs w:val="16"/>
      <w:shd w:fill="auto" w:val="clear"/>
    </w:rPr>
  </w:style>
  <w:style w:type="character" w:styleId="Csab6e076955">
    <w:name w:val="csab6e076955"/>
    <w:qFormat/>
    <w:rPr>
      <w:rFonts w:ascii="Arial" w:hAnsi="Arial" w:cs="Arial"/>
      <w:b w:val="false"/>
      <w:bCs w:val="false"/>
      <w:i w:val="false"/>
      <w:iCs w:val="false"/>
      <w:color w:val="000000"/>
      <w:sz w:val="18"/>
      <w:szCs w:val="18"/>
      <w:shd w:fill="auto" w:val="clear"/>
    </w:rPr>
  </w:style>
  <w:style w:type="character" w:styleId="Csf229d0ff31">
    <w:name w:val="csf229d0ff31"/>
    <w:qFormat/>
    <w:rPr>
      <w:rFonts w:ascii="Arial" w:hAnsi="Arial" w:cs="Arial"/>
      <w:b w:val="false"/>
      <w:bCs w:val="false"/>
      <w:i w:val="false"/>
      <w:iCs w:val="false"/>
      <w:color w:val="000000"/>
      <w:sz w:val="18"/>
      <w:szCs w:val="18"/>
      <w:shd w:fill="auto" w:val="clear"/>
    </w:rPr>
  </w:style>
  <w:style w:type="character" w:styleId="Csb3e8c9cf66">
    <w:name w:val="csb3e8c9cf66"/>
    <w:qFormat/>
    <w:rPr>
      <w:rFonts w:ascii="Arial" w:hAnsi="Arial" w:cs="Arial"/>
      <w:b/>
      <w:bCs/>
      <w:i w:val="false"/>
      <w:iCs w:val="false"/>
      <w:color w:val="000000"/>
      <w:sz w:val="18"/>
      <w:szCs w:val="18"/>
      <w:shd w:fill="auto" w:val="clear"/>
    </w:rPr>
  </w:style>
  <w:style w:type="character" w:styleId="Arial9">
    <w:name w:val="Arial9(без отступов) Знак"/>
    <w:qFormat/>
    <w:rPr>
      <w:rFonts w:ascii="Arial" w:hAnsi="Arial" w:cs="Arial"/>
      <w:sz w:val="18"/>
      <w:szCs w:val="18"/>
      <w:lang w:val="ru-RU"/>
    </w:rPr>
  </w:style>
  <w:style w:type="character" w:styleId="Csf229d0ff178">
    <w:name w:val="csf229d0ff178"/>
    <w:qFormat/>
    <w:rPr>
      <w:rFonts w:ascii="Arial" w:hAnsi="Arial" w:cs="Arial"/>
      <w:b w:val="false"/>
      <w:bCs w:val="false"/>
      <w:i w:val="false"/>
      <w:iCs w:val="false"/>
      <w:color w:val="000000"/>
      <w:sz w:val="18"/>
      <w:szCs w:val="18"/>
      <w:shd w:fill="auto" w:val="clear"/>
    </w:rPr>
  </w:style>
  <w:style w:type="character" w:styleId="Csb3e8c9cf163">
    <w:name w:val="csb3e8c9cf163"/>
    <w:qFormat/>
    <w:rPr>
      <w:rFonts w:ascii="Arial" w:hAnsi="Arial" w:cs="Arial"/>
      <w:b/>
      <w:bCs/>
      <w:i w:val="false"/>
      <w:iCs w:val="false"/>
      <w:color w:val="000000"/>
      <w:sz w:val="18"/>
      <w:szCs w:val="18"/>
      <w:shd w:fill="auto" w:val="clear"/>
    </w:rPr>
  </w:style>
  <w:style w:type="character" w:styleId="Csf229d0ff8">
    <w:name w:val="csf229d0ff8"/>
    <w:qFormat/>
    <w:rPr>
      <w:rFonts w:ascii="Arial" w:hAnsi="Arial" w:cs="Arial"/>
      <w:b w:val="false"/>
      <w:bCs w:val="false"/>
      <w:i w:val="false"/>
      <w:iCs w:val="false"/>
      <w:color w:val="000000"/>
      <w:sz w:val="18"/>
      <w:szCs w:val="18"/>
      <w:shd w:fill="auto" w:val="clear"/>
    </w:rPr>
  </w:style>
  <w:style w:type="character" w:styleId="Cs9b006263">
    <w:name w:val="cs9b006263"/>
    <w:qFormat/>
    <w:rPr>
      <w:rFonts w:ascii="Arial" w:hAnsi="Arial" w:cs="Arial"/>
      <w:b/>
      <w:bCs/>
      <w:i w:val="false"/>
      <w:iCs w:val="false"/>
      <w:color w:val="000000"/>
      <w:sz w:val="20"/>
      <w:szCs w:val="20"/>
      <w:shd w:fill="auto" w:val="clear"/>
    </w:rPr>
  </w:style>
  <w:style w:type="character" w:styleId="Csf229d0ff36">
    <w:name w:val="csf229d0ff36"/>
    <w:qFormat/>
    <w:rPr>
      <w:rFonts w:ascii="Arial" w:hAnsi="Arial" w:cs="Arial"/>
      <w:b w:val="false"/>
      <w:bCs w:val="false"/>
      <w:i w:val="false"/>
      <w:iCs w:val="false"/>
      <w:color w:val="000000"/>
      <w:sz w:val="18"/>
      <w:szCs w:val="18"/>
      <w:shd w:fill="auto" w:val="clear"/>
    </w:rPr>
  </w:style>
  <w:style w:type="character" w:styleId="Csf229d0ff100">
    <w:name w:val="csf229d0ff100"/>
    <w:qFormat/>
    <w:rPr>
      <w:rFonts w:ascii="Arial" w:hAnsi="Arial" w:cs="Arial"/>
      <w:b w:val="false"/>
      <w:bCs w:val="false"/>
      <w:i w:val="false"/>
      <w:iCs w:val="false"/>
      <w:color w:val="000000"/>
      <w:sz w:val="18"/>
      <w:szCs w:val="18"/>
      <w:shd w:fill="auto" w:val="clear"/>
    </w:rPr>
  </w:style>
  <w:style w:type="character" w:styleId="Csf229d0ff110">
    <w:name w:val="csf229d0ff110"/>
    <w:qFormat/>
    <w:rPr>
      <w:rFonts w:ascii="Arial" w:hAnsi="Arial" w:cs="Arial"/>
      <w:b w:val="false"/>
      <w:bCs w:val="false"/>
      <w:i w:val="false"/>
      <w:iCs w:val="false"/>
      <w:color w:val="000000"/>
      <w:sz w:val="18"/>
      <w:szCs w:val="18"/>
      <w:shd w:fill="auto" w:val="clear"/>
    </w:rPr>
  </w:style>
  <w:style w:type="character" w:styleId="Csf229d0ff125">
    <w:name w:val="csf229d0ff125"/>
    <w:qFormat/>
    <w:rPr>
      <w:rFonts w:ascii="Arial" w:hAnsi="Arial" w:cs="Arial"/>
      <w:b w:val="false"/>
      <w:bCs w:val="false"/>
      <w:i w:val="false"/>
      <w:iCs w:val="false"/>
      <w:color w:val="000000"/>
      <w:sz w:val="18"/>
      <w:szCs w:val="18"/>
      <w:shd w:fill="auto" w:val="clear"/>
    </w:rPr>
  </w:style>
  <w:style w:type="character" w:styleId="Csf229d0ff80">
    <w:name w:val="csf229d0ff80"/>
    <w:qFormat/>
    <w:rPr>
      <w:rFonts w:ascii="Arial" w:hAnsi="Arial" w:cs="Arial"/>
      <w:b w:val="false"/>
      <w:bCs w:val="false"/>
      <w:i w:val="false"/>
      <w:iCs w:val="false"/>
      <w:color w:val="000000"/>
      <w:sz w:val="18"/>
      <w:szCs w:val="18"/>
      <w:shd w:fill="auto" w:val="clear"/>
    </w:rPr>
  </w:style>
  <w:style w:type="character" w:styleId="Csf229d0ff102">
    <w:name w:val="csf229d0ff102"/>
    <w:qFormat/>
    <w:rPr>
      <w:rFonts w:ascii="Arial" w:hAnsi="Arial" w:cs="Arial"/>
      <w:b w:val="false"/>
      <w:bCs w:val="false"/>
      <w:i w:val="false"/>
      <w:iCs w:val="false"/>
      <w:color w:val="000000"/>
      <w:sz w:val="18"/>
      <w:szCs w:val="18"/>
      <w:shd w:fill="auto" w:val="clear"/>
    </w:rPr>
  </w:style>
  <w:style w:type="character" w:styleId="Csf229d0ff49">
    <w:name w:val="csf229d0ff49"/>
    <w:qFormat/>
    <w:rPr>
      <w:rFonts w:ascii="Arial" w:hAnsi="Arial" w:cs="Arial"/>
      <w:b w:val="false"/>
      <w:bCs w:val="false"/>
      <w:i w:val="false"/>
      <w:iCs w:val="false"/>
      <w:color w:val="000000"/>
      <w:sz w:val="18"/>
      <w:szCs w:val="18"/>
      <w:shd w:fill="auto" w:val="clear"/>
    </w:rPr>
  </w:style>
  <w:style w:type="character" w:styleId="Csab6e076954">
    <w:name w:val="csab6e076954"/>
    <w:qFormat/>
    <w:rPr>
      <w:rFonts w:ascii="Arial" w:hAnsi="Arial" w:cs="Arial"/>
      <w:b w:val="false"/>
      <w:bCs w:val="false"/>
      <w:i w:val="false"/>
      <w:iCs w:val="false"/>
      <w:color w:val="000000"/>
      <w:sz w:val="18"/>
      <w:szCs w:val="18"/>
      <w:shd w:fill="auto" w:val="clear"/>
    </w:rPr>
  </w:style>
  <w:style w:type="character" w:styleId="Csf562b9295">
    <w:name w:val="csf562b9295"/>
    <w:qFormat/>
    <w:rPr>
      <w:rFonts w:ascii="Arial" w:hAnsi="Arial" w:cs="Arial"/>
      <w:b/>
      <w:bCs/>
      <w:i/>
      <w:iCs/>
      <w:color w:val="000000"/>
      <w:sz w:val="18"/>
      <w:szCs w:val="18"/>
      <w:shd w:fill="auto" w:val="clear"/>
    </w:rPr>
  </w:style>
  <w:style w:type="character" w:styleId="Csf229d0ff142">
    <w:name w:val="csf229d0ff142"/>
    <w:qFormat/>
    <w:rPr>
      <w:rFonts w:ascii="Arial" w:hAnsi="Arial" w:cs="Arial"/>
      <w:b w:val="false"/>
      <w:bCs w:val="false"/>
      <w:i w:val="false"/>
      <w:iCs w:val="false"/>
      <w:color w:val="000000"/>
      <w:sz w:val="18"/>
      <w:szCs w:val="18"/>
      <w:shd w:fill="auto" w:val="clear"/>
    </w:rPr>
  </w:style>
  <w:style w:type="character" w:styleId="Csf229d0ff152">
    <w:name w:val="csf229d0ff152"/>
    <w:qFormat/>
    <w:rPr>
      <w:rFonts w:ascii="Arial" w:hAnsi="Arial" w:cs="Arial"/>
      <w:b w:val="false"/>
      <w:bCs w:val="false"/>
      <w:i w:val="false"/>
      <w:iCs w:val="false"/>
      <w:color w:val="000000"/>
      <w:sz w:val="18"/>
      <w:szCs w:val="18"/>
      <w:shd w:fill="auto" w:val="clear"/>
    </w:rPr>
  </w:style>
  <w:style w:type="character" w:styleId="Csf229d0ff95">
    <w:name w:val="csf229d0ff95"/>
    <w:qFormat/>
    <w:rPr>
      <w:rFonts w:ascii="Arial" w:hAnsi="Arial" w:cs="Arial"/>
      <w:b w:val="false"/>
      <w:bCs w:val="false"/>
      <w:i w:val="false"/>
      <w:iCs w:val="false"/>
      <w:color w:val="000000"/>
      <w:sz w:val="18"/>
      <w:szCs w:val="18"/>
      <w:shd w:fill="auto" w:val="clear"/>
    </w:rPr>
  </w:style>
  <w:style w:type="character" w:styleId="Csab6e076992">
    <w:name w:val="csab6e076992"/>
    <w:qFormat/>
    <w:rPr>
      <w:rFonts w:ascii="Arial" w:hAnsi="Arial" w:cs="Arial"/>
      <w:b w:val="false"/>
      <w:bCs w:val="false"/>
      <w:i w:val="false"/>
      <w:iCs w:val="false"/>
      <w:color w:val="000000"/>
      <w:sz w:val="18"/>
      <w:szCs w:val="18"/>
      <w:shd w:fill="auto" w:val="clear"/>
    </w:rPr>
  </w:style>
  <w:style w:type="character" w:styleId="Csab6e076975">
    <w:name w:val="csab6e076975"/>
    <w:qFormat/>
    <w:rPr>
      <w:rFonts w:ascii="Arial" w:hAnsi="Arial" w:cs="Arial"/>
      <w:b w:val="false"/>
      <w:bCs w:val="false"/>
      <w:i w:val="false"/>
      <w:iCs w:val="false"/>
      <w:color w:val="000000"/>
      <w:sz w:val="18"/>
      <w:szCs w:val="18"/>
      <w:shd w:fill="auto" w:val="clear"/>
    </w:rPr>
  </w:style>
  <w:style w:type="character" w:styleId="Csf229d0ff23">
    <w:name w:val="csf229d0ff23"/>
    <w:qFormat/>
    <w:rPr>
      <w:rFonts w:ascii="Arial" w:hAnsi="Arial" w:cs="Arial"/>
      <w:b w:val="false"/>
      <w:bCs w:val="false"/>
      <w:i w:val="false"/>
      <w:iCs w:val="false"/>
      <w:color w:val="000000"/>
      <w:sz w:val="18"/>
      <w:szCs w:val="18"/>
      <w:shd w:fill="auto" w:val="clear"/>
    </w:rPr>
  </w:style>
  <w:style w:type="character" w:styleId="Csab6e076944">
    <w:name w:val="csab6e076944"/>
    <w:qFormat/>
    <w:rPr>
      <w:rFonts w:ascii="Arial" w:hAnsi="Arial" w:cs="Arial"/>
      <w:b w:val="false"/>
      <w:bCs w:val="false"/>
      <w:i w:val="false"/>
      <w:iCs w:val="false"/>
      <w:color w:val="000000"/>
      <w:sz w:val="18"/>
      <w:szCs w:val="18"/>
      <w:shd w:fill="auto" w:val="clear"/>
    </w:rPr>
  </w:style>
  <w:style w:type="character" w:styleId="Csab6e076946">
    <w:name w:val="csab6e076946"/>
    <w:qFormat/>
    <w:rPr>
      <w:rFonts w:ascii="Arial" w:hAnsi="Arial" w:cs="Arial"/>
      <w:b w:val="false"/>
      <w:bCs w:val="false"/>
      <w:i w:val="false"/>
      <w:iCs w:val="false"/>
      <w:color w:val="000000"/>
      <w:sz w:val="18"/>
      <w:szCs w:val="18"/>
      <w:shd w:fill="auto" w:val="clear"/>
    </w:rPr>
  </w:style>
  <w:style w:type="character" w:styleId="Csf229d0ff103">
    <w:name w:val="csf229d0ff103"/>
    <w:qFormat/>
    <w:rPr>
      <w:rFonts w:ascii="Arial" w:hAnsi="Arial" w:cs="Arial"/>
      <w:b w:val="false"/>
      <w:bCs w:val="false"/>
      <w:i w:val="false"/>
      <w:iCs w:val="false"/>
      <w:color w:val="000000"/>
      <w:sz w:val="18"/>
      <w:szCs w:val="18"/>
      <w:shd w:fill="auto" w:val="clear"/>
    </w:rPr>
  </w:style>
  <w:style w:type="character" w:styleId="Csf229d0ff82">
    <w:name w:val="csf229d0ff82"/>
    <w:qFormat/>
    <w:rPr>
      <w:rFonts w:ascii="Arial" w:hAnsi="Arial" w:cs="Arial"/>
      <w:b w:val="false"/>
      <w:bCs w:val="false"/>
      <w:i w:val="false"/>
      <w:iCs w:val="false"/>
      <w:color w:val="000000"/>
      <w:sz w:val="18"/>
      <w:szCs w:val="18"/>
      <w:shd w:fill="auto" w:val="clear"/>
    </w:rPr>
  </w:style>
  <w:style w:type="character" w:styleId="Csf229d0ff101">
    <w:name w:val="csf229d0ff101"/>
    <w:qFormat/>
    <w:rPr>
      <w:rFonts w:ascii="Arial" w:hAnsi="Arial" w:cs="Arial"/>
      <w:b w:val="false"/>
      <w:bCs w:val="false"/>
      <w:i w:val="false"/>
      <w:iCs w:val="false"/>
      <w:color w:val="000000"/>
      <w:sz w:val="18"/>
      <w:szCs w:val="18"/>
      <w:shd w:fill="auto" w:val="clear"/>
    </w:rPr>
  </w:style>
  <w:style w:type="character" w:styleId="Csb3e8c9cf108">
    <w:name w:val="csb3e8c9cf108"/>
    <w:qFormat/>
    <w:rPr>
      <w:rFonts w:ascii="Arial" w:hAnsi="Arial" w:cs="Arial"/>
      <w:b/>
      <w:bCs/>
      <w:i w:val="false"/>
      <w:iCs w:val="false"/>
      <w:color w:val="000000"/>
      <w:sz w:val="18"/>
      <w:szCs w:val="18"/>
      <w:shd w:fill="auto" w:val="clear"/>
    </w:rPr>
  </w:style>
  <w:style w:type="character" w:styleId="Csf229d0ff107">
    <w:name w:val="csf229d0ff107"/>
    <w:qFormat/>
    <w:rPr>
      <w:rFonts w:ascii="Arial" w:hAnsi="Arial" w:cs="Arial"/>
      <w:b w:val="false"/>
      <w:bCs w:val="false"/>
      <w:i w:val="false"/>
      <w:iCs w:val="false"/>
      <w:color w:val="000000"/>
      <w:sz w:val="18"/>
      <w:szCs w:val="18"/>
      <w:shd w:fill="auto" w:val="clear"/>
    </w:rPr>
  </w:style>
  <w:style w:type="character" w:styleId="Csf562b9291">
    <w:name w:val="csf562b9291"/>
    <w:qFormat/>
    <w:rPr>
      <w:rFonts w:ascii="Arial" w:hAnsi="Arial" w:cs="Arial"/>
      <w:b/>
      <w:bCs/>
      <w:i/>
      <w:iCs/>
      <w:color w:val="000000"/>
      <w:sz w:val="18"/>
      <w:szCs w:val="18"/>
      <w:shd w:fill="auto" w:val="clear"/>
    </w:rPr>
  </w:style>
  <w:style w:type="character" w:styleId="Csab6e076993">
    <w:name w:val="csab6e076993"/>
    <w:qFormat/>
    <w:rPr>
      <w:rFonts w:ascii="Arial" w:hAnsi="Arial" w:cs="Arial"/>
      <w:b w:val="false"/>
      <w:bCs w:val="false"/>
      <w:i w:val="false"/>
      <w:iCs w:val="false"/>
      <w:color w:val="000000"/>
      <w:sz w:val="18"/>
      <w:szCs w:val="18"/>
      <w:shd w:fill="auto" w:val="clear"/>
    </w:rPr>
  </w:style>
  <w:style w:type="character" w:styleId="Arial96">
    <w:name w:val="Arial9+6пт Знак"/>
    <w:qFormat/>
    <w:rPr>
      <w:rFonts w:ascii="Arial" w:hAnsi="Arial" w:cs="Arial"/>
      <w:sz w:val="18"/>
      <w:lang w:val="ru-RU"/>
    </w:rPr>
  </w:style>
  <w:style w:type="character" w:styleId="Csf229d0ff86">
    <w:name w:val="csf229d0ff86"/>
    <w:qFormat/>
    <w:rPr>
      <w:rFonts w:ascii="Arial" w:hAnsi="Arial" w:cs="Arial"/>
      <w:b w:val="false"/>
      <w:bCs w:val="false"/>
      <w:i w:val="false"/>
      <w:iCs w:val="false"/>
      <w:color w:val="000000"/>
      <w:sz w:val="18"/>
      <w:szCs w:val="18"/>
      <w:shd w:fill="auto" w:val="clear"/>
    </w:rPr>
  </w:style>
  <w:style w:type="character" w:styleId="Csba2942511">
    <w:name w:val="csba2942511"/>
    <w:qFormat/>
    <w:rPr>
      <w:rFonts w:ascii="Segoe UI" w:hAnsi="Segoe UI" w:cs="Segoe UI"/>
      <w:b/>
      <w:bCs/>
      <w:i/>
      <w:iCs/>
      <w:color w:val="102B56"/>
      <w:sz w:val="18"/>
      <w:szCs w:val="18"/>
      <w:shd w:fill="auto" w:val="clear"/>
    </w:rPr>
  </w:style>
  <w:style w:type="character" w:styleId="Csab6e076914">
    <w:name w:val="csab6e076914"/>
    <w:qFormat/>
    <w:rPr>
      <w:rFonts w:ascii="Arial" w:hAnsi="Arial" w:cs="Arial"/>
      <w:b w:val="false"/>
      <w:bCs w:val="false"/>
      <w:i w:val="false"/>
      <w:iCs w:val="false"/>
      <w:color w:val="000000"/>
      <w:sz w:val="18"/>
      <w:szCs w:val="18"/>
    </w:rPr>
  </w:style>
  <w:style w:type="character" w:styleId="Csf229d0ff134">
    <w:name w:val="csf229d0ff134"/>
    <w:qFormat/>
    <w:rPr>
      <w:rFonts w:ascii="Arial" w:hAnsi="Arial" w:cs="Arial"/>
      <w:b w:val="false"/>
      <w:bCs w:val="false"/>
      <w:i w:val="false"/>
      <w:iCs w:val="false"/>
      <w:color w:val="000000"/>
      <w:sz w:val="18"/>
      <w:szCs w:val="18"/>
      <w:shd w:fill="auto" w:val="clear"/>
    </w:rPr>
  </w:style>
  <w:style w:type="character" w:styleId="Csed36d4af2">
    <w:name w:val="csed36d4af2"/>
    <w:qFormat/>
    <w:rPr>
      <w:rFonts w:ascii="Arial" w:hAnsi="Arial" w:cs="Arial"/>
      <w:b/>
      <w:bCs/>
      <w:i/>
      <w:iCs/>
      <w:color w:val="000000"/>
      <w:sz w:val="20"/>
      <w:szCs w:val="20"/>
      <w:shd w:fill="auto" w:val="clear"/>
    </w:rPr>
  </w:style>
  <w:style w:type="character" w:styleId="VisitedInternetLink">
    <w:name w:val="Visited Internet Link"/>
    <w:rPr>
      <w:color w:val="954F72"/>
      <w:u w:val="single"/>
    </w:rPr>
  </w:style>
  <w:style w:type="character" w:styleId="Style17">
    <w:name w:val="Заголовок Знак"/>
    <w:qFormat/>
    <w:rPr>
      <w:rFonts w:ascii="Times New Roman" w:hAnsi="Times New Roman" w:cs="Times New Roman"/>
      <w:sz w:val="24"/>
      <w:szCs w:val="24"/>
      <w:lang w:val="en-US"/>
    </w:rPr>
  </w:style>
  <w:style w:type="character" w:styleId="22">
    <w:name w:val="Основной текст 2 Знак"/>
    <w:qFormat/>
    <w:rPr>
      <w:rFonts w:ascii="Times New Roman" w:hAnsi="Times New Roman" w:cs="Times New Roman"/>
      <w:sz w:val="24"/>
      <w:szCs w:val="24"/>
      <w:lang w:val="en-US"/>
    </w:rPr>
  </w:style>
  <w:style w:type="character" w:styleId="Style18">
    <w:name w:val="Название Знак"/>
    <w:qFormat/>
    <w:rPr>
      <w:rFonts w:ascii="Cambria" w:hAnsi="Cambria" w:cs="Cambria"/>
      <w:color w:val="17365D"/>
      <w:spacing w:val="5"/>
    </w:rPr>
  </w:style>
  <w:style w:type="character" w:styleId="Style19">
    <w:name w:val="Верхній колонтитул Знак"/>
    <w:qFormat/>
    <w:rPr/>
  </w:style>
  <w:style w:type="character" w:styleId="Style20">
    <w:name w:val="Нижній колонтитул Знак"/>
    <w:qFormat/>
    <w:rPr/>
  </w:style>
  <w:style w:type="character" w:styleId="Style21">
    <w:name w:val="Назва Знак"/>
    <w:qFormat/>
    <w:rPr>
      <w:rFonts w:ascii="Calibri Light" w:hAnsi="Calibri Light" w:cs="Calibri Light"/>
      <w:spacing w:val="-10"/>
    </w:rPr>
  </w:style>
  <w:style w:type="character" w:styleId="23">
    <w:name w:val="Основний текст 2 Знак"/>
    <w:qFormat/>
    <w:rPr/>
  </w:style>
  <w:style w:type="character" w:styleId="Style22">
    <w:name w:val="Текст у виносці Знак"/>
    <w:qFormat/>
    <w:rPr>
      <w:rFonts w:ascii="Segoe UI" w:hAnsi="Segoe UI" w:cs="Segoe UI"/>
    </w:rPr>
  </w:style>
  <w:style w:type="character" w:styleId="Emailstyle45">
    <w:name w:val="emailstyle45"/>
    <w:qFormat/>
    <w:rPr>
      <w:rFonts w:ascii="Calibri" w:hAnsi="Calibri" w:cs="Calibri"/>
      <w:color w:val="000000"/>
    </w:rPr>
  </w:style>
  <w:style w:type="character" w:styleId="Error">
    <w:name w:val="error"/>
    <w:qFormat/>
    <w:rPr/>
  </w:style>
  <w:style w:type="character" w:styleId="TimesNewRoman121">
    <w:name w:val="Стиль Times New Roman 12 пт1"/>
    <w:qFormat/>
    <w:rPr>
      <w:rFonts w:ascii="Times New Roman" w:hAnsi="Times New Roman" w:cs="Times New Roman"/>
    </w:rPr>
  </w:style>
  <w:style w:type="character" w:styleId="Cs95e872d03">
    <w:name w:val="cs95e872d03"/>
    <w:qFormat/>
    <w:rPr/>
  </w:style>
  <w:style w:type="character" w:styleId="Cs7a65ad241">
    <w:name w:val="cs7a65ad241"/>
    <w:qFormat/>
    <w:rPr>
      <w:rFonts w:ascii="Times New Roman" w:hAnsi="Times New Roman" w:cs="Times New Roman"/>
      <w:b/>
      <w:bCs/>
      <w:i w:val="false"/>
      <w:iCs w:val="false"/>
      <w:color w:val="000000"/>
      <w:sz w:val="26"/>
      <w:szCs w:val="26"/>
    </w:rPr>
  </w:style>
  <w:style w:type="character" w:styleId="Csccf5e31620">
    <w:name w:val="csccf5e31620"/>
    <w:qFormat/>
    <w:rPr>
      <w:rFonts w:ascii="Arial" w:hAnsi="Arial" w:cs="Arial"/>
      <w:b/>
      <w:bCs/>
      <w:i w:val="false"/>
      <w:iCs w:val="false"/>
      <w:color w:val="000000"/>
      <w:sz w:val="18"/>
      <w:szCs w:val="18"/>
      <w:shd w:fill="auto" w:val="clear"/>
    </w:rPr>
  </w:style>
  <w:style w:type="character" w:styleId="Cs9ff1b61120">
    <w:name w:val="cs9ff1b61120"/>
    <w:qFormat/>
    <w:rPr>
      <w:rFonts w:ascii="Arial" w:hAnsi="Arial" w:cs="Arial"/>
      <w:b w:val="false"/>
      <w:bCs w:val="false"/>
      <w:i w:val="false"/>
      <w:iCs w:val="false"/>
      <w:color w:val="000000"/>
      <w:sz w:val="18"/>
      <w:szCs w:val="18"/>
      <w:shd w:fill="auto" w:val="clear"/>
    </w:rPr>
  </w:style>
  <w:style w:type="character" w:styleId="Cs9ff1b61111">
    <w:name w:val="cs9ff1b61111"/>
    <w:qFormat/>
    <w:rPr>
      <w:rFonts w:ascii="Arial" w:hAnsi="Arial" w:cs="Arial"/>
      <w:b w:val="false"/>
      <w:bCs w:val="false"/>
      <w:i w:val="false"/>
      <w:iCs w:val="false"/>
      <w:color w:val="000000"/>
      <w:sz w:val="18"/>
      <w:szCs w:val="18"/>
      <w:shd w:fill="auto" w:val="clear"/>
    </w:rPr>
  </w:style>
  <w:style w:type="character" w:styleId="Cs9ff1b611205">
    <w:name w:val="cs9ff1b611205"/>
    <w:qFormat/>
    <w:rPr>
      <w:rFonts w:ascii="Arial" w:hAnsi="Arial" w:cs="Arial"/>
      <w:b w:val="false"/>
      <w:bCs w:val="false"/>
      <w:i w:val="false"/>
      <w:iCs w:val="false"/>
      <w:color w:val="000000"/>
      <w:sz w:val="18"/>
      <w:szCs w:val="18"/>
      <w:shd w:fill="auto" w:val="clear"/>
    </w:rPr>
  </w:style>
  <w:style w:type="character" w:styleId="Csab6e0769173">
    <w:name w:val="csab6e0769173"/>
    <w:qFormat/>
    <w:rPr>
      <w:rFonts w:ascii="Arial" w:hAnsi="Arial" w:cs="Arial"/>
      <w:b w:val="false"/>
      <w:bCs w:val="false"/>
      <w:i w:val="false"/>
      <w:iCs w:val="false"/>
      <w:color w:val="000000"/>
      <w:sz w:val="18"/>
      <w:szCs w:val="18"/>
      <w:shd w:fill="auto" w:val="clear"/>
    </w:rPr>
  </w:style>
  <w:style w:type="character" w:styleId="Cs9ff1b61121">
    <w:name w:val="cs9ff1b61121"/>
    <w:qFormat/>
    <w:rPr>
      <w:rFonts w:ascii="Arial" w:hAnsi="Arial" w:cs="Arial"/>
      <w:b w:val="false"/>
      <w:bCs w:val="false"/>
      <w:i w:val="false"/>
      <w:iCs w:val="false"/>
      <w:color w:val="000000"/>
      <w:sz w:val="18"/>
      <w:szCs w:val="18"/>
      <w:shd w:fill="auto" w:val="clear"/>
    </w:rPr>
  </w:style>
  <w:style w:type="character" w:styleId="Csccf5e316219">
    <w:name w:val="csccf5e316219"/>
    <w:qFormat/>
    <w:rPr>
      <w:rFonts w:ascii="Arial" w:hAnsi="Arial" w:cs="Arial"/>
      <w:b/>
      <w:bCs/>
      <w:i w:val="false"/>
      <w:iCs w:val="false"/>
      <w:color w:val="000000"/>
      <w:sz w:val="18"/>
      <w:szCs w:val="18"/>
      <w:shd w:fill="auto" w:val="clear"/>
    </w:rPr>
  </w:style>
  <w:style w:type="character" w:styleId="Cs9ff1b611210">
    <w:name w:val="cs9ff1b611210"/>
    <w:qFormat/>
    <w:rPr>
      <w:rFonts w:ascii="Arial" w:hAnsi="Arial" w:cs="Arial"/>
      <w:b w:val="false"/>
      <w:bCs w:val="false"/>
      <w:i w:val="false"/>
      <w:iCs w:val="false"/>
      <w:color w:val="000000"/>
      <w:sz w:val="18"/>
      <w:szCs w:val="18"/>
      <w:shd w:fill="auto" w:val="clear"/>
    </w:rPr>
  </w:style>
  <w:style w:type="character" w:styleId="Csab6e076970">
    <w:name w:val="csab6e076970"/>
    <w:qFormat/>
    <w:rPr>
      <w:rFonts w:ascii="Arial" w:hAnsi="Arial" w:cs="Arial"/>
      <w:b w:val="false"/>
      <w:bCs w:val="false"/>
      <w:i w:val="false"/>
      <w:iCs w:val="false"/>
      <w:color w:val="000000"/>
      <w:sz w:val="18"/>
      <w:szCs w:val="18"/>
      <w:shd w:fill="auto" w:val="clear"/>
    </w:rPr>
  </w:style>
  <w:style w:type="character" w:styleId="Cs9ff1b61152">
    <w:name w:val="cs9ff1b61152"/>
    <w:qFormat/>
    <w:rPr>
      <w:rFonts w:ascii="Arial" w:hAnsi="Arial" w:cs="Arial"/>
      <w:b w:val="false"/>
      <w:bCs w:val="false"/>
      <w:i w:val="false"/>
      <w:iCs w:val="false"/>
      <w:color w:val="000000"/>
      <w:sz w:val="18"/>
      <w:szCs w:val="18"/>
      <w:shd w:fill="auto" w:val="clear"/>
    </w:rPr>
  </w:style>
  <w:style w:type="character" w:styleId="Cse1a752c62">
    <w:name w:val="cse1a752c62"/>
    <w:qFormat/>
    <w:rPr>
      <w:rFonts w:ascii="Arial" w:hAnsi="Arial" w:cs="Arial"/>
      <w:b w:val="false"/>
      <w:bCs w:val="false"/>
      <w:i w:val="false"/>
      <w:iCs w:val="false"/>
      <w:color w:val="000000"/>
      <w:sz w:val="18"/>
      <w:szCs w:val="18"/>
      <w:shd w:fill="auto" w:val="clear"/>
    </w:rPr>
  </w:style>
  <w:style w:type="character" w:styleId="Cs9ff1b6119">
    <w:name w:val="cs9ff1b6119"/>
    <w:qFormat/>
    <w:rPr>
      <w:rFonts w:ascii="Arial" w:hAnsi="Arial" w:cs="Arial"/>
      <w:b w:val="false"/>
      <w:bCs w:val="false"/>
      <w:i w:val="false"/>
      <w:iCs w:val="false"/>
      <w:color w:val="000000"/>
      <w:sz w:val="18"/>
      <w:szCs w:val="18"/>
      <w:shd w:fill="auto" w:val="clear"/>
    </w:rPr>
  </w:style>
  <w:style w:type="character" w:styleId="Cs9ff1b61138">
    <w:name w:val="cs9ff1b61138"/>
    <w:qFormat/>
    <w:rPr>
      <w:rFonts w:ascii="Arial" w:hAnsi="Arial" w:cs="Arial"/>
      <w:b w:val="false"/>
      <w:bCs w:val="false"/>
      <w:i w:val="false"/>
      <w:iCs w:val="false"/>
      <w:color w:val="000000"/>
      <w:sz w:val="18"/>
      <w:szCs w:val="18"/>
      <w:shd w:fill="auto" w:val="clear"/>
    </w:rPr>
  </w:style>
  <w:style w:type="character" w:styleId="Csbd30b5e52">
    <w:name w:val="csbd30b5e52"/>
    <w:qFormat/>
    <w:rPr>
      <w:rFonts w:ascii="Times New Roman" w:hAnsi="Times New Roman" w:cs="Times New Roman"/>
      <w:b w:val="false"/>
      <w:bCs w:val="false"/>
      <w:i/>
      <w:iCs/>
      <w:color w:val="000000"/>
      <w:sz w:val="18"/>
      <w:szCs w:val="18"/>
    </w:rPr>
  </w:style>
  <w:style w:type="character" w:styleId="Cs176e94eb2">
    <w:name w:val="cs176e94eb2"/>
    <w:qFormat/>
    <w:rPr>
      <w:rFonts w:ascii="Times New Roman" w:hAnsi="Times New Roman" w:cs="Times New Roman"/>
      <w:b/>
      <w:bCs/>
      <w:i w:val="false"/>
      <w:iCs w:val="false"/>
      <w:color w:val="000000"/>
      <w:sz w:val="18"/>
      <w:szCs w:val="18"/>
    </w:rPr>
  </w:style>
  <w:style w:type="character" w:styleId="Cscc47389a2">
    <w:name w:val="cscc47389a2"/>
    <w:qFormat/>
    <w:rPr>
      <w:rFonts w:ascii="Times New Roman" w:hAnsi="Times New Roman" w:cs="Times New Roman"/>
      <w:b w:val="false"/>
      <w:bCs w:val="false"/>
      <w:i w:val="false"/>
      <w:iCs w:val="false"/>
      <w:color w:val="000000"/>
      <w:sz w:val="18"/>
      <w:szCs w:val="18"/>
    </w:rPr>
  </w:style>
  <w:style w:type="character" w:styleId="Csbd30b5e54">
    <w:name w:val="csbd30b5e54"/>
    <w:qFormat/>
    <w:rPr>
      <w:rFonts w:ascii="Times New Roman" w:hAnsi="Times New Roman" w:cs="Times New Roman"/>
      <w:b w:val="false"/>
      <w:bCs w:val="false"/>
      <w:i/>
      <w:iCs/>
      <w:color w:val="000000"/>
      <w:sz w:val="18"/>
      <w:szCs w:val="18"/>
    </w:rPr>
  </w:style>
  <w:style w:type="character" w:styleId="Cs176e94eb4">
    <w:name w:val="cs176e94eb4"/>
    <w:qFormat/>
    <w:rPr>
      <w:rFonts w:ascii="Times New Roman" w:hAnsi="Times New Roman" w:cs="Times New Roman"/>
      <w:b/>
      <w:bCs/>
      <w:i w:val="false"/>
      <w:iCs w:val="false"/>
      <w:color w:val="000000"/>
      <w:sz w:val="18"/>
      <w:szCs w:val="18"/>
    </w:rPr>
  </w:style>
  <w:style w:type="character" w:styleId="Cscc47389a4">
    <w:name w:val="cscc47389a4"/>
    <w:qFormat/>
    <w:rPr>
      <w:rFonts w:ascii="Times New Roman" w:hAnsi="Times New Roman" w:cs="Times New Roman"/>
      <w:b w:val="false"/>
      <w:bCs w:val="false"/>
      <w:i w:val="false"/>
      <w:iCs w:val="false"/>
      <w:color w:val="000000"/>
      <w:sz w:val="18"/>
      <w:szCs w:val="18"/>
    </w:rPr>
  </w:style>
  <w:style w:type="character" w:styleId="Cs786de70b1">
    <w:name w:val="cs786de70b1"/>
    <w:qFormat/>
    <w:rPr>
      <w:rFonts w:ascii="Segoe UI" w:hAnsi="Segoe UI" w:cs="Segoe UI"/>
      <w:b w:val="false"/>
      <w:bCs w:val="false"/>
      <w:i w:val="false"/>
      <w:iCs w:val="false"/>
      <w:color w:val="000000"/>
      <w:sz w:val="18"/>
      <w:szCs w:val="18"/>
    </w:rPr>
  </w:style>
  <w:style w:type="character" w:styleId="Csbd30b5e56">
    <w:name w:val="csbd30b5e56"/>
    <w:qFormat/>
    <w:rPr>
      <w:rFonts w:ascii="Times New Roman" w:hAnsi="Times New Roman" w:cs="Times New Roman"/>
      <w:b w:val="false"/>
      <w:bCs w:val="false"/>
      <w:i/>
      <w:iCs/>
      <w:color w:val="000000"/>
      <w:sz w:val="18"/>
      <w:szCs w:val="18"/>
    </w:rPr>
  </w:style>
  <w:style w:type="character" w:styleId="Cs176e94eb6">
    <w:name w:val="cs176e94eb6"/>
    <w:qFormat/>
    <w:rPr>
      <w:rFonts w:ascii="Times New Roman" w:hAnsi="Times New Roman" w:cs="Times New Roman"/>
      <w:b/>
      <w:bCs/>
      <w:i w:val="false"/>
      <w:iCs w:val="false"/>
      <w:color w:val="000000"/>
      <w:sz w:val="18"/>
      <w:szCs w:val="18"/>
    </w:rPr>
  </w:style>
  <w:style w:type="character" w:styleId="Cscc47389a6">
    <w:name w:val="cscc47389a6"/>
    <w:qFormat/>
    <w:rPr>
      <w:rFonts w:ascii="Times New Roman" w:hAnsi="Times New Roman" w:cs="Times New Roman"/>
      <w:b w:val="false"/>
      <w:bCs w:val="false"/>
      <w:i w:val="false"/>
      <w:iCs w:val="false"/>
      <w:color w:val="000000"/>
      <w:sz w:val="18"/>
      <w:szCs w:val="18"/>
    </w:rPr>
  </w:style>
  <w:style w:type="character" w:styleId="Cs9ff1b61195">
    <w:name w:val="cs9ff1b61195"/>
    <w:qFormat/>
    <w:rPr>
      <w:rFonts w:ascii="Arial" w:hAnsi="Arial" w:cs="Arial"/>
      <w:b w:val="false"/>
      <w:bCs w:val="false"/>
      <w:i w:val="false"/>
      <w:iCs w:val="false"/>
      <w:color w:val="000000"/>
      <w:sz w:val="18"/>
      <w:szCs w:val="18"/>
      <w:shd w:fill="auto" w:val="clear"/>
    </w:rPr>
  </w:style>
  <w:style w:type="character" w:styleId="Csab6e07698">
    <w:name w:val="csab6e07698"/>
    <w:qFormat/>
    <w:rPr>
      <w:rFonts w:ascii="Arial" w:hAnsi="Arial" w:cs="Arial"/>
      <w:b w:val="false"/>
      <w:bCs w:val="false"/>
      <w:i w:val="false"/>
      <w:iCs w:val="false"/>
      <w:color w:val="000000"/>
      <w:sz w:val="18"/>
      <w:szCs w:val="18"/>
      <w:shd w:fill="auto" w:val="clear"/>
    </w:rPr>
  </w:style>
  <w:style w:type="character" w:styleId="Csab6e07699">
    <w:name w:val="csab6e07699"/>
    <w:qFormat/>
    <w:rPr>
      <w:rFonts w:ascii="Arial" w:hAnsi="Arial" w:cs="Arial"/>
      <w:b w:val="false"/>
      <w:bCs w:val="false"/>
      <w:i w:val="false"/>
      <w:iCs w:val="false"/>
      <w:color w:val="000000"/>
      <w:sz w:val="18"/>
      <w:szCs w:val="18"/>
      <w:shd w:fill="auto" w:val="clear"/>
    </w:rPr>
  </w:style>
  <w:style w:type="character" w:styleId="Csafaf57419">
    <w:name w:val="csafaf57419"/>
    <w:qFormat/>
    <w:rPr>
      <w:rFonts w:ascii="Arial" w:hAnsi="Arial" w:cs="Arial"/>
      <w:b/>
      <w:bCs/>
      <w:i w:val="false"/>
      <w:iCs w:val="false"/>
      <w:color w:val="000000"/>
      <w:sz w:val="18"/>
      <w:szCs w:val="18"/>
      <w:shd w:fill="auto" w:val="clear"/>
    </w:rPr>
  </w:style>
  <w:style w:type="character" w:styleId="Csafaf574110">
    <w:name w:val="csafaf574110"/>
    <w:qFormat/>
    <w:rPr>
      <w:rFonts w:ascii="Arial" w:hAnsi="Arial" w:cs="Arial"/>
      <w:b/>
      <w:bCs/>
      <w:i w:val="false"/>
      <w:iCs w:val="false"/>
      <w:color w:val="000000"/>
      <w:sz w:val="18"/>
      <w:szCs w:val="18"/>
      <w:shd w:fill="auto" w:val="clear"/>
    </w:rPr>
  </w:style>
  <w:style w:type="character" w:styleId="Csab6e076911">
    <w:name w:val="csab6e076911"/>
    <w:qFormat/>
    <w:rPr>
      <w:rFonts w:ascii="Arial" w:hAnsi="Arial" w:cs="Arial"/>
      <w:b w:val="false"/>
      <w:bCs w:val="false"/>
      <w:i w:val="false"/>
      <w:iCs w:val="false"/>
      <w:color w:val="000000"/>
      <w:sz w:val="18"/>
      <w:szCs w:val="18"/>
      <w:shd w:fill="auto" w:val="clear"/>
    </w:rPr>
  </w:style>
  <w:style w:type="character" w:styleId="Csafaf574112">
    <w:name w:val="csafaf574112"/>
    <w:qFormat/>
    <w:rPr>
      <w:rFonts w:ascii="Arial" w:hAnsi="Arial" w:cs="Arial"/>
      <w:b/>
      <w:bCs/>
      <w:i w:val="false"/>
      <w:iCs w:val="false"/>
      <w:color w:val="000000"/>
      <w:sz w:val="18"/>
      <w:szCs w:val="18"/>
      <w:shd w:fill="auto" w:val="clear"/>
    </w:rPr>
  </w:style>
  <w:style w:type="character" w:styleId="Csab6e076912">
    <w:name w:val="csab6e076912"/>
    <w:qFormat/>
    <w:rPr>
      <w:rFonts w:ascii="Arial" w:hAnsi="Arial" w:cs="Arial"/>
      <w:b w:val="false"/>
      <w:bCs w:val="false"/>
      <w:i w:val="false"/>
      <w:iCs w:val="false"/>
      <w:color w:val="000000"/>
      <w:sz w:val="18"/>
      <w:szCs w:val="18"/>
      <w:shd w:fill="auto" w:val="clear"/>
    </w:rPr>
  </w:style>
  <w:style w:type="character" w:styleId="Csafaf574113">
    <w:name w:val="csafaf574113"/>
    <w:qFormat/>
    <w:rPr>
      <w:rFonts w:ascii="Arial" w:hAnsi="Arial" w:cs="Arial"/>
      <w:b/>
      <w:bCs/>
      <w:i w:val="false"/>
      <w:iCs w:val="false"/>
      <w:color w:val="000000"/>
      <w:sz w:val="18"/>
      <w:szCs w:val="18"/>
      <w:shd w:fill="auto" w:val="clear"/>
    </w:rPr>
  </w:style>
  <w:style w:type="character" w:styleId="Csab6e076913">
    <w:name w:val="csab6e076913"/>
    <w:qFormat/>
    <w:rPr>
      <w:rFonts w:ascii="Arial" w:hAnsi="Arial" w:cs="Arial"/>
      <w:b w:val="false"/>
      <w:bCs w:val="false"/>
      <w:i w:val="false"/>
      <w:iCs w:val="false"/>
      <w:color w:val="000000"/>
      <w:sz w:val="18"/>
      <w:szCs w:val="18"/>
      <w:shd w:fill="auto" w:val="clear"/>
    </w:rPr>
  </w:style>
  <w:style w:type="character" w:styleId="Csafaf574114">
    <w:name w:val="csafaf574114"/>
    <w:qFormat/>
    <w:rPr>
      <w:rFonts w:ascii="Arial" w:hAnsi="Arial" w:cs="Arial"/>
      <w:b/>
      <w:bCs/>
      <w:i w:val="false"/>
      <w:iCs w:val="false"/>
      <w:color w:val="000000"/>
      <w:sz w:val="18"/>
      <w:szCs w:val="18"/>
      <w:shd w:fill="auto" w:val="clear"/>
    </w:rPr>
  </w:style>
  <w:style w:type="character" w:styleId="Csafaf574115">
    <w:name w:val="csafaf574115"/>
    <w:qFormat/>
    <w:rPr>
      <w:rFonts w:ascii="Arial" w:hAnsi="Arial" w:cs="Arial"/>
      <w:b/>
      <w:bCs/>
      <w:i w:val="false"/>
      <w:iCs w:val="false"/>
      <w:color w:val="000000"/>
      <w:sz w:val="18"/>
      <w:szCs w:val="18"/>
      <w:shd w:fill="auto" w:val="clear"/>
    </w:rPr>
  </w:style>
  <w:style w:type="character" w:styleId="Csab6e076915">
    <w:name w:val="csab6e076915"/>
    <w:qFormat/>
    <w:rPr>
      <w:rFonts w:ascii="Arial" w:hAnsi="Arial" w:cs="Arial"/>
      <w:b w:val="false"/>
      <w:bCs w:val="false"/>
      <w:i w:val="false"/>
      <w:iCs w:val="false"/>
      <w:color w:val="000000"/>
      <w:sz w:val="18"/>
      <w:szCs w:val="18"/>
      <w:shd w:fill="auto" w:val="clear"/>
    </w:rPr>
  </w:style>
  <w:style w:type="character" w:styleId="Csafaf57415">
    <w:name w:val="csafaf57415"/>
    <w:qFormat/>
    <w:rPr>
      <w:rFonts w:ascii="Arial" w:hAnsi="Arial" w:cs="Arial"/>
      <w:b/>
      <w:bCs/>
      <w:i w:val="false"/>
      <w:iCs w:val="false"/>
      <w:color w:val="000000"/>
      <w:sz w:val="18"/>
      <w:szCs w:val="18"/>
      <w:shd w:fill="auto" w:val="clear"/>
    </w:rPr>
  </w:style>
  <w:style w:type="character" w:styleId="Csab6e07695">
    <w:name w:val="csab6e07695"/>
    <w:qFormat/>
    <w:rPr>
      <w:rFonts w:ascii="Arial" w:hAnsi="Arial" w:cs="Arial"/>
      <w:b w:val="false"/>
      <w:bCs w:val="false"/>
      <w:i w:val="false"/>
      <w:iCs w:val="false"/>
      <w:color w:val="000000"/>
      <w:sz w:val="18"/>
      <w:szCs w:val="18"/>
      <w:shd w:fill="auto" w:val="clear"/>
    </w:rPr>
  </w:style>
  <w:style w:type="character" w:styleId="Csafaf57416">
    <w:name w:val="csafaf57416"/>
    <w:qFormat/>
    <w:rPr>
      <w:rFonts w:ascii="Arial" w:hAnsi="Arial" w:cs="Arial"/>
      <w:b/>
      <w:bCs/>
      <w:i w:val="false"/>
      <w:iCs w:val="false"/>
      <w:color w:val="000000"/>
      <w:sz w:val="18"/>
      <w:szCs w:val="18"/>
      <w:shd w:fill="auto" w:val="clear"/>
    </w:rPr>
  </w:style>
  <w:style w:type="character" w:styleId="Csab6e07696">
    <w:name w:val="csab6e07696"/>
    <w:qFormat/>
    <w:rPr>
      <w:rFonts w:ascii="Arial" w:hAnsi="Arial" w:cs="Arial"/>
      <w:b w:val="false"/>
      <w:bCs w:val="false"/>
      <w:i w:val="false"/>
      <w:iCs w:val="false"/>
      <w:color w:val="000000"/>
      <w:sz w:val="18"/>
      <w:szCs w:val="18"/>
      <w:shd w:fill="auto" w:val="clear"/>
    </w:rPr>
  </w:style>
  <w:style w:type="character" w:styleId="Csafaf57417">
    <w:name w:val="csafaf57417"/>
    <w:qFormat/>
    <w:rPr>
      <w:rFonts w:ascii="Arial" w:hAnsi="Arial" w:cs="Arial"/>
      <w:b/>
      <w:bCs/>
      <w:i w:val="false"/>
      <w:iCs w:val="false"/>
      <w:color w:val="000000"/>
      <w:sz w:val="18"/>
      <w:szCs w:val="18"/>
      <w:shd w:fill="auto" w:val="clear"/>
    </w:rPr>
  </w:style>
  <w:style w:type="character" w:styleId="Csafaf57418">
    <w:name w:val="csafaf57418"/>
    <w:qFormat/>
    <w:rPr>
      <w:rFonts w:ascii="Arial" w:hAnsi="Arial" w:cs="Arial"/>
      <w:b/>
      <w:bCs/>
      <w:i w:val="false"/>
      <w:iCs w:val="false"/>
      <w:color w:val="000000"/>
      <w:sz w:val="18"/>
      <w:szCs w:val="18"/>
      <w:shd w:fill="auto" w:val="clear"/>
    </w:rPr>
  </w:style>
  <w:style w:type="character" w:styleId="Csccf5e316113">
    <w:name w:val="csccf5e316113"/>
    <w:qFormat/>
    <w:rPr>
      <w:rFonts w:ascii="Arial" w:hAnsi="Arial" w:cs="Arial"/>
      <w:b/>
      <w:bCs/>
      <w:i w:val="false"/>
      <w:iCs w:val="false"/>
      <w:color w:val="000000"/>
      <w:sz w:val="18"/>
      <w:szCs w:val="18"/>
      <w:shd w:fill="auto" w:val="clear"/>
    </w:rPr>
  </w:style>
  <w:style w:type="character" w:styleId="Cs9ff1b611113">
    <w:name w:val="cs9ff1b611113"/>
    <w:qFormat/>
    <w:rPr>
      <w:rFonts w:ascii="Arial" w:hAnsi="Arial" w:cs="Arial"/>
      <w:b w:val="false"/>
      <w:bCs w:val="false"/>
      <w:i w:val="false"/>
      <w:iCs w:val="false"/>
      <w:color w:val="000000"/>
      <w:sz w:val="18"/>
      <w:szCs w:val="18"/>
      <w:shd w:fill="auto" w:val="clear"/>
    </w:rPr>
  </w:style>
  <w:style w:type="character" w:styleId="Cs95bf81471">
    <w:name w:val="cs95bf81471"/>
    <w:qFormat/>
    <w:rPr>
      <w:rFonts w:ascii="Times New Roman" w:hAnsi="Times New Roman" w:cs="Times New Roman"/>
      <w:b w:val="false"/>
      <w:bCs w:val="false"/>
      <w:i w:val="false"/>
      <w:iCs w:val="false"/>
      <w:color w:val="000000"/>
      <w:sz w:val="26"/>
      <w:szCs w:val="26"/>
      <w:shd w:fill="auto" w:val="clear"/>
    </w:rPr>
  </w:style>
  <w:style w:type="character" w:styleId="Csab6e076921">
    <w:name w:val="csab6e076921"/>
    <w:qFormat/>
    <w:rPr>
      <w:rFonts w:ascii="Arial" w:hAnsi="Arial" w:cs="Arial"/>
      <w:b w:val="false"/>
      <w:bCs w:val="false"/>
      <w:i w:val="false"/>
      <w:iCs w:val="false"/>
      <w:color w:val="000000"/>
      <w:sz w:val="18"/>
      <w:szCs w:val="18"/>
      <w:shd w:fill="auto" w:val="clear"/>
    </w:rPr>
  </w:style>
  <w:style w:type="character" w:styleId="Cs9ff1b611140">
    <w:name w:val="cs9ff1b611140"/>
    <w:qFormat/>
    <w:rPr>
      <w:rFonts w:ascii="Arial" w:hAnsi="Arial" w:cs="Arial"/>
      <w:b w:val="false"/>
      <w:bCs w:val="false"/>
      <w:i w:val="false"/>
      <w:iCs w:val="false"/>
      <w:color w:val="000000"/>
      <w:sz w:val="18"/>
      <w:szCs w:val="18"/>
      <w:shd w:fill="auto" w:val="clear"/>
    </w:rPr>
  </w:style>
  <w:style w:type="character" w:styleId="Cs9ff1b611142">
    <w:name w:val="cs9ff1b611142"/>
    <w:qFormat/>
    <w:rPr>
      <w:rFonts w:ascii="Arial" w:hAnsi="Arial" w:cs="Arial"/>
      <w:b w:val="false"/>
      <w:bCs w:val="false"/>
      <w:i w:val="false"/>
      <w:iCs w:val="false"/>
      <w:color w:val="000000"/>
      <w:sz w:val="18"/>
      <w:szCs w:val="18"/>
      <w:shd w:fill="auto" w:val="clear"/>
    </w:rPr>
  </w:style>
  <w:style w:type="character" w:styleId="Cs9ff1b61159">
    <w:name w:val="cs9ff1b61159"/>
    <w:qFormat/>
    <w:rPr>
      <w:rFonts w:ascii="Arial" w:hAnsi="Arial" w:cs="Arial"/>
      <w:b w:val="false"/>
      <w:bCs w:val="false"/>
      <w:i w:val="false"/>
      <w:iCs w:val="false"/>
      <w:color w:val="000000"/>
      <w:sz w:val="18"/>
      <w:szCs w:val="18"/>
      <w:shd w:fill="auto" w:val="clear"/>
    </w:rPr>
  </w:style>
  <w:style w:type="character" w:styleId="Csab6e0769109">
    <w:name w:val="csab6e0769109"/>
    <w:qFormat/>
    <w:rPr>
      <w:rFonts w:ascii="Arial" w:hAnsi="Arial" w:cs="Arial"/>
      <w:b w:val="false"/>
      <w:bCs w:val="false"/>
      <w:i w:val="false"/>
      <w:iCs w:val="false"/>
      <w:color w:val="000000"/>
      <w:sz w:val="18"/>
      <w:szCs w:val="18"/>
      <w:shd w:fill="auto" w:val="clear"/>
    </w:rPr>
  </w:style>
  <w:style w:type="character" w:styleId="Cs9ff1b61143">
    <w:name w:val="cs9ff1b61143"/>
    <w:qFormat/>
    <w:rPr>
      <w:rFonts w:ascii="Arial" w:hAnsi="Arial" w:cs="Arial"/>
      <w:b w:val="false"/>
      <w:bCs w:val="false"/>
      <w:i w:val="false"/>
      <w:iCs w:val="false"/>
      <w:color w:val="000000"/>
      <w:sz w:val="18"/>
      <w:szCs w:val="18"/>
      <w:shd w:fill="auto" w:val="clear"/>
    </w:rPr>
  </w:style>
  <w:style w:type="character" w:styleId="Csb2c72e392">
    <w:name w:val="csb2c72e392"/>
    <w:qFormat/>
    <w:rPr>
      <w:rFonts w:ascii="Segoe UI" w:hAnsi="Segoe UI" w:cs="Segoe UI"/>
      <w:b/>
      <w:bCs/>
      <w:i w:val="false"/>
      <w:iCs w:val="false"/>
      <w:color w:val="000000"/>
      <w:sz w:val="24"/>
      <w:szCs w:val="24"/>
      <w:shd w:fill="auto" w:val="clear"/>
    </w:rPr>
  </w:style>
  <w:style w:type="character" w:styleId="Csab6e076924">
    <w:name w:val="csab6e076924"/>
    <w:qFormat/>
    <w:rPr>
      <w:rFonts w:ascii="Arial" w:hAnsi="Arial" w:cs="Arial"/>
      <w:b w:val="false"/>
      <w:bCs w:val="false"/>
      <w:i w:val="false"/>
      <w:iCs w:val="false"/>
      <w:color w:val="000000"/>
      <w:sz w:val="18"/>
      <w:szCs w:val="18"/>
      <w:shd w:fill="auto" w:val="clear"/>
    </w:rPr>
  </w:style>
  <w:style w:type="character" w:styleId="Csab6e076959">
    <w:name w:val="csab6e076959"/>
    <w:qFormat/>
    <w:rPr>
      <w:rFonts w:ascii="Arial" w:hAnsi="Arial" w:cs="Arial"/>
      <w:b w:val="false"/>
      <w:bCs w:val="false"/>
      <w:i w:val="false"/>
      <w:iCs w:val="false"/>
      <w:color w:val="000000"/>
      <w:sz w:val="18"/>
      <w:szCs w:val="18"/>
      <w:shd w:fill="auto" w:val="clear"/>
    </w:rPr>
  </w:style>
  <w:style w:type="character" w:styleId="Csccf5e3168">
    <w:name w:val="csccf5e3168"/>
    <w:qFormat/>
    <w:rPr>
      <w:rFonts w:ascii="Arial" w:hAnsi="Arial" w:cs="Arial"/>
      <w:b/>
      <w:bCs/>
      <w:i w:val="false"/>
      <w:iCs w:val="false"/>
      <w:color w:val="000000"/>
      <w:sz w:val="18"/>
      <w:szCs w:val="18"/>
      <w:shd w:fill="auto" w:val="clear"/>
    </w:rPr>
  </w:style>
  <w:style w:type="character" w:styleId="Csab6e0769127">
    <w:name w:val="csab6e0769127"/>
    <w:qFormat/>
    <w:rPr>
      <w:rFonts w:ascii="Arial" w:hAnsi="Arial" w:cs="Arial"/>
      <w:b w:val="false"/>
      <w:bCs w:val="false"/>
      <w:i w:val="false"/>
      <w:iCs w:val="false"/>
      <w:color w:val="000000"/>
      <w:sz w:val="18"/>
      <w:szCs w:val="18"/>
      <w:shd w:fill="auto" w:val="clear"/>
    </w:rPr>
  </w:style>
  <w:style w:type="character" w:styleId="Csccf5e31625">
    <w:name w:val="csccf5e31625"/>
    <w:qFormat/>
    <w:rPr>
      <w:rFonts w:ascii="Arial" w:hAnsi="Arial" w:cs="Arial"/>
      <w:b/>
      <w:bCs/>
      <w:i w:val="false"/>
      <w:iCs w:val="false"/>
      <w:color w:val="000000"/>
      <w:sz w:val="18"/>
      <w:szCs w:val="18"/>
      <w:shd w:fill="auto" w:val="clear"/>
    </w:rPr>
  </w:style>
  <w:style w:type="character" w:styleId="Cs9ff1b61124">
    <w:name w:val="cs9ff1b61124"/>
    <w:qFormat/>
    <w:rPr>
      <w:rFonts w:ascii="Arial" w:hAnsi="Arial" w:cs="Arial"/>
      <w:b w:val="false"/>
      <w:bCs w:val="false"/>
      <w:i w:val="false"/>
      <w:iCs w:val="false"/>
      <w:color w:val="000000"/>
      <w:sz w:val="18"/>
      <w:szCs w:val="18"/>
      <w:shd w:fill="auto" w:val="clear"/>
    </w:rPr>
  </w:style>
  <w:style w:type="character" w:styleId="Csab6e076916">
    <w:name w:val="csab6e076916"/>
    <w:qFormat/>
    <w:rPr>
      <w:rFonts w:ascii="Arial" w:hAnsi="Arial" w:cs="Arial"/>
      <w:b w:val="false"/>
      <w:bCs w:val="false"/>
      <w:i w:val="false"/>
      <w:iCs w:val="false"/>
      <w:color w:val="000000"/>
      <w:sz w:val="18"/>
      <w:szCs w:val="18"/>
      <w:shd w:fill="auto" w:val="clear"/>
    </w:rPr>
  </w:style>
  <w:style w:type="character" w:styleId="Cs2e2c6f9f1">
    <w:name w:val="cs2e2c6f9f1"/>
    <w:qFormat/>
    <w:rPr>
      <w:rFonts w:ascii="Arial" w:hAnsi="Arial" w:cs="Arial"/>
      <w:b/>
      <w:bCs/>
      <w:i/>
      <w:iCs/>
      <w:color w:val="000000"/>
      <w:sz w:val="18"/>
      <w:szCs w:val="18"/>
      <w:shd w:fill="auto" w:val="clear"/>
    </w:rPr>
  </w:style>
  <w:style w:type="character" w:styleId="Cs9ff1b61157">
    <w:name w:val="cs9ff1b61157"/>
    <w:qFormat/>
    <w:rPr>
      <w:rFonts w:ascii="Arial" w:hAnsi="Arial" w:cs="Arial"/>
      <w:b w:val="false"/>
      <w:bCs w:val="false"/>
      <w:i w:val="false"/>
      <w:iCs w:val="false"/>
      <w:color w:val="000000"/>
      <w:sz w:val="18"/>
      <w:szCs w:val="18"/>
      <w:shd w:fill="auto" w:val="clear"/>
    </w:rPr>
  </w:style>
  <w:style w:type="character" w:styleId="Cs9ff1b6114">
    <w:name w:val="cs9ff1b6114"/>
    <w:qFormat/>
    <w:rPr>
      <w:rFonts w:ascii="Arial" w:hAnsi="Arial" w:cs="Arial"/>
      <w:b w:val="false"/>
      <w:bCs w:val="false"/>
      <w:i w:val="false"/>
      <w:iCs w:val="false"/>
      <w:color w:val="000000"/>
      <w:sz w:val="18"/>
      <w:szCs w:val="18"/>
      <w:shd w:fill="auto" w:val="clear"/>
    </w:rPr>
  </w:style>
  <w:style w:type="character" w:styleId="Cs9ff1b61193">
    <w:name w:val="cs9ff1b61193"/>
    <w:qFormat/>
    <w:rPr>
      <w:rFonts w:ascii="Arial" w:hAnsi="Arial" w:cs="Arial"/>
      <w:b w:val="false"/>
      <w:bCs w:val="false"/>
      <w:i w:val="false"/>
      <w:iCs w:val="false"/>
      <w:color w:val="000000"/>
      <w:sz w:val="18"/>
      <w:szCs w:val="18"/>
      <w:shd w:fill="auto" w:val="clear"/>
    </w:rPr>
  </w:style>
  <w:style w:type="character" w:styleId="Cs9ff1b611101">
    <w:name w:val="cs9ff1b611101"/>
    <w:qFormat/>
    <w:rPr>
      <w:rFonts w:ascii="Arial" w:hAnsi="Arial" w:cs="Arial"/>
      <w:b w:val="false"/>
      <w:bCs w:val="false"/>
      <w:i w:val="false"/>
      <w:iCs w:val="false"/>
      <w:color w:val="000000"/>
      <w:sz w:val="18"/>
      <w:szCs w:val="18"/>
      <w:shd w:fill="auto" w:val="clear"/>
    </w:rPr>
  </w:style>
  <w:style w:type="character" w:styleId="Cs9ff1b61128">
    <w:name w:val="cs9ff1b61128"/>
    <w:qFormat/>
    <w:rPr>
      <w:rFonts w:ascii="Arial" w:hAnsi="Arial" w:cs="Arial"/>
      <w:b w:val="false"/>
      <w:bCs w:val="false"/>
      <w:i w:val="false"/>
      <w:iCs w:val="false"/>
      <w:color w:val="000000"/>
      <w:sz w:val="18"/>
      <w:szCs w:val="18"/>
      <w:shd w:fill="auto" w:val="clear"/>
    </w:rPr>
  </w:style>
  <w:style w:type="character" w:styleId="Cs95e872d02">
    <w:name w:val="cs95e872d02"/>
    <w:qFormat/>
    <w:rPr/>
  </w:style>
  <w:style w:type="character" w:styleId="Cs237f67f12">
    <w:name w:val="cs237f67f12"/>
    <w:qFormat/>
    <w:rPr>
      <w:rFonts w:ascii="Segoe UI" w:hAnsi="Segoe UI" w:cs="Segoe UI"/>
      <w:b w:val="false"/>
      <w:bCs w:val="false"/>
      <w:i w:val="false"/>
      <w:iCs w:val="false"/>
      <w:color w:val="000000"/>
      <w:sz w:val="24"/>
      <w:szCs w:val="24"/>
      <w:shd w:fill="auto" w:val="clear"/>
    </w:rPr>
  </w:style>
  <w:style w:type="character" w:styleId="Cs9ff1b6118">
    <w:name w:val="cs9ff1b6118"/>
    <w:qFormat/>
    <w:rPr>
      <w:rFonts w:ascii="Arial" w:hAnsi="Arial" w:cs="Arial"/>
      <w:b w:val="false"/>
      <w:bCs w:val="false"/>
      <w:i w:val="false"/>
      <w:iCs w:val="false"/>
      <w:color w:val="000000"/>
      <w:sz w:val="18"/>
      <w:szCs w:val="18"/>
      <w:shd w:fill="auto" w:val="clear"/>
    </w:rPr>
  </w:style>
  <w:style w:type="character" w:styleId="Arial91">
    <w:name w:val="arial9(жирнбез интерв) Знак"/>
    <w:qFormat/>
    <w:rPr>
      <w:rFonts w:ascii="Arial" w:hAnsi="Arial" w:cs="Arial"/>
      <w:b/>
      <w:sz w:val="18"/>
      <w:lang w:val="ru-RU"/>
    </w:rPr>
  </w:style>
  <w:style w:type="character" w:styleId="Csccf5e316151">
    <w:name w:val="csccf5e316151"/>
    <w:qFormat/>
    <w:rPr>
      <w:rFonts w:ascii="Arial" w:hAnsi="Arial" w:cs="Arial"/>
      <w:b/>
      <w:bCs/>
      <w:i w:val="false"/>
      <w:iCs w:val="false"/>
      <w:color w:val="000000"/>
      <w:sz w:val="18"/>
      <w:szCs w:val="18"/>
      <w:shd w:fill="auto" w:val="clear"/>
    </w:rPr>
  </w:style>
  <w:style w:type="character" w:styleId="Cs9ff1b611150">
    <w:name w:val="cs9ff1b611150"/>
    <w:qFormat/>
    <w:rPr>
      <w:rFonts w:ascii="Arial" w:hAnsi="Arial" w:cs="Arial"/>
      <w:b w:val="false"/>
      <w:bCs w:val="false"/>
      <w:i w:val="false"/>
      <w:iCs w:val="false"/>
      <w:color w:val="000000"/>
      <w:sz w:val="18"/>
      <w:szCs w:val="18"/>
      <w:shd w:fill="auto" w:val="clear"/>
    </w:rPr>
  </w:style>
  <w:style w:type="character" w:styleId="Csae0413f64">
    <w:name w:val="csae0413f64"/>
    <w:qFormat/>
    <w:rPr>
      <w:rFonts w:ascii="Arial" w:hAnsi="Arial" w:cs="Arial"/>
      <w:b/>
      <w:bCs/>
      <w:i w:val="false"/>
      <w:iCs w:val="false"/>
      <w:color w:val="000000"/>
      <w:sz w:val="18"/>
      <w:szCs w:val="18"/>
      <w:shd w:fill="auto" w:val="clear"/>
    </w:rPr>
  </w:style>
  <w:style w:type="character" w:styleId="Cs9ff1b61155">
    <w:name w:val="cs9ff1b61155"/>
    <w:qFormat/>
    <w:rPr>
      <w:rFonts w:ascii="Arial" w:hAnsi="Arial" w:cs="Arial"/>
      <w:b w:val="false"/>
      <w:bCs w:val="false"/>
      <w:i w:val="false"/>
      <w:iCs w:val="false"/>
      <w:color w:val="000000"/>
      <w:sz w:val="18"/>
      <w:szCs w:val="18"/>
      <w:shd w:fill="auto" w:val="clear"/>
    </w:rPr>
  </w:style>
  <w:style w:type="character" w:styleId="Cs9ff1b61182">
    <w:name w:val="cs9ff1b61182"/>
    <w:qFormat/>
    <w:rPr>
      <w:rFonts w:ascii="Arial" w:hAnsi="Arial" w:cs="Arial"/>
      <w:b w:val="false"/>
      <w:bCs w:val="false"/>
      <w:i w:val="false"/>
      <w:iCs w:val="false"/>
      <w:color w:val="000000"/>
      <w:sz w:val="18"/>
      <w:szCs w:val="18"/>
      <w:shd w:fill="auto" w:val="clear"/>
    </w:rPr>
  </w:style>
  <w:style w:type="character" w:styleId="Cs9ff1b61183">
    <w:name w:val="cs9ff1b61183"/>
    <w:qFormat/>
    <w:rPr>
      <w:rFonts w:ascii="Arial" w:hAnsi="Arial" w:cs="Arial"/>
      <w:b w:val="false"/>
      <w:bCs w:val="false"/>
      <w:i w:val="false"/>
      <w:iCs w:val="false"/>
      <w:color w:val="000000"/>
      <w:sz w:val="18"/>
      <w:szCs w:val="18"/>
      <w:shd w:fill="auto" w:val="clear"/>
    </w:rPr>
  </w:style>
  <w:style w:type="character" w:styleId="Spelle">
    <w:name w:val="spelle"/>
    <w:qFormat/>
    <w:rPr/>
  </w:style>
  <w:style w:type="character" w:styleId="Cs4df2502e8">
    <w:name w:val="cs4df2502e8"/>
    <w:qFormat/>
    <w:rPr>
      <w:rFonts w:ascii="Arial" w:hAnsi="Arial" w:cs="Arial"/>
      <w:b w:val="false"/>
      <w:bCs w:val="false"/>
      <w:i/>
      <w:iCs/>
      <w:color w:val="000000"/>
      <w:sz w:val="18"/>
      <w:szCs w:val="18"/>
      <w:shd w:fill="auto" w:val="clear"/>
    </w:rPr>
  </w:style>
  <w:style w:type="character" w:styleId="Cscc47389a1">
    <w:name w:val="cscc47389a1"/>
    <w:qFormat/>
    <w:rPr>
      <w:rFonts w:ascii="Times New Roman" w:hAnsi="Times New Roman" w:cs="Times New Roman"/>
      <w:b w:val="false"/>
      <w:bCs w:val="false"/>
      <w:i w:val="false"/>
      <w:iCs w:val="false"/>
      <w:color w:val="000000"/>
      <w:sz w:val="18"/>
      <w:szCs w:val="18"/>
      <w:shd w:fill="auto" w:val="clear"/>
    </w:rPr>
  </w:style>
  <w:style w:type="character" w:styleId="Cs176e94eb1">
    <w:name w:val="cs176e94eb1"/>
    <w:qFormat/>
    <w:rPr>
      <w:rFonts w:ascii="Times New Roman" w:hAnsi="Times New Roman" w:cs="Times New Roman"/>
      <w:b/>
      <w:bCs/>
      <w:i w:val="false"/>
      <w:iCs w:val="false"/>
      <w:color w:val="000000"/>
      <w:sz w:val="18"/>
      <w:szCs w:val="18"/>
      <w:shd w:fill="auto" w:val="clear"/>
    </w:rPr>
  </w:style>
  <w:style w:type="character" w:styleId="Csafaf574135">
    <w:name w:val="csafaf574135"/>
    <w:qFormat/>
    <w:rPr>
      <w:rFonts w:ascii="Arial" w:hAnsi="Arial" w:cs="Arial"/>
      <w:b/>
      <w:bCs/>
      <w:i w:val="false"/>
      <w:iCs w:val="false"/>
      <w:color w:val="000000"/>
      <w:sz w:val="18"/>
      <w:szCs w:val="18"/>
      <w:shd w:fill="auto" w:val="clear"/>
    </w:rPr>
  </w:style>
  <w:style w:type="character" w:styleId="Csafaf574136">
    <w:name w:val="csafaf574136"/>
    <w:qFormat/>
    <w:rPr>
      <w:rFonts w:ascii="Arial" w:hAnsi="Arial" w:cs="Arial"/>
      <w:b/>
      <w:bCs/>
      <w:i w:val="false"/>
      <w:iCs w:val="false"/>
      <w:color w:val="000000"/>
      <w:sz w:val="18"/>
      <w:szCs w:val="18"/>
      <w:shd w:fill="auto" w:val="clear"/>
    </w:rPr>
  </w:style>
  <w:style w:type="character" w:styleId="Csab6e076936">
    <w:name w:val="csab6e076936"/>
    <w:qFormat/>
    <w:rPr>
      <w:rFonts w:ascii="Arial" w:hAnsi="Arial" w:cs="Arial"/>
      <w:b w:val="false"/>
      <w:bCs w:val="false"/>
      <w:i w:val="false"/>
      <w:iCs w:val="false"/>
      <w:color w:val="000000"/>
      <w:sz w:val="18"/>
      <w:szCs w:val="18"/>
      <w:shd w:fill="auto" w:val="clear"/>
    </w:rPr>
  </w:style>
  <w:style w:type="character" w:styleId="Csafaf574137">
    <w:name w:val="csafaf574137"/>
    <w:qFormat/>
    <w:rPr>
      <w:rFonts w:ascii="Arial" w:hAnsi="Arial" w:cs="Arial"/>
      <w:b/>
      <w:bCs/>
      <w:i w:val="false"/>
      <w:iCs w:val="false"/>
      <w:color w:val="000000"/>
      <w:sz w:val="18"/>
      <w:szCs w:val="18"/>
      <w:shd w:fill="auto" w:val="clear"/>
    </w:rPr>
  </w:style>
  <w:style w:type="character" w:styleId="Csab6e076937">
    <w:name w:val="csab6e076937"/>
    <w:qFormat/>
    <w:rPr>
      <w:rFonts w:ascii="Arial" w:hAnsi="Arial" w:cs="Arial"/>
      <w:b w:val="false"/>
      <w:bCs w:val="false"/>
      <w:i w:val="false"/>
      <w:iCs w:val="false"/>
      <w:color w:val="000000"/>
      <w:sz w:val="18"/>
      <w:szCs w:val="18"/>
      <w:shd w:fill="auto" w:val="clear"/>
    </w:rPr>
  </w:style>
  <w:style w:type="character" w:styleId="Csafaf574138">
    <w:name w:val="csafaf574138"/>
    <w:qFormat/>
    <w:rPr>
      <w:rFonts w:ascii="Arial" w:hAnsi="Arial" w:cs="Arial"/>
      <w:b/>
      <w:bCs/>
      <w:i w:val="false"/>
      <w:iCs w:val="false"/>
      <w:color w:val="000000"/>
      <w:sz w:val="18"/>
      <w:szCs w:val="18"/>
      <w:shd w:fill="auto" w:val="clear"/>
    </w:rPr>
  </w:style>
  <w:style w:type="character" w:styleId="Csafaf574139">
    <w:name w:val="csafaf574139"/>
    <w:qFormat/>
    <w:rPr>
      <w:rFonts w:ascii="Arial" w:hAnsi="Arial" w:cs="Arial"/>
      <w:b/>
      <w:bCs/>
      <w:i w:val="false"/>
      <w:iCs w:val="false"/>
      <w:color w:val="000000"/>
      <w:sz w:val="18"/>
      <w:szCs w:val="18"/>
      <w:shd w:fill="auto" w:val="clear"/>
    </w:rPr>
  </w:style>
  <w:style w:type="character" w:styleId="Csafaf574140">
    <w:name w:val="csafaf574140"/>
    <w:qFormat/>
    <w:rPr>
      <w:rFonts w:ascii="Arial" w:hAnsi="Arial" w:cs="Arial"/>
      <w:b/>
      <w:bCs/>
      <w:i w:val="false"/>
      <w:iCs w:val="false"/>
      <w:color w:val="000000"/>
      <w:sz w:val="18"/>
      <w:szCs w:val="18"/>
      <w:shd w:fill="auto" w:val="clear"/>
    </w:rPr>
  </w:style>
  <w:style w:type="character" w:styleId="Csab6e076940">
    <w:name w:val="csab6e076940"/>
    <w:qFormat/>
    <w:rPr>
      <w:rFonts w:ascii="Arial" w:hAnsi="Arial" w:cs="Arial"/>
      <w:b w:val="false"/>
      <w:bCs w:val="false"/>
      <w:i w:val="false"/>
      <w:iCs w:val="false"/>
      <w:color w:val="000000"/>
      <w:sz w:val="18"/>
      <w:szCs w:val="18"/>
      <w:shd w:fill="auto" w:val="clear"/>
    </w:rPr>
  </w:style>
  <w:style w:type="character" w:styleId="Csafaf574141">
    <w:name w:val="csafaf574141"/>
    <w:qFormat/>
    <w:rPr>
      <w:rFonts w:ascii="Arial" w:hAnsi="Arial" w:cs="Arial"/>
      <w:b/>
      <w:bCs/>
      <w:i w:val="false"/>
      <w:iCs w:val="false"/>
      <w:color w:val="000000"/>
      <w:sz w:val="18"/>
      <w:szCs w:val="18"/>
      <w:shd w:fill="auto" w:val="clear"/>
    </w:rPr>
  </w:style>
  <w:style w:type="character" w:styleId="Csafaf574142">
    <w:name w:val="csafaf574142"/>
    <w:qFormat/>
    <w:rPr>
      <w:rFonts w:ascii="Arial" w:hAnsi="Arial" w:cs="Arial"/>
      <w:b/>
      <w:bCs/>
      <w:i w:val="false"/>
      <w:iCs w:val="false"/>
      <w:color w:val="000000"/>
      <w:sz w:val="18"/>
      <w:szCs w:val="18"/>
      <w:shd w:fill="auto" w:val="clear"/>
    </w:rPr>
  </w:style>
  <w:style w:type="character" w:styleId="Csab6e076942">
    <w:name w:val="csab6e076942"/>
    <w:qFormat/>
    <w:rPr>
      <w:rFonts w:ascii="Arial" w:hAnsi="Arial" w:cs="Arial"/>
      <w:b w:val="false"/>
      <w:bCs w:val="false"/>
      <w:i w:val="false"/>
      <w:iCs w:val="false"/>
      <w:color w:val="000000"/>
      <w:sz w:val="18"/>
      <w:szCs w:val="18"/>
      <w:shd w:fill="auto" w:val="clear"/>
    </w:rPr>
  </w:style>
  <w:style w:type="character" w:styleId="Csafaf574143">
    <w:name w:val="csafaf574143"/>
    <w:qFormat/>
    <w:rPr>
      <w:rFonts w:ascii="Arial" w:hAnsi="Arial" w:cs="Arial"/>
      <w:b/>
      <w:bCs/>
      <w:i w:val="false"/>
      <w:iCs w:val="false"/>
      <w:color w:val="000000"/>
      <w:sz w:val="18"/>
      <w:szCs w:val="18"/>
      <w:shd w:fill="auto" w:val="clear"/>
    </w:rPr>
  </w:style>
  <w:style w:type="character" w:styleId="Csab6e076943">
    <w:name w:val="csab6e076943"/>
    <w:qFormat/>
    <w:rPr>
      <w:rFonts w:ascii="Arial" w:hAnsi="Arial" w:cs="Arial"/>
      <w:b w:val="false"/>
      <w:bCs w:val="false"/>
      <w:i w:val="false"/>
      <w:iCs w:val="false"/>
      <w:color w:val="000000"/>
      <w:sz w:val="18"/>
      <w:szCs w:val="18"/>
      <w:shd w:fill="auto" w:val="clear"/>
    </w:rPr>
  </w:style>
  <w:style w:type="character" w:styleId="Csafaf574144">
    <w:name w:val="csafaf574144"/>
    <w:qFormat/>
    <w:rPr>
      <w:rFonts w:ascii="Arial" w:hAnsi="Arial" w:cs="Arial"/>
      <w:b/>
      <w:bCs/>
      <w:i w:val="false"/>
      <w:iCs w:val="false"/>
      <w:color w:val="000000"/>
      <w:sz w:val="18"/>
      <w:szCs w:val="18"/>
      <w:shd w:fill="auto" w:val="clear"/>
    </w:rPr>
  </w:style>
  <w:style w:type="character" w:styleId="Csafaf574145">
    <w:name w:val="csafaf574145"/>
    <w:qFormat/>
    <w:rPr>
      <w:rFonts w:ascii="Arial" w:hAnsi="Arial" w:cs="Arial"/>
      <w:b/>
      <w:bCs/>
      <w:i w:val="false"/>
      <w:iCs w:val="false"/>
      <w:color w:val="000000"/>
      <w:sz w:val="18"/>
      <w:szCs w:val="18"/>
      <w:shd w:fill="auto" w:val="clear"/>
    </w:rPr>
  </w:style>
  <w:style w:type="character" w:styleId="Csab6e076945">
    <w:name w:val="csab6e076945"/>
    <w:qFormat/>
    <w:rPr>
      <w:rFonts w:ascii="Arial" w:hAnsi="Arial" w:cs="Arial"/>
      <w:b w:val="false"/>
      <w:bCs w:val="false"/>
      <w:i w:val="false"/>
      <w:iCs w:val="false"/>
      <w:color w:val="000000"/>
      <w:sz w:val="18"/>
      <w:szCs w:val="18"/>
      <w:shd w:fill="auto" w:val="clear"/>
    </w:rPr>
  </w:style>
  <w:style w:type="character" w:styleId="Csafaf574146">
    <w:name w:val="csafaf574146"/>
    <w:qFormat/>
    <w:rPr>
      <w:rFonts w:ascii="Arial" w:hAnsi="Arial" w:cs="Arial"/>
      <w:b/>
      <w:bCs/>
      <w:i w:val="false"/>
      <w:iCs w:val="false"/>
      <w:color w:val="000000"/>
      <w:sz w:val="18"/>
      <w:szCs w:val="18"/>
      <w:shd w:fill="auto" w:val="clear"/>
    </w:rPr>
  </w:style>
  <w:style w:type="character" w:styleId="Csafaf574147">
    <w:name w:val="csafaf574147"/>
    <w:qFormat/>
    <w:rPr>
      <w:rFonts w:ascii="Arial" w:hAnsi="Arial" w:cs="Arial"/>
      <w:b/>
      <w:bCs/>
      <w:i w:val="false"/>
      <w:iCs w:val="false"/>
      <w:color w:val="000000"/>
      <w:sz w:val="18"/>
      <w:szCs w:val="18"/>
      <w:shd w:fill="auto" w:val="clear"/>
    </w:rPr>
  </w:style>
  <w:style w:type="character" w:styleId="Csafaf574148">
    <w:name w:val="csafaf574148"/>
    <w:qFormat/>
    <w:rPr>
      <w:rFonts w:ascii="Arial" w:hAnsi="Arial" w:cs="Arial"/>
      <w:b/>
      <w:bCs/>
      <w:i w:val="false"/>
      <w:iCs w:val="false"/>
      <w:color w:val="000000"/>
      <w:sz w:val="18"/>
      <w:szCs w:val="18"/>
      <w:shd w:fill="auto" w:val="clear"/>
    </w:rPr>
  </w:style>
  <w:style w:type="character" w:styleId="Csab6e076948">
    <w:name w:val="csab6e076948"/>
    <w:qFormat/>
    <w:rPr>
      <w:rFonts w:ascii="Arial" w:hAnsi="Arial" w:cs="Arial"/>
      <w:b w:val="false"/>
      <w:bCs w:val="false"/>
      <w:i w:val="false"/>
      <w:iCs w:val="false"/>
      <w:color w:val="000000"/>
      <w:sz w:val="18"/>
      <w:szCs w:val="18"/>
      <w:shd w:fill="auto" w:val="clear"/>
    </w:rPr>
  </w:style>
  <w:style w:type="character" w:styleId="Csafaf574149">
    <w:name w:val="csafaf574149"/>
    <w:qFormat/>
    <w:rPr>
      <w:rFonts w:ascii="Arial" w:hAnsi="Arial" w:cs="Arial"/>
      <w:b/>
      <w:bCs/>
      <w:i w:val="false"/>
      <w:iCs w:val="false"/>
      <w:color w:val="000000"/>
      <w:sz w:val="18"/>
      <w:szCs w:val="18"/>
      <w:shd w:fill="auto" w:val="clear"/>
    </w:rPr>
  </w:style>
  <w:style w:type="character" w:styleId="Csab6e076949">
    <w:name w:val="csab6e076949"/>
    <w:qFormat/>
    <w:rPr>
      <w:rFonts w:ascii="Arial" w:hAnsi="Arial" w:cs="Arial"/>
      <w:b w:val="false"/>
      <w:bCs w:val="false"/>
      <w:i w:val="false"/>
      <w:iCs w:val="false"/>
      <w:color w:val="000000"/>
      <w:sz w:val="18"/>
      <w:szCs w:val="18"/>
      <w:shd w:fill="auto" w:val="clear"/>
    </w:rPr>
  </w:style>
  <w:style w:type="character" w:styleId="Csafaf574150">
    <w:name w:val="csafaf574150"/>
    <w:qFormat/>
    <w:rPr>
      <w:rFonts w:ascii="Arial" w:hAnsi="Arial" w:cs="Arial"/>
      <w:b/>
      <w:bCs/>
      <w:i w:val="false"/>
      <w:iCs w:val="false"/>
      <w:color w:val="000000"/>
      <w:sz w:val="18"/>
      <w:szCs w:val="18"/>
      <w:shd w:fill="auto" w:val="clear"/>
    </w:rPr>
  </w:style>
  <w:style w:type="character" w:styleId="Csafaf574151">
    <w:name w:val="csafaf574151"/>
    <w:qFormat/>
    <w:rPr>
      <w:rFonts w:ascii="Arial" w:hAnsi="Arial" w:cs="Arial"/>
      <w:b/>
      <w:bCs/>
      <w:i w:val="false"/>
      <w:iCs w:val="false"/>
      <w:color w:val="000000"/>
      <w:sz w:val="18"/>
      <w:szCs w:val="18"/>
      <w:shd w:fill="auto" w:val="clear"/>
    </w:rPr>
  </w:style>
  <w:style w:type="character" w:styleId="Csafaf574152">
    <w:name w:val="csafaf574152"/>
    <w:qFormat/>
    <w:rPr>
      <w:rFonts w:ascii="Arial" w:hAnsi="Arial" w:cs="Arial"/>
      <w:b/>
      <w:bCs/>
      <w:i w:val="false"/>
      <w:iCs w:val="false"/>
      <w:color w:val="000000"/>
      <w:sz w:val="18"/>
      <w:szCs w:val="18"/>
      <w:shd w:fill="auto" w:val="clear"/>
    </w:rPr>
  </w:style>
  <w:style w:type="character" w:styleId="Csab6e076952">
    <w:name w:val="csab6e076952"/>
    <w:qFormat/>
    <w:rPr>
      <w:rFonts w:ascii="Arial" w:hAnsi="Arial" w:cs="Arial"/>
      <w:b w:val="false"/>
      <w:bCs w:val="false"/>
      <w:i w:val="false"/>
      <w:iCs w:val="false"/>
      <w:color w:val="000000"/>
      <w:sz w:val="18"/>
      <w:szCs w:val="18"/>
      <w:shd w:fill="auto" w:val="clear"/>
    </w:rPr>
  </w:style>
  <w:style w:type="character" w:styleId="Csafaf574153">
    <w:name w:val="csafaf574153"/>
    <w:qFormat/>
    <w:rPr>
      <w:rFonts w:ascii="Arial" w:hAnsi="Arial" w:cs="Arial"/>
      <w:b/>
      <w:bCs/>
      <w:i w:val="false"/>
      <w:iCs w:val="false"/>
      <w:color w:val="000000"/>
      <w:sz w:val="18"/>
      <w:szCs w:val="18"/>
      <w:shd w:fill="auto" w:val="clear"/>
    </w:rPr>
  </w:style>
  <w:style w:type="character" w:styleId="Csab6e076953">
    <w:name w:val="csab6e076953"/>
    <w:qFormat/>
    <w:rPr>
      <w:rFonts w:ascii="Arial" w:hAnsi="Arial" w:cs="Arial"/>
      <w:b w:val="false"/>
      <w:bCs w:val="false"/>
      <w:i w:val="false"/>
      <w:iCs w:val="false"/>
      <w:color w:val="000000"/>
      <w:sz w:val="18"/>
      <w:szCs w:val="18"/>
      <w:shd w:fill="auto" w:val="clear"/>
    </w:rPr>
  </w:style>
  <w:style w:type="character" w:styleId="Csafaf574154">
    <w:name w:val="csafaf574154"/>
    <w:qFormat/>
    <w:rPr>
      <w:rFonts w:ascii="Arial" w:hAnsi="Arial" w:cs="Arial"/>
      <w:b/>
      <w:bCs/>
      <w:i w:val="false"/>
      <w:iCs w:val="false"/>
      <w:color w:val="000000"/>
      <w:sz w:val="18"/>
      <w:szCs w:val="18"/>
      <w:shd w:fill="auto" w:val="clear"/>
    </w:rPr>
  </w:style>
  <w:style w:type="character" w:styleId="Csafaf574155">
    <w:name w:val="csafaf574155"/>
    <w:qFormat/>
    <w:rPr>
      <w:rFonts w:ascii="Arial" w:hAnsi="Arial" w:cs="Arial"/>
      <w:b/>
      <w:bCs/>
      <w:i w:val="false"/>
      <w:iCs w:val="false"/>
      <w:color w:val="000000"/>
      <w:sz w:val="18"/>
      <w:szCs w:val="18"/>
      <w:shd w:fill="auto" w:val="clear"/>
    </w:rPr>
  </w:style>
  <w:style w:type="character" w:styleId="Csafaf574156">
    <w:name w:val="csafaf574156"/>
    <w:qFormat/>
    <w:rPr>
      <w:rFonts w:ascii="Arial" w:hAnsi="Arial" w:cs="Arial"/>
      <w:b/>
      <w:bCs/>
      <w:i w:val="false"/>
      <w:iCs w:val="false"/>
      <w:color w:val="000000"/>
      <w:sz w:val="18"/>
      <w:szCs w:val="18"/>
      <w:shd w:fill="auto" w:val="clear"/>
    </w:rPr>
  </w:style>
  <w:style w:type="character" w:styleId="Csab6e076956">
    <w:name w:val="csab6e076956"/>
    <w:qFormat/>
    <w:rPr>
      <w:rFonts w:ascii="Arial" w:hAnsi="Arial" w:cs="Arial"/>
      <w:b w:val="false"/>
      <w:bCs w:val="false"/>
      <w:i w:val="false"/>
      <w:iCs w:val="false"/>
      <w:color w:val="000000"/>
      <w:sz w:val="18"/>
      <w:szCs w:val="18"/>
      <w:shd w:fill="auto" w:val="clear"/>
    </w:rPr>
  </w:style>
  <w:style w:type="character" w:styleId="Csafaf574157">
    <w:name w:val="csafaf574157"/>
    <w:qFormat/>
    <w:rPr>
      <w:rFonts w:ascii="Arial" w:hAnsi="Arial" w:cs="Arial"/>
      <w:b/>
      <w:bCs/>
      <w:i w:val="false"/>
      <w:iCs w:val="false"/>
      <w:color w:val="000000"/>
      <w:sz w:val="18"/>
      <w:szCs w:val="18"/>
      <w:shd w:fill="auto" w:val="clear"/>
    </w:rPr>
  </w:style>
  <w:style w:type="character" w:styleId="Csafaf574158">
    <w:name w:val="csafaf574158"/>
    <w:qFormat/>
    <w:rPr>
      <w:rFonts w:ascii="Arial" w:hAnsi="Arial" w:cs="Arial"/>
      <w:b/>
      <w:bCs/>
      <w:i w:val="false"/>
      <w:iCs w:val="false"/>
      <w:color w:val="000000"/>
      <w:sz w:val="18"/>
      <w:szCs w:val="18"/>
      <w:shd w:fill="auto" w:val="clear"/>
    </w:rPr>
  </w:style>
  <w:style w:type="character" w:styleId="Csab6e076958">
    <w:name w:val="csab6e076958"/>
    <w:qFormat/>
    <w:rPr>
      <w:rFonts w:ascii="Arial" w:hAnsi="Arial" w:cs="Arial"/>
      <w:b w:val="false"/>
      <w:bCs w:val="false"/>
      <w:i w:val="false"/>
      <w:iCs w:val="false"/>
      <w:color w:val="000000"/>
      <w:sz w:val="18"/>
      <w:szCs w:val="18"/>
      <w:shd w:fill="auto" w:val="clear"/>
    </w:rPr>
  </w:style>
  <w:style w:type="character" w:styleId="Csafaf574159">
    <w:name w:val="csafaf574159"/>
    <w:qFormat/>
    <w:rPr>
      <w:rFonts w:ascii="Arial" w:hAnsi="Arial" w:cs="Arial"/>
      <w:b/>
      <w:bCs/>
      <w:i w:val="false"/>
      <w:iCs w:val="false"/>
      <w:color w:val="000000"/>
      <w:sz w:val="18"/>
      <w:szCs w:val="18"/>
      <w:shd w:fill="auto" w:val="clear"/>
    </w:rPr>
  </w:style>
  <w:style w:type="character" w:styleId="Csafaf574160">
    <w:name w:val="csafaf574160"/>
    <w:qFormat/>
    <w:rPr>
      <w:rFonts w:ascii="Arial" w:hAnsi="Arial" w:cs="Arial"/>
      <w:b/>
      <w:bCs/>
      <w:i w:val="false"/>
      <w:iCs w:val="false"/>
      <w:color w:val="000000"/>
      <w:sz w:val="18"/>
      <w:szCs w:val="18"/>
      <w:shd w:fill="auto" w:val="clear"/>
    </w:rPr>
  </w:style>
  <w:style w:type="character" w:styleId="Csab6e076960">
    <w:name w:val="csab6e076960"/>
    <w:qFormat/>
    <w:rPr>
      <w:rFonts w:ascii="Arial" w:hAnsi="Arial" w:cs="Arial"/>
      <w:b w:val="false"/>
      <w:bCs w:val="false"/>
      <w:i w:val="false"/>
      <w:iCs w:val="false"/>
      <w:color w:val="000000"/>
      <w:sz w:val="18"/>
      <w:szCs w:val="18"/>
      <w:shd w:fill="auto" w:val="clear"/>
    </w:rPr>
  </w:style>
  <w:style w:type="character" w:styleId="Csafaf574163">
    <w:name w:val="csafaf574163"/>
    <w:qFormat/>
    <w:rPr>
      <w:rFonts w:ascii="Arial" w:hAnsi="Arial" w:cs="Arial"/>
      <w:b/>
      <w:bCs/>
      <w:i w:val="false"/>
      <w:iCs w:val="false"/>
      <w:color w:val="000000"/>
      <w:sz w:val="18"/>
      <w:szCs w:val="18"/>
      <w:shd w:fill="auto" w:val="clear"/>
    </w:rPr>
  </w:style>
  <w:style w:type="character" w:styleId="Csab6e076963">
    <w:name w:val="csab6e076963"/>
    <w:qFormat/>
    <w:rPr>
      <w:rFonts w:ascii="Arial" w:hAnsi="Arial" w:cs="Arial"/>
      <w:b w:val="false"/>
      <w:bCs w:val="false"/>
      <w:i w:val="false"/>
      <w:iCs w:val="false"/>
      <w:color w:val="000000"/>
      <w:sz w:val="18"/>
      <w:szCs w:val="18"/>
      <w:shd w:fill="auto" w:val="clear"/>
    </w:rPr>
  </w:style>
  <w:style w:type="character" w:styleId="Csafaf574164">
    <w:name w:val="csafaf574164"/>
    <w:qFormat/>
    <w:rPr>
      <w:rFonts w:ascii="Arial" w:hAnsi="Arial" w:cs="Arial"/>
      <w:b/>
      <w:bCs/>
      <w:i w:val="false"/>
      <w:iCs w:val="false"/>
      <w:color w:val="000000"/>
      <w:sz w:val="18"/>
      <w:szCs w:val="18"/>
      <w:shd w:fill="auto" w:val="clear"/>
    </w:rPr>
  </w:style>
  <w:style w:type="character" w:styleId="Csab6e076964">
    <w:name w:val="csab6e076964"/>
    <w:qFormat/>
    <w:rPr>
      <w:rFonts w:ascii="Arial" w:hAnsi="Arial" w:cs="Arial"/>
      <w:b w:val="false"/>
      <w:bCs w:val="false"/>
      <w:i w:val="false"/>
      <w:iCs w:val="false"/>
      <w:color w:val="000000"/>
      <w:sz w:val="18"/>
      <w:szCs w:val="18"/>
      <w:shd w:fill="auto" w:val="clear"/>
    </w:rPr>
  </w:style>
  <w:style w:type="character" w:styleId="Csafaf574165">
    <w:name w:val="csafaf574165"/>
    <w:qFormat/>
    <w:rPr>
      <w:rFonts w:ascii="Arial" w:hAnsi="Arial" w:cs="Arial"/>
      <w:b/>
      <w:bCs/>
      <w:i w:val="false"/>
      <w:iCs w:val="false"/>
      <w:color w:val="000000"/>
      <w:sz w:val="18"/>
      <w:szCs w:val="18"/>
      <w:shd w:fill="auto" w:val="clear"/>
    </w:rPr>
  </w:style>
  <w:style w:type="character" w:styleId="Csafaf574166">
    <w:name w:val="csafaf574166"/>
    <w:qFormat/>
    <w:rPr>
      <w:rFonts w:ascii="Arial" w:hAnsi="Arial" w:cs="Arial"/>
      <w:b/>
      <w:bCs/>
      <w:i w:val="false"/>
      <w:iCs w:val="false"/>
      <w:color w:val="000000"/>
      <w:sz w:val="18"/>
      <w:szCs w:val="18"/>
      <w:shd w:fill="auto" w:val="clear"/>
    </w:rPr>
  </w:style>
  <w:style w:type="character" w:styleId="Csab6e076966">
    <w:name w:val="csab6e076966"/>
    <w:qFormat/>
    <w:rPr>
      <w:rFonts w:ascii="Arial" w:hAnsi="Arial" w:cs="Arial"/>
      <w:b w:val="false"/>
      <w:bCs w:val="false"/>
      <w:i w:val="false"/>
      <w:iCs w:val="false"/>
      <w:color w:val="000000"/>
      <w:sz w:val="18"/>
      <w:szCs w:val="18"/>
      <w:shd w:fill="auto" w:val="clear"/>
    </w:rPr>
  </w:style>
  <w:style w:type="character" w:styleId="Csafaf574167">
    <w:name w:val="csafaf574167"/>
    <w:qFormat/>
    <w:rPr>
      <w:rFonts w:ascii="Arial" w:hAnsi="Arial" w:cs="Arial"/>
      <w:b/>
      <w:bCs/>
      <w:i w:val="false"/>
      <w:iCs w:val="false"/>
      <w:color w:val="000000"/>
      <w:sz w:val="18"/>
      <w:szCs w:val="18"/>
      <w:shd w:fill="auto" w:val="clear"/>
    </w:rPr>
  </w:style>
  <w:style w:type="character" w:styleId="Csab6e076967">
    <w:name w:val="csab6e076967"/>
    <w:qFormat/>
    <w:rPr>
      <w:rFonts w:ascii="Arial" w:hAnsi="Arial" w:cs="Arial"/>
      <w:b w:val="false"/>
      <w:bCs w:val="false"/>
      <w:i w:val="false"/>
      <w:iCs w:val="false"/>
      <w:color w:val="000000"/>
      <w:sz w:val="18"/>
      <w:szCs w:val="18"/>
      <w:shd w:fill="auto" w:val="clear"/>
    </w:rPr>
  </w:style>
  <w:style w:type="character" w:styleId="Csafaf574168">
    <w:name w:val="csafaf574168"/>
    <w:qFormat/>
    <w:rPr>
      <w:rFonts w:ascii="Arial" w:hAnsi="Arial" w:cs="Arial"/>
      <w:b/>
      <w:bCs/>
      <w:i w:val="false"/>
      <w:iCs w:val="false"/>
      <w:color w:val="000000"/>
      <w:sz w:val="18"/>
      <w:szCs w:val="18"/>
      <w:shd w:fill="auto" w:val="clear"/>
    </w:rPr>
  </w:style>
  <w:style w:type="character" w:styleId="Csab6e076968">
    <w:name w:val="csab6e076968"/>
    <w:qFormat/>
    <w:rPr>
      <w:rFonts w:ascii="Arial" w:hAnsi="Arial" w:cs="Arial"/>
      <w:b w:val="false"/>
      <w:bCs w:val="false"/>
      <w:i w:val="false"/>
      <w:iCs w:val="false"/>
      <w:color w:val="000000"/>
      <w:sz w:val="18"/>
      <w:szCs w:val="18"/>
      <w:shd w:fill="auto" w:val="clear"/>
    </w:rPr>
  </w:style>
  <w:style w:type="character" w:styleId="Csafaf574169">
    <w:name w:val="csafaf574169"/>
    <w:qFormat/>
    <w:rPr>
      <w:rFonts w:ascii="Arial" w:hAnsi="Arial" w:cs="Arial"/>
      <w:b/>
      <w:bCs/>
      <w:i w:val="false"/>
      <w:iCs w:val="false"/>
      <w:color w:val="000000"/>
      <w:sz w:val="18"/>
      <w:szCs w:val="18"/>
      <w:shd w:fill="auto" w:val="clear"/>
    </w:rPr>
  </w:style>
  <w:style w:type="character" w:styleId="Csab6e076969">
    <w:name w:val="csab6e076969"/>
    <w:qFormat/>
    <w:rPr>
      <w:rFonts w:ascii="Arial" w:hAnsi="Arial" w:cs="Arial"/>
      <w:b w:val="false"/>
      <w:bCs w:val="false"/>
      <w:i w:val="false"/>
      <w:iCs w:val="false"/>
      <w:color w:val="000000"/>
      <w:sz w:val="18"/>
      <w:szCs w:val="18"/>
      <w:shd w:fill="auto" w:val="clear"/>
    </w:rPr>
  </w:style>
  <w:style w:type="character" w:styleId="Csafaf574170">
    <w:name w:val="csafaf574170"/>
    <w:qFormat/>
    <w:rPr>
      <w:rFonts w:ascii="Arial" w:hAnsi="Arial" w:cs="Arial"/>
      <w:b/>
      <w:bCs/>
      <w:i w:val="false"/>
      <w:iCs w:val="false"/>
      <w:color w:val="000000"/>
      <w:sz w:val="18"/>
      <w:szCs w:val="18"/>
      <w:shd w:fill="auto" w:val="clear"/>
    </w:rPr>
  </w:style>
  <w:style w:type="character" w:styleId="Csafaf574171">
    <w:name w:val="csafaf574171"/>
    <w:qFormat/>
    <w:rPr>
      <w:rFonts w:ascii="Arial" w:hAnsi="Arial" w:cs="Arial"/>
      <w:b/>
      <w:bCs/>
      <w:i w:val="false"/>
      <w:iCs w:val="false"/>
      <w:color w:val="000000"/>
      <w:sz w:val="18"/>
      <w:szCs w:val="18"/>
      <w:shd w:fill="auto" w:val="clear"/>
    </w:rPr>
  </w:style>
  <w:style w:type="character" w:styleId="Csab6e076971">
    <w:name w:val="csab6e076971"/>
    <w:qFormat/>
    <w:rPr>
      <w:rFonts w:ascii="Arial" w:hAnsi="Arial" w:cs="Arial"/>
      <w:b w:val="false"/>
      <w:bCs w:val="false"/>
      <w:i w:val="false"/>
      <w:iCs w:val="false"/>
      <w:color w:val="000000"/>
      <w:sz w:val="18"/>
      <w:szCs w:val="18"/>
      <w:shd w:fill="auto" w:val="clear"/>
    </w:rPr>
  </w:style>
  <w:style w:type="character" w:styleId="Csafaf574172">
    <w:name w:val="csafaf574172"/>
    <w:qFormat/>
    <w:rPr>
      <w:rFonts w:ascii="Arial" w:hAnsi="Arial" w:cs="Arial"/>
      <w:b/>
      <w:bCs/>
      <w:i w:val="false"/>
      <w:iCs w:val="false"/>
      <w:color w:val="000000"/>
      <w:sz w:val="18"/>
      <w:szCs w:val="18"/>
      <w:shd w:fill="auto" w:val="clear"/>
    </w:rPr>
  </w:style>
  <w:style w:type="character" w:styleId="Csab6e076972">
    <w:name w:val="csab6e076972"/>
    <w:qFormat/>
    <w:rPr>
      <w:rFonts w:ascii="Arial" w:hAnsi="Arial" w:cs="Arial"/>
      <w:b w:val="false"/>
      <w:bCs w:val="false"/>
      <w:i w:val="false"/>
      <w:iCs w:val="false"/>
      <w:color w:val="000000"/>
      <w:sz w:val="18"/>
      <w:szCs w:val="18"/>
      <w:shd w:fill="auto" w:val="clear"/>
    </w:rPr>
  </w:style>
  <w:style w:type="character" w:styleId="Csafaf574173">
    <w:name w:val="csafaf574173"/>
    <w:qFormat/>
    <w:rPr>
      <w:rFonts w:ascii="Arial" w:hAnsi="Arial" w:cs="Arial"/>
      <w:b/>
      <w:bCs/>
      <w:i w:val="false"/>
      <w:iCs w:val="false"/>
      <w:color w:val="000000"/>
      <w:sz w:val="18"/>
      <w:szCs w:val="18"/>
      <w:shd w:fill="auto" w:val="clear"/>
    </w:rPr>
  </w:style>
  <w:style w:type="character" w:styleId="Csab6e076973">
    <w:name w:val="csab6e076973"/>
    <w:qFormat/>
    <w:rPr>
      <w:rFonts w:ascii="Arial" w:hAnsi="Arial" w:cs="Arial"/>
      <w:b w:val="false"/>
      <w:bCs w:val="false"/>
      <w:i w:val="false"/>
      <w:iCs w:val="false"/>
      <w:color w:val="000000"/>
      <w:sz w:val="18"/>
      <w:szCs w:val="18"/>
      <w:shd w:fill="auto" w:val="clear"/>
    </w:rPr>
  </w:style>
  <w:style w:type="character" w:styleId="Csafaf574174">
    <w:name w:val="csafaf574174"/>
    <w:qFormat/>
    <w:rPr>
      <w:rFonts w:ascii="Arial" w:hAnsi="Arial" w:cs="Arial"/>
      <w:b/>
      <w:bCs/>
      <w:i w:val="false"/>
      <w:iCs w:val="false"/>
      <w:color w:val="000000"/>
      <w:sz w:val="18"/>
      <w:szCs w:val="18"/>
      <w:shd w:fill="auto" w:val="clear"/>
    </w:rPr>
  </w:style>
  <w:style w:type="character" w:styleId="Csab6e076974">
    <w:name w:val="csab6e076974"/>
    <w:qFormat/>
    <w:rPr>
      <w:rFonts w:ascii="Arial" w:hAnsi="Arial" w:cs="Arial"/>
      <w:b w:val="false"/>
      <w:bCs w:val="false"/>
      <w:i w:val="false"/>
      <w:iCs w:val="false"/>
      <w:color w:val="000000"/>
      <w:sz w:val="18"/>
      <w:szCs w:val="18"/>
      <w:shd w:fill="auto" w:val="clear"/>
    </w:rPr>
  </w:style>
  <w:style w:type="character" w:styleId="Csafaf574175">
    <w:name w:val="csafaf574175"/>
    <w:qFormat/>
    <w:rPr>
      <w:rFonts w:ascii="Arial" w:hAnsi="Arial" w:cs="Arial"/>
      <w:b/>
      <w:bCs/>
      <w:i w:val="false"/>
      <w:iCs w:val="false"/>
      <w:color w:val="000000"/>
      <w:sz w:val="18"/>
      <w:szCs w:val="18"/>
      <w:shd w:fill="auto" w:val="clear"/>
    </w:rPr>
  </w:style>
  <w:style w:type="character" w:styleId="Csafaf574176">
    <w:name w:val="csafaf574176"/>
    <w:qFormat/>
    <w:rPr>
      <w:rFonts w:ascii="Arial" w:hAnsi="Arial" w:cs="Arial"/>
      <w:b/>
      <w:bCs/>
      <w:i w:val="false"/>
      <w:iCs w:val="false"/>
      <w:color w:val="000000"/>
      <w:sz w:val="18"/>
      <w:szCs w:val="18"/>
      <w:shd w:fill="auto" w:val="clear"/>
    </w:rPr>
  </w:style>
  <w:style w:type="character" w:styleId="Csafaf574177">
    <w:name w:val="csafaf574177"/>
    <w:qFormat/>
    <w:rPr>
      <w:rFonts w:ascii="Arial" w:hAnsi="Arial" w:cs="Arial"/>
      <w:b/>
      <w:bCs/>
      <w:i w:val="false"/>
      <w:iCs w:val="false"/>
      <w:color w:val="000000"/>
      <w:sz w:val="18"/>
      <w:szCs w:val="18"/>
      <w:shd w:fill="auto" w:val="clear"/>
    </w:rPr>
  </w:style>
  <w:style w:type="character" w:styleId="Cs9ff1b61169">
    <w:name w:val="cs9ff1b61169"/>
    <w:qFormat/>
    <w:rPr>
      <w:rFonts w:ascii="Arial" w:hAnsi="Arial" w:cs="Arial"/>
      <w:b w:val="false"/>
      <w:bCs w:val="false"/>
      <w:i w:val="false"/>
      <w:iCs w:val="false"/>
      <w:color w:val="000000"/>
      <w:sz w:val="18"/>
      <w:szCs w:val="18"/>
      <w:shd w:fill="auto" w:val="clear"/>
    </w:rPr>
  </w:style>
  <w:style w:type="character" w:styleId="Csa16174ba1">
    <w:name w:val="csa16174ba1"/>
    <w:qFormat/>
    <w:rPr>
      <w:rFonts w:ascii="Arial" w:hAnsi="Arial" w:cs="Arial"/>
      <w:b w:val="false"/>
      <w:bCs w:val="false"/>
      <w:i w:val="false"/>
      <w:iCs w:val="false"/>
      <w:color w:val="000000"/>
      <w:sz w:val="20"/>
      <w:szCs w:val="20"/>
      <w:shd w:fill="auto" w:val="clear"/>
    </w:rPr>
  </w:style>
  <w:style w:type="character" w:styleId="Csafaf574161">
    <w:name w:val="csafaf574161"/>
    <w:qFormat/>
    <w:rPr>
      <w:rFonts w:ascii="Arial" w:hAnsi="Arial" w:cs="Arial"/>
      <w:b/>
      <w:bCs/>
      <w:i w:val="false"/>
      <w:iCs w:val="false"/>
      <w:color w:val="000000"/>
      <w:sz w:val="18"/>
      <w:szCs w:val="18"/>
      <w:shd w:fill="auto" w:val="clear"/>
    </w:rPr>
  </w:style>
  <w:style w:type="character" w:styleId="Csafaf574162">
    <w:name w:val="csafaf574162"/>
    <w:qFormat/>
    <w:rPr>
      <w:rFonts w:ascii="Arial" w:hAnsi="Arial" w:cs="Arial"/>
      <w:b/>
      <w:bCs/>
      <w:i w:val="false"/>
      <w:iCs w:val="false"/>
      <w:color w:val="000000"/>
      <w:sz w:val="18"/>
      <w:szCs w:val="18"/>
      <w:shd w:fill="auto" w:val="clear"/>
    </w:rPr>
  </w:style>
  <w:style w:type="character" w:styleId="Csab6e076962">
    <w:name w:val="csab6e076962"/>
    <w:qFormat/>
    <w:rPr>
      <w:rFonts w:ascii="Arial" w:hAnsi="Arial" w:cs="Arial"/>
      <w:b w:val="false"/>
      <w:bCs w:val="false"/>
      <w:i w:val="false"/>
      <w:iCs w:val="false"/>
      <w:color w:val="000000"/>
      <w:sz w:val="18"/>
      <w:szCs w:val="18"/>
      <w:shd w:fill="auto" w:val="clear"/>
    </w:rPr>
  </w:style>
  <w:style w:type="character" w:styleId="Cs9ff1b61133">
    <w:name w:val="cs9ff1b61133"/>
    <w:qFormat/>
    <w:rPr>
      <w:rFonts w:ascii="Arial" w:hAnsi="Arial" w:cs="Arial"/>
      <w:b w:val="false"/>
      <w:bCs w:val="false"/>
      <w:i w:val="false"/>
      <w:iCs w:val="false"/>
      <w:color w:val="000000"/>
      <w:sz w:val="18"/>
      <w:szCs w:val="18"/>
      <w:shd w:fill="auto" w:val="clear"/>
    </w:rPr>
  </w:style>
  <w:style w:type="character" w:styleId="Csccf5e31629">
    <w:name w:val="csccf5e31629"/>
    <w:qFormat/>
    <w:rPr>
      <w:rFonts w:ascii="Arial" w:hAnsi="Arial" w:cs="Arial"/>
      <w:b/>
      <w:bCs/>
      <w:i w:val="false"/>
      <w:iCs w:val="false"/>
      <w:color w:val="000000"/>
      <w:sz w:val="18"/>
      <w:szCs w:val="18"/>
      <w:shd w:fill="auto" w:val="clear"/>
    </w:rPr>
  </w:style>
  <w:style w:type="character" w:styleId="Cs9ff1b61129">
    <w:name w:val="cs9ff1b61129"/>
    <w:qFormat/>
    <w:rPr>
      <w:rFonts w:ascii="Arial" w:hAnsi="Arial" w:cs="Arial"/>
      <w:b w:val="false"/>
      <w:bCs w:val="false"/>
      <w:i w:val="false"/>
      <w:iCs w:val="false"/>
      <w:color w:val="000000"/>
      <w:sz w:val="18"/>
      <w:szCs w:val="18"/>
      <w:shd w:fill="auto" w:val="clear"/>
    </w:rPr>
  </w:style>
  <w:style w:type="character" w:styleId="Cs9ff1b61117">
    <w:name w:val="cs9ff1b61117"/>
    <w:qFormat/>
    <w:rPr>
      <w:rFonts w:ascii="Arial" w:hAnsi="Arial" w:cs="Arial"/>
      <w:b w:val="false"/>
      <w:bCs w:val="false"/>
      <w:i w:val="false"/>
      <w:iCs w:val="false"/>
      <w:color w:val="000000"/>
      <w:sz w:val="18"/>
      <w:szCs w:val="18"/>
      <w:shd w:fill="auto" w:val="clear"/>
    </w:rPr>
  </w:style>
  <w:style w:type="paragraph" w:styleId="Heading">
    <w:name w:val="Heading"/>
    <w:basedOn w:val="Normal"/>
    <w:next w:val="TextBody"/>
    <w:qFormat/>
    <w:pPr/>
    <w:rPr>
      <w:sz w:val="24"/>
      <w:szCs w:val="24"/>
      <w:lang w:val="en-US"/>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TML1">
    <w:name w:val="Стандартный HTML"/>
    <w:basedOn w:val="Normal"/>
    <w:qFormat/>
    <w:pPr/>
    <w:rPr>
      <w:rFonts w:ascii="Courier New" w:hAnsi="Courier New" w:cs="Courier New"/>
      <w:color w:val="000000"/>
      <w:sz w:val="21"/>
      <w:szCs w:val="21"/>
    </w:rPr>
  </w:style>
  <w:style w:type="paragraph" w:styleId="33">
    <w:name w:val="Основной текст с отступом 3"/>
    <w:basedOn w:val="Normal"/>
    <w:qFormat/>
    <w:pPr>
      <w:spacing w:before="0" w:after="120"/>
      <w:ind w:left="283" w:hanging="0"/>
    </w:pPr>
    <w:rPr>
      <w:sz w:val="16"/>
      <w:szCs w:val="16"/>
    </w:rPr>
  </w:style>
  <w:style w:type="paragraph" w:styleId="Header">
    <w:name w:val="Header"/>
    <w:basedOn w:val="Normal"/>
    <w:pPr/>
    <w:rPr/>
  </w:style>
  <w:style w:type="paragraph" w:styleId="Footer">
    <w:name w:val="Footer"/>
    <w:basedOn w:val="Normal"/>
    <w:pPr/>
    <w:rPr/>
  </w:style>
  <w:style w:type="paragraph" w:styleId="11">
    <w:name w:val="Обычный11"/>
    <w:basedOn w:val="Normal"/>
    <w:qFormat/>
    <w:pPr/>
    <w:rPr>
      <w:rFonts w:eastAsia="Times New Roman"/>
      <w:sz w:val="24"/>
      <w:szCs w:val="24"/>
      <w:lang w:val="uk-UA"/>
    </w:rPr>
  </w:style>
  <w:style w:type="paragraph" w:styleId="12">
    <w:name w:val="Обычный1"/>
    <w:basedOn w:val="Normal"/>
    <w:qFormat/>
    <w:pPr/>
    <w:rPr>
      <w:rFonts w:eastAsia="Times New Roman"/>
      <w:sz w:val="24"/>
      <w:szCs w:val="24"/>
      <w:lang w:val="uk-UA"/>
    </w:rPr>
  </w:style>
  <w:style w:type="paragraph" w:styleId="Msolistparagraph">
    <w:name w:val="msolistparagraph"/>
    <w:basedOn w:val="Normal"/>
    <w:qFormat/>
    <w:pPr>
      <w:spacing w:before="0" w:after="0"/>
      <w:ind w:left="720" w:hanging="0"/>
      <w:contextualSpacing/>
    </w:pPr>
    <w:rPr>
      <w:rFonts w:eastAsia="Times New Roman"/>
      <w:sz w:val="24"/>
      <w:szCs w:val="24"/>
      <w:lang w:val="uk-UA"/>
    </w:rPr>
  </w:style>
  <w:style w:type="paragraph" w:styleId="Encryption">
    <w:name w:val="Encryption"/>
    <w:basedOn w:val="Normal"/>
    <w:qFormat/>
    <w:pPr>
      <w:jc w:val="both"/>
    </w:pPr>
    <w:rPr>
      <w:rFonts w:eastAsia="Times New Roman"/>
      <w:b/>
      <w:bCs/>
      <w:i/>
      <w:iCs/>
      <w:sz w:val="24"/>
      <w:szCs w:val="24"/>
      <w:lang w:val="uk-UA"/>
    </w:rPr>
  </w:style>
  <w:style w:type="paragraph" w:styleId="211">
    <w:name w:val="Заголовок 21"/>
    <w:basedOn w:val="Normal"/>
    <w:qFormat/>
    <w:pPr/>
    <w:rPr>
      <w:rFonts w:ascii="Arial" w:hAnsi="Arial" w:eastAsia="Times New Roman" w:cs="Arial"/>
      <w:b/>
      <w:caps/>
      <w:sz w:val="16"/>
    </w:rPr>
  </w:style>
  <w:style w:type="paragraph" w:styleId="411">
    <w:name w:val="Заголовок 41"/>
    <w:basedOn w:val="Normal"/>
    <w:qFormat/>
    <w:pPr/>
    <w:rPr>
      <w:rFonts w:ascii="Arial" w:hAnsi="Arial" w:eastAsia="Times New Roman" w:cs="Arial"/>
      <w:b/>
    </w:rPr>
  </w:style>
  <w:style w:type="paragraph" w:styleId="Style23">
    <w:name w:val="Текст выноски"/>
    <w:basedOn w:val="Normal"/>
    <w:qFormat/>
    <w:pPr/>
    <w:rPr>
      <w:rFonts w:ascii="Tahoma" w:hAnsi="Tahoma" w:eastAsia="Times New Roman" w:cs="Tahoma"/>
      <w:sz w:val="16"/>
      <w:szCs w:val="16"/>
    </w:rPr>
  </w:style>
  <w:style w:type="paragraph" w:styleId="BodyTextIndent2">
    <w:name w:val="Body Text Indent2"/>
    <w:basedOn w:val="Normal"/>
    <w:qFormat/>
    <w:pPr>
      <w:jc w:val="center"/>
    </w:pPr>
    <w:rPr>
      <w:rFonts w:ascii="Arial" w:hAnsi="Arial" w:eastAsia="Times New Roman" w:cs="Arial"/>
      <w:b/>
      <w:i/>
      <w:sz w:val="18"/>
      <w:lang w:val="uk-UA"/>
    </w:rPr>
  </w:style>
  <w:style w:type="paragraph" w:styleId="13">
    <w:name w:val="Основной текст с отступом1"/>
    <w:basedOn w:val="Normal"/>
    <w:qFormat/>
    <w:pPr>
      <w:spacing w:before="120" w:after="120"/>
    </w:pPr>
    <w:rPr>
      <w:rFonts w:ascii="Arial" w:hAnsi="Arial" w:eastAsia="Times New Roman" w:cs="Arial"/>
      <w:sz w:val="18"/>
    </w:rPr>
  </w:style>
  <w:style w:type="paragraph" w:styleId="Cs95e872d0">
    <w:name w:val="cs95e872d0"/>
    <w:basedOn w:val="Normal"/>
    <w:qFormat/>
    <w:pPr/>
    <w:rPr>
      <w:rFonts w:eastAsia="Times New Roman"/>
      <w:sz w:val="24"/>
      <w:szCs w:val="24"/>
    </w:rPr>
  </w:style>
  <w:style w:type="paragraph" w:styleId="TextBodyIndent">
    <w:name w:val="Body Text Indent"/>
    <w:basedOn w:val="Normal"/>
    <w:pPr>
      <w:spacing w:before="0" w:after="120"/>
      <w:ind w:left="283" w:hanging="0"/>
    </w:pPr>
    <w:rPr>
      <w:rFonts w:eastAsia="Times New Roman"/>
      <w:sz w:val="24"/>
      <w:szCs w:val="24"/>
    </w:rPr>
  </w:style>
  <w:style w:type="paragraph" w:styleId="34">
    <w:name w:val="Основной текст 3"/>
    <w:basedOn w:val="Normal"/>
    <w:qFormat/>
    <w:pPr>
      <w:spacing w:before="0" w:after="120"/>
    </w:pPr>
    <w:rPr>
      <w:rFonts w:eastAsia="Times New Roman"/>
      <w:sz w:val="16"/>
      <w:szCs w:val="16"/>
      <w:lang w:val="uk-UA"/>
    </w:rPr>
  </w:style>
  <w:style w:type="paragraph" w:styleId="24">
    <w:name w:val="Основной текст с отступом2"/>
    <w:basedOn w:val="Normal"/>
    <w:qFormat/>
    <w:pPr>
      <w:ind w:firstLine="708"/>
      <w:jc w:val="both"/>
    </w:pPr>
    <w:rPr>
      <w:rFonts w:ascii="Arial" w:hAnsi="Arial" w:eastAsia="Times New Roman" w:cs="Arial"/>
      <w:b/>
      <w:sz w:val="18"/>
      <w:lang w:val="uk-UA"/>
    </w:rPr>
  </w:style>
  <w:style w:type="paragraph" w:styleId="35">
    <w:name w:val="Основной текст с отступом3"/>
    <w:basedOn w:val="Normal"/>
    <w:qFormat/>
    <w:pPr>
      <w:ind w:firstLine="708"/>
      <w:jc w:val="both"/>
    </w:pPr>
    <w:rPr>
      <w:rFonts w:ascii="Arial" w:hAnsi="Arial" w:eastAsia="Times New Roman" w:cs="Arial"/>
      <w:b/>
      <w:sz w:val="18"/>
      <w:lang w:val="uk-UA"/>
    </w:rPr>
  </w:style>
  <w:style w:type="paragraph" w:styleId="42">
    <w:name w:val="Основной текст с отступом4"/>
    <w:basedOn w:val="Normal"/>
    <w:qFormat/>
    <w:pPr>
      <w:ind w:firstLine="708"/>
      <w:jc w:val="both"/>
    </w:pPr>
    <w:rPr>
      <w:rFonts w:ascii="Arial" w:hAnsi="Arial" w:eastAsia="Times New Roman" w:cs="Arial"/>
      <w:b/>
      <w:sz w:val="18"/>
      <w:lang w:val="uk-UA"/>
    </w:rPr>
  </w:style>
  <w:style w:type="paragraph" w:styleId="5">
    <w:name w:val="Основной текст с отступом5"/>
    <w:basedOn w:val="Normal"/>
    <w:qFormat/>
    <w:pPr>
      <w:ind w:firstLine="708"/>
      <w:jc w:val="both"/>
    </w:pPr>
    <w:rPr>
      <w:rFonts w:ascii="Arial" w:hAnsi="Arial" w:eastAsia="Times New Roman" w:cs="Arial"/>
      <w:b/>
      <w:sz w:val="18"/>
      <w:lang w:val="uk-UA"/>
    </w:rPr>
  </w:style>
  <w:style w:type="paragraph" w:styleId="Cse71256d6">
    <w:name w:val="cse71256d6"/>
    <w:basedOn w:val="Normal"/>
    <w:qFormat/>
    <w:pPr>
      <w:ind w:left="1440" w:hanging="0"/>
    </w:pPr>
    <w:rPr>
      <w:rFonts w:eastAsia="Times New Roman"/>
      <w:sz w:val="24"/>
      <w:szCs w:val="24"/>
      <w:lang w:val="uk-UA"/>
    </w:rPr>
  </w:style>
  <w:style w:type="paragraph" w:styleId="61">
    <w:name w:val="Основной текст с отступом6"/>
    <w:basedOn w:val="Normal"/>
    <w:qFormat/>
    <w:pPr>
      <w:ind w:firstLine="708"/>
      <w:jc w:val="both"/>
    </w:pPr>
    <w:rPr>
      <w:rFonts w:ascii="Arial" w:hAnsi="Arial" w:eastAsia="Times New Roman" w:cs="Arial"/>
      <w:b/>
      <w:sz w:val="18"/>
      <w:lang w:val="uk-UA"/>
    </w:rPr>
  </w:style>
  <w:style w:type="paragraph" w:styleId="7">
    <w:name w:val="Основной текст с отступом7"/>
    <w:basedOn w:val="Normal"/>
    <w:qFormat/>
    <w:pPr>
      <w:ind w:firstLine="708"/>
      <w:jc w:val="both"/>
    </w:pPr>
    <w:rPr>
      <w:rFonts w:ascii="Arial" w:hAnsi="Arial" w:eastAsia="Times New Roman" w:cs="Arial"/>
      <w:b/>
      <w:sz w:val="18"/>
      <w:lang w:val="uk-UA"/>
    </w:rPr>
  </w:style>
  <w:style w:type="paragraph" w:styleId="8">
    <w:name w:val="Основной текст с отступом8"/>
    <w:basedOn w:val="Normal"/>
    <w:qFormat/>
    <w:pPr>
      <w:ind w:firstLine="708"/>
      <w:jc w:val="both"/>
    </w:pPr>
    <w:rPr>
      <w:rFonts w:ascii="Arial" w:hAnsi="Arial" w:eastAsia="Times New Roman" w:cs="Arial"/>
      <w:b/>
      <w:sz w:val="18"/>
      <w:lang w:val="uk-UA"/>
    </w:rPr>
  </w:style>
  <w:style w:type="paragraph" w:styleId="9">
    <w:name w:val="Основной текст с отступом9"/>
    <w:basedOn w:val="Normal"/>
    <w:qFormat/>
    <w:pPr>
      <w:ind w:firstLine="708"/>
      <w:jc w:val="both"/>
    </w:pPr>
    <w:rPr>
      <w:rFonts w:ascii="Arial" w:hAnsi="Arial" w:eastAsia="Times New Roman" w:cs="Arial"/>
      <w:b/>
      <w:sz w:val="18"/>
      <w:lang w:val="uk-UA"/>
    </w:rPr>
  </w:style>
  <w:style w:type="paragraph" w:styleId="111">
    <w:name w:val="Основной текст с отступом11"/>
    <w:basedOn w:val="Normal"/>
    <w:qFormat/>
    <w:pPr>
      <w:ind w:firstLine="708"/>
      <w:jc w:val="both"/>
    </w:pPr>
    <w:rPr>
      <w:rFonts w:ascii="Arial" w:hAnsi="Arial" w:eastAsia="Times New Roman" w:cs="Arial"/>
      <w:b/>
      <w:sz w:val="18"/>
      <w:lang w:val="uk-UA"/>
    </w:rPr>
  </w:style>
  <w:style w:type="paragraph" w:styleId="10">
    <w:name w:val="Основной текст с отступом10"/>
    <w:basedOn w:val="Normal"/>
    <w:qFormat/>
    <w:pPr>
      <w:ind w:firstLine="708"/>
      <w:jc w:val="both"/>
    </w:pPr>
    <w:rPr>
      <w:rFonts w:ascii="Arial" w:hAnsi="Arial" w:eastAsia="Times New Roman" w:cs="Arial"/>
      <w:b/>
      <w:sz w:val="18"/>
      <w:lang w:val="uk-UA"/>
    </w:rPr>
  </w:style>
  <w:style w:type="paragraph" w:styleId="110">
    <w:name w:val="Основной текст с отступом110"/>
    <w:basedOn w:val="Normal"/>
    <w:qFormat/>
    <w:pPr>
      <w:ind w:firstLine="708"/>
      <w:jc w:val="both"/>
    </w:pPr>
    <w:rPr>
      <w:rFonts w:ascii="Arial" w:hAnsi="Arial" w:eastAsia="Times New Roman" w:cs="Arial"/>
      <w:b/>
      <w:sz w:val="18"/>
      <w:szCs w:val="22"/>
      <w:lang w:val="uk-UA"/>
    </w:rPr>
  </w:style>
  <w:style w:type="paragraph" w:styleId="121">
    <w:name w:val="Основной текст с отступом12"/>
    <w:basedOn w:val="Normal"/>
    <w:qFormat/>
    <w:pPr>
      <w:ind w:firstLine="708"/>
      <w:jc w:val="both"/>
    </w:pPr>
    <w:rPr>
      <w:rFonts w:ascii="Arial" w:hAnsi="Arial" w:eastAsia="Times New Roman" w:cs="Arial"/>
      <w:b/>
      <w:sz w:val="18"/>
      <w:lang w:val="uk-UA"/>
    </w:rPr>
  </w:style>
  <w:style w:type="paragraph" w:styleId="131">
    <w:name w:val="Основной текст с отступом13"/>
    <w:basedOn w:val="Normal"/>
    <w:qFormat/>
    <w:pPr>
      <w:ind w:firstLine="708"/>
      <w:jc w:val="both"/>
    </w:pPr>
    <w:rPr>
      <w:rFonts w:ascii="Arial" w:hAnsi="Arial" w:eastAsia="Times New Roman" w:cs="Arial"/>
      <w:b/>
      <w:sz w:val="18"/>
      <w:lang w:val="uk-UA"/>
    </w:rPr>
  </w:style>
  <w:style w:type="paragraph" w:styleId="141">
    <w:name w:val="Основной текст с отступом14"/>
    <w:basedOn w:val="Normal"/>
    <w:qFormat/>
    <w:pPr>
      <w:ind w:firstLine="708"/>
      <w:jc w:val="both"/>
    </w:pPr>
    <w:rPr>
      <w:rFonts w:ascii="Arial" w:hAnsi="Arial" w:eastAsia="Times New Roman" w:cs="Arial"/>
      <w:b/>
      <w:sz w:val="18"/>
      <w:lang w:val="uk-UA"/>
    </w:rPr>
  </w:style>
  <w:style w:type="paragraph" w:styleId="15">
    <w:name w:val="Основной текст с отступом15"/>
    <w:basedOn w:val="Normal"/>
    <w:qFormat/>
    <w:pPr>
      <w:ind w:firstLine="708"/>
      <w:jc w:val="both"/>
    </w:pPr>
    <w:rPr>
      <w:rFonts w:ascii="Arial" w:hAnsi="Arial" w:eastAsia="Times New Roman" w:cs="Arial"/>
      <w:b/>
      <w:sz w:val="18"/>
      <w:lang w:val="uk-UA"/>
    </w:rPr>
  </w:style>
  <w:style w:type="paragraph" w:styleId="16">
    <w:name w:val="Основной текст с отступом16"/>
    <w:basedOn w:val="Normal"/>
    <w:qFormat/>
    <w:pPr>
      <w:ind w:firstLine="708"/>
      <w:jc w:val="both"/>
    </w:pPr>
    <w:rPr>
      <w:rFonts w:ascii="Arial" w:hAnsi="Arial" w:eastAsia="Times New Roman" w:cs="Arial"/>
      <w:b/>
      <w:sz w:val="18"/>
      <w:lang w:val="uk-UA"/>
    </w:rPr>
  </w:style>
  <w:style w:type="paragraph" w:styleId="17">
    <w:name w:val="Основной текст с отступом17"/>
    <w:basedOn w:val="Normal"/>
    <w:qFormat/>
    <w:pPr>
      <w:ind w:firstLine="708"/>
      <w:jc w:val="both"/>
    </w:pPr>
    <w:rPr>
      <w:rFonts w:ascii="Arial" w:hAnsi="Arial" w:eastAsia="Times New Roman" w:cs="Arial"/>
      <w:b/>
      <w:sz w:val="18"/>
      <w:lang w:val="uk-UA"/>
    </w:rPr>
  </w:style>
  <w:style w:type="paragraph" w:styleId="18">
    <w:name w:val="Основной текст с отступом18"/>
    <w:basedOn w:val="Normal"/>
    <w:qFormat/>
    <w:pPr>
      <w:ind w:firstLine="708"/>
      <w:jc w:val="both"/>
    </w:pPr>
    <w:rPr>
      <w:rFonts w:ascii="Arial" w:hAnsi="Arial" w:eastAsia="Times New Roman" w:cs="Arial"/>
      <w:b/>
      <w:sz w:val="18"/>
      <w:lang w:val="uk-UA"/>
    </w:rPr>
  </w:style>
  <w:style w:type="paragraph" w:styleId="19">
    <w:name w:val="Основной текст с отступом19"/>
    <w:basedOn w:val="Normal"/>
    <w:qFormat/>
    <w:pPr>
      <w:ind w:firstLine="708"/>
      <w:jc w:val="both"/>
    </w:pPr>
    <w:rPr>
      <w:rFonts w:ascii="Arial" w:hAnsi="Arial" w:eastAsia="Times New Roman" w:cs="Arial"/>
      <w:b/>
      <w:sz w:val="18"/>
      <w:lang w:val="uk-UA"/>
    </w:rPr>
  </w:style>
  <w:style w:type="paragraph" w:styleId="20">
    <w:name w:val="Основной текст с отступом20"/>
    <w:basedOn w:val="Normal"/>
    <w:qFormat/>
    <w:pPr>
      <w:ind w:firstLine="708"/>
      <w:jc w:val="both"/>
    </w:pPr>
    <w:rPr>
      <w:rFonts w:ascii="Arial" w:hAnsi="Arial" w:eastAsia="Times New Roman" w:cs="Arial"/>
      <w:b/>
      <w:sz w:val="18"/>
      <w:lang w:val="uk-UA"/>
    </w:rPr>
  </w:style>
  <w:style w:type="paragraph" w:styleId="Cs80d9435b">
    <w:name w:val="cs80d9435b"/>
    <w:basedOn w:val="Normal"/>
    <w:qFormat/>
    <w:pPr>
      <w:jc w:val="both"/>
    </w:pPr>
    <w:rPr>
      <w:rFonts w:ascii="Arial" w:hAnsi="Arial" w:eastAsia="Times New Roman" w:cs="Arial"/>
      <w:sz w:val="24"/>
      <w:szCs w:val="24"/>
      <w:lang w:val="uk-UA"/>
    </w:rPr>
  </w:style>
  <w:style w:type="paragraph" w:styleId="212">
    <w:name w:val="Основной текст с отступом21"/>
    <w:basedOn w:val="Normal"/>
    <w:qFormat/>
    <w:pPr>
      <w:ind w:firstLine="708"/>
      <w:jc w:val="both"/>
    </w:pPr>
    <w:rPr>
      <w:rFonts w:ascii="Arial" w:hAnsi="Arial" w:eastAsia="Times New Roman" w:cs="Arial"/>
      <w:b/>
      <w:sz w:val="18"/>
      <w:lang w:val="uk-UA"/>
    </w:rPr>
  </w:style>
  <w:style w:type="paragraph" w:styleId="231">
    <w:name w:val="Основной текст с отступом23"/>
    <w:basedOn w:val="Normal"/>
    <w:qFormat/>
    <w:pPr>
      <w:ind w:firstLine="708"/>
      <w:jc w:val="both"/>
    </w:pPr>
    <w:rPr>
      <w:rFonts w:ascii="Arial" w:hAnsi="Arial" w:eastAsia="Times New Roman" w:cs="Arial"/>
      <w:b/>
      <w:sz w:val="18"/>
      <w:lang w:val="uk-UA"/>
    </w:rPr>
  </w:style>
  <w:style w:type="paragraph" w:styleId="26">
    <w:name w:val="Основной текст с отступом26"/>
    <w:basedOn w:val="Normal"/>
    <w:qFormat/>
    <w:pPr>
      <w:ind w:firstLine="708"/>
      <w:jc w:val="both"/>
    </w:pPr>
    <w:rPr>
      <w:rFonts w:ascii="Arial" w:hAnsi="Arial" w:eastAsia="Times New Roman" w:cs="Arial"/>
      <w:b/>
      <w:sz w:val="18"/>
      <w:lang w:val="uk-UA"/>
    </w:rPr>
  </w:style>
  <w:style w:type="paragraph" w:styleId="28">
    <w:name w:val="Основной текст с отступом28"/>
    <w:basedOn w:val="Normal"/>
    <w:qFormat/>
    <w:pPr>
      <w:ind w:firstLine="708"/>
      <w:jc w:val="both"/>
    </w:pPr>
    <w:rPr>
      <w:rFonts w:ascii="Arial" w:hAnsi="Arial" w:eastAsia="Times New Roman" w:cs="Arial"/>
      <w:b/>
      <w:sz w:val="18"/>
      <w:lang w:val="uk-UA"/>
    </w:rPr>
  </w:style>
  <w:style w:type="paragraph" w:styleId="29">
    <w:name w:val="Основной текст с отступом29"/>
    <w:basedOn w:val="Normal"/>
    <w:qFormat/>
    <w:pPr>
      <w:ind w:firstLine="708"/>
      <w:jc w:val="both"/>
    </w:pPr>
    <w:rPr>
      <w:rFonts w:ascii="Arial" w:hAnsi="Arial" w:eastAsia="Times New Roman" w:cs="Arial"/>
      <w:b/>
      <w:sz w:val="18"/>
      <w:lang w:val="uk-UA"/>
    </w:rPr>
  </w:style>
  <w:style w:type="paragraph" w:styleId="311">
    <w:name w:val="Основной текст с отступом31"/>
    <w:basedOn w:val="Normal"/>
    <w:qFormat/>
    <w:pPr>
      <w:ind w:firstLine="708"/>
      <w:jc w:val="both"/>
    </w:pPr>
    <w:rPr>
      <w:rFonts w:ascii="Arial" w:hAnsi="Arial" w:eastAsia="Times New Roman" w:cs="Arial"/>
      <w:b/>
      <w:sz w:val="18"/>
      <w:lang w:val="uk-UA"/>
    </w:rPr>
  </w:style>
  <w:style w:type="paragraph" w:styleId="321">
    <w:name w:val="Основной текст с отступом32"/>
    <w:basedOn w:val="Normal"/>
    <w:qFormat/>
    <w:pPr>
      <w:ind w:firstLine="708"/>
      <w:jc w:val="both"/>
    </w:pPr>
    <w:rPr>
      <w:rFonts w:ascii="Arial" w:hAnsi="Arial" w:eastAsia="Times New Roman" w:cs="Arial"/>
      <w:b/>
      <w:sz w:val="18"/>
      <w:lang w:val="uk-UA"/>
    </w:rPr>
  </w:style>
  <w:style w:type="paragraph" w:styleId="331">
    <w:name w:val="Основной текст с отступом33"/>
    <w:basedOn w:val="Normal"/>
    <w:qFormat/>
    <w:pPr>
      <w:ind w:firstLine="708"/>
      <w:jc w:val="both"/>
    </w:pPr>
    <w:rPr>
      <w:rFonts w:ascii="Arial" w:hAnsi="Arial" w:eastAsia="Times New Roman" w:cs="Arial"/>
      <w:b/>
      <w:sz w:val="18"/>
      <w:lang w:val="uk-UA"/>
    </w:rPr>
  </w:style>
  <w:style w:type="paragraph" w:styleId="351">
    <w:name w:val="Основной текст с отступом35"/>
    <w:basedOn w:val="Normal"/>
    <w:qFormat/>
    <w:pPr>
      <w:ind w:firstLine="708"/>
      <w:jc w:val="both"/>
    </w:pPr>
    <w:rPr>
      <w:rFonts w:ascii="Arial" w:hAnsi="Arial" w:eastAsia="Times New Roman" w:cs="Arial"/>
      <w:b/>
      <w:sz w:val="18"/>
      <w:lang w:val="uk-UA"/>
    </w:rPr>
  </w:style>
  <w:style w:type="paragraph" w:styleId="341">
    <w:name w:val="Основной текст с отступом34"/>
    <w:basedOn w:val="Normal"/>
    <w:qFormat/>
    <w:pPr>
      <w:ind w:firstLine="708"/>
      <w:jc w:val="both"/>
    </w:pPr>
    <w:rPr>
      <w:rFonts w:ascii="Arial" w:hAnsi="Arial" w:eastAsia="Times New Roman" w:cs="Arial"/>
      <w:b/>
      <w:sz w:val="18"/>
      <w:lang w:val="uk-UA"/>
    </w:rPr>
  </w:style>
  <w:style w:type="paragraph" w:styleId="36">
    <w:name w:val="Основной текст с отступом36"/>
    <w:basedOn w:val="Normal"/>
    <w:qFormat/>
    <w:pPr>
      <w:ind w:firstLine="708"/>
      <w:jc w:val="both"/>
    </w:pPr>
    <w:rPr>
      <w:rFonts w:ascii="Arial" w:hAnsi="Arial" w:eastAsia="Times New Roman" w:cs="Arial"/>
      <w:b/>
      <w:sz w:val="18"/>
      <w:lang w:val="uk-UA"/>
    </w:rPr>
  </w:style>
  <w:style w:type="paragraph" w:styleId="37">
    <w:name w:val="Основной текст с отступом37"/>
    <w:basedOn w:val="Normal"/>
    <w:qFormat/>
    <w:pPr>
      <w:ind w:firstLine="708"/>
      <w:jc w:val="both"/>
    </w:pPr>
    <w:rPr>
      <w:rFonts w:ascii="Arial" w:hAnsi="Arial" w:eastAsia="Times New Roman" w:cs="Arial"/>
      <w:b/>
      <w:sz w:val="18"/>
      <w:lang w:val="uk-UA"/>
    </w:rPr>
  </w:style>
  <w:style w:type="paragraph" w:styleId="Style24">
    <w:name w:val="Текст примечания"/>
    <w:basedOn w:val="Normal"/>
    <w:qFormat/>
    <w:pPr/>
    <w:rPr>
      <w:rFonts w:eastAsia="Times New Roman"/>
      <w:lang w:val="uk-UA"/>
    </w:rPr>
  </w:style>
  <w:style w:type="paragraph" w:styleId="Style25">
    <w:name w:val="Тема примечания"/>
    <w:basedOn w:val="Style24"/>
    <w:next w:val="Style24"/>
    <w:qFormat/>
    <w:pPr/>
    <w:rPr>
      <w:b/>
      <w:bCs/>
    </w:rPr>
  </w:style>
  <w:style w:type="paragraph" w:styleId="Style26">
    <w:name w:val="Рецензия"/>
    <w:qFormat/>
    <w:pPr>
      <w:widowControl/>
    </w:pPr>
    <w:rPr>
      <w:rFonts w:ascii="Times New Roman" w:hAnsi="Times New Roman" w:eastAsia="Times New Roman" w:cs="Times New Roman"/>
      <w:color w:val="auto"/>
      <w:sz w:val="24"/>
      <w:szCs w:val="24"/>
      <w:lang w:val="uk-UA" w:bidi="ar-SA" w:eastAsia="zh-CN"/>
    </w:rPr>
  </w:style>
  <w:style w:type="paragraph" w:styleId="Csfeeeeb43">
    <w:name w:val="csfeeeeb43"/>
    <w:basedOn w:val="Normal"/>
    <w:qFormat/>
    <w:pPr/>
    <w:rPr>
      <w:rFonts w:ascii="Arial" w:hAnsi="Arial" w:eastAsia="Times New Roman" w:cs="Arial"/>
      <w:sz w:val="24"/>
      <w:szCs w:val="24"/>
      <w:lang w:val="uk-UA"/>
    </w:rPr>
  </w:style>
  <w:style w:type="paragraph" w:styleId="38">
    <w:name w:val="Основной текст с отступом38"/>
    <w:basedOn w:val="Normal"/>
    <w:qFormat/>
    <w:pPr>
      <w:ind w:firstLine="708"/>
      <w:jc w:val="both"/>
    </w:pPr>
    <w:rPr>
      <w:rFonts w:ascii="Arial" w:hAnsi="Arial" w:eastAsia="Times New Roman" w:cs="Arial"/>
      <w:b/>
      <w:sz w:val="18"/>
      <w:lang w:val="uk-UA"/>
    </w:rPr>
  </w:style>
  <w:style w:type="paragraph" w:styleId="39">
    <w:name w:val="Основной текст с отступом39"/>
    <w:basedOn w:val="Normal"/>
    <w:qFormat/>
    <w:pPr>
      <w:ind w:firstLine="708"/>
      <w:jc w:val="both"/>
    </w:pPr>
    <w:rPr>
      <w:rFonts w:ascii="Arial" w:hAnsi="Arial" w:eastAsia="Times New Roman" w:cs="Arial"/>
      <w:b/>
      <w:sz w:val="18"/>
      <w:lang w:val="uk-UA"/>
    </w:rPr>
  </w:style>
  <w:style w:type="paragraph" w:styleId="40">
    <w:name w:val="Основной текст с отступом40"/>
    <w:basedOn w:val="Normal"/>
    <w:qFormat/>
    <w:pPr>
      <w:ind w:firstLine="708"/>
      <w:jc w:val="both"/>
    </w:pPr>
    <w:rPr>
      <w:rFonts w:ascii="Arial" w:hAnsi="Arial" w:eastAsia="Times New Roman" w:cs="Arial"/>
      <w:b/>
      <w:sz w:val="18"/>
      <w:lang w:val="uk-UA"/>
    </w:rPr>
  </w:style>
  <w:style w:type="paragraph" w:styleId="412">
    <w:name w:val="Основной текст с отступом41"/>
    <w:basedOn w:val="Normal"/>
    <w:qFormat/>
    <w:pPr>
      <w:ind w:firstLine="708"/>
      <w:jc w:val="both"/>
    </w:pPr>
    <w:rPr>
      <w:rFonts w:ascii="Arial" w:hAnsi="Arial" w:eastAsia="Times New Roman" w:cs="Arial"/>
      <w:b/>
      <w:sz w:val="18"/>
      <w:lang w:val="uk-UA"/>
    </w:rPr>
  </w:style>
  <w:style w:type="paragraph" w:styleId="421">
    <w:name w:val="Основной текст с отступом42"/>
    <w:basedOn w:val="Normal"/>
    <w:qFormat/>
    <w:pPr>
      <w:ind w:firstLine="708"/>
      <w:jc w:val="both"/>
    </w:pPr>
    <w:rPr>
      <w:rFonts w:ascii="Arial" w:hAnsi="Arial" w:eastAsia="Times New Roman" w:cs="Arial"/>
      <w:b/>
      <w:sz w:val="18"/>
      <w:lang w:val="uk-UA"/>
    </w:rPr>
  </w:style>
  <w:style w:type="paragraph" w:styleId="43">
    <w:name w:val="Основной текст с отступом43"/>
    <w:basedOn w:val="Normal"/>
    <w:qFormat/>
    <w:pPr>
      <w:ind w:firstLine="708"/>
      <w:jc w:val="both"/>
    </w:pPr>
    <w:rPr>
      <w:rFonts w:ascii="Arial" w:hAnsi="Arial" w:eastAsia="Times New Roman" w:cs="Arial"/>
      <w:b/>
      <w:sz w:val="18"/>
      <w:lang w:val="uk-UA"/>
    </w:rPr>
  </w:style>
  <w:style w:type="paragraph" w:styleId="44">
    <w:name w:val="Основной текст с отступом44"/>
    <w:basedOn w:val="Normal"/>
    <w:qFormat/>
    <w:pPr>
      <w:ind w:firstLine="708"/>
      <w:jc w:val="both"/>
    </w:pPr>
    <w:rPr>
      <w:rFonts w:ascii="Arial" w:hAnsi="Arial" w:eastAsia="Times New Roman" w:cs="Arial"/>
      <w:b/>
      <w:sz w:val="18"/>
      <w:lang w:val="uk-UA"/>
    </w:rPr>
  </w:style>
  <w:style w:type="paragraph" w:styleId="45">
    <w:name w:val="Основной текст с отступом45"/>
    <w:basedOn w:val="Normal"/>
    <w:qFormat/>
    <w:pPr>
      <w:ind w:firstLine="708"/>
      <w:jc w:val="both"/>
    </w:pPr>
    <w:rPr>
      <w:rFonts w:ascii="Arial" w:hAnsi="Arial" w:eastAsia="Times New Roman" w:cs="Arial"/>
      <w:b/>
      <w:sz w:val="18"/>
      <w:lang w:val="uk-UA"/>
    </w:rPr>
  </w:style>
  <w:style w:type="paragraph" w:styleId="46">
    <w:name w:val="Основной текст с отступом46"/>
    <w:basedOn w:val="Normal"/>
    <w:qFormat/>
    <w:pPr>
      <w:ind w:firstLine="708"/>
      <w:jc w:val="both"/>
    </w:pPr>
    <w:rPr>
      <w:rFonts w:ascii="Arial" w:hAnsi="Arial" w:eastAsia="Times New Roman" w:cs="Arial"/>
      <w:b/>
      <w:sz w:val="18"/>
      <w:lang w:val="uk-UA"/>
    </w:rPr>
  </w:style>
  <w:style w:type="paragraph" w:styleId="47">
    <w:name w:val="Основной текст с отступом47"/>
    <w:basedOn w:val="Normal"/>
    <w:qFormat/>
    <w:pPr>
      <w:ind w:firstLine="708"/>
      <w:jc w:val="both"/>
    </w:pPr>
    <w:rPr>
      <w:rFonts w:ascii="Arial" w:hAnsi="Arial" w:eastAsia="Times New Roman" w:cs="Arial"/>
      <w:b/>
      <w:sz w:val="18"/>
      <w:lang w:val="uk-UA"/>
    </w:rPr>
  </w:style>
  <w:style w:type="paragraph" w:styleId="48">
    <w:name w:val="Основной текст с отступом48"/>
    <w:basedOn w:val="Normal"/>
    <w:qFormat/>
    <w:pPr>
      <w:ind w:firstLine="708"/>
      <w:jc w:val="both"/>
    </w:pPr>
    <w:rPr>
      <w:rFonts w:ascii="Arial" w:hAnsi="Arial" w:eastAsia="Times New Roman" w:cs="Arial"/>
      <w:b/>
      <w:sz w:val="18"/>
      <w:lang w:val="uk-UA"/>
    </w:rPr>
  </w:style>
  <w:style w:type="paragraph" w:styleId="49">
    <w:name w:val="Основной текст с отступом49"/>
    <w:basedOn w:val="Normal"/>
    <w:qFormat/>
    <w:pPr>
      <w:ind w:firstLine="708"/>
      <w:jc w:val="both"/>
    </w:pPr>
    <w:rPr>
      <w:rFonts w:ascii="Arial" w:hAnsi="Arial" w:eastAsia="Times New Roman" w:cs="Arial"/>
      <w:b/>
      <w:sz w:val="18"/>
      <w:lang w:val="uk-UA"/>
    </w:rPr>
  </w:style>
  <w:style w:type="paragraph" w:styleId="50">
    <w:name w:val="Основной текст с отступом50"/>
    <w:basedOn w:val="Normal"/>
    <w:qFormat/>
    <w:pPr>
      <w:ind w:firstLine="708"/>
      <w:jc w:val="both"/>
    </w:pPr>
    <w:rPr>
      <w:rFonts w:ascii="Arial" w:hAnsi="Arial" w:eastAsia="Times New Roman" w:cs="Arial"/>
      <w:b/>
      <w:sz w:val="18"/>
      <w:lang w:val="uk-UA"/>
    </w:rPr>
  </w:style>
  <w:style w:type="paragraph" w:styleId="52">
    <w:name w:val="Основной текст с отступом52"/>
    <w:basedOn w:val="Normal"/>
    <w:qFormat/>
    <w:pPr>
      <w:ind w:firstLine="708"/>
      <w:jc w:val="both"/>
    </w:pPr>
    <w:rPr>
      <w:rFonts w:ascii="Arial" w:hAnsi="Arial" w:eastAsia="Times New Roman" w:cs="Arial"/>
      <w:b/>
      <w:sz w:val="18"/>
      <w:lang w:val="uk-UA"/>
    </w:rPr>
  </w:style>
  <w:style w:type="paragraph" w:styleId="53">
    <w:name w:val="Основной текст с отступом53"/>
    <w:basedOn w:val="Normal"/>
    <w:qFormat/>
    <w:pPr>
      <w:ind w:firstLine="708"/>
      <w:jc w:val="both"/>
    </w:pPr>
    <w:rPr>
      <w:rFonts w:ascii="Arial" w:hAnsi="Arial" w:eastAsia="Times New Roman" w:cs="Arial"/>
      <w:b/>
      <w:sz w:val="18"/>
      <w:lang w:val="uk-UA"/>
    </w:rPr>
  </w:style>
  <w:style w:type="paragraph" w:styleId="54">
    <w:name w:val="Основной текст с отступом54"/>
    <w:basedOn w:val="Normal"/>
    <w:qFormat/>
    <w:pPr>
      <w:ind w:firstLine="708"/>
      <w:jc w:val="both"/>
    </w:pPr>
    <w:rPr>
      <w:rFonts w:ascii="Arial" w:hAnsi="Arial" w:eastAsia="Times New Roman" w:cs="Arial"/>
      <w:b/>
      <w:sz w:val="18"/>
      <w:lang w:val="uk-UA"/>
    </w:rPr>
  </w:style>
  <w:style w:type="paragraph" w:styleId="57">
    <w:name w:val="Основной текст с отступом57"/>
    <w:basedOn w:val="Normal"/>
    <w:qFormat/>
    <w:pPr>
      <w:ind w:firstLine="708"/>
      <w:jc w:val="both"/>
    </w:pPr>
    <w:rPr>
      <w:rFonts w:ascii="Arial" w:hAnsi="Arial" w:eastAsia="Times New Roman" w:cs="Arial"/>
      <w:b/>
      <w:sz w:val="18"/>
      <w:lang w:val="uk-UA"/>
    </w:rPr>
  </w:style>
  <w:style w:type="paragraph" w:styleId="59">
    <w:name w:val="Основной текст с отступом59"/>
    <w:basedOn w:val="Normal"/>
    <w:qFormat/>
    <w:pPr>
      <w:ind w:firstLine="708"/>
      <w:jc w:val="both"/>
    </w:pPr>
    <w:rPr>
      <w:rFonts w:ascii="Arial" w:hAnsi="Arial" w:eastAsia="Times New Roman" w:cs="Arial"/>
      <w:b/>
      <w:sz w:val="18"/>
      <w:lang w:val="uk-UA"/>
    </w:rPr>
  </w:style>
  <w:style w:type="paragraph" w:styleId="60">
    <w:name w:val="Основной текст с отступом60"/>
    <w:basedOn w:val="Normal"/>
    <w:qFormat/>
    <w:pPr>
      <w:ind w:firstLine="708"/>
      <w:jc w:val="both"/>
    </w:pPr>
    <w:rPr>
      <w:rFonts w:ascii="Arial" w:hAnsi="Arial" w:eastAsia="Times New Roman" w:cs="Arial"/>
      <w:b/>
      <w:sz w:val="18"/>
      <w:lang w:val="uk-UA"/>
    </w:rPr>
  </w:style>
  <w:style w:type="paragraph" w:styleId="611">
    <w:name w:val="Основной текст с отступом61"/>
    <w:basedOn w:val="Normal"/>
    <w:qFormat/>
    <w:pPr>
      <w:ind w:firstLine="708"/>
      <w:jc w:val="both"/>
    </w:pPr>
    <w:rPr>
      <w:rFonts w:ascii="Arial" w:hAnsi="Arial" w:eastAsia="Times New Roman" w:cs="Arial"/>
      <w:b/>
      <w:sz w:val="18"/>
      <w:lang w:val="uk-UA"/>
    </w:rPr>
  </w:style>
  <w:style w:type="paragraph" w:styleId="25">
    <w:name w:val="Обычный2"/>
    <w:qFormat/>
    <w:pPr>
      <w:widowControl/>
    </w:pPr>
    <w:rPr>
      <w:rFonts w:ascii="Times New Roman" w:hAnsi="Times New Roman" w:eastAsia="Times New Roman" w:cs="Times New Roman"/>
      <w:color w:val="auto"/>
      <w:sz w:val="24"/>
      <w:szCs w:val="20"/>
      <w:lang w:val="uk-UA" w:bidi="ar-SA" w:eastAsia="zh-CN"/>
    </w:rPr>
  </w:style>
  <w:style w:type="paragraph" w:styleId="221">
    <w:name w:val="Основной текст с отступом22"/>
    <w:basedOn w:val="Normal"/>
    <w:qFormat/>
    <w:pPr>
      <w:spacing w:before="120" w:after="120"/>
    </w:pPr>
    <w:rPr>
      <w:rFonts w:ascii="Arial" w:hAnsi="Arial" w:eastAsia="Times New Roman" w:cs="Arial"/>
      <w:sz w:val="18"/>
    </w:rPr>
  </w:style>
  <w:style w:type="paragraph" w:styleId="222">
    <w:name w:val="Заголовок 22"/>
    <w:basedOn w:val="Normal"/>
    <w:qFormat/>
    <w:pPr/>
    <w:rPr>
      <w:rFonts w:ascii="Arial" w:hAnsi="Arial" w:eastAsia="Times New Roman" w:cs="Arial"/>
      <w:b/>
      <w:caps/>
      <w:sz w:val="16"/>
    </w:rPr>
  </w:style>
  <w:style w:type="paragraph" w:styleId="422">
    <w:name w:val="Заголовок 42"/>
    <w:basedOn w:val="Normal"/>
    <w:qFormat/>
    <w:pPr/>
    <w:rPr>
      <w:rFonts w:ascii="Arial" w:hAnsi="Arial" w:eastAsia="Times New Roman" w:cs="Arial"/>
      <w:b/>
    </w:rPr>
  </w:style>
  <w:style w:type="paragraph" w:styleId="310">
    <w:name w:val="Обычный3"/>
    <w:qFormat/>
    <w:pPr>
      <w:widowControl/>
    </w:pPr>
    <w:rPr>
      <w:rFonts w:ascii="Times New Roman" w:hAnsi="Times New Roman" w:eastAsia="Times New Roman" w:cs="Times New Roman"/>
      <w:color w:val="auto"/>
      <w:sz w:val="24"/>
      <w:szCs w:val="20"/>
      <w:lang w:val="uk-UA" w:bidi="ar-SA" w:eastAsia="zh-CN"/>
    </w:rPr>
  </w:style>
  <w:style w:type="paragraph" w:styleId="241">
    <w:name w:val="Основной текст с отступом24"/>
    <w:basedOn w:val="Normal"/>
    <w:qFormat/>
    <w:pPr>
      <w:spacing w:before="120" w:after="120"/>
    </w:pPr>
    <w:rPr>
      <w:rFonts w:ascii="Arial" w:hAnsi="Arial" w:eastAsia="Times New Roman" w:cs="Arial"/>
      <w:sz w:val="18"/>
    </w:rPr>
  </w:style>
  <w:style w:type="paragraph" w:styleId="232">
    <w:name w:val="Заголовок 23"/>
    <w:basedOn w:val="Normal"/>
    <w:qFormat/>
    <w:pPr/>
    <w:rPr>
      <w:rFonts w:ascii="Arial" w:hAnsi="Arial" w:eastAsia="Times New Roman" w:cs="Arial"/>
      <w:b/>
      <w:caps/>
      <w:sz w:val="16"/>
    </w:rPr>
  </w:style>
  <w:style w:type="paragraph" w:styleId="431">
    <w:name w:val="Заголовок 43"/>
    <w:basedOn w:val="Normal"/>
    <w:qFormat/>
    <w:pPr/>
    <w:rPr>
      <w:rFonts w:ascii="Arial" w:hAnsi="Arial" w:eastAsia="Times New Roman" w:cs="Arial"/>
      <w:b/>
    </w:rPr>
  </w:style>
  <w:style w:type="paragraph" w:styleId="BodyTextIndent">
    <w:name w:val="Body Text Indent"/>
    <w:basedOn w:val="Normal"/>
    <w:qFormat/>
    <w:pPr>
      <w:spacing w:before="120" w:after="120"/>
    </w:pPr>
    <w:rPr>
      <w:rFonts w:ascii="Arial" w:hAnsi="Arial" w:eastAsia="Times New Roman" w:cs="Arial"/>
      <w:sz w:val="18"/>
    </w:rPr>
  </w:style>
  <w:style w:type="paragraph" w:styleId="WWHeading2">
    <w:name w:val="WW-Heading 2"/>
    <w:basedOn w:val="Normal"/>
    <w:qFormat/>
    <w:pPr/>
    <w:rPr>
      <w:rFonts w:ascii="Arial" w:hAnsi="Arial" w:eastAsia="Times New Roman" w:cs="Arial"/>
      <w:b/>
      <w:caps/>
      <w:sz w:val="16"/>
    </w:rPr>
  </w:style>
  <w:style w:type="paragraph" w:styleId="WWHeading4">
    <w:name w:val="WW-Heading 4"/>
    <w:basedOn w:val="Normal"/>
    <w:qFormat/>
    <w:pPr/>
    <w:rPr>
      <w:rFonts w:ascii="Arial" w:hAnsi="Arial" w:eastAsia="Times New Roman" w:cs="Arial"/>
      <w:b/>
    </w:rPr>
  </w:style>
  <w:style w:type="paragraph" w:styleId="62">
    <w:name w:val="Основной текст с отступом62"/>
    <w:basedOn w:val="Normal"/>
    <w:qFormat/>
    <w:pPr>
      <w:ind w:firstLine="708"/>
      <w:jc w:val="both"/>
    </w:pPr>
    <w:rPr>
      <w:rFonts w:ascii="Arial" w:hAnsi="Arial" w:eastAsia="Times New Roman" w:cs="Arial"/>
      <w:b/>
      <w:sz w:val="18"/>
      <w:lang w:val="uk-UA"/>
    </w:rPr>
  </w:style>
  <w:style w:type="paragraph" w:styleId="64">
    <w:name w:val="Основной текст с отступом64"/>
    <w:basedOn w:val="Normal"/>
    <w:qFormat/>
    <w:pPr>
      <w:ind w:firstLine="708"/>
      <w:jc w:val="both"/>
    </w:pPr>
    <w:rPr>
      <w:rFonts w:ascii="Arial" w:hAnsi="Arial" w:eastAsia="Times New Roman" w:cs="Arial"/>
      <w:b/>
      <w:sz w:val="18"/>
      <w:lang w:val="uk-UA"/>
    </w:rPr>
  </w:style>
  <w:style w:type="paragraph" w:styleId="63">
    <w:name w:val="Основной текст с отступом63"/>
    <w:basedOn w:val="Normal"/>
    <w:qFormat/>
    <w:pPr>
      <w:ind w:firstLine="708"/>
      <w:jc w:val="both"/>
    </w:pPr>
    <w:rPr>
      <w:rFonts w:ascii="Arial" w:hAnsi="Arial" w:eastAsia="Times New Roman" w:cs="Arial"/>
      <w:b/>
      <w:sz w:val="18"/>
      <w:lang w:val="uk-UA"/>
    </w:rPr>
  </w:style>
  <w:style w:type="paragraph" w:styleId="65">
    <w:name w:val="Основной текст с отступом65"/>
    <w:basedOn w:val="Normal"/>
    <w:qFormat/>
    <w:pPr>
      <w:ind w:firstLine="708"/>
      <w:jc w:val="both"/>
    </w:pPr>
    <w:rPr>
      <w:rFonts w:ascii="Arial" w:hAnsi="Arial" w:eastAsia="Times New Roman" w:cs="Arial"/>
      <w:b/>
      <w:sz w:val="18"/>
      <w:lang w:val="uk-UA"/>
    </w:rPr>
  </w:style>
  <w:style w:type="paragraph" w:styleId="66">
    <w:name w:val="Основной текст с отступом66"/>
    <w:basedOn w:val="Normal"/>
    <w:qFormat/>
    <w:pPr>
      <w:ind w:firstLine="708"/>
      <w:jc w:val="both"/>
    </w:pPr>
    <w:rPr>
      <w:rFonts w:ascii="Arial" w:hAnsi="Arial" w:eastAsia="Times New Roman" w:cs="Arial"/>
      <w:b/>
      <w:sz w:val="18"/>
      <w:lang w:val="uk-UA"/>
    </w:rPr>
  </w:style>
  <w:style w:type="paragraph" w:styleId="67">
    <w:name w:val="Основной текст с отступом67"/>
    <w:basedOn w:val="Normal"/>
    <w:qFormat/>
    <w:pPr>
      <w:ind w:firstLine="708"/>
      <w:jc w:val="both"/>
    </w:pPr>
    <w:rPr>
      <w:rFonts w:ascii="Arial" w:hAnsi="Arial" w:eastAsia="Times New Roman" w:cs="Arial"/>
      <w:b/>
      <w:sz w:val="18"/>
      <w:lang w:val="uk-UA"/>
    </w:rPr>
  </w:style>
  <w:style w:type="paragraph" w:styleId="68">
    <w:name w:val="Основной текст с отступом68"/>
    <w:basedOn w:val="Normal"/>
    <w:qFormat/>
    <w:pPr>
      <w:ind w:firstLine="708"/>
      <w:jc w:val="both"/>
    </w:pPr>
    <w:rPr>
      <w:rFonts w:ascii="Arial" w:hAnsi="Arial" w:eastAsia="Times New Roman" w:cs="Arial"/>
      <w:b/>
      <w:sz w:val="18"/>
      <w:lang w:val="uk-UA"/>
    </w:rPr>
  </w:style>
  <w:style w:type="paragraph" w:styleId="69">
    <w:name w:val="Основной текст с отступом69"/>
    <w:basedOn w:val="Normal"/>
    <w:qFormat/>
    <w:pPr>
      <w:ind w:firstLine="708"/>
      <w:jc w:val="both"/>
    </w:pPr>
    <w:rPr>
      <w:rFonts w:ascii="Arial" w:hAnsi="Arial" w:eastAsia="Times New Roman" w:cs="Arial"/>
      <w:b/>
      <w:sz w:val="18"/>
      <w:lang w:val="uk-UA"/>
    </w:rPr>
  </w:style>
  <w:style w:type="paragraph" w:styleId="70">
    <w:name w:val="Основной текст с отступом70"/>
    <w:basedOn w:val="Normal"/>
    <w:qFormat/>
    <w:pPr>
      <w:ind w:firstLine="708"/>
      <w:jc w:val="both"/>
    </w:pPr>
    <w:rPr>
      <w:rFonts w:ascii="Arial" w:hAnsi="Arial" w:eastAsia="Times New Roman" w:cs="Arial"/>
      <w:b/>
      <w:sz w:val="18"/>
      <w:lang w:val="uk-UA"/>
    </w:rPr>
  </w:style>
  <w:style w:type="paragraph" w:styleId="71">
    <w:name w:val="Основной текст с отступом71"/>
    <w:basedOn w:val="Normal"/>
    <w:qFormat/>
    <w:pPr>
      <w:ind w:firstLine="708"/>
      <w:jc w:val="both"/>
    </w:pPr>
    <w:rPr>
      <w:rFonts w:ascii="Arial" w:hAnsi="Arial" w:eastAsia="Times New Roman" w:cs="Arial"/>
      <w:b/>
      <w:sz w:val="18"/>
      <w:lang w:val="uk-UA"/>
    </w:rPr>
  </w:style>
  <w:style w:type="paragraph" w:styleId="72">
    <w:name w:val="Основной текст с отступом72"/>
    <w:basedOn w:val="Normal"/>
    <w:qFormat/>
    <w:pPr>
      <w:ind w:firstLine="708"/>
      <w:jc w:val="both"/>
    </w:pPr>
    <w:rPr>
      <w:rFonts w:ascii="Arial" w:hAnsi="Arial" w:eastAsia="Times New Roman" w:cs="Arial"/>
      <w:b/>
      <w:sz w:val="18"/>
      <w:lang w:val="uk-UA"/>
    </w:rPr>
  </w:style>
  <w:style w:type="paragraph" w:styleId="142">
    <w:name w:val="Основной текст (14)"/>
    <w:basedOn w:val="Normal"/>
    <w:qFormat/>
    <w:pPr>
      <w:widowControl w:val="false"/>
      <w:shd w:fill="FFFFFF" w:val="clear"/>
      <w:spacing w:lineRule="exact" w:line="278"/>
      <w:jc w:val="center"/>
    </w:pPr>
    <w:rPr>
      <w:sz w:val="21"/>
      <w:szCs w:val="21"/>
      <w:lang w:val="uk-UA"/>
    </w:rPr>
  </w:style>
  <w:style w:type="paragraph" w:styleId="73">
    <w:name w:val="Основной текст с отступом73"/>
    <w:basedOn w:val="Normal"/>
    <w:qFormat/>
    <w:pPr>
      <w:ind w:firstLine="708"/>
      <w:jc w:val="both"/>
    </w:pPr>
    <w:rPr>
      <w:rFonts w:ascii="Arial" w:hAnsi="Arial" w:eastAsia="Times New Roman" w:cs="Arial"/>
      <w:b/>
      <w:sz w:val="18"/>
      <w:lang w:val="uk-UA"/>
    </w:rPr>
  </w:style>
  <w:style w:type="paragraph" w:styleId="74">
    <w:name w:val="Основной текст с отступом74"/>
    <w:basedOn w:val="Normal"/>
    <w:qFormat/>
    <w:pPr>
      <w:ind w:firstLine="708"/>
      <w:jc w:val="both"/>
    </w:pPr>
    <w:rPr>
      <w:rFonts w:ascii="Arial" w:hAnsi="Arial" w:eastAsia="Times New Roman" w:cs="Arial"/>
      <w:b/>
      <w:sz w:val="18"/>
      <w:lang w:val="uk-UA"/>
    </w:rPr>
  </w:style>
  <w:style w:type="paragraph" w:styleId="75">
    <w:name w:val="Основной текст с отступом75"/>
    <w:basedOn w:val="Normal"/>
    <w:qFormat/>
    <w:pPr>
      <w:ind w:firstLine="708"/>
      <w:jc w:val="both"/>
    </w:pPr>
    <w:rPr>
      <w:rFonts w:ascii="Arial" w:hAnsi="Arial" w:eastAsia="Times New Roman" w:cs="Arial"/>
      <w:b/>
      <w:sz w:val="18"/>
      <w:lang w:val="uk-UA"/>
    </w:rPr>
  </w:style>
  <w:style w:type="paragraph" w:styleId="76">
    <w:name w:val="Основной текст с отступом76"/>
    <w:basedOn w:val="Normal"/>
    <w:qFormat/>
    <w:pPr>
      <w:ind w:firstLine="708"/>
      <w:jc w:val="both"/>
    </w:pPr>
    <w:rPr>
      <w:rFonts w:ascii="Arial" w:hAnsi="Arial" w:eastAsia="Times New Roman" w:cs="Arial"/>
      <w:b/>
      <w:sz w:val="18"/>
      <w:lang w:val="uk-UA"/>
    </w:rPr>
  </w:style>
  <w:style w:type="paragraph" w:styleId="77">
    <w:name w:val="Основной текст с отступом77"/>
    <w:basedOn w:val="Normal"/>
    <w:qFormat/>
    <w:pPr>
      <w:ind w:firstLine="708"/>
      <w:jc w:val="both"/>
    </w:pPr>
    <w:rPr>
      <w:rFonts w:ascii="Arial" w:hAnsi="Arial" w:eastAsia="Times New Roman" w:cs="Arial"/>
      <w:b/>
      <w:sz w:val="18"/>
      <w:lang w:val="uk-UA"/>
    </w:rPr>
  </w:style>
  <w:style w:type="paragraph" w:styleId="78">
    <w:name w:val="Основной текст с отступом78"/>
    <w:basedOn w:val="Normal"/>
    <w:qFormat/>
    <w:pPr>
      <w:ind w:firstLine="708"/>
      <w:jc w:val="both"/>
    </w:pPr>
    <w:rPr>
      <w:rFonts w:ascii="Arial" w:hAnsi="Arial" w:eastAsia="Times New Roman" w:cs="Arial"/>
      <w:b/>
      <w:sz w:val="18"/>
      <w:lang w:val="uk-UA"/>
    </w:rPr>
  </w:style>
  <w:style w:type="paragraph" w:styleId="79">
    <w:name w:val="Основной текст с отступом79"/>
    <w:basedOn w:val="Normal"/>
    <w:qFormat/>
    <w:pPr>
      <w:ind w:firstLine="708"/>
      <w:jc w:val="both"/>
    </w:pPr>
    <w:rPr>
      <w:rFonts w:ascii="Arial" w:hAnsi="Arial" w:eastAsia="Times New Roman" w:cs="Arial"/>
      <w:b/>
      <w:sz w:val="18"/>
      <w:lang w:val="uk-UA"/>
    </w:rPr>
  </w:style>
  <w:style w:type="paragraph" w:styleId="81">
    <w:name w:val="Основной текст с отступом81"/>
    <w:basedOn w:val="Normal"/>
    <w:qFormat/>
    <w:pPr>
      <w:ind w:firstLine="708"/>
      <w:jc w:val="both"/>
    </w:pPr>
    <w:rPr>
      <w:rFonts w:ascii="Arial" w:hAnsi="Arial" w:eastAsia="Times New Roman" w:cs="Arial"/>
      <w:b/>
      <w:sz w:val="18"/>
      <w:lang w:val="uk-UA"/>
    </w:rPr>
  </w:style>
  <w:style w:type="paragraph" w:styleId="82">
    <w:name w:val="Основной текст с отступом82"/>
    <w:basedOn w:val="Normal"/>
    <w:qFormat/>
    <w:pPr>
      <w:ind w:firstLine="708"/>
      <w:jc w:val="both"/>
    </w:pPr>
    <w:rPr>
      <w:rFonts w:ascii="Arial" w:hAnsi="Arial" w:eastAsia="Times New Roman" w:cs="Arial"/>
      <w:b/>
      <w:sz w:val="18"/>
      <w:lang w:val="uk-UA"/>
    </w:rPr>
  </w:style>
  <w:style w:type="paragraph" w:styleId="84">
    <w:name w:val="Основной текст с отступом84"/>
    <w:basedOn w:val="Normal"/>
    <w:qFormat/>
    <w:pPr>
      <w:ind w:firstLine="708"/>
      <w:jc w:val="both"/>
    </w:pPr>
    <w:rPr>
      <w:rFonts w:ascii="Arial" w:hAnsi="Arial" w:eastAsia="Times New Roman" w:cs="Arial"/>
      <w:b/>
      <w:sz w:val="18"/>
      <w:lang w:val="uk-UA"/>
    </w:rPr>
  </w:style>
  <w:style w:type="paragraph" w:styleId="85">
    <w:name w:val="Основной текст с отступом85"/>
    <w:basedOn w:val="Normal"/>
    <w:qFormat/>
    <w:pPr>
      <w:ind w:firstLine="708"/>
      <w:jc w:val="both"/>
    </w:pPr>
    <w:rPr>
      <w:rFonts w:ascii="Arial" w:hAnsi="Arial" w:eastAsia="Times New Roman" w:cs="Arial"/>
      <w:b/>
      <w:sz w:val="18"/>
      <w:lang w:val="uk-UA"/>
    </w:rPr>
  </w:style>
  <w:style w:type="paragraph" w:styleId="86">
    <w:name w:val="Основной текст с отступом86"/>
    <w:basedOn w:val="Normal"/>
    <w:qFormat/>
    <w:pPr>
      <w:ind w:firstLine="708"/>
      <w:jc w:val="both"/>
    </w:pPr>
    <w:rPr>
      <w:rFonts w:ascii="Arial" w:hAnsi="Arial" w:eastAsia="Times New Roman" w:cs="Arial"/>
      <w:b/>
      <w:sz w:val="18"/>
      <w:lang w:val="uk-UA"/>
    </w:rPr>
  </w:style>
  <w:style w:type="paragraph" w:styleId="87">
    <w:name w:val="Основной текст с отступом87"/>
    <w:basedOn w:val="Normal"/>
    <w:qFormat/>
    <w:pPr>
      <w:ind w:firstLine="708"/>
      <w:jc w:val="both"/>
    </w:pPr>
    <w:rPr>
      <w:rFonts w:ascii="Arial" w:hAnsi="Arial" w:eastAsia="Times New Roman" w:cs="Arial"/>
      <w:b/>
      <w:sz w:val="18"/>
      <w:lang w:val="uk-UA"/>
    </w:rPr>
  </w:style>
  <w:style w:type="paragraph" w:styleId="88">
    <w:name w:val="Основной текст с отступом88"/>
    <w:basedOn w:val="Normal"/>
    <w:qFormat/>
    <w:pPr>
      <w:ind w:firstLine="708"/>
      <w:jc w:val="both"/>
    </w:pPr>
    <w:rPr>
      <w:rFonts w:ascii="Arial" w:hAnsi="Arial" w:eastAsia="Times New Roman" w:cs="Arial"/>
      <w:b/>
      <w:sz w:val="18"/>
      <w:lang w:val="uk-UA"/>
    </w:rPr>
  </w:style>
  <w:style w:type="paragraph" w:styleId="89">
    <w:name w:val="Основной текст с отступом89"/>
    <w:basedOn w:val="Normal"/>
    <w:qFormat/>
    <w:pPr>
      <w:ind w:firstLine="708"/>
      <w:jc w:val="both"/>
    </w:pPr>
    <w:rPr>
      <w:rFonts w:ascii="Arial" w:hAnsi="Arial" w:eastAsia="Times New Roman" w:cs="Arial"/>
      <w:b/>
      <w:sz w:val="18"/>
      <w:lang w:val="uk-UA"/>
    </w:rPr>
  </w:style>
  <w:style w:type="paragraph" w:styleId="91">
    <w:name w:val="Основной текст с отступом91"/>
    <w:basedOn w:val="Normal"/>
    <w:qFormat/>
    <w:pPr>
      <w:ind w:firstLine="708"/>
      <w:jc w:val="both"/>
    </w:pPr>
    <w:rPr>
      <w:rFonts w:ascii="Arial" w:hAnsi="Arial" w:eastAsia="Times New Roman" w:cs="Arial"/>
      <w:b/>
      <w:sz w:val="18"/>
      <w:lang w:val="uk-UA"/>
    </w:rPr>
  </w:style>
  <w:style w:type="paragraph" w:styleId="92">
    <w:name w:val="Основной текст с отступом92"/>
    <w:basedOn w:val="Normal"/>
    <w:qFormat/>
    <w:pPr>
      <w:ind w:firstLine="708"/>
      <w:jc w:val="both"/>
    </w:pPr>
    <w:rPr>
      <w:rFonts w:ascii="Arial" w:hAnsi="Arial" w:eastAsia="Times New Roman" w:cs="Arial"/>
      <w:b/>
      <w:sz w:val="18"/>
      <w:lang w:val="uk-UA"/>
    </w:rPr>
  </w:style>
  <w:style w:type="paragraph" w:styleId="93">
    <w:name w:val="Основной текст с отступом93"/>
    <w:basedOn w:val="Normal"/>
    <w:qFormat/>
    <w:pPr>
      <w:ind w:firstLine="708"/>
      <w:jc w:val="both"/>
    </w:pPr>
    <w:rPr>
      <w:rFonts w:ascii="Arial" w:hAnsi="Arial" w:eastAsia="Times New Roman" w:cs="Arial"/>
      <w:b/>
      <w:sz w:val="18"/>
      <w:lang w:val="uk-UA"/>
    </w:rPr>
  </w:style>
  <w:style w:type="paragraph" w:styleId="94">
    <w:name w:val="Основной текст с отступом94"/>
    <w:basedOn w:val="Normal"/>
    <w:qFormat/>
    <w:pPr>
      <w:ind w:firstLine="708"/>
      <w:jc w:val="both"/>
    </w:pPr>
    <w:rPr>
      <w:rFonts w:ascii="Arial" w:hAnsi="Arial" w:eastAsia="Times New Roman" w:cs="Arial"/>
      <w:b/>
      <w:sz w:val="18"/>
      <w:lang w:val="uk-UA"/>
    </w:rPr>
  </w:style>
  <w:style w:type="paragraph" w:styleId="95">
    <w:name w:val="Основной текст с отступом95"/>
    <w:basedOn w:val="Normal"/>
    <w:qFormat/>
    <w:pPr>
      <w:ind w:firstLine="708"/>
      <w:jc w:val="both"/>
    </w:pPr>
    <w:rPr>
      <w:rFonts w:ascii="Arial" w:hAnsi="Arial" w:eastAsia="Times New Roman" w:cs="Arial"/>
      <w:b/>
      <w:sz w:val="18"/>
      <w:lang w:val="uk-UA"/>
    </w:rPr>
  </w:style>
  <w:style w:type="paragraph" w:styleId="97">
    <w:name w:val="Основной текст с отступом97"/>
    <w:basedOn w:val="Normal"/>
    <w:qFormat/>
    <w:pPr>
      <w:ind w:firstLine="708"/>
      <w:jc w:val="both"/>
    </w:pPr>
    <w:rPr>
      <w:rFonts w:ascii="Arial" w:hAnsi="Arial" w:eastAsia="Times New Roman" w:cs="Arial"/>
      <w:b/>
      <w:sz w:val="18"/>
      <w:lang w:val="uk-UA"/>
    </w:rPr>
  </w:style>
  <w:style w:type="paragraph" w:styleId="99">
    <w:name w:val="Основной текст с отступом99"/>
    <w:basedOn w:val="Normal"/>
    <w:qFormat/>
    <w:pPr>
      <w:ind w:firstLine="708"/>
      <w:jc w:val="both"/>
    </w:pPr>
    <w:rPr>
      <w:rFonts w:ascii="Arial" w:hAnsi="Arial" w:eastAsia="Times New Roman" w:cs="Arial"/>
      <w:b/>
      <w:sz w:val="18"/>
      <w:lang w:val="uk-UA"/>
    </w:rPr>
  </w:style>
  <w:style w:type="paragraph" w:styleId="100">
    <w:name w:val="Основной текст с отступом100"/>
    <w:basedOn w:val="Normal"/>
    <w:qFormat/>
    <w:pPr>
      <w:ind w:firstLine="708"/>
      <w:jc w:val="both"/>
    </w:pPr>
    <w:rPr>
      <w:rFonts w:ascii="Arial" w:hAnsi="Arial" w:eastAsia="Times New Roman" w:cs="Arial"/>
      <w:b/>
      <w:sz w:val="18"/>
      <w:lang w:val="uk-UA"/>
    </w:rPr>
  </w:style>
  <w:style w:type="paragraph" w:styleId="101">
    <w:name w:val="Основной текст с отступом101"/>
    <w:basedOn w:val="Normal"/>
    <w:qFormat/>
    <w:pPr>
      <w:ind w:firstLine="708"/>
      <w:jc w:val="both"/>
    </w:pPr>
    <w:rPr>
      <w:rFonts w:ascii="Arial" w:hAnsi="Arial" w:eastAsia="Times New Roman" w:cs="Arial"/>
      <w:b/>
      <w:sz w:val="18"/>
      <w:lang w:val="uk-UA"/>
    </w:rPr>
  </w:style>
  <w:style w:type="paragraph" w:styleId="102">
    <w:name w:val="Основной текст с отступом102"/>
    <w:basedOn w:val="Normal"/>
    <w:qFormat/>
    <w:pPr>
      <w:ind w:firstLine="708"/>
      <w:jc w:val="both"/>
    </w:pPr>
    <w:rPr>
      <w:rFonts w:ascii="Arial" w:hAnsi="Arial" w:eastAsia="Times New Roman" w:cs="Arial"/>
      <w:b/>
      <w:sz w:val="18"/>
      <w:lang w:val="uk-UA"/>
    </w:rPr>
  </w:style>
  <w:style w:type="paragraph" w:styleId="103">
    <w:name w:val="Основной текст с отступом103"/>
    <w:basedOn w:val="Normal"/>
    <w:qFormat/>
    <w:pPr>
      <w:ind w:firstLine="708"/>
      <w:jc w:val="both"/>
    </w:pPr>
    <w:rPr>
      <w:rFonts w:ascii="Arial" w:hAnsi="Arial" w:eastAsia="Times New Roman" w:cs="Arial"/>
      <w:b/>
      <w:sz w:val="18"/>
      <w:lang w:val="uk-UA"/>
    </w:rPr>
  </w:style>
  <w:style w:type="paragraph" w:styleId="104">
    <w:name w:val="Основной текст с отступом104"/>
    <w:basedOn w:val="Normal"/>
    <w:qFormat/>
    <w:pPr>
      <w:ind w:firstLine="708"/>
      <w:jc w:val="both"/>
    </w:pPr>
    <w:rPr>
      <w:rFonts w:ascii="Arial" w:hAnsi="Arial" w:eastAsia="Times New Roman" w:cs="Arial"/>
      <w:b/>
      <w:sz w:val="18"/>
      <w:lang w:val="uk-UA"/>
    </w:rPr>
  </w:style>
  <w:style w:type="paragraph" w:styleId="105">
    <w:name w:val="Основной текст с отступом105"/>
    <w:basedOn w:val="Normal"/>
    <w:qFormat/>
    <w:pPr>
      <w:ind w:firstLine="708"/>
      <w:jc w:val="both"/>
    </w:pPr>
    <w:rPr>
      <w:rFonts w:ascii="Arial" w:hAnsi="Arial" w:eastAsia="Times New Roman" w:cs="Arial"/>
      <w:b/>
      <w:sz w:val="18"/>
      <w:lang w:val="uk-UA"/>
    </w:rPr>
  </w:style>
  <w:style w:type="paragraph" w:styleId="107">
    <w:name w:val="Основной текст с отступом107"/>
    <w:basedOn w:val="Normal"/>
    <w:qFormat/>
    <w:pPr>
      <w:ind w:firstLine="708"/>
      <w:jc w:val="both"/>
    </w:pPr>
    <w:rPr>
      <w:rFonts w:ascii="Arial" w:hAnsi="Arial" w:eastAsia="Times New Roman" w:cs="Arial"/>
      <w:b/>
      <w:sz w:val="18"/>
      <w:lang w:val="uk-UA"/>
    </w:rPr>
  </w:style>
  <w:style w:type="paragraph" w:styleId="109">
    <w:name w:val="Основной текст с отступом109"/>
    <w:basedOn w:val="Normal"/>
    <w:qFormat/>
    <w:pPr>
      <w:ind w:firstLine="708"/>
      <w:jc w:val="both"/>
    </w:pPr>
    <w:rPr>
      <w:rFonts w:ascii="Arial" w:hAnsi="Arial" w:eastAsia="Times New Roman" w:cs="Arial"/>
      <w:b/>
      <w:sz w:val="18"/>
      <w:lang w:val="uk-UA"/>
    </w:rPr>
  </w:style>
  <w:style w:type="paragraph" w:styleId="1111">
    <w:name w:val="Основной текст с отступом111"/>
    <w:basedOn w:val="Normal"/>
    <w:qFormat/>
    <w:pPr>
      <w:ind w:firstLine="708"/>
      <w:jc w:val="both"/>
    </w:pPr>
    <w:rPr>
      <w:rFonts w:ascii="Arial" w:hAnsi="Arial" w:eastAsia="Times New Roman" w:cs="Arial"/>
      <w:b/>
      <w:sz w:val="18"/>
      <w:lang w:val="uk-UA"/>
    </w:rPr>
  </w:style>
  <w:style w:type="paragraph" w:styleId="112">
    <w:name w:val="Основной текст с отступом112"/>
    <w:basedOn w:val="Normal"/>
    <w:qFormat/>
    <w:pPr>
      <w:ind w:firstLine="708"/>
      <w:jc w:val="both"/>
    </w:pPr>
    <w:rPr>
      <w:rFonts w:ascii="Arial" w:hAnsi="Arial" w:eastAsia="Times New Roman" w:cs="Arial"/>
      <w:b/>
      <w:sz w:val="18"/>
      <w:lang w:val="uk-UA"/>
    </w:rPr>
  </w:style>
  <w:style w:type="paragraph" w:styleId="113">
    <w:name w:val="Основной текст с отступом113"/>
    <w:basedOn w:val="Normal"/>
    <w:qFormat/>
    <w:pPr>
      <w:ind w:firstLine="708"/>
      <w:jc w:val="both"/>
    </w:pPr>
    <w:rPr>
      <w:rFonts w:ascii="Arial" w:hAnsi="Arial" w:eastAsia="Times New Roman" w:cs="Arial"/>
      <w:b/>
      <w:sz w:val="18"/>
      <w:lang w:val="uk-UA"/>
    </w:rPr>
  </w:style>
  <w:style w:type="paragraph" w:styleId="114">
    <w:name w:val="Основной текст с отступом114"/>
    <w:basedOn w:val="Normal"/>
    <w:qFormat/>
    <w:pPr>
      <w:ind w:firstLine="708"/>
      <w:jc w:val="both"/>
    </w:pPr>
    <w:rPr>
      <w:rFonts w:ascii="Arial" w:hAnsi="Arial" w:eastAsia="Times New Roman" w:cs="Arial"/>
      <w:b/>
      <w:sz w:val="18"/>
      <w:lang w:val="uk-UA"/>
    </w:rPr>
  </w:style>
  <w:style w:type="paragraph" w:styleId="115">
    <w:name w:val="Основной текст с отступом115"/>
    <w:basedOn w:val="Normal"/>
    <w:qFormat/>
    <w:pPr>
      <w:ind w:firstLine="708"/>
      <w:jc w:val="both"/>
    </w:pPr>
    <w:rPr>
      <w:rFonts w:ascii="Arial" w:hAnsi="Arial" w:eastAsia="Times New Roman" w:cs="Arial"/>
      <w:b/>
      <w:sz w:val="18"/>
      <w:lang w:val="uk-UA"/>
    </w:rPr>
  </w:style>
  <w:style w:type="paragraph" w:styleId="116">
    <w:name w:val="Основной текст с отступом116"/>
    <w:basedOn w:val="Normal"/>
    <w:qFormat/>
    <w:pPr>
      <w:ind w:firstLine="708"/>
      <w:jc w:val="both"/>
    </w:pPr>
    <w:rPr>
      <w:rFonts w:ascii="Arial" w:hAnsi="Arial" w:eastAsia="Times New Roman" w:cs="Arial"/>
      <w:b/>
      <w:sz w:val="18"/>
      <w:lang w:val="uk-UA"/>
    </w:rPr>
  </w:style>
  <w:style w:type="paragraph" w:styleId="117">
    <w:name w:val="Основной текст с отступом117"/>
    <w:basedOn w:val="Normal"/>
    <w:qFormat/>
    <w:pPr>
      <w:ind w:firstLine="708"/>
      <w:jc w:val="both"/>
    </w:pPr>
    <w:rPr>
      <w:rFonts w:ascii="Arial" w:hAnsi="Arial" w:eastAsia="Times New Roman" w:cs="Arial"/>
      <w:b/>
      <w:sz w:val="18"/>
      <w:lang w:val="uk-UA"/>
    </w:rPr>
  </w:style>
  <w:style w:type="paragraph" w:styleId="118">
    <w:name w:val="Основной текст с отступом118"/>
    <w:basedOn w:val="Normal"/>
    <w:qFormat/>
    <w:pPr>
      <w:ind w:firstLine="708"/>
      <w:jc w:val="both"/>
    </w:pPr>
    <w:rPr>
      <w:rFonts w:ascii="Arial" w:hAnsi="Arial" w:eastAsia="Times New Roman" w:cs="Arial"/>
      <w:b/>
      <w:sz w:val="18"/>
      <w:lang w:val="uk-UA"/>
    </w:rPr>
  </w:style>
  <w:style w:type="paragraph" w:styleId="119">
    <w:name w:val="Основной текст с отступом119"/>
    <w:basedOn w:val="Normal"/>
    <w:qFormat/>
    <w:pPr>
      <w:ind w:firstLine="708"/>
      <w:jc w:val="both"/>
    </w:pPr>
    <w:rPr>
      <w:rFonts w:ascii="Arial" w:hAnsi="Arial" w:eastAsia="Times New Roman" w:cs="Arial"/>
      <w:b/>
      <w:sz w:val="18"/>
      <w:lang w:val="uk-UA"/>
    </w:rPr>
  </w:style>
  <w:style w:type="paragraph" w:styleId="120">
    <w:name w:val="Основной текст с отступом120"/>
    <w:basedOn w:val="Normal"/>
    <w:qFormat/>
    <w:pPr>
      <w:ind w:firstLine="708"/>
      <w:jc w:val="both"/>
    </w:pPr>
    <w:rPr>
      <w:rFonts w:ascii="Arial" w:hAnsi="Arial" w:eastAsia="Times New Roman" w:cs="Arial"/>
      <w:b/>
      <w:sz w:val="18"/>
      <w:lang w:val="uk-UA"/>
    </w:rPr>
  </w:style>
  <w:style w:type="paragraph" w:styleId="1211">
    <w:name w:val="Основной текст с отступом121"/>
    <w:basedOn w:val="Normal"/>
    <w:qFormat/>
    <w:pPr>
      <w:ind w:firstLine="708"/>
      <w:jc w:val="both"/>
    </w:pPr>
    <w:rPr>
      <w:rFonts w:ascii="Arial" w:hAnsi="Arial" w:eastAsia="Times New Roman" w:cs="Arial"/>
      <w:b/>
      <w:sz w:val="18"/>
      <w:lang w:val="uk-UA"/>
    </w:rPr>
  </w:style>
  <w:style w:type="paragraph" w:styleId="122">
    <w:name w:val="Основной текст с отступом122"/>
    <w:basedOn w:val="Normal"/>
    <w:qFormat/>
    <w:pPr>
      <w:ind w:firstLine="708"/>
      <w:jc w:val="both"/>
    </w:pPr>
    <w:rPr>
      <w:rFonts w:ascii="Arial" w:hAnsi="Arial" w:eastAsia="Times New Roman" w:cs="Arial"/>
      <w:b/>
      <w:sz w:val="18"/>
      <w:lang w:val="uk-UA"/>
    </w:rPr>
  </w:style>
  <w:style w:type="paragraph" w:styleId="125">
    <w:name w:val="Основной текст с отступом125"/>
    <w:basedOn w:val="Normal"/>
    <w:qFormat/>
    <w:pPr>
      <w:ind w:firstLine="708"/>
      <w:jc w:val="both"/>
    </w:pPr>
    <w:rPr>
      <w:rFonts w:ascii="Arial" w:hAnsi="Arial" w:eastAsia="Times New Roman" w:cs="Arial"/>
      <w:b/>
      <w:sz w:val="18"/>
      <w:lang w:val="uk-UA"/>
    </w:rPr>
  </w:style>
  <w:style w:type="paragraph" w:styleId="124">
    <w:name w:val="Основной текст с отступом124"/>
    <w:basedOn w:val="Normal"/>
    <w:qFormat/>
    <w:pPr>
      <w:ind w:firstLine="708"/>
      <w:jc w:val="both"/>
    </w:pPr>
    <w:rPr>
      <w:rFonts w:ascii="Arial" w:hAnsi="Arial" w:eastAsia="Times New Roman" w:cs="Arial"/>
      <w:b/>
      <w:sz w:val="18"/>
      <w:lang w:val="uk-UA"/>
    </w:rPr>
  </w:style>
  <w:style w:type="paragraph" w:styleId="126">
    <w:name w:val="Основной текст с отступом126"/>
    <w:basedOn w:val="Normal"/>
    <w:qFormat/>
    <w:pPr>
      <w:ind w:firstLine="708"/>
      <w:jc w:val="both"/>
    </w:pPr>
    <w:rPr>
      <w:rFonts w:ascii="Arial" w:hAnsi="Arial" w:eastAsia="Times New Roman" w:cs="Arial"/>
      <w:b/>
      <w:sz w:val="18"/>
      <w:lang w:val="uk-UA"/>
    </w:rPr>
  </w:style>
  <w:style w:type="paragraph" w:styleId="127">
    <w:name w:val="Основной текст с отступом127"/>
    <w:basedOn w:val="Normal"/>
    <w:qFormat/>
    <w:pPr>
      <w:ind w:firstLine="708"/>
      <w:jc w:val="both"/>
    </w:pPr>
    <w:rPr>
      <w:rFonts w:ascii="Arial" w:hAnsi="Arial" w:eastAsia="Times New Roman" w:cs="Arial"/>
      <w:b/>
      <w:sz w:val="18"/>
      <w:lang w:val="uk-UA"/>
    </w:rPr>
  </w:style>
  <w:style w:type="paragraph" w:styleId="128">
    <w:name w:val="Основной текст с отступом128"/>
    <w:basedOn w:val="Normal"/>
    <w:qFormat/>
    <w:pPr>
      <w:ind w:firstLine="708"/>
      <w:jc w:val="both"/>
    </w:pPr>
    <w:rPr>
      <w:rFonts w:ascii="Arial" w:hAnsi="Arial" w:eastAsia="Times New Roman" w:cs="Arial"/>
      <w:b/>
      <w:sz w:val="18"/>
      <w:lang w:val="uk-UA"/>
    </w:rPr>
  </w:style>
  <w:style w:type="paragraph" w:styleId="129">
    <w:name w:val="Основной текст с отступом129"/>
    <w:basedOn w:val="Normal"/>
    <w:qFormat/>
    <w:pPr>
      <w:ind w:firstLine="708"/>
      <w:jc w:val="both"/>
    </w:pPr>
    <w:rPr>
      <w:rFonts w:ascii="Arial" w:hAnsi="Arial" w:eastAsia="Times New Roman" w:cs="Arial"/>
      <w:b/>
      <w:sz w:val="18"/>
      <w:lang w:val="uk-UA"/>
    </w:rPr>
  </w:style>
  <w:style w:type="paragraph" w:styleId="130">
    <w:name w:val="Основной текст с отступом130"/>
    <w:basedOn w:val="Normal"/>
    <w:qFormat/>
    <w:pPr>
      <w:ind w:firstLine="708"/>
      <w:jc w:val="both"/>
    </w:pPr>
    <w:rPr>
      <w:rFonts w:ascii="Arial" w:hAnsi="Arial" w:eastAsia="Times New Roman" w:cs="Arial"/>
      <w:b/>
      <w:sz w:val="18"/>
      <w:lang w:val="uk-UA"/>
    </w:rPr>
  </w:style>
  <w:style w:type="paragraph" w:styleId="1311">
    <w:name w:val="Основной текст с отступом131"/>
    <w:basedOn w:val="Normal"/>
    <w:qFormat/>
    <w:pPr>
      <w:ind w:firstLine="708"/>
      <w:jc w:val="both"/>
    </w:pPr>
    <w:rPr>
      <w:rFonts w:ascii="Arial" w:hAnsi="Arial" w:eastAsia="Times New Roman" w:cs="Arial"/>
      <w:b/>
      <w:sz w:val="18"/>
      <w:lang w:val="uk-UA"/>
    </w:rPr>
  </w:style>
  <w:style w:type="paragraph" w:styleId="133">
    <w:name w:val="Основной текст с отступом133"/>
    <w:basedOn w:val="Normal"/>
    <w:qFormat/>
    <w:pPr>
      <w:ind w:firstLine="708"/>
      <w:jc w:val="both"/>
    </w:pPr>
    <w:rPr>
      <w:rFonts w:ascii="Arial" w:hAnsi="Arial" w:eastAsia="Times New Roman" w:cs="Arial"/>
      <w:b/>
      <w:sz w:val="18"/>
      <w:lang w:val="uk-UA"/>
    </w:rPr>
  </w:style>
  <w:style w:type="paragraph" w:styleId="132">
    <w:name w:val="Основной текст с отступом132"/>
    <w:basedOn w:val="Normal"/>
    <w:qFormat/>
    <w:pPr>
      <w:ind w:firstLine="708"/>
      <w:jc w:val="both"/>
    </w:pPr>
    <w:rPr>
      <w:rFonts w:ascii="Arial" w:hAnsi="Arial" w:eastAsia="Times New Roman" w:cs="Arial"/>
      <w:b/>
      <w:sz w:val="18"/>
      <w:lang w:val="uk-UA"/>
    </w:rPr>
  </w:style>
  <w:style w:type="paragraph" w:styleId="135">
    <w:name w:val="Основной текст с отступом135"/>
    <w:basedOn w:val="Normal"/>
    <w:qFormat/>
    <w:pPr>
      <w:ind w:firstLine="708"/>
      <w:jc w:val="both"/>
    </w:pPr>
    <w:rPr>
      <w:rFonts w:ascii="Arial" w:hAnsi="Arial" w:eastAsia="Times New Roman" w:cs="Arial"/>
      <w:b/>
      <w:sz w:val="18"/>
      <w:lang w:val="uk-UA"/>
    </w:rPr>
  </w:style>
  <w:style w:type="paragraph" w:styleId="136">
    <w:name w:val="Основной текст с отступом136"/>
    <w:basedOn w:val="Normal"/>
    <w:qFormat/>
    <w:pPr>
      <w:ind w:firstLine="708"/>
      <w:jc w:val="both"/>
    </w:pPr>
    <w:rPr>
      <w:rFonts w:ascii="Arial" w:hAnsi="Arial" w:eastAsia="Times New Roman" w:cs="Arial"/>
      <w:b/>
      <w:sz w:val="18"/>
      <w:lang w:val="uk-UA"/>
    </w:rPr>
  </w:style>
  <w:style w:type="paragraph" w:styleId="137">
    <w:name w:val="Основной текст с отступом137"/>
    <w:basedOn w:val="Normal"/>
    <w:qFormat/>
    <w:pPr>
      <w:ind w:firstLine="708"/>
      <w:jc w:val="both"/>
    </w:pPr>
    <w:rPr>
      <w:rFonts w:ascii="Arial" w:hAnsi="Arial" w:eastAsia="Times New Roman" w:cs="Arial"/>
      <w:b/>
      <w:sz w:val="18"/>
      <w:lang w:val="uk-UA"/>
    </w:rPr>
  </w:style>
  <w:style w:type="paragraph" w:styleId="138">
    <w:name w:val="Основной текст с отступом138"/>
    <w:basedOn w:val="Normal"/>
    <w:qFormat/>
    <w:pPr>
      <w:ind w:firstLine="708"/>
      <w:jc w:val="both"/>
    </w:pPr>
    <w:rPr>
      <w:rFonts w:ascii="Arial" w:hAnsi="Arial" w:eastAsia="Times New Roman" w:cs="Arial"/>
      <w:b/>
      <w:sz w:val="18"/>
      <w:lang w:val="uk-UA"/>
    </w:rPr>
  </w:style>
  <w:style w:type="paragraph" w:styleId="139">
    <w:name w:val="Основной текст с отступом139"/>
    <w:basedOn w:val="Normal"/>
    <w:qFormat/>
    <w:pPr>
      <w:ind w:firstLine="708"/>
      <w:jc w:val="both"/>
    </w:pPr>
    <w:rPr>
      <w:rFonts w:ascii="Arial" w:hAnsi="Arial" w:eastAsia="Times New Roman" w:cs="Arial"/>
      <w:b/>
      <w:sz w:val="18"/>
      <w:lang w:val="uk-UA"/>
    </w:rPr>
  </w:style>
  <w:style w:type="paragraph" w:styleId="140">
    <w:name w:val="Основной текст с отступом140"/>
    <w:basedOn w:val="Normal"/>
    <w:qFormat/>
    <w:pPr>
      <w:ind w:firstLine="708"/>
      <w:jc w:val="both"/>
    </w:pPr>
    <w:rPr>
      <w:rFonts w:ascii="Arial" w:hAnsi="Arial" w:eastAsia="Times New Roman" w:cs="Arial"/>
      <w:b/>
      <w:sz w:val="18"/>
      <w:lang w:val="uk-UA"/>
    </w:rPr>
  </w:style>
  <w:style w:type="paragraph" w:styleId="1411">
    <w:name w:val="Основной текст с отступом141"/>
    <w:basedOn w:val="Normal"/>
    <w:qFormat/>
    <w:pPr>
      <w:ind w:firstLine="708"/>
      <w:jc w:val="both"/>
    </w:pPr>
    <w:rPr>
      <w:rFonts w:ascii="Arial" w:hAnsi="Arial" w:eastAsia="Times New Roman" w:cs="Arial"/>
      <w:b/>
      <w:sz w:val="18"/>
      <w:lang w:val="uk-UA"/>
    </w:rPr>
  </w:style>
  <w:style w:type="paragraph" w:styleId="Arial92">
    <w:name w:val="Arial9(без отступов)"/>
    <w:qFormat/>
    <w:pPr>
      <w:widowControl/>
      <w:ind w:left="-113" w:hanging="0"/>
    </w:pPr>
    <w:rPr>
      <w:rFonts w:ascii="Arial" w:hAnsi="Arial" w:eastAsia="Calibri" w:cs="Arial"/>
      <w:color w:val="auto"/>
      <w:sz w:val="18"/>
      <w:szCs w:val="18"/>
      <w:lang w:val="ru-RU" w:bidi="ar-SA" w:eastAsia="zh-CN"/>
    </w:rPr>
  </w:style>
  <w:style w:type="paragraph" w:styleId="Style27">
    <w:name w:val="Абзац списка"/>
    <w:basedOn w:val="Normal"/>
    <w:qFormat/>
    <w:pPr>
      <w:snapToGrid w:val="false"/>
      <w:spacing w:before="0" w:after="0"/>
      <w:ind w:left="720" w:hanging="0"/>
      <w:contextualSpacing/>
    </w:pPr>
    <w:rPr>
      <w:rFonts w:ascii="Arial" w:hAnsi="Arial" w:eastAsia="Times New Roman" w:cs="Arial"/>
      <w:sz w:val="28"/>
    </w:rPr>
  </w:style>
  <w:style w:type="paragraph" w:styleId="Arial93">
    <w:name w:val="Arial9(жирн)"/>
    <w:qFormat/>
    <w:pPr>
      <w:keepNext w:val="true"/>
      <w:widowControl/>
      <w:tabs>
        <w:tab w:val="left" w:pos="210" w:leader="none"/>
      </w:tabs>
      <w:autoSpaceDE w:val="false"/>
      <w:spacing w:before="120" w:after="0"/>
    </w:pPr>
    <w:rPr>
      <w:rFonts w:ascii="Arial" w:hAnsi="Arial" w:eastAsia="Times New Roman" w:cs="Arial"/>
      <w:b/>
      <w:bCs/>
      <w:color w:val="auto"/>
      <w:sz w:val="18"/>
      <w:szCs w:val="20"/>
      <w:lang w:val="en-US" w:bidi="ar-SA" w:eastAsia="zh-CN"/>
    </w:rPr>
  </w:style>
  <w:style w:type="paragraph" w:styleId="Arial961">
    <w:name w:val="Arial9+6пт"/>
    <w:basedOn w:val="Normal"/>
    <w:qFormat/>
    <w:pPr>
      <w:snapToGrid w:val="false"/>
      <w:spacing w:before="120" w:after="0"/>
    </w:pPr>
    <w:rPr>
      <w:rFonts w:ascii="Arial" w:hAnsi="Arial" w:cs="Arial"/>
      <w:sz w:val="18"/>
      <w:lang w:val="ru-RU"/>
    </w:rPr>
  </w:style>
  <w:style w:type="paragraph" w:styleId="Msonormal">
    <w:name w:val="msonormal"/>
    <w:basedOn w:val="Normal"/>
    <w:qFormat/>
    <w:pPr>
      <w:spacing w:before="280" w:after="280"/>
    </w:pPr>
    <w:rPr>
      <w:sz w:val="24"/>
      <w:szCs w:val="24"/>
      <w:lang w:val="en-US"/>
    </w:rPr>
  </w:style>
  <w:style w:type="paragraph" w:styleId="27">
    <w:name w:val="Основной текст 2"/>
    <w:basedOn w:val="Normal"/>
    <w:qFormat/>
    <w:pPr/>
    <w:rPr>
      <w:sz w:val="24"/>
      <w:szCs w:val="24"/>
      <w:lang w:val="en-US"/>
    </w:rPr>
  </w:style>
  <w:style w:type="paragraph" w:styleId="Style28">
    <w:name w:val="Название"/>
    <w:basedOn w:val="Normal"/>
    <w:qFormat/>
    <w:pPr/>
    <w:rPr>
      <w:rFonts w:ascii="Cambria" w:hAnsi="Cambria" w:cs="Cambria"/>
      <w:color w:val="17365D"/>
      <w:spacing w:val="5"/>
      <w:lang w:val="uk-UA"/>
    </w:rPr>
  </w:style>
  <w:style w:type="paragraph" w:styleId="210">
    <w:name w:val="Верхній колонтитул2"/>
    <w:basedOn w:val="Normal"/>
    <w:qFormat/>
    <w:pPr/>
    <w:rPr>
      <w:rFonts w:ascii="Calibri" w:hAnsi="Calibri" w:cs="Calibri"/>
      <w:lang w:val="uk-UA"/>
    </w:rPr>
  </w:style>
  <w:style w:type="paragraph" w:styleId="213">
    <w:name w:val="Нижній колонтитул2"/>
    <w:basedOn w:val="Normal"/>
    <w:qFormat/>
    <w:pPr/>
    <w:rPr>
      <w:rFonts w:ascii="Calibri" w:hAnsi="Calibri" w:cs="Calibri"/>
      <w:lang w:val="uk-UA"/>
    </w:rPr>
  </w:style>
  <w:style w:type="paragraph" w:styleId="214">
    <w:name w:val="Назва2"/>
    <w:basedOn w:val="Normal"/>
    <w:qFormat/>
    <w:pPr/>
    <w:rPr>
      <w:rFonts w:ascii="Calibri Light" w:hAnsi="Calibri Light" w:cs="Calibri Light"/>
      <w:spacing w:val="-10"/>
      <w:lang w:val="uk-UA"/>
    </w:rPr>
  </w:style>
  <w:style w:type="paragraph" w:styleId="223">
    <w:name w:val="Основний текст 22"/>
    <w:basedOn w:val="Normal"/>
    <w:qFormat/>
    <w:pPr/>
    <w:rPr>
      <w:rFonts w:ascii="Calibri" w:hAnsi="Calibri" w:cs="Calibri"/>
      <w:lang w:val="uk-UA"/>
    </w:rPr>
  </w:style>
  <w:style w:type="paragraph" w:styleId="215">
    <w:name w:val="Текст у виносці2"/>
    <w:basedOn w:val="Normal"/>
    <w:qFormat/>
    <w:pPr/>
    <w:rPr>
      <w:rFonts w:ascii="Segoe UI" w:hAnsi="Segoe UI" w:cs="Segoe UI"/>
      <w:lang w:val="uk-UA"/>
    </w:rPr>
  </w:style>
  <w:style w:type="paragraph" w:styleId="143">
    <w:name w:val="Основной текст с отступом143"/>
    <w:basedOn w:val="Normal"/>
    <w:qFormat/>
    <w:pPr>
      <w:ind w:firstLine="708"/>
      <w:jc w:val="both"/>
    </w:pPr>
    <w:rPr>
      <w:rFonts w:ascii="Arial" w:hAnsi="Arial" w:eastAsia="Times New Roman" w:cs="Arial"/>
      <w:b/>
      <w:sz w:val="18"/>
      <w:lang w:val="en-US"/>
    </w:rPr>
  </w:style>
  <w:style w:type="paragraph" w:styleId="144">
    <w:name w:val="Основной текст с отступом144"/>
    <w:basedOn w:val="Normal"/>
    <w:qFormat/>
    <w:pPr>
      <w:ind w:firstLine="708"/>
      <w:jc w:val="both"/>
    </w:pPr>
    <w:rPr>
      <w:rFonts w:ascii="Arial" w:hAnsi="Arial" w:eastAsia="Times New Roman" w:cs="Arial"/>
      <w:b/>
      <w:sz w:val="18"/>
      <w:lang w:val="en-US"/>
    </w:rPr>
  </w:style>
  <w:style w:type="paragraph" w:styleId="145">
    <w:name w:val="Основной текст с отступом145"/>
    <w:basedOn w:val="Normal"/>
    <w:qFormat/>
    <w:pPr>
      <w:ind w:firstLine="708"/>
      <w:jc w:val="both"/>
    </w:pPr>
    <w:rPr>
      <w:rFonts w:ascii="Arial" w:hAnsi="Arial" w:eastAsia="Times New Roman" w:cs="Arial"/>
      <w:b/>
      <w:sz w:val="18"/>
      <w:lang w:val="en-US"/>
    </w:rPr>
  </w:style>
  <w:style w:type="paragraph" w:styleId="147">
    <w:name w:val="Основной текст с отступом147"/>
    <w:basedOn w:val="Normal"/>
    <w:qFormat/>
    <w:pPr>
      <w:ind w:firstLine="708"/>
      <w:jc w:val="both"/>
    </w:pPr>
    <w:rPr>
      <w:rFonts w:ascii="Arial" w:hAnsi="Arial" w:eastAsia="Times New Roman" w:cs="Arial"/>
      <w:b/>
      <w:sz w:val="18"/>
      <w:lang w:val="en-US"/>
    </w:rPr>
  </w:style>
  <w:style w:type="paragraph" w:styleId="148">
    <w:name w:val="Основной текст с отступом148"/>
    <w:basedOn w:val="Normal"/>
    <w:qFormat/>
    <w:pPr>
      <w:ind w:firstLine="708"/>
      <w:jc w:val="both"/>
    </w:pPr>
    <w:rPr>
      <w:rFonts w:ascii="Arial" w:hAnsi="Arial" w:eastAsia="Times New Roman" w:cs="Arial"/>
      <w:b/>
      <w:sz w:val="18"/>
      <w:lang w:val="en-US"/>
    </w:rPr>
  </w:style>
  <w:style w:type="paragraph" w:styleId="149">
    <w:name w:val="Основной текст с отступом149"/>
    <w:basedOn w:val="Normal"/>
    <w:qFormat/>
    <w:pPr>
      <w:ind w:firstLine="708"/>
      <w:jc w:val="both"/>
    </w:pPr>
    <w:rPr>
      <w:rFonts w:ascii="Arial" w:hAnsi="Arial" w:eastAsia="Times New Roman" w:cs="Arial"/>
      <w:b/>
      <w:sz w:val="18"/>
      <w:lang w:val="en-US"/>
    </w:rPr>
  </w:style>
  <w:style w:type="paragraph" w:styleId="Arial94">
    <w:name w:val="Стиль Arial9(жирн) + не полужирный"/>
    <w:basedOn w:val="Normal"/>
    <w:qFormat/>
    <w:pPr>
      <w:keepNext w:val="true"/>
      <w:tabs>
        <w:tab w:val="left" w:pos="210" w:leader="none"/>
      </w:tabs>
      <w:autoSpaceDE w:val="false"/>
      <w:spacing w:before="120" w:after="0"/>
    </w:pPr>
    <w:rPr>
      <w:rFonts w:ascii="Arial" w:hAnsi="Arial" w:cs="Arial"/>
      <w:b/>
      <w:sz w:val="18"/>
      <w:lang w:val="en-US"/>
    </w:rPr>
  </w:style>
  <w:style w:type="paragraph" w:styleId="150">
    <w:name w:val="Основной текст с отступом150"/>
    <w:basedOn w:val="Normal"/>
    <w:qFormat/>
    <w:pPr>
      <w:ind w:firstLine="708"/>
      <w:jc w:val="both"/>
    </w:pPr>
    <w:rPr>
      <w:rFonts w:ascii="Arial" w:hAnsi="Arial" w:eastAsia="Times New Roman" w:cs="Arial"/>
      <w:b/>
      <w:sz w:val="18"/>
      <w:lang w:val="en-US"/>
    </w:rPr>
  </w:style>
  <w:style w:type="paragraph" w:styleId="156">
    <w:name w:val="Основной текст с отступом156"/>
    <w:basedOn w:val="Normal"/>
    <w:qFormat/>
    <w:pPr>
      <w:ind w:firstLine="708"/>
      <w:jc w:val="both"/>
    </w:pPr>
    <w:rPr>
      <w:rFonts w:ascii="Arial" w:hAnsi="Arial" w:eastAsia="Times New Roman" w:cs="Arial"/>
      <w:b/>
      <w:sz w:val="18"/>
      <w:lang w:val="en-US"/>
    </w:rPr>
  </w:style>
  <w:style w:type="paragraph" w:styleId="157">
    <w:name w:val="Основной текст с отступом157"/>
    <w:basedOn w:val="Normal"/>
    <w:qFormat/>
    <w:pPr>
      <w:ind w:firstLine="708"/>
      <w:jc w:val="both"/>
    </w:pPr>
    <w:rPr>
      <w:rFonts w:ascii="Arial" w:hAnsi="Arial" w:eastAsia="Times New Roman" w:cs="Arial"/>
      <w:b/>
      <w:sz w:val="18"/>
      <w:lang w:val="en-US"/>
    </w:rPr>
  </w:style>
  <w:style w:type="paragraph" w:styleId="162">
    <w:name w:val="Основной текст с отступом162"/>
    <w:basedOn w:val="Normal"/>
    <w:qFormat/>
    <w:pPr>
      <w:ind w:firstLine="708"/>
      <w:jc w:val="both"/>
    </w:pPr>
    <w:rPr>
      <w:rFonts w:ascii="Arial" w:hAnsi="Arial" w:eastAsia="Times New Roman" w:cs="Arial"/>
      <w:b/>
      <w:sz w:val="18"/>
      <w:lang w:val="en-US"/>
    </w:rPr>
  </w:style>
  <w:style w:type="paragraph" w:styleId="163">
    <w:name w:val="Основной текст с отступом163"/>
    <w:basedOn w:val="Normal"/>
    <w:qFormat/>
    <w:pPr>
      <w:ind w:firstLine="708"/>
      <w:jc w:val="both"/>
    </w:pPr>
    <w:rPr>
      <w:rFonts w:ascii="Arial" w:hAnsi="Arial" w:eastAsia="Times New Roman" w:cs="Arial"/>
      <w:b/>
      <w:sz w:val="18"/>
      <w:lang w:val="en-US"/>
    </w:rPr>
  </w:style>
  <w:style w:type="paragraph" w:styleId="165">
    <w:name w:val="Основной текст с отступом165"/>
    <w:basedOn w:val="Normal"/>
    <w:qFormat/>
    <w:pPr>
      <w:ind w:firstLine="708"/>
      <w:jc w:val="both"/>
    </w:pPr>
    <w:rPr>
      <w:rFonts w:ascii="Arial" w:hAnsi="Arial" w:eastAsia="Times New Roman" w:cs="Arial"/>
      <w:b/>
      <w:sz w:val="18"/>
      <w:lang w:val="en-US"/>
    </w:rPr>
  </w:style>
  <w:style w:type="paragraph" w:styleId="168">
    <w:name w:val="Основной текст с отступом168"/>
    <w:basedOn w:val="Normal"/>
    <w:qFormat/>
    <w:pPr>
      <w:ind w:firstLine="708"/>
      <w:jc w:val="both"/>
    </w:pPr>
    <w:rPr>
      <w:rFonts w:ascii="Arial" w:hAnsi="Arial" w:eastAsia="Times New Roman" w:cs="Arial"/>
      <w:b/>
      <w:sz w:val="18"/>
      <w:lang w:val="en-US"/>
    </w:rPr>
  </w:style>
  <w:style w:type="paragraph" w:styleId="169">
    <w:name w:val="Основной текст с отступом169"/>
    <w:basedOn w:val="Normal"/>
    <w:qFormat/>
    <w:pPr>
      <w:ind w:firstLine="708"/>
      <w:jc w:val="both"/>
    </w:pPr>
    <w:rPr>
      <w:rFonts w:ascii="Arial" w:hAnsi="Arial" w:eastAsia="Times New Roman" w:cs="Arial"/>
      <w:b/>
      <w:sz w:val="18"/>
      <w:lang w:val="en-US"/>
    </w:rPr>
  </w:style>
  <w:style w:type="paragraph" w:styleId="170">
    <w:name w:val="Основной текст с отступом170"/>
    <w:basedOn w:val="Normal"/>
    <w:qFormat/>
    <w:pPr>
      <w:ind w:firstLine="708"/>
      <w:jc w:val="both"/>
    </w:pPr>
    <w:rPr>
      <w:rFonts w:ascii="Arial" w:hAnsi="Arial" w:eastAsia="Times New Roman" w:cs="Arial"/>
      <w:b/>
      <w:sz w:val="18"/>
      <w:lang w:val="en-US"/>
    </w:rPr>
  </w:style>
  <w:style w:type="paragraph" w:styleId="171">
    <w:name w:val="Основной текст с отступом171"/>
    <w:basedOn w:val="Normal"/>
    <w:qFormat/>
    <w:pPr>
      <w:ind w:firstLine="708"/>
      <w:jc w:val="both"/>
    </w:pPr>
    <w:rPr>
      <w:rFonts w:ascii="Arial" w:hAnsi="Arial" w:eastAsia="Times New Roman" w:cs="Arial"/>
      <w:b/>
      <w:sz w:val="18"/>
      <w:lang w:val="en-US"/>
    </w:rPr>
  </w:style>
  <w:style w:type="paragraph" w:styleId="172">
    <w:name w:val="Основной текст с отступом172"/>
    <w:basedOn w:val="Normal"/>
    <w:qFormat/>
    <w:pPr>
      <w:ind w:firstLine="708"/>
      <w:jc w:val="both"/>
    </w:pPr>
    <w:rPr>
      <w:rFonts w:ascii="Arial" w:hAnsi="Arial" w:eastAsia="Times New Roman" w:cs="Arial"/>
      <w:b/>
      <w:sz w:val="18"/>
      <w:lang w:val="en-US"/>
    </w:rPr>
  </w:style>
  <w:style w:type="paragraph" w:styleId="173">
    <w:name w:val="Основной текст с отступом173"/>
    <w:basedOn w:val="Normal"/>
    <w:qFormat/>
    <w:pPr>
      <w:ind w:firstLine="708"/>
      <w:jc w:val="both"/>
    </w:pPr>
    <w:rPr>
      <w:rFonts w:ascii="Arial" w:hAnsi="Arial" w:eastAsia="Times New Roman" w:cs="Arial"/>
      <w:b/>
      <w:sz w:val="18"/>
      <w:lang w:val="en-US"/>
    </w:rPr>
  </w:style>
  <w:style w:type="paragraph" w:styleId="174">
    <w:name w:val="Основной текст с отступом174"/>
    <w:basedOn w:val="Normal"/>
    <w:qFormat/>
    <w:pPr>
      <w:ind w:firstLine="708"/>
      <w:jc w:val="both"/>
    </w:pPr>
    <w:rPr>
      <w:rFonts w:ascii="Arial" w:hAnsi="Arial" w:eastAsia="Times New Roman" w:cs="Arial"/>
      <w:b/>
      <w:sz w:val="18"/>
      <w:lang w:val="en-US"/>
    </w:rPr>
  </w:style>
  <w:style w:type="paragraph" w:styleId="175">
    <w:name w:val="Основной текст с отступом175"/>
    <w:basedOn w:val="Normal"/>
    <w:qFormat/>
    <w:pPr>
      <w:ind w:firstLine="708"/>
      <w:jc w:val="both"/>
    </w:pPr>
    <w:rPr>
      <w:rFonts w:ascii="Arial" w:hAnsi="Arial" w:eastAsia="Times New Roman" w:cs="Arial"/>
      <w:b/>
      <w:sz w:val="18"/>
      <w:lang w:val="en-US"/>
    </w:rPr>
  </w:style>
  <w:style w:type="paragraph" w:styleId="176">
    <w:name w:val="Основной текст с отступом176"/>
    <w:basedOn w:val="Normal"/>
    <w:qFormat/>
    <w:pPr>
      <w:ind w:firstLine="708"/>
      <w:jc w:val="both"/>
    </w:pPr>
    <w:rPr>
      <w:rFonts w:ascii="Arial" w:hAnsi="Arial" w:eastAsia="Times New Roman" w:cs="Arial"/>
      <w:b/>
      <w:sz w:val="18"/>
      <w:lang w:val="en-US"/>
    </w:rPr>
  </w:style>
  <w:style w:type="paragraph" w:styleId="177">
    <w:name w:val="Основной текст с отступом177"/>
    <w:basedOn w:val="Normal"/>
    <w:qFormat/>
    <w:pPr>
      <w:ind w:firstLine="708"/>
      <w:jc w:val="both"/>
    </w:pPr>
    <w:rPr>
      <w:rFonts w:ascii="Arial" w:hAnsi="Arial" w:eastAsia="Times New Roman" w:cs="Arial"/>
      <w:b/>
      <w:sz w:val="18"/>
      <w:lang w:val="en-US"/>
    </w:rPr>
  </w:style>
  <w:style w:type="paragraph" w:styleId="178">
    <w:name w:val="Основной текст с отступом178"/>
    <w:basedOn w:val="Normal"/>
    <w:qFormat/>
    <w:pPr>
      <w:ind w:firstLine="708"/>
      <w:jc w:val="both"/>
    </w:pPr>
    <w:rPr>
      <w:rFonts w:ascii="Arial" w:hAnsi="Arial" w:eastAsia="Times New Roman" w:cs="Arial"/>
      <w:b/>
      <w:sz w:val="18"/>
      <w:lang w:val="en-US"/>
    </w:rPr>
  </w:style>
  <w:style w:type="paragraph" w:styleId="179">
    <w:name w:val="Основной текст с отступом179"/>
    <w:basedOn w:val="Normal"/>
    <w:qFormat/>
    <w:pPr>
      <w:ind w:firstLine="708"/>
      <w:jc w:val="both"/>
    </w:pPr>
    <w:rPr>
      <w:rFonts w:ascii="Arial" w:hAnsi="Arial" w:eastAsia="Times New Roman" w:cs="Arial"/>
      <w:b/>
      <w:sz w:val="18"/>
      <w:lang w:val="en-US"/>
    </w:rPr>
  </w:style>
  <w:style w:type="paragraph" w:styleId="180">
    <w:name w:val="Основной текст с отступом180"/>
    <w:basedOn w:val="Normal"/>
    <w:qFormat/>
    <w:pPr>
      <w:ind w:firstLine="708"/>
      <w:jc w:val="both"/>
    </w:pPr>
    <w:rPr>
      <w:rFonts w:ascii="Arial" w:hAnsi="Arial" w:eastAsia="Times New Roman" w:cs="Arial"/>
      <w:b/>
      <w:sz w:val="18"/>
      <w:lang w:val="en-US"/>
    </w:rPr>
  </w:style>
  <w:style w:type="paragraph" w:styleId="181">
    <w:name w:val="Основной текст с отступом181"/>
    <w:basedOn w:val="Normal"/>
    <w:qFormat/>
    <w:pPr>
      <w:ind w:firstLine="708"/>
      <w:jc w:val="both"/>
    </w:pPr>
    <w:rPr>
      <w:rFonts w:ascii="Arial" w:hAnsi="Arial" w:eastAsia="Times New Roman" w:cs="Arial"/>
      <w:b/>
      <w:sz w:val="18"/>
      <w:lang w:val="en-US"/>
    </w:rPr>
  </w:style>
  <w:style w:type="paragraph" w:styleId="182">
    <w:name w:val="Основной текст с отступом182"/>
    <w:basedOn w:val="Normal"/>
    <w:qFormat/>
    <w:pPr>
      <w:ind w:firstLine="708"/>
      <w:jc w:val="both"/>
    </w:pPr>
    <w:rPr>
      <w:rFonts w:ascii="Arial" w:hAnsi="Arial" w:eastAsia="Times New Roman" w:cs="Arial"/>
      <w:b/>
      <w:sz w:val="18"/>
      <w:lang w:val="en-US"/>
    </w:rPr>
  </w:style>
  <w:style w:type="paragraph" w:styleId="123">
    <w:name w:val="Верхній колонтитул1"/>
    <w:basedOn w:val="Normal"/>
    <w:qFormat/>
    <w:pPr/>
    <w:rPr>
      <w:rFonts w:ascii="Calibri" w:hAnsi="Calibri" w:cs="Calibri"/>
      <w:lang w:val="en-US"/>
    </w:rPr>
  </w:style>
  <w:style w:type="paragraph" w:styleId="134">
    <w:name w:val="Нижній колонтитул1"/>
    <w:basedOn w:val="Normal"/>
    <w:qFormat/>
    <w:pPr/>
    <w:rPr>
      <w:rFonts w:ascii="Calibri" w:hAnsi="Calibri" w:cs="Calibri"/>
      <w:lang w:val="en-US"/>
    </w:rPr>
  </w:style>
  <w:style w:type="paragraph" w:styleId="146">
    <w:name w:val="Назва1"/>
    <w:basedOn w:val="Normal"/>
    <w:qFormat/>
    <w:pPr/>
    <w:rPr>
      <w:rFonts w:ascii="Calibri Light" w:hAnsi="Calibri Light" w:cs="Calibri Light"/>
      <w:spacing w:val="-10"/>
      <w:lang w:val="en-US"/>
    </w:rPr>
  </w:style>
  <w:style w:type="paragraph" w:styleId="216">
    <w:name w:val="Основний текст 21"/>
    <w:basedOn w:val="Normal"/>
    <w:qFormat/>
    <w:pPr/>
    <w:rPr>
      <w:rFonts w:ascii="Calibri" w:hAnsi="Calibri" w:cs="Calibri"/>
      <w:lang w:val="en-US"/>
    </w:rPr>
  </w:style>
  <w:style w:type="paragraph" w:styleId="151">
    <w:name w:val="Текст у виносці1"/>
    <w:basedOn w:val="Normal"/>
    <w:qFormat/>
    <w:pPr/>
    <w:rPr>
      <w:rFonts w:ascii="Segoe UI" w:hAnsi="Segoe UI" w:cs="Segoe UI"/>
      <w:lang w:val="en-US"/>
    </w:rPr>
  </w:style>
  <w:style w:type="paragraph" w:styleId="164">
    <w:name w:val="Основной текст с отступом164"/>
    <w:basedOn w:val="Normal"/>
    <w:qFormat/>
    <w:pPr>
      <w:ind w:firstLine="708"/>
      <w:jc w:val="both"/>
    </w:pPr>
    <w:rPr>
      <w:rFonts w:ascii="Arial" w:hAnsi="Arial" w:eastAsia="Times New Roman" w:cs="Arial"/>
      <w:b/>
      <w:sz w:val="18"/>
      <w:lang w:val="en-US"/>
    </w:rPr>
  </w:style>
  <w:style w:type="paragraph" w:styleId="Arial95">
    <w:name w:val="arial9(жирнбез интерв)"/>
    <w:basedOn w:val="Normal"/>
    <w:qFormat/>
    <w:pPr/>
    <w:rPr>
      <w:rFonts w:ascii="Arial" w:hAnsi="Arial" w:cs="Arial"/>
      <w:b/>
      <w:sz w:val="18"/>
    </w:rPr>
  </w:style>
  <w:style w:type="paragraph" w:styleId="203">
    <w:name w:val="Основной текст с отступом203"/>
    <w:basedOn w:val="Normal"/>
    <w:qFormat/>
    <w:pPr>
      <w:ind w:firstLine="708"/>
      <w:jc w:val="both"/>
    </w:pPr>
    <w:rPr>
      <w:rFonts w:ascii="Arial" w:hAnsi="Arial" w:eastAsia="Times New Roman" w:cs="Arial"/>
      <w:b/>
      <w:sz w:val="18"/>
      <w:lang w:val="en-US"/>
    </w:rPr>
  </w:style>
  <w:style w:type="paragraph" w:styleId="204">
    <w:name w:val="Основной текст с отступом204"/>
    <w:basedOn w:val="Normal"/>
    <w:qFormat/>
    <w:pPr>
      <w:ind w:firstLine="708"/>
      <w:jc w:val="both"/>
    </w:pPr>
    <w:rPr>
      <w:rFonts w:ascii="Arial" w:hAnsi="Arial" w:eastAsia="Times New Roman" w:cs="Arial"/>
      <w:b/>
      <w:sz w:val="18"/>
      <w:lang w:val="en-US"/>
    </w:rPr>
  </w:style>
  <w:style w:type="paragraph" w:styleId="217">
    <w:name w:val="Основний текст з відступом2"/>
    <w:basedOn w:val="Normal"/>
    <w:qFormat/>
    <w:pPr>
      <w:ind w:firstLine="708"/>
      <w:jc w:val="both"/>
    </w:pPr>
    <w:rPr>
      <w:rFonts w:ascii="Arial" w:hAnsi="Arial" w:eastAsia="Times New Roman" w:cs="Arial"/>
      <w:b/>
      <w:sz w:val="18"/>
      <w:lang w:val="en-US"/>
    </w:rPr>
  </w:style>
  <w:style w:type="paragraph" w:styleId="152">
    <w:name w:val="Основний текст з відступом1"/>
    <w:basedOn w:val="Normal"/>
    <w:qFormat/>
    <w:pPr>
      <w:ind w:firstLine="708"/>
      <w:jc w:val="both"/>
    </w:pPr>
    <w:rPr>
      <w:rFonts w:ascii="Arial" w:hAnsi="Arial" w:eastAsia="Times New Roman" w:cs="Arial"/>
      <w:b/>
      <w:sz w:val="18"/>
      <w:lang w:val="en-US"/>
    </w:rPr>
  </w:style>
  <w:style w:type="paragraph" w:styleId="207">
    <w:name w:val="Основной текст с отступом207"/>
    <w:basedOn w:val="Normal"/>
    <w:qFormat/>
    <w:pPr>
      <w:ind w:firstLine="708"/>
      <w:jc w:val="both"/>
    </w:pPr>
    <w:rPr>
      <w:rFonts w:ascii="Arial" w:hAnsi="Arial" w:eastAsia="Times New Roman" w:cs="Arial"/>
      <w:b/>
      <w:sz w:val="18"/>
      <w:lang w:val="en-US"/>
    </w:rPr>
  </w:style>
  <w:style w:type="paragraph" w:styleId="2101">
    <w:name w:val="Основной текст с отступом210"/>
    <w:basedOn w:val="Normal"/>
    <w:qFormat/>
    <w:pPr>
      <w:ind w:firstLine="708"/>
      <w:jc w:val="both"/>
    </w:pPr>
    <w:rPr>
      <w:rFonts w:ascii="Arial" w:hAnsi="Arial" w:eastAsia="Times New Roman" w:cs="Arial"/>
      <w:b/>
      <w:sz w:val="18"/>
      <w:lang w:val="en-US"/>
    </w:rPr>
  </w:style>
  <w:style w:type="paragraph" w:styleId="312">
    <w:name w:val="Основний текст з відступом3"/>
    <w:basedOn w:val="Normal"/>
    <w:qFormat/>
    <w:pPr>
      <w:ind w:firstLine="708"/>
      <w:jc w:val="both"/>
    </w:pPr>
    <w:rPr>
      <w:rFonts w:ascii="Arial" w:hAnsi="Arial" w:eastAsia="Times New Roman" w:cs="Arial"/>
      <w:b/>
      <w:sz w:val="18"/>
      <w:lang w:val="en-US"/>
    </w:rPr>
  </w:style>
  <w:style w:type="paragraph" w:styleId="2171">
    <w:name w:val="Основной текст с отступом217"/>
    <w:basedOn w:val="Normal"/>
    <w:qFormat/>
    <w:pPr>
      <w:ind w:firstLine="708"/>
      <w:jc w:val="both"/>
    </w:pPr>
    <w:rPr>
      <w:rFonts w:ascii="Arial" w:hAnsi="Arial" w:eastAsia="Times New Roman" w:cs="Arial"/>
      <w:b/>
      <w:sz w:val="18"/>
      <w:lang w:val="en-US"/>
    </w:rPr>
  </w:style>
  <w:style w:type="paragraph" w:styleId="218">
    <w:name w:val="Основной текст с отступом218"/>
    <w:basedOn w:val="Normal"/>
    <w:qFormat/>
    <w:pPr>
      <w:ind w:firstLine="708"/>
      <w:jc w:val="both"/>
    </w:pPr>
    <w:rPr>
      <w:rFonts w:ascii="Arial" w:hAnsi="Arial" w:eastAsia="Times New Roman" w:cs="Arial"/>
      <w:b/>
      <w:sz w:val="18"/>
      <w:lang w:val="en-US"/>
    </w:rPr>
  </w:style>
  <w:style w:type="paragraph" w:styleId="219">
    <w:name w:val="Основной текст с отступом219"/>
    <w:basedOn w:val="Normal"/>
    <w:qFormat/>
    <w:pPr>
      <w:ind w:firstLine="708"/>
      <w:jc w:val="both"/>
    </w:pPr>
    <w:rPr>
      <w:rFonts w:ascii="Arial" w:hAnsi="Arial" w:eastAsia="Times New Roman" w:cs="Arial"/>
      <w:b/>
      <w:sz w:val="18"/>
      <w:lang w:val="en-US"/>
    </w:rPr>
  </w:style>
  <w:style w:type="paragraph" w:styleId="220">
    <w:name w:val="Основной текст с отступом220"/>
    <w:basedOn w:val="Normal"/>
    <w:qFormat/>
    <w:pPr>
      <w:ind w:firstLine="708"/>
      <w:jc w:val="both"/>
    </w:pPr>
    <w:rPr>
      <w:rFonts w:ascii="Arial" w:hAnsi="Arial" w:eastAsia="Times New Roman" w:cs="Arial"/>
      <w:b/>
      <w:sz w:val="18"/>
      <w:lang w:val="en-US"/>
    </w:rPr>
  </w:style>
  <w:style w:type="paragraph" w:styleId="Style29">
    <w:name w:val="Без интервала"/>
    <w:qFormat/>
    <w:pPr>
      <w:widowControl/>
    </w:pPr>
    <w:rPr>
      <w:rFonts w:ascii="Times New Roman" w:hAnsi="Times New Roman" w:eastAsia="Times New Roman" w:cs="Times New Roman"/>
      <w:color w:val="auto"/>
      <w:sz w:val="24"/>
      <w:szCs w:val="24"/>
      <w:lang w:val="ru-RU" w:bidi="ar-SA" w:eastAsia="zh-CN"/>
    </w:rPr>
  </w:style>
  <w:style w:type="paragraph" w:styleId="2211">
    <w:name w:val="Основной текст с отступом221"/>
    <w:basedOn w:val="Normal"/>
    <w:qFormat/>
    <w:pPr>
      <w:ind w:firstLine="708"/>
      <w:jc w:val="both"/>
    </w:pPr>
    <w:rPr>
      <w:rFonts w:ascii="Arial" w:hAnsi="Arial" w:eastAsia="Times New Roman" w:cs="Arial"/>
      <w:b/>
      <w:sz w:val="18"/>
      <w:lang w:val="en-US"/>
    </w:rPr>
  </w:style>
  <w:style w:type="paragraph" w:styleId="2231">
    <w:name w:val="Основной текст с отступом223"/>
    <w:basedOn w:val="Normal"/>
    <w:qFormat/>
    <w:pPr>
      <w:ind w:firstLine="708"/>
      <w:jc w:val="both"/>
    </w:pPr>
    <w:rPr>
      <w:rFonts w:ascii="Arial" w:hAnsi="Arial" w:eastAsia="Times New Roman" w:cs="Arial"/>
      <w:b/>
      <w:sz w:val="18"/>
      <w:lang w:val="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yperlink" Target="https://www.whocc.no/atc_ddd_index/" TargetMode="External"/><Relationship Id="rId8" Type="http://schemas.openxmlformats.org/officeDocument/2006/relationships/hyperlink" Target="https://www.whocc.no/atc_ddd_index/" TargetMode="External"/><Relationship Id="rId9" Type="http://schemas.openxmlformats.org/officeDocument/2006/relationships/hyperlink" Target="https://www.whocc.no/atc_ddd_index/" TargetMode="Externa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15</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2026-09-25T08:03:00Z</dcterms:created>
  <dc:creator>Valentina</dc:creator>
  <dc:description/>
  <dc:language>ru-RU</dc:language>
  <cp:lastModifiedBy>Кунцевич Олена Іванівна</cp:lastModifiedBy>
  <cp:lastPrinted>2025-11-12T16:00:00Z</cp:lastPrinted>
  <dcterms:modified xsi:type="dcterms:W3CDTF">2026-09-25T10:16:00Z</dcterms:modified>
  <cp:revision>8</cp:revision>
  <dc:subject/>
  <dc:title/>
</cp:coreProperties>
</file>