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gif" PartName="/word/media/document_image_rId3.gif"/>
  <Override ContentType="image/png" PartName="/word/media/document_image_rId4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f64ab" w14:textId="81f64ab">
      <w:pPr>
        <w:spacing w:after="0"/>
        <w:ind w:left="0"/>
        <w:jc w:val="center"/>
        <w15:collapsed w:val="false"/>
      </w:pPr>
      <w:bookmarkStart w:name="1" w:id="0"/>
      <w:r>
        <w:drawing>
          <wp:inline distT="0" distB="0" distL="0" distR="0">
            <wp:extent cx="711200" cy="119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Start w:name="2" w:id="1"/>
    <w:p>
      <w:pPr>
        <w:spacing w:after="0"/>
        <w:ind w:left="0"/>
        <w:jc w:val="center"/>
      </w:pPr>
      <w:r>
        <w:rPr>
          <w:rFonts w:ascii="Arial"/>
          <w:b/>
          <w:i w:val="false"/>
          <w:color w:val="000000"/>
          <w:sz w:val="21"/>
        </w:rPr>
        <w:t>МІНІСТЕРСТВО ОХОРОНИ ЗДОРОВ'Я УКРАЇНИ</w:t>
      </w:r>
    </w:p>
    <w:bookmarkEnd w:id="1"/>
    <w:bookmarkStart w:name="3" w:id="2"/>
    <w:p>
      <w:pPr>
        <w:pStyle w:val="Heading2"/>
        <w:spacing w:after="0"/>
        <w:ind w:left="0"/>
        <w:jc w:val="center"/>
      </w:pPr>
      <w:r>
        <w:rPr>
          <w:rFonts w:ascii="Arial"/>
          <w:color w:val="000000"/>
          <w:sz w:val="27"/>
        </w:rPr>
        <w:t>НАКАЗ</w:t>
      </w:r>
    </w:p>
    <w:bookmarkEnd w:id="2"/>
    <w:bookmarkStart w:name="4" w:id="3"/>
    <w:p>
      <w:pPr>
        <w:spacing w:after="0"/>
        <w:ind w:left="0"/>
        <w:jc w:val="center"/>
      </w:pPr>
      <w:r>
        <w:rPr>
          <w:rFonts w:ascii="Arial"/>
          <w:b/>
          <w:i w:val="false"/>
          <w:color w:val="000000"/>
          <w:sz w:val="18"/>
        </w:rPr>
        <w:t>від 26 лютого 2021 року N 365</w:t>
      </w:r>
    </w:p>
    <w:bookmarkEnd w:id="3"/>
    <w:bookmarkStart w:name="5" w:id="4"/>
    <w:p>
      <w:pPr>
        <w:pStyle w:val="Heading2"/>
        <w:spacing w:after="0"/>
        <w:ind w:left="0"/>
        <w:jc w:val="center"/>
      </w:pPr>
      <w:r>
        <w:rPr>
          <w:rFonts w:ascii="Arial"/>
          <w:color w:val="000000"/>
          <w:sz w:val="27"/>
        </w:rPr>
        <w:t>Про утворення та затвердження складу робочої групи з впровадження оцінки медичних технологій (Health technology assessment)</w:t>
      </w:r>
    </w:p>
    <w:bookmarkEnd w:id="4"/>
    <w:bookmarkStart w:name="6" w:id="5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 xml:space="preserve">Відповідно до </w:t>
      </w:r>
      <w:r>
        <w:rPr>
          <w:rFonts w:ascii="Arial"/>
          <w:b w:val="false"/>
          <w:i w:val="false"/>
          <w:color w:val="000000"/>
          <w:sz w:val="18"/>
        </w:rPr>
        <w:t>підпункту 3 пункту 6</w:t>
      </w:r>
      <w:r>
        <w:rPr>
          <w:rFonts w:ascii="Arial"/>
          <w:b w:val="false"/>
          <w:i w:val="false"/>
          <w:color w:val="000000"/>
          <w:sz w:val="18"/>
        </w:rPr>
        <w:t xml:space="preserve">, </w:t>
      </w:r>
      <w:r>
        <w:rPr>
          <w:rFonts w:ascii="Arial"/>
          <w:b w:val="false"/>
          <w:i w:val="false"/>
          <w:color w:val="000000"/>
          <w:sz w:val="18"/>
        </w:rPr>
        <w:t>пункту 8 Положення про Міністерство охорони здоров'я України</w:t>
      </w:r>
      <w:r>
        <w:rPr>
          <w:rFonts w:ascii="Arial"/>
          <w:b w:val="false"/>
          <w:i w:val="false"/>
          <w:color w:val="000000"/>
          <w:sz w:val="18"/>
        </w:rPr>
        <w:t xml:space="preserve">, затвердженого постановою Кабінету Міністрів України від 25 березня 2015 року N 267 (в редакції </w:t>
      </w:r>
      <w:r>
        <w:rPr>
          <w:rFonts w:ascii="Arial"/>
          <w:b w:val="false"/>
          <w:i w:val="false"/>
          <w:color w:val="000000"/>
          <w:sz w:val="18"/>
        </w:rPr>
        <w:t>постанови Кабінету Міністрів України від 24 січня 2020 року N 90</w:t>
      </w:r>
      <w:r>
        <w:rPr>
          <w:rFonts w:ascii="Arial"/>
          <w:b w:val="false"/>
          <w:i w:val="false"/>
          <w:color w:val="000000"/>
          <w:sz w:val="18"/>
        </w:rPr>
        <w:t xml:space="preserve">), та з метою впровадження оцінки медичних технологій </w:t>
      </w:r>
      <w:r>
        <w:rPr>
          <w:rFonts w:ascii="Arial"/>
          <w:b/>
          <w:i w:val="false"/>
          <w:color w:val="000000"/>
          <w:sz w:val="18"/>
        </w:rPr>
        <w:t>наказую</w:t>
      </w:r>
      <w:r>
        <w:rPr>
          <w:rFonts w:ascii="Arial"/>
          <w:b w:val="false"/>
          <w:i w:val="false"/>
          <w:color w:val="000000"/>
          <w:sz w:val="18"/>
        </w:rPr>
        <w:t>:</w:t>
      </w:r>
    </w:p>
    <w:bookmarkEnd w:id="5"/>
    <w:bookmarkStart w:name="7" w:id="6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1. Утворити та затвердити склад робочої групи з впровадження оцінки медичних технологій (Health technology assessment), що додається.</w:t>
      </w:r>
    </w:p>
    <w:bookmarkEnd w:id="6"/>
    <w:bookmarkStart w:name="8" w:id="7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2. Затвердити Положення про робочу групу з впровадження оцінки медичних технологій (Health technology assessment), що додається.</w:t>
      </w:r>
    </w:p>
    <w:bookmarkEnd w:id="7"/>
    <w:bookmarkStart w:name="9" w:id="8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3. Підпункт 6 пункту 1 наказу Міністерства охорони здоров'я від 18 грудня 2019 року N 2524 "Про утворення та затвердження складів міжвідомчих мультидисциплінарних робочих груп" визнати таким, що втратив чинність.</w:t>
      </w:r>
    </w:p>
    <w:bookmarkEnd w:id="8"/>
    <w:bookmarkStart w:name="10" w:id="9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4. Контроль за виконанням цього наказу покласти на заступника Міністра з питань європейської інтеграції І. Іващенка.</w:t>
      </w:r>
    </w:p>
    <w:bookmarkEnd w:id="9"/>
    <w:bookmarkStart w:name="11" w:id="10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 xml:space="preserve"> 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45"/>
        <w:gridCol w:w="4845"/>
      </w:tblGrid>
      <w:tr>
        <w:trPr>
          <w:trHeight w:val="30" w:hRule="atLeast"/>
        </w:trPr>
        <w:tc>
          <w:tcPr>
            <w:tcW w:w="4845" w:type="dxa"/>
            <w:tcBorders/>
            <w:vAlign w:val="bottom"/>
          </w:tcPr>
          <w:bookmarkStart w:name="12" w:id="11"/>
          <w:p>
            <w:pPr>
              <w:spacing w:after="0"/>
              <w:ind w:left="0"/>
              <w:jc w:val="center"/>
            </w:pPr>
            <w:r>
              <w:rPr>
                <w:rFonts w:ascii="Arial"/>
                <w:b/>
                <w:i w:val="false"/>
                <w:color w:val="000000"/>
                <w:sz w:val="15"/>
              </w:rPr>
              <w:t>Міністр</w:t>
            </w:r>
          </w:p>
          <w:bookmarkEnd w:id="11"/>
        </w:tc>
        <w:tc>
          <w:tcPr>
            <w:tcW w:w="4845" w:type="dxa"/>
            <w:tcBorders/>
            <w:vAlign w:val="bottom"/>
          </w:tcPr>
          <w:bookmarkStart w:name="13" w:id="12"/>
          <w:p>
            <w:pPr>
              <w:spacing w:after="0"/>
              <w:ind w:left="0"/>
              <w:jc w:val="center"/>
            </w:pPr>
            <w:r>
              <w:rPr>
                <w:rFonts w:ascii="Arial"/>
                <w:b/>
                <w:i w:val="false"/>
                <w:color w:val="000000"/>
                <w:sz w:val="15"/>
              </w:rPr>
              <w:t>Максим СТЕПАНОВ</w:t>
            </w:r>
          </w:p>
          <w:bookmarkEnd w:id="12"/>
        </w:tc>
      </w:tr>
    </w:tbl>
    <w:p>
      <w:pPr>
        <w:spacing/>
        <w:ind w:left="0"/>
        <w:jc w:val="left"/>
      </w:pPr>
      <w:r>
        <w:br/>
      </w:r>
    </w:p>
    <w:bookmarkStart w:name="14" w:id="13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 xml:space="preserve"> </w:t>
      </w:r>
    </w:p>
    <w:bookmarkEnd w:id="13"/>
    <w:bookmarkStart w:name="15" w:id="14"/>
    <w:p>
      <w:pPr>
        <w:spacing w:after="0"/>
        <w:ind w:firstLine="240"/>
        <w:jc w:val="right"/>
      </w:pPr>
      <w:r>
        <w:rPr>
          <w:rFonts w:ascii="Arial"/>
          <w:b w:val="false"/>
          <w:i w:val="false"/>
          <w:color w:val="000000"/>
          <w:sz w:val="18"/>
        </w:rPr>
        <w:t>ЗАТВЕРДЖЕНО</w:t>
      </w:r>
      <w:r>
        <w:br/>
      </w:r>
      <w:r>
        <w:rPr>
          <w:rFonts w:ascii="Arial"/>
          <w:b w:val="false"/>
          <w:i w:val="false"/>
          <w:color w:val="000000"/>
          <w:sz w:val="18"/>
        </w:rPr>
        <w:t>Наказ Міністерства охорони здоров'я України</w:t>
      </w:r>
      <w:r>
        <w:br/>
      </w:r>
      <w:r>
        <w:rPr>
          <w:rFonts w:ascii="Arial"/>
          <w:b w:val="false"/>
          <w:i w:val="false"/>
          <w:color w:val="000000"/>
          <w:sz w:val="18"/>
        </w:rPr>
        <w:t>26 лютого 2021 року N 365</w:t>
      </w:r>
    </w:p>
    <w:bookmarkEnd w:id="14"/>
    <w:bookmarkStart w:name="16" w:id="15"/>
    <w:p>
      <w:pPr>
        <w:pStyle w:val="Heading3"/>
        <w:spacing w:after="0"/>
        <w:ind w:left="0"/>
        <w:jc w:val="center"/>
      </w:pPr>
      <w:r>
        <w:rPr>
          <w:rFonts w:ascii="Arial"/>
          <w:color w:val="000000"/>
          <w:sz w:val="27"/>
        </w:rPr>
        <w:t>Склад</w:t>
      </w:r>
      <w:r>
        <w:br/>
      </w:r>
      <w:r>
        <w:rPr>
          <w:rFonts w:ascii="Arial"/>
          <w:color w:val="000000"/>
          <w:sz w:val="27"/>
        </w:rPr>
        <w:t>робочої групи з впровадження оцінки медичних технологій (Health technology assessment)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907"/>
        <w:gridCol w:w="6783"/>
      </w:tblGrid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17" w:id="16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Іващенко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Ігор Анатолійович</w:t>
            </w:r>
          </w:p>
          <w:bookmarkEnd w:id="16"/>
        </w:tc>
        <w:tc>
          <w:tcPr>
            <w:tcW w:w="6783" w:type="dxa"/>
            <w:tcBorders/>
            <w:vAlign w:val="top"/>
          </w:tcPr>
          <w:bookmarkStart w:name="18" w:id="17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заступник Міністра охорони здоров'я України з питань європейської інтеграції, голова робочої групи;</w:t>
            </w:r>
          </w:p>
          <w:bookmarkEnd w:id="17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19" w:id="18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Піняжко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Ореста Богданівна</w:t>
            </w:r>
          </w:p>
          <w:bookmarkEnd w:id="18"/>
        </w:tc>
        <w:tc>
          <w:tcPr>
            <w:tcW w:w="6783" w:type="dxa"/>
            <w:tcBorders/>
            <w:vAlign w:val="top"/>
          </w:tcPr>
          <w:bookmarkStart w:name="20" w:id="19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директор Департаменту оцінки медичних технологій ДП "Державний експертний центр МОЗ України", заступник голови робочої групи;</w:t>
            </w:r>
          </w:p>
          <w:bookmarkEnd w:id="19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21" w:id="20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Комаріда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Олександр Олегович</w:t>
            </w:r>
          </w:p>
          <w:bookmarkEnd w:id="20"/>
        </w:tc>
        <w:tc>
          <w:tcPr>
            <w:tcW w:w="6783" w:type="dxa"/>
            <w:tcBorders/>
            <w:vAlign w:val="top"/>
          </w:tcPr>
          <w:bookmarkStart w:name="22" w:id="21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генеральний директор Директорату фармацевтичного забезпечення МОЗ України;</w:t>
            </w:r>
          </w:p>
          <w:bookmarkEnd w:id="21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23" w:id="22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Косяченко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Костянтин Леонідович</w:t>
            </w:r>
          </w:p>
          <w:bookmarkEnd w:id="22"/>
        </w:tc>
        <w:tc>
          <w:tcPr>
            <w:tcW w:w="6783" w:type="dxa"/>
            <w:tcBorders/>
            <w:vAlign w:val="top"/>
          </w:tcPr>
          <w:bookmarkStart w:name="24" w:id="23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завідувач Кафедри організації та економіки фармації Національного медичного університету ім. О. О. Богомольця, радник Міністра охорони здоров'я України на громадських засадах;</w:t>
            </w:r>
          </w:p>
          <w:bookmarkEnd w:id="23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25" w:id="24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Орабіна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Тетяна Миколаївна</w:t>
            </w:r>
          </w:p>
          <w:bookmarkEnd w:id="24"/>
        </w:tc>
        <w:tc>
          <w:tcPr>
            <w:tcW w:w="6783" w:type="dxa"/>
            <w:tcBorders/>
            <w:vAlign w:val="top"/>
          </w:tcPr>
          <w:bookmarkStart w:name="26" w:id="25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в. о. генерального директора Директорату медичних кадрів, освіти і науки МОЗ України;</w:t>
            </w:r>
          </w:p>
          <w:bookmarkEnd w:id="25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27" w:id="26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Ідоятова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Євгенія Жумагаліївна</w:t>
            </w:r>
          </w:p>
          <w:bookmarkEnd w:id="26"/>
        </w:tc>
        <w:tc>
          <w:tcPr>
            <w:tcW w:w="6783" w:type="dxa"/>
            <w:tcBorders/>
            <w:vAlign w:val="top"/>
          </w:tcPr>
          <w:bookmarkStart w:name="28" w:id="27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в. о. генерального директора Директорату медичного забезпечення МОЗ України;</w:t>
            </w:r>
          </w:p>
          <w:bookmarkEnd w:id="27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29" w:id="28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Гріценко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Олександр Володимирович</w:t>
            </w:r>
          </w:p>
          <w:bookmarkEnd w:id="28"/>
        </w:tc>
        <w:tc>
          <w:tcPr>
            <w:tcW w:w="6783" w:type="dxa"/>
            <w:tcBorders/>
            <w:vAlign w:val="top"/>
          </w:tcPr>
          <w:bookmarkStart w:name="30" w:id="29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керівник експертної групи з питань раціонального застосування лікарських засобів Директорату фармацевтичного забезпечення МОЗ України;</w:t>
            </w:r>
          </w:p>
          <w:bookmarkEnd w:id="29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31" w:id="30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Правило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Олександр Іванович</w:t>
            </w:r>
          </w:p>
          <w:bookmarkEnd w:id="30"/>
        </w:tc>
        <w:tc>
          <w:tcPr>
            <w:tcW w:w="6783" w:type="dxa"/>
            <w:tcBorders/>
            <w:vAlign w:val="top"/>
          </w:tcPr>
          <w:bookmarkStart w:name="32" w:id="31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заступник директора Департаменту - начальник відділу юридичної експертизи Юридичного департаменту МОЗ України;</w:t>
            </w:r>
          </w:p>
          <w:bookmarkEnd w:id="31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33" w:id="32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Гончар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Євгеній В'ячеславович</w:t>
            </w:r>
          </w:p>
          <w:bookmarkEnd w:id="32"/>
        </w:tc>
        <w:tc>
          <w:tcPr>
            <w:tcW w:w="6783" w:type="dxa"/>
            <w:tcBorders/>
            <w:vAlign w:val="top"/>
          </w:tcPr>
          <w:bookmarkStart w:name="34" w:id="33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державний експерт експертної групи з питань спеціалізованої медичної допомоги Директорату медичного забезпечення МОЗ України;</w:t>
            </w:r>
          </w:p>
          <w:bookmarkEnd w:id="33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35" w:id="34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Мельник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Євгенія Олександрівна</w:t>
            </w:r>
          </w:p>
          <w:bookmarkEnd w:id="34"/>
        </w:tc>
        <w:tc>
          <w:tcPr>
            <w:tcW w:w="6783" w:type="dxa"/>
            <w:tcBorders/>
            <w:vAlign w:val="top"/>
          </w:tcPr>
          <w:bookmarkStart w:name="36" w:id="35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заступник начальника відділу взаємодії із зовнішніми експертами управління фінансових гарантій медичного обслуговування Департаменту замовлення медичних послуг та лікарських засобів НСЗУ (за згодою);</w:t>
            </w:r>
          </w:p>
          <w:bookmarkEnd w:id="35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37" w:id="36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Олещук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Олександра Михайлівна</w:t>
            </w:r>
          </w:p>
          <w:bookmarkEnd w:id="36"/>
        </w:tc>
        <w:tc>
          <w:tcPr>
            <w:tcW w:w="6783" w:type="dxa"/>
            <w:tcBorders/>
            <w:vAlign w:val="top"/>
          </w:tcPr>
          <w:bookmarkStart w:name="38" w:id="37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завідувач кафедри фармакології з клінічною фармакологією Державного вищого навчального закладу "Тернопільський державний медичний університет імені І. Я. Горбачевського МОЗ України;</w:t>
            </w:r>
          </w:p>
          <w:bookmarkEnd w:id="37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39" w:id="38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Топачевський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Олександр Андрійович</w:t>
            </w:r>
          </w:p>
          <w:bookmarkEnd w:id="38"/>
        </w:tc>
        <w:tc>
          <w:tcPr>
            <w:tcW w:w="6783" w:type="dxa"/>
            <w:tcBorders/>
            <w:vAlign w:val="top"/>
          </w:tcPr>
          <w:bookmarkStart w:name="40" w:id="39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виконавчий директор "Digital Health Outcomes" (за згодою);</w:t>
            </w:r>
          </w:p>
          <w:bookmarkEnd w:id="39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41" w:id="40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Заліська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Ольга Миколаївна</w:t>
            </w:r>
          </w:p>
          <w:bookmarkEnd w:id="40"/>
        </w:tc>
        <w:tc>
          <w:tcPr>
            <w:tcW w:w="6783" w:type="dxa"/>
            <w:tcBorders/>
            <w:vAlign w:val="top"/>
          </w:tcPr>
          <w:bookmarkStart w:name="42" w:id="41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завідувач кафедри організації і економіки фармації, технології ліків та фармакоекономіки ФПДО, Львівський національний медичний університет ім. Данила Галицького;</w:t>
            </w:r>
          </w:p>
          <w:bookmarkEnd w:id="41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43" w:id="42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Немченко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Алла Семенівна</w:t>
            </w:r>
          </w:p>
          <w:bookmarkEnd w:id="42"/>
        </w:tc>
        <w:tc>
          <w:tcPr>
            <w:tcW w:w="6783" w:type="dxa"/>
            <w:tcBorders/>
            <w:vAlign w:val="top"/>
          </w:tcPr>
          <w:bookmarkStart w:name="44" w:id="43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завідувач кафедри організації та економіки фармації Національного фармацевтичного університету;</w:t>
            </w:r>
          </w:p>
          <w:bookmarkEnd w:id="43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45" w:id="44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Морозова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Марія Анатоліївна</w:t>
            </w:r>
          </w:p>
          <w:bookmarkEnd w:id="44"/>
        </w:tc>
        <w:tc>
          <w:tcPr>
            <w:tcW w:w="6783" w:type="dxa"/>
            <w:tcBorders/>
            <w:vAlign w:val="top"/>
          </w:tcPr>
          <w:bookmarkStart w:name="46" w:id="45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начальник відділу категорійного менеджменту ДП "Медичні закупівлі України";</w:t>
            </w:r>
          </w:p>
          <w:bookmarkEnd w:id="45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47" w:id="46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Кахведжі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Рабія</w:t>
            </w:r>
          </w:p>
          <w:bookmarkEnd w:id="46"/>
        </w:tc>
        <w:tc>
          <w:tcPr>
            <w:tcW w:w="6783" w:type="dxa"/>
            <w:tcBorders/>
            <w:vAlign w:val="top"/>
          </w:tcPr>
          <w:bookmarkStart w:name="48" w:id="47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старший технічний радник, проєкт "Безпечні, доступні та ефективні ліки для українців" (SAFEMed) (за згодою);</w:t>
            </w:r>
          </w:p>
          <w:bookmarkEnd w:id="47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49" w:id="48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Заморська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Тетяна Іванівна</w:t>
            </w:r>
          </w:p>
          <w:bookmarkEnd w:id="48"/>
        </w:tc>
        <w:tc>
          <w:tcPr>
            <w:tcW w:w="6783" w:type="dxa"/>
            <w:tcBorders/>
            <w:vAlign w:val="top"/>
          </w:tcPr>
          <w:bookmarkStart w:name="50" w:id="49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член ради Громадської спілки "Орфанні захворювання України" (за згодою);</w:t>
            </w:r>
          </w:p>
          <w:bookmarkEnd w:id="49"/>
        </w:tc>
      </w:tr>
      <w:tr>
        <w:trPr>
          <w:trHeight w:val="120" w:hRule="atLeast"/>
        </w:trPr>
        <w:tc>
          <w:tcPr>
            <w:tcW w:w="2907" w:type="dxa"/>
            <w:tcBorders/>
            <w:vAlign w:val="top"/>
          </w:tcPr>
          <w:bookmarkStart w:name="51" w:id="50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Машейко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Альона Миколаївна</w:t>
            </w:r>
          </w:p>
          <w:bookmarkEnd w:id="50"/>
        </w:tc>
        <w:tc>
          <w:tcPr>
            <w:tcW w:w="6783" w:type="dxa"/>
            <w:tcBorders/>
            <w:vAlign w:val="top"/>
          </w:tcPr>
          <w:bookmarkStart w:name="52" w:id="51"/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5"/>
              </w:rPr>
              <w:t>начальник відділу оцінки економічної ефективності лікарських засобів Департаменту оцінки медичних технологій ДП "Державний експертний центр МОЗ України", секретар робочої групи.</w:t>
            </w:r>
          </w:p>
          <w:bookmarkEnd w:id="51"/>
        </w:tc>
      </w:tr>
    </w:tbl>
    <w:p>
      <w:pPr>
        <w:spacing/>
        <w:ind w:left="0"/>
        <w:jc w:val="left"/>
      </w:pPr>
      <w:r>
        <w:br/>
      </w:r>
    </w:p>
    <w:bookmarkStart w:name="53" w:id="52"/>
    <w:p>
      <w:pPr>
        <w:spacing w:after="0"/>
        <w:ind w:firstLine="240"/>
        <w:jc w:val="left"/>
      </w:pPr>
      <w:r>
        <w:rPr>
          <w:rFonts w:ascii="Arial"/>
          <w:b/>
          <w:i w:val="false"/>
          <w:color w:val="000000"/>
          <w:sz w:val="18"/>
        </w:rPr>
        <w:t xml:space="preserve"> </w:t>
      </w:r>
    </w:p>
    <w:bookmarkEnd w:id="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45"/>
        <w:gridCol w:w="4845"/>
      </w:tblGrid>
      <w:tr>
        <w:trPr>
          <w:trHeight w:val="30" w:hRule="atLeast"/>
        </w:trPr>
        <w:tc>
          <w:tcPr>
            <w:tcW w:w="4845" w:type="dxa"/>
            <w:tcBorders/>
            <w:vAlign w:val="bottom"/>
          </w:tcPr>
          <w:bookmarkStart w:name="54" w:id="53"/>
          <w:p>
            <w:pPr>
              <w:spacing w:after="0"/>
              <w:ind w:left="0"/>
              <w:jc w:val="center"/>
            </w:pPr>
            <w:r>
              <w:rPr>
                <w:rFonts w:ascii="Arial"/>
                <w:b/>
                <w:i w:val="false"/>
                <w:color w:val="000000"/>
                <w:sz w:val="15"/>
              </w:rPr>
              <w:t>Генеральний директор Директорату</w:t>
            </w:r>
            <w:r>
              <w:br/>
            </w:r>
            <w:r>
              <w:rPr>
                <w:rFonts w:ascii="Arial"/>
                <w:b/>
                <w:i w:val="false"/>
                <w:color w:val="000000"/>
                <w:sz w:val="15"/>
              </w:rPr>
              <w:t>фармацевтичного забезпечення</w:t>
            </w:r>
          </w:p>
          <w:bookmarkEnd w:id="53"/>
        </w:tc>
        <w:tc>
          <w:tcPr>
            <w:tcW w:w="4845" w:type="dxa"/>
            <w:tcBorders/>
            <w:vAlign w:val="bottom"/>
          </w:tcPr>
          <w:bookmarkStart w:name="55" w:id="54"/>
          <w:p>
            <w:pPr>
              <w:spacing w:after="0"/>
              <w:ind w:left="0"/>
              <w:jc w:val="center"/>
            </w:pPr>
            <w:r>
              <w:rPr>
                <w:rFonts w:ascii="Arial"/>
                <w:b/>
                <w:i w:val="false"/>
                <w:color w:val="000000"/>
                <w:sz w:val="15"/>
              </w:rPr>
              <w:t>Олександр КОМАРІДА</w:t>
            </w:r>
          </w:p>
          <w:bookmarkEnd w:id="54"/>
        </w:tc>
      </w:tr>
    </w:tbl>
    <w:p>
      <w:pPr>
        <w:spacing/>
        <w:ind w:left="0"/>
        <w:jc w:val="left"/>
      </w:pPr>
      <w:r>
        <w:br/>
      </w:r>
    </w:p>
    <w:bookmarkStart w:name="56" w:id="55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 xml:space="preserve"> </w:t>
      </w:r>
    </w:p>
    <w:bookmarkEnd w:id="55"/>
    <w:bookmarkStart w:name="57" w:id="56"/>
    <w:p>
      <w:pPr>
        <w:spacing w:after="0"/>
        <w:ind w:firstLine="240"/>
        <w:jc w:val="right"/>
      </w:pPr>
      <w:r>
        <w:rPr>
          <w:rFonts w:ascii="Arial"/>
          <w:b w:val="false"/>
          <w:i w:val="false"/>
          <w:color w:val="000000"/>
          <w:sz w:val="18"/>
        </w:rPr>
        <w:t>ЗАТВЕРДЖЕНО</w:t>
      </w:r>
      <w:r>
        <w:br/>
      </w:r>
      <w:r>
        <w:rPr>
          <w:rFonts w:ascii="Arial"/>
          <w:b w:val="false"/>
          <w:i w:val="false"/>
          <w:color w:val="000000"/>
          <w:sz w:val="18"/>
        </w:rPr>
        <w:t>Наказ Міністерства охорони здоров'я України</w:t>
      </w:r>
      <w:r>
        <w:br/>
      </w:r>
      <w:r>
        <w:rPr>
          <w:rFonts w:ascii="Arial"/>
          <w:b w:val="false"/>
          <w:i w:val="false"/>
          <w:color w:val="000000"/>
          <w:sz w:val="18"/>
        </w:rPr>
        <w:t>26 лютого 2021 року N 365</w:t>
      </w:r>
    </w:p>
    <w:bookmarkEnd w:id="56"/>
    <w:bookmarkStart w:name="58" w:id="57"/>
    <w:p>
      <w:pPr>
        <w:pStyle w:val="Heading3"/>
        <w:spacing w:after="0"/>
        <w:ind w:left="0"/>
        <w:jc w:val="center"/>
      </w:pPr>
      <w:r>
        <w:rPr>
          <w:rFonts w:ascii="Arial"/>
          <w:color w:val="000000"/>
          <w:sz w:val="27"/>
        </w:rPr>
        <w:t>ПОЛОЖЕННЯ</w:t>
      </w:r>
      <w:r>
        <w:br/>
      </w:r>
      <w:r>
        <w:rPr>
          <w:rFonts w:ascii="Arial"/>
          <w:color w:val="000000"/>
          <w:sz w:val="27"/>
        </w:rPr>
        <w:t>про робочу групу з впровадження оцінки медичних технологій (Health technology assessment)</w:t>
      </w:r>
    </w:p>
    <w:bookmarkEnd w:id="57"/>
    <w:bookmarkStart w:name="59" w:id="58"/>
    <w:p>
      <w:pPr>
        <w:pStyle w:val="Heading3"/>
        <w:spacing w:after="0"/>
        <w:ind w:left="0"/>
        <w:jc w:val="center"/>
      </w:pPr>
      <w:r>
        <w:rPr>
          <w:rFonts w:ascii="Arial"/>
          <w:color w:val="000000"/>
          <w:sz w:val="27"/>
        </w:rPr>
        <w:t>I. Загальні положення</w:t>
      </w:r>
    </w:p>
    <w:bookmarkEnd w:id="58"/>
    <w:bookmarkStart w:name="60" w:id="59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1. Робоча група з впровадження оцінки медичних технологій (Health technology assessment) (далі - Робоча група) є консультативно-дорадчим органом Міністерства охорони здоров'я України, який утворюється з метою узгодження позицій сторін щодо оцінки медичних технологій.</w:t>
      </w:r>
    </w:p>
    <w:bookmarkEnd w:id="59"/>
    <w:bookmarkStart w:name="61" w:id="60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 xml:space="preserve">2. Робоча група у своїй діяльності керується </w:t>
      </w:r>
      <w:r>
        <w:rPr>
          <w:rFonts w:ascii="Arial"/>
          <w:b w:val="false"/>
          <w:i w:val="false"/>
          <w:color w:val="000000"/>
          <w:sz w:val="18"/>
        </w:rPr>
        <w:t>Конституцією</w:t>
      </w:r>
      <w:r>
        <w:rPr>
          <w:rFonts w:ascii="Arial"/>
          <w:b w:val="false"/>
          <w:i w:val="false"/>
          <w:color w:val="000000"/>
          <w:sz w:val="18"/>
        </w:rPr>
        <w:t xml:space="preserve"> та законами України, актами Президента України та Кабінету Міністрів України, наказами Міністерства охорони здоров'я України, іншими нормативно-правовими актами, а також цим Положенням.</w:t>
      </w:r>
    </w:p>
    <w:bookmarkEnd w:id="60"/>
    <w:bookmarkStart w:name="62" w:id="61"/>
    <w:p>
      <w:pPr>
        <w:pStyle w:val="Heading3"/>
        <w:spacing w:after="0"/>
        <w:ind w:left="0"/>
        <w:jc w:val="center"/>
      </w:pPr>
      <w:r>
        <w:rPr>
          <w:rFonts w:ascii="Arial"/>
          <w:color w:val="000000"/>
          <w:sz w:val="27"/>
        </w:rPr>
        <w:t>II. Основні завдання та функції Робочої групи</w:t>
      </w:r>
    </w:p>
    <w:bookmarkEnd w:id="61"/>
    <w:bookmarkStart w:name="63" w:id="62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1. Основним завданням Робочої групи є надання обґрунтованих пропозицій щодо удосконалення та впровадження оцінки медичних технологій.</w:t>
      </w:r>
    </w:p>
    <w:bookmarkEnd w:id="62"/>
    <w:bookmarkStart w:name="64" w:id="63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2. Робоча група відповідно до покладених на неї завдань надає пропозиції щодо:</w:t>
      </w:r>
    </w:p>
    <w:bookmarkEnd w:id="63"/>
    <w:bookmarkStart w:name="65" w:id="64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внесення змін до чинних та розроблення нових нормативно-правових актів щодо оцінки медичних технологій;</w:t>
      </w:r>
    </w:p>
    <w:bookmarkEnd w:id="64"/>
    <w:bookmarkStart w:name="66" w:id="65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розробки та впровадження оцінки медичних технологій;</w:t>
      </w:r>
    </w:p>
    <w:bookmarkEnd w:id="65"/>
    <w:bookmarkStart w:name="67" w:id="66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комунікативних планів заходів щодо висвітлення питань за напрямками.</w:t>
      </w:r>
    </w:p>
    <w:bookmarkEnd w:id="66"/>
    <w:bookmarkStart w:name="68" w:id="67"/>
    <w:p>
      <w:pPr>
        <w:pStyle w:val="Heading3"/>
        <w:spacing w:after="0"/>
        <w:ind w:left="0"/>
        <w:jc w:val="center"/>
      </w:pPr>
      <w:r>
        <w:rPr>
          <w:rFonts w:ascii="Arial"/>
          <w:color w:val="000000"/>
          <w:sz w:val="27"/>
        </w:rPr>
        <w:t>III. Формування Робочої групи</w:t>
      </w:r>
    </w:p>
    <w:bookmarkEnd w:id="67"/>
    <w:bookmarkStart w:name="69" w:id="68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1. Склад Робочої групи затверджується наказом Міністерства охорони здоров'я України.</w:t>
      </w:r>
    </w:p>
    <w:bookmarkEnd w:id="68"/>
    <w:bookmarkStart w:name="70" w:id="69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2. До складу Робочої групи входять: голова, заступник голови, секретар, члени групи.</w:t>
      </w:r>
    </w:p>
    <w:bookmarkEnd w:id="69"/>
    <w:bookmarkStart w:name="71" w:id="70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3. Робоча група формується з представників Міністерства охорони здоров'я України та підприємств, установ та організацій, що належать до сфери управління Міністерства охорони здоров'я України.</w:t>
      </w:r>
    </w:p>
    <w:bookmarkEnd w:id="70"/>
    <w:bookmarkStart w:name="72" w:id="71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4. До роботи Робочої групи можуть залучатись представники інших центральних органів виконавчої влади, експерти, представники громадських об'єднань та народні депутати України (за згодою).</w:t>
      </w:r>
    </w:p>
    <w:bookmarkEnd w:id="71"/>
    <w:bookmarkStart w:name="73" w:id="72"/>
    <w:p>
      <w:pPr>
        <w:pStyle w:val="Heading3"/>
        <w:spacing w:after="0"/>
        <w:ind w:left="0"/>
        <w:jc w:val="center"/>
      </w:pPr>
      <w:r>
        <w:rPr>
          <w:rFonts w:ascii="Arial"/>
          <w:color w:val="000000"/>
          <w:sz w:val="27"/>
        </w:rPr>
        <w:t>IV. Права та обов'язки голови, секретаря та членів Робочої групи</w:t>
      </w:r>
    </w:p>
    <w:bookmarkEnd w:id="72"/>
    <w:bookmarkStart w:name="74" w:id="73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1. Голова Робочої групи здійснює загальне керівництво роботою Робочої групи.</w:t>
      </w:r>
    </w:p>
    <w:bookmarkEnd w:id="73"/>
    <w:bookmarkStart w:name="75" w:id="74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У разі відсутності голови його обов'язки виконує заступник голови Робочої групи.</w:t>
      </w:r>
    </w:p>
    <w:bookmarkEnd w:id="74"/>
    <w:bookmarkStart w:name="76" w:id="75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2. Голова Робочої групи:</w:t>
      </w:r>
    </w:p>
    <w:bookmarkEnd w:id="75"/>
    <w:bookmarkStart w:name="77" w:id="76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формує та затверджує порядок денний засідання Робочої групи;</w:t>
      </w:r>
    </w:p>
    <w:bookmarkEnd w:id="76"/>
    <w:bookmarkStart w:name="78" w:id="77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взаємодіє в установленому порядку з органами державної влади та місцевого самоврядування, підприємствами, установами та організаціями незалежно від форм власності;</w:t>
      </w:r>
    </w:p>
    <w:bookmarkEnd w:id="77"/>
    <w:bookmarkStart w:name="79" w:id="78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забезпечує отримання в установленому порядку від державних органів та органів місцевого самоврядування, науково-дослідних установ, закладів охорони здоров'я необхідну інформацію;</w:t>
      </w:r>
    </w:p>
    <w:bookmarkEnd w:id="78"/>
    <w:bookmarkStart w:name="80" w:id="79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має право запрошувати на засідання експертів з питань, що розглядаються, зокрема, представників інших органів виконавчої влади та місцевого самоврядування, підприємств, установ та організацій незалежно від форм власності, громадських та інших організацій тощо;</w:t>
      </w:r>
    </w:p>
    <w:bookmarkEnd w:id="79"/>
    <w:bookmarkStart w:name="81" w:id="80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співпрацює з міжнародними та національними недержавними організаціями та об'єднаннями громадян з відповідних питань;</w:t>
      </w:r>
    </w:p>
    <w:bookmarkEnd w:id="80"/>
    <w:bookmarkStart w:name="82" w:id="81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підписує документи;</w:t>
      </w:r>
    </w:p>
    <w:bookmarkEnd w:id="81"/>
    <w:bookmarkStart w:name="83" w:id="82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подає в установленому порядку МОЗ України пропозицій з питань за напрямками;</w:t>
      </w:r>
    </w:p>
    <w:bookmarkEnd w:id="82"/>
    <w:bookmarkStart w:name="84" w:id="83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здійснює інші права, пов'язані із виконанням завдань Робочої групи, передбачені цим положенням.</w:t>
      </w:r>
    </w:p>
    <w:bookmarkEnd w:id="83"/>
    <w:bookmarkStart w:name="85" w:id="84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3. Секретар Робочої групи має право надавати голові Робочої групи та його заступнику пропозиції щодо організації проведення засідання Робочої групи.</w:t>
      </w:r>
    </w:p>
    <w:bookmarkEnd w:id="84"/>
    <w:bookmarkStart w:name="86" w:id="85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4. Секретар Робочої групи:</w:t>
      </w:r>
    </w:p>
    <w:bookmarkEnd w:id="85"/>
    <w:bookmarkStart w:name="87" w:id="86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бере участь у формуванні порядку денного засідання Робочої групи;</w:t>
      </w:r>
    </w:p>
    <w:bookmarkEnd w:id="86"/>
    <w:bookmarkStart w:name="88" w:id="87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здійснює інформаційне забезпечення голови Робочої групи та її членів з питань діяльності Робочої групи;</w:t>
      </w:r>
    </w:p>
    <w:bookmarkEnd w:id="87"/>
    <w:bookmarkStart w:name="89" w:id="88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організовує підготовку і проведення засідань Робочої групи;</w:t>
      </w:r>
    </w:p>
    <w:bookmarkEnd w:id="88"/>
    <w:bookmarkStart w:name="90" w:id="89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веде та подає на підпис голові Робочої групи протоколи засідань та іншу документацію, що стосується роботи Робочої групи.</w:t>
      </w:r>
    </w:p>
    <w:bookmarkEnd w:id="89"/>
    <w:bookmarkStart w:name="91" w:id="90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5. Члени Робочої групи:</w:t>
      </w:r>
    </w:p>
    <w:bookmarkEnd w:id="90"/>
    <w:bookmarkStart w:name="92" w:id="91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беруть участь у засіданнях Робочої групи;</w:t>
      </w:r>
    </w:p>
    <w:bookmarkEnd w:id="91"/>
    <w:bookmarkStart w:name="93" w:id="92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беруть участь у обговоренні питань, що розглядаються на засіданні та мають право вносити свої пропозиції;</w:t>
      </w:r>
    </w:p>
    <w:bookmarkEnd w:id="92"/>
    <w:bookmarkStart w:name="94" w:id="93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беруть участь в опрацюванні матеріалів, поданих до розгляду на засідання Робочої групи;</w:t>
      </w:r>
    </w:p>
    <w:bookmarkEnd w:id="93"/>
    <w:bookmarkStart w:name="95" w:id="94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забезпечують об'єктивність та неупередженість у наданні рекомендацій за напрямками;</w:t>
      </w:r>
    </w:p>
    <w:bookmarkEnd w:id="94"/>
    <w:bookmarkStart w:name="96" w:id="95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мають право взаємодіяти в установленому порядку з органами державної влади та місцевого самоврядування, підприємствами, установами та організаціями незалежно від форм власності, отримувати від них в установленому порядку інформацію в межах своєї компетенції;</w:t>
      </w:r>
    </w:p>
    <w:bookmarkEnd w:id="95"/>
    <w:bookmarkStart w:name="97" w:id="96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виконують доручення голови Робочої групи та його заступника щодо підготовки окремих питань, які виносяться на розгляд засідання Робочої групи.</w:t>
      </w:r>
    </w:p>
    <w:bookmarkEnd w:id="96"/>
    <w:bookmarkStart w:name="98" w:id="97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6. Члени Робочої групи з метою виконання завдань зобов'язані:</w:t>
      </w:r>
    </w:p>
    <w:bookmarkEnd w:id="97"/>
    <w:bookmarkStart w:name="99" w:id="98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брати активну участь у роботі Робочої групи;</w:t>
      </w:r>
    </w:p>
    <w:bookmarkEnd w:id="98"/>
    <w:bookmarkStart w:name="100" w:id="99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голосувати на засіданнях;</w:t>
      </w:r>
    </w:p>
    <w:bookmarkEnd w:id="99"/>
    <w:bookmarkStart w:name="101" w:id="100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повідомляти секретаря Робочої групи про неможливість участі в засіданні в порядку, визначеному цим положенням;</w:t>
      </w:r>
    </w:p>
    <w:bookmarkEnd w:id="100"/>
    <w:bookmarkStart w:name="102" w:id="101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виконувати протокольні рішення;</w:t>
      </w:r>
    </w:p>
    <w:bookmarkEnd w:id="101"/>
    <w:bookmarkStart w:name="103" w:id="102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не передавати матеріали, отримані на засіданні Робочої групи без рішення Робочої групи;</w:t>
      </w:r>
    </w:p>
    <w:bookmarkEnd w:id="102"/>
    <w:bookmarkStart w:name="104" w:id="103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приймати до розгляду питання та надавати рекомендації щодо питань за напрямками;</w:t>
      </w:r>
    </w:p>
    <w:bookmarkEnd w:id="103"/>
    <w:bookmarkStart w:name="105" w:id="104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здійснювати експертно-аналітичну роботу та надавати науково-методичну допомогу за напрямками;</w:t>
      </w:r>
    </w:p>
    <w:bookmarkEnd w:id="104"/>
    <w:bookmarkStart w:name="106" w:id="105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запобігти та здійснювати заходи щодо врегулювання конфлікту інтересів у діяльності членів Робочої групи.</w:t>
      </w:r>
    </w:p>
    <w:bookmarkEnd w:id="105"/>
    <w:bookmarkStart w:name="107" w:id="106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7. Голова, заступник голови, секретар та члени Робочої групи зобов'язані не розголошувати інформацію, яка стала їм відома у зв'язку з роботою у Робочій групі.</w:t>
      </w:r>
    </w:p>
    <w:bookmarkEnd w:id="106"/>
    <w:bookmarkStart w:name="108" w:id="107"/>
    <w:p>
      <w:pPr>
        <w:pStyle w:val="Heading3"/>
        <w:spacing w:after="0"/>
        <w:ind w:left="0"/>
        <w:jc w:val="center"/>
      </w:pPr>
      <w:r>
        <w:rPr>
          <w:rFonts w:ascii="Arial"/>
          <w:color w:val="000000"/>
          <w:sz w:val="27"/>
        </w:rPr>
        <w:t>V. Організація діяльності Робочої групи</w:t>
      </w:r>
    </w:p>
    <w:bookmarkEnd w:id="107"/>
    <w:bookmarkStart w:name="109" w:id="108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1. Організаційною формою роботи Робочої групи є засідання. Засідання можуть проводитися у відкритій або закритій формі. У разі необхідності, засідання Робочої групи можуть проводитися в закритому режимі, без участі сторонніх осіб та ЗМІ.</w:t>
      </w:r>
    </w:p>
    <w:bookmarkEnd w:id="108"/>
    <w:bookmarkStart w:name="110" w:id="109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2. Дата, час, місце проведення та порядок денний засідання Робочої групи визначаються її головою (у разі його відсутності - заступником голови). Про проведення засідання членів Робочої групи та запрошених осіб повідомляє секретар Робочої групи за дорученням голови Робочої групи завчасно, але не пізніше ніж за 5 днів до засідання.</w:t>
      </w:r>
    </w:p>
    <w:bookmarkEnd w:id="109"/>
    <w:bookmarkStart w:name="111" w:id="110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3. Засідання Робочої групи проводить голова, у разі його відсутності засідання проводить його заступник.</w:t>
      </w:r>
    </w:p>
    <w:bookmarkEnd w:id="110"/>
    <w:bookmarkStart w:name="112" w:id="111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4. Члени Робочої групи беруть участь у засіданнях особисто. Якщо член Робочої групи не може бути присутнім на засіданні, він зобов'язаний повідомити про це електронною поштою або телефоном секретаря Робочої групи не пізніше, ніж за 2 дні до дати проведення засідання.</w:t>
      </w:r>
    </w:p>
    <w:bookmarkEnd w:id="111"/>
    <w:bookmarkStart w:name="113" w:id="112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5. Засідання Робочої групи вважається правомочним за присутності не менше половини від затвердженої кількості членів Робочої групи.</w:t>
      </w:r>
    </w:p>
    <w:bookmarkEnd w:id="112"/>
    <w:bookmarkStart w:name="114" w:id="113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6. Рішення Робочої групи мають рекомендаційний характер, приймаються шляхом голосування і вважаються прийнятими, якщо за нього проголосувала більшість присутніх на засіданні членів Робочої групи. При рівності голосів "за" і "проти" вирішальний голос належить голові Робочої групи, а у разі його відсутності - головуючому на засіданні. Член Робочої групи може висловити окрему думку з приводу порядку денного та протягом 2 робочих днів надати їх у письмовому вигляді секретарю Робочої групи для приєднання до протоколу.</w:t>
      </w:r>
    </w:p>
    <w:bookmarkEnd w:id="113"/>
    <w:bookmarkStart w:name="115" w:id="114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7. Рішення Робочої групи оформлюються у вигляді протоколу, який містить інформацію про назву групи, дату засідання, її учасників, перелік питань, що були розглянуті, пропозиції учасників щодо обговорених питань та рішення, що були прийняті з цих питань.</w:t>
      </w:r>
    </w:p>
    <w:bookmarkEnd w:id="114"/>
    <w:bookmarkStart w:name="116" w:id="115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8. Протокол підписується головою Робочої групи і секретарем Робочої групи та доводиться до відома усіх членів Робочої групи.</w:t>
      </w:r>
    </w:p>
    <w:bookmarkEnd w:id="115"/>
    <w:bookmarkStart w:name="117" w:id="116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9. У разі виникнення реального чи потенційного конфлікту інтересів у членів Робочої групи або інших учасників засідання та неможливості через це брати участь у роботі Робочої групи, вони зобов'язані письмово повідомити про це голову Робочої групи. У разі ненадання зазначеної інформації відповідні особи несуть відповідальність згідно з нормами діючого законодавства. Про конфлікт інтересів членів Робочої групи, голови або інших учасників засідання може заявити будь-який учасник засідання. Заява про конфлікт інтересів члена Робочої групи, голови або інших учасників засідання заноситься в протокол засідання Робочої групи. У разі неподання інформації щодо існування конфлікту інтересів, якщо про нього стає відомо після прийняття рішення Робочою групою, - таке рішення підлягає перегляду.</w:t>
      </w:r>
    </w:p>
    <w:bookmarkEnd w:id="116"/>
    <w:bookmarkStart w:name="118" w:id="117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10. Питання, що стосуються організації роботи Робочої групи і не врегульовані розділом V цього Положення, залишаються на розсуд членів Робочої групи, про що ухвалюється відповідне рішення Робочої групи.</w:t>
      </w:r>
    </w:p>
    <w:bookmarkEnd w:id="117"/>
    <w:bookmarkStart w:name="119" w:id="118"/>
    <w:p>
      <w:pPr>
        <w:spacing w:after="0"/>
        <w:ind w:firstLine="240"/>
        <w:jc w:val="left"/>
      </w:pPr>
      <w:r>
        <w:rPr>
          <w:rFonts w:ascii="Arial"/>
          <w:b w:val="false"/>
          <w:i w:val="false"/>
          <w:color w:val="000000"/>
          <w:sz w:val="18"/>
        </w:rPr>
        <w:t>11. Моніторинг за виконанням рішень Робочої групи здійснює голова Робочої групи.</w:t>
      </w:r>
    </w:p>
    <w:bookmarkEnd w:id="118"/>
    <w:bookmarkStart w:name="120" w:id="119"/>
    <w:p>
      <w:pPr>
        <w:spacing w:after="0"/>
        <w:ind w:firstLine="240"/>
        <w:jc w:val="left"/>
      </w:pPr>
      <w:r>
        <w:rPr>
          <w:rFonts w:ascii="Arial"/>
          <w:b/>
          <w:i w:val="false"/>
          <w:color w:val="000000"/>
          <w:sz w:val="18"/>
        </w:rPr>
        <w:t xml:space="preserve"> </w:t>
      </w:r>
    </w:p>
    <w:bookmarkEnd w:id="1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45"/>
        <w:gridCol w:w="4845"/>
      </w:tblGrid>
      <w:tr>
        <w:trPr>
          <w:trHeight w:val="30" w:hRule="atLeast"/>
        </w:trPr>
        <w:tc>
          <w:tcPr>
            <w:tcW w:w="4845" w:type="dxa"/>
            <w:tcBorders/>
            <w:vAlign w:val="bottom"/>
          </w:tcPr>
          <w:bookmarkStart w:name="121" w:id="120"/>
          <w:p>
            <w:pPr>
              <w:spacing w:after="0"/>
              <w:ind w:left="0"/>
              <w:jc w:val="center"/>
            </w:pPr>
            <w:r>
              <w:rPr>
                <w:rFonts w:ascii="Arial"/>
                <w:b/>
                <w:i w:val="false"/>
                <w:color w:val="000000"/>
                <w:sz w:val="15"/>
              </w:rPr>
              <w:t>Заступник Міністра з питань</w:t>
            </w:r>
            <w:r>
              <w:br/>
            </w:r>
            <w:r>
              <w:rPr>
                <w:rFonts w:ascii="Arial"/>
                <w:b/>
                <w:i w:val="false"/>
                <w:color w:val="000000"/>
                <w:sz w:val="15"/>
              </w:rPr>
              <w:t>європейської інтеграції</w:t>
            </w:r>
          </w:p>
          <w:bookmarkEnd w:id="120"/>
        </w:tc>
        <w:tc>
          <w:tcPr>
            <w:tcW w:w="4845" w:type="dxa"/>
            <w:tcBorders/>
            <w:vAlign w:val="bottom"/>
          </w:tcPr>
          <w:bookmarkStart w:name="122" w:id="121"/>
          <w:p>
            <w:pPr>
              <w:spacing w:after="0"/>
              <w:ind w:left="0"/>
              <w:jc w:val="center"/>
            </w:pPr>
            <w:r>
              <w:rPr>
                <w:rFonts w:ascii="Arial"/>
                <w:b/>
                <w:i w:val="false"/>
                <w:color w:val="000000"/>
                <w:sz w:val="15"/>
              </w:rPr>
              <w:t>Ігор ІВАЩЕНКО</w:t>
            </w:r>
          </w:p>
          <w:bookmarkEnd w:id="121"/>
        </w:tc>
      </w:tr>
    </w:tbl>
    <w:p>
      <w:pPr>
        <w:spacing/>
        <w:ind w:left="0"/>
        <w:jc w:val="left"/>
      </w:pPr>
      <w:r>
        <w:br/>
      </w:r>
    </w:p>
    <w:bookmarkStart w:name="123" w:id="122"/>
    <w:p>
      <w:pPr>
        <w:spacing w:after="0"/>
        <w:ind w:firstLine="240"/>
        <w:jc w:val="left"/>
      </w:pPr>
    </w:p>
    <w:bookmarkEnd w:id="122"/>
    <w:tbl>
      <w:tblPr>
        <w:tblW w:w="0" w:type="auto"/>
        <w:tblCellSpacing w:w="2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410"/>
        <w:gridCol w:w="1240"/>
      </w:tblGrid>
      <w:tr>
        <w:trPr/>
        <w:tc>
          <w:tcPr>
            <w:tcW w:w="8410" w:type="dxa"/>
            <w:tcBorders/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Arial"/>
                <w:b w:val="false"/>
                <w:i w:val="false"/>
                <w:color w:val="000000"/>
                <w:sz w:val="18"/>
              </w:rPr>
              <w:t>© ТОВ "Інформаційно-аналітичний центр "ЛІГА", 2021</w:t>
            </w:r>
            <w:r>
              <w:br/>
            </w:r>
            <w:r>
              <w:rPr>
                <w:rFonts w:ascii="Arial"/>
                <w:b w:val="false"/>
                <w:i w:val="false"/>
                <w:color w:val="000000"/>
                <w:sz w:val="18"/>
              </w:rPr>
              <w:t>© ТОВ "ЛІГА ЗАКОН", 2021</w:t>
            </w:r>
          </w:p>
        </w:tc>
        <w:tc>
          <w:tcPr>
            <w:tcW w:w="1240" w:type="dxa"/>
            <w:tcBorders/>
            <w:vAlign w:val="center"/>
          </w:tcPr>
          <w:p>
            <w:pPr>
              <w:spacing w:after="0"/>
              <w:ind w:left="0"/>
              <w:jc w:val="left"/>
            </w:pPr>
            <w:r>
              <w:drawing>
                <wp:inline distT="0" distB="0" distL="0" distR="0">
                  <wp:extent cx="7620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ind w:left="0"/>
        <w:jc w:val="left"/>
      </w:pPr>
      <w:r>
        <w:br/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abstractNum w:abstractNumId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true">
      <w:start w:val="1"/>
      <w:numFmt w:val="lowerLetter"/>
      <w:lvlText w:val="%2."/>
      <w:lvlJc w:val="left"/>
      <w:pPr>
        <w:ind w:left="1440" w:hanging="360"/>
      </w:pPr>
    </w:lvl>
    <w:lvl w:ilvl="2" w:tplc="0C09001B" w:tentative="true">
      <w:start w:val="1"/>
      <w:numFmt w:val="lowerRoman"/>
      <w:lvlText w:val="%3."/>
      <w:lvlJc w:val="right"/>
      <w:pPr>
        <w:ind w:left="2160" w:hanging="180"/>
      </w:pPr>
    </w:lvl>
    <w:lvl w:ilvl="3" w:tplc="0C09000F" w:tentative="true">
      <w:start w:val="1"/>
      <w:numFmt w:val="decimal"/>
      <w:lvlText w:val="%4."/>
      <w:lvlJc w:val="left"/>
      <w:pPr>
        <w:ind w:left="2880" w:hanging="360"/>
      </w:pPr>
    </w:lvl>
    <w:lvl w:ilvl="4" w:tplc="0C090019" w:tentative="true">
      <w:start w:val="1"/>
      <w:numFmt w:val="lowerLetter"/>
      <w:lvlText w:val="%5."/>
      <w:lvlJc w:val="left"/>
      <w:pPr>
        <w:ind w:left="3600" w:hanging="360"/>
      </w:pPr>
    </w:lvl>
    <w:lvl w:ilvl="5" w:tplc="0C09001B" w:tentative="true">
      <w:start w:val="1"/>
      <w:numFmt w:val="lowerRoman"/>
      <w:lvlText w:val="%6."/>
      <w:lvlJc w:val="right"/>
      <w:pPr>
        <w:ind w:left="4320" w:hanging="180"/>
      </w:pPr>
    </w:lvl>
    <w:lvl w:ilvl="6" w:tplc="0C09000F" w:tentative="true">
      <w:start w:val="1"/>
      <w:numFmt w:val="decimal"/>
      <w:lvlText w:val="%7."/>
      <w:lvlJc w:val="left"/>
      <w:pPr>
        <w:ind w:left="5040" w:hanging="360"/>
      </w:pPr>
    </w:lvl>
    <w:lvl w:ilvl="7" w:tplc="0C090019" w:tentative="true">
      <w:start w:val="1"/>
      <w:numFmt w:val="lowerLetter"/>
      <w:lvlText w:val="%8."/>
      <w:lvlJc w:val="left"/>
      <w:pPr>
        <w:ind w:left="5760" w:hanging="360"/>
      </w:pPr>
    </w:lvl>
    <w:lvl w:ilvl="8" w:tplc="0C09001B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gif" Type="http://schemas.openxmlformats.org/officeDocument/2006/relationships/image" Id="rId3"/><Relationship Target="media/document_image_rId4.pn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Application>docx4j</properties:Application>
  <properties:AppVersion>3.3</properties:AppVersion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:creator>docx4j</dc:creator>
  <cp:lastModifiedBy>docx4j</cp:lastModifiedBy>
</cp:coreProperties>
</file>