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jc w:val="left"/>
              <w:rPr>
                <w:rFonts w:cs="Arial"/>
              </w:rPr>
            </w:pPr>
            <w:r>
              <w:rPr>
                <w:rFonts w:cs="Arial"/>
              </w:rPr>
              <w:t>Додаток</w:t>
            </w:r>
            <w:r>
              <w:rPr>
                <w:rFonts w:cs="Arial"/>
                <w:lang w:val="ru-RU"/>
              </w:rPr>
              <w:t xml:space="preserve"> 1</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Heading4"/>
              <w:numPr>
                <w:ilvl w:val="3"/>
                <w:numId w:val="1"/>
              </w:numPr>
              <w:tabs>
                <w:tab w:val="left" w:pos="12600" w:leader="none"/>
              </w:tabs>
              <w:jc w:val="left"/>
              <w:rPr>
                <w:rFonts w:cs="Arial"/>
              </w:rPr>
            </w:pPr>
            <w:r>
              <w:rPr>
                <w:rFonts w:cs="Arial"/>
              </w:rPr>
              <w:t>____________________ № _______</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rPr>
      </w:pPr>
      <w:r>
        <w:rPr>
          <w:rFonts w:cs="Arial" w:ascii="Arial" w:hAnsi="Arial"/>
          <w:b/>
          <w:caps/>
        </w:rPr>
        <w:t>ПЕРЕЛІК</w:t>
      </w:r>
    </w:p>
    <w:p>
      <w:pPr>
        <w:pStyle w:val="Normal"/>
        <w:keepNext w:val="true"/>
        <w:numPr>
          <w:ilvl w:val="0"/>
          <w:numId w:val="0"/>
        </w:numPr>
        <w:jc w:val="center"/>
        <w:outlineLvl w:val="3"/>
        <w:rPr>
          <w:rFonts w:ascii="Arial" w:hAnsi="Arial" w:cs="Arial"/>
          <w:b/>
          <w:b/>
          <w:caps/>
        </w:rPr>
      </w:pPr>
      <w:r>
        <w:rPr>
          <w:rFonts w:cs="Arial" w:ascii="Arial" w:hAnsi="Arial"/>
          <w:b/>
          <w:caps/>
        </w:rPr>
        <w:t xml:space="preserve">ЛІКАРСЬКИХ ЗАСОБІВ, що пропонуються до державної реєстрації </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170"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1134"/>
        <w:gridCol w:w="992"/>
        <w:gridCol w:w="851"/>
        <w:gridCol w:w="1701"/>
        <w:gridCol w:w="1134"/>
        <w:gridCol w:w="1134"/>
        <w:gridCol w:w="1276"/>
        <w:gridCol w:w="1134"/>
        <w:gridCol w:w="1275"/>
        <w:gridCol w:w="1134"/>
        <w:gridCol w:w="993"/>
        <w:gridCol w:w="1569"/>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27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en-US"/>
              </w:rPr>
            </w:pPr>
            <w:r>
              <w:rPr>
                <w:rFonts w:cs="Arial" w:ascii="Arial" w:hAnsi="Arial"/>
                <w:b/>
                <w:sz w:val="16"/>
                <w:szCs w:val="16"/>
              </w:rPr>
              <w:t>АМБРОКСОЛУ ГІДРОХЛОРИД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ambroxol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lang w:val="ru-RU"/>
              </w:rPr>
              <w:t>амброксолу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lang w:val="ru-RU"/>
              </w:rPr>
            </w:pPr>
            <w:r>
              <w:rPr>
                <w:rFonts w:cs="Arial" w:ascii="Arial" w:hAnsi="Arial"/>
                <w:sz w:val="16"/>
                <w:szCs w:val="16"/>
                <w:lang w:val="ru-RU"/>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lang w:val="ru-RU"/>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lang w:val="ru-RU"/>
              </w:rPr>
              <w:t xml:space="preserve">ПрАТ "Фармацевтична фірма "Дарниця"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 xml:space="preserve">ШІЛПА ФАРМА ЛАЙФСАЙЕНСІЗ ЛІМІТЕД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Індія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lang w:val="ru-RU"/>
              </w:rPr>
              <w:t xml:space="preserve">реєстрація на 5 років. </w:t>
              <w:br/>
            </w:r>
          </w:p>
          <w:p>
            <w:pPr>
              <w:pStyle w:val="112"/>
              <w:tabs>
                <w:tab w:val="left" w:pos="12600" w:leader="none"/>
              </w:tabs>
              <w:jc w:val="center"/>
              <w:rPr>
                <w:rFonts w:ascii="Arial" w:hAnsi="Arial" w:cs="Arial"/>
                <w:sz w:val="16"/>
                <w:szCs w:val="16"/>
                <w:lang w:val="ru-RU"/>
              </w:rPr>
            </w:pPr>
            <w:r>
              <w:rPr>
                <w:rFonts w:cs="Arial" w:ascii="Arial" w:hAnsi="Arial"/>
                <w:sz w:val="16"/>
                <w:szCs w:val="16"/>
                <w:lang w:val="ru-RU"/>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UA/21481/01/0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МЕТОТРЕКСАТ ДИНАТРІЮ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methotrexate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метотрексат динатрію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кристалічний порошок (субстанція) у поліетиленових пакетах для фармацевтичного застосування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Ферміон Ой</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Фiнляндiя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Реєстрація на 5 років. </w:t>
              <w:b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UA/21478/01/0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ПАСКАЛЬ АМЛО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Olmesartan medoxomil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амлодипіну бесилат, олмесартану медоксоміл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lang w:val="en-US"/>
              </w:rPr>
              <w:t>C</w:t>
            </w:r>
            <w:r>
              <w:rPr>
                <w:rFonts w:cs="Arial" w:ascii="Arial" w:hAnsi="Arial"/>
                <w:sz w:val="16"/>
                <w:szCs w:val="16"/>
              </w:rPr>
              <w:t>09D</w:t>
            </w:r>
            <w:r>
              <w:rPr>
                <w:rFonts w:cs="Arial" w:ascii="Arial" w:hAnsi="Arial"/>
                <w:sz w:val="16"/>
                <w:szCs w:val="16"/>
                <w:lang w:val="en-US"/>
              </w:rPr>
              <w:t>B</w:t>
            </w:r>
            <w:r>
              <w:rPr>
                <w:rFonts w:cs="Arial" w:ascii="Arial" w:hAnsi="Arial"/>
                <w:sz w:val="16"/>
                <w:szCs w:val="16"/>
              </w:rPr>
              <w:t>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20 мг/5 мг, по 10 таблеток, вкритих плівковою оболонкою у блістері; по 9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Аккорд Хелскеа Б.В.</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випуск серії:</w:t>
              <w:br/>
              <w:t>Аккорд Хелскеа Полска Сп. з o.o. Склад Імпортера, Польща;</w:t>
              <w:br/>
              <w:t>виробництво лікарського засобу, первинне та вторинне пакування:</w:t>
              <w:br/>
              <w:t>Інтас Фармасьютікалс Лімітед, Індія;</w:t>
              <w:br/>
              <w:t>контроль якості:</w:t>
              <w:br/>
              <w:t>Фармадокс Хелскеа Лімітед, Мальта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 Індія/ Мальта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UA/21479/01/0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ПАСКАЛЬ АМЛО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Olmesartan medoxomil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амлодипіну бесилат, олмесартану медоксоміл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lang w:val="en-US"/>
              </w:rPr>
              <w:t>C</w:t>
            </w:r>
            <w:r>
              <w:rPr>
                <w:rFonts w:cs="Arial" w:ascii="Arial" w:hAnsi="Arial"/>
                <w:sz w:val="16"/>
                <w:szCs w:val="16"/>
              </w:rPr>
              <w:t>09D</w:t>
            </w:r>
            <w:r>
              <w:rPr>
                <w:rFonts w:cs="Arial" w:ascii="Arial" w:hAnsi="Arial"/>
                <w:sz w:val="16"/>
                <w:szCs w:val="16"/>
                <w:lang w:val="en-US"/>
              </w:rPr>
              <w:t>B</w:t>
            </w:r>
            <w:r>
              <w:rPr>
                <w:rFonts w:cs="Arial" w:ascii="Arial" w:hAnsi="Arial"/>
                <w:sz w:val="16"/>
                <w:szCs w:val="16"/>
              </w:rPr>
              <w:t>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 мг/10 мг по 10 таблеток, вкритих плівковою оболонкою у блістері; по 9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Аккорд Хелскеа Б.В.</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випуск серії:</w:t>
              <w:br/>
              <w:t>Аккорд Хелскеа Полска Сп. з o.o. Склад Імпортера, Польща;</w:t>
              <w:br/>
              <w:br/>
              <w:t>виробництво лікарського засобу, первинне та вторинне пакування:</w:t>
              <w:br/>
              <w:t>Інтас Фармасьютікалс Лімітед, Індія;</w:t>
              <w:br/>
              <w:t>контроль якості:</w:t>
              <w:br/>
              <w:t>Фармадокс Хелскеа Лімітед, Мальта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 Індія/ Мальта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UA/21479/01/02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СИТАГЛІПТИНУ ФОСФАТУ МОНОГІДРАТ</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Sitagliptin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ситагліптину фосфат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"КИЇВСЬКИЙ ВІТАМІННИЙ ЗАВОД"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Руайєн Хек Фарм Ко., Лтд.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Китай</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UA/21480/01/0</w:t>
            </w:r>
            <w:r>
              <w:rPr>
                <w:rFonts w:cs="Arial" w:ascii="Arial" w:hAnsi="Arial"/>
                <w:sz w:val="16"/>
                <w:szCs w:val="16"/>
                <w:lang w:val="en-US"/>
              </w:rPr>
              <w:t>1</w:t>
            </w:r>
          </w:p>
        </w:tc>
      </w:tr>
    </w:tbl>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2">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rPr>
          <w:rStyle w:val="InternetLink"/>
          <w:rFonts w:ascii="Arial" w:hAnsi="Arial" w:cs="Arial"/>
          <w:i/>
          <w:i/>
          <w:color w:val="000000"/>
          <w:szCs w:val="16"/>
        </w:rPr>
      </w:pPr>
      <w:r>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pStyle w:val="Normal"/>
        <w:rPr>
          <w:rStyle w:val="Cs7864ebcf1"/>
          <w:rFonts w:ascii="Arial" w:hAnsi="Arial" w:cs="Arial"/>
          <w:color w:val="000000"/>
          <w:sz w:val="16"/>
          <w:szCs w:val="16"/>
          <w:lang w:val="ru-RU"/>
        </w:rPr>
      </w:pPr>
      <w:r>
        <w:rPr/>
      </w:r>
      <w:r>
        <w:br w:type="page"/>
      </w:r>
    </w:p>
    <w:p>
      <w:pPr>
        <w:pStyle w:val="Normal"/>
        <w:rPr>
          <w:rFonts w:ascii="Arial" w:hAnsi="Arial" w:cs="Arial"/>
          <w:sz w:val="16"/>
          <w:szCs w:val="16"/>
          <w:lang w:val="ru-RU"/>
        </w:rPr>
      </w:pPr>
      <w:r>
        <w:rPr>
          <w:rFonts w:cs="Arial" w:ascii="Arial" w:hAnsi="Arial"/>
          <w:sz w:val="16"/>
          <w:szCs w:val="16"/>
          <w:lang w:val="ru-RU"/>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jc w:val="left"/>
              <w:rPr>
                <w:rFonts w:cs="Arial"/>
              </w:rPr>
            </w:pPr>
            <w:r>
              <w:rPr>
                <w:rFonts w:cs="Arial"/>
              </w:rPr>
              <w:t>Додаток</w:t>
            </w:r>
            <w:r>
              <w:rPr>
                <w:rFonts w:cs="Arial"/>
                <w:lang w:val="ru-RU"/>
              </w:rPr>
              <w:t xml:space="preserve"> 2</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Heading4"/>
              <w:numPr>
                <w:ilvl w:val="3"/>
                <w:numId w:val="1"/>
              </w:numPr>
              <w:tabs>
                <w:tab w:val="left" w:pos="12600" w:leader="none"/>
              </w:tabs>
              <w:jc w:val="left"/>
              <w:rPr>
                <w:rFonts w:cs="Arial"/>
              </w:rPr>
            </w:pPr>
            <w:r>
              <w:rPr>
                <w:rFonts w:cs="Arial"/>
              </w:rPr>
              <w:t>____________________ № _______</w:t>
            </w:r>
          </w:p>
          <w:p>
            <w:pPr>
              <w:pStyle w:val="11"/>
              <w:rPr>
                <w:rFonts w:ascii="Arial" w:hAnsi="Arial" w:cs="Arial"/>
                <w:sz w:val="20"/>
                <w:szCs w:val="20"/>
              </w:rPr>
            </w:pPr>
            <w:r>
              <w:rPr>
                <w:rFonts w:cs="Arial" w:ascii="Arial" w:hAnsi="Arial"/>
                <w:sz w:val="20"/>
                <w:szCs w:val="20"/>
              </w:rPr>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rPr>
      </w:pPr>
      <w:r>
        <w:rPr>
          <w:rFonts w:cs="Arial" w:ascii="Arial" w:hAnsi="Arial"/>
          <w:b/>
          <w:caps/>
        </w:rPr>
        <w:t>ПЕРЕЛІК</w:t>
      </w:r>
    </w:p>
    <w:p>
      <w:pPr>
        <w:pStyle w:val="Normal"/>
        <w:keepNext w:val="true"/>
        <w:numPr>
          <w:ilvl w:val="0"/>
          <w:numId w:val="0"/>
        </w:numPr>
        <w:tabs>
          <w:tab w:val="left" w:pos="12600" w:leader="none"/>
        </w:tabs>
        <w:jc w:val="center"/>
        <w:outlineLvl w:val="3"/>
        <w:rPr>
          <w:rFonts w:ascii="Arial" w:hAnsi="Arial" w:cs="Arial"/>
          <w:b/>
          <w:b/>
          <w:caps/>
        </w:rPr>
      </w:pPr>
      <w:r>
        <w:rPr>
          <w:rFonts w:cs="Arial" w:ascii="Arial" w:hAnsi="Arial"/>
          <w:b/>
          <w:caps/>
        </w:rPr>
        <w:t>ЛІКАРСЬКИХ ЗАСОБІВ, що пропонуються до державної ПЕРЕреєстрації</w:t>
      </w:r>
    </w:p>
    <w:p>
      <w:pPr>
        <w:pStyle w:val="Normal"/>
        <w:keepNext w:val="true"/>
        <w:numPr>
          <w:ilvl w:val="0"/>
          <w:numId w:val="0"/>
        </w:numPr>
        <w:tabs>
          <w:tab w:val="left" w:pos="12600" w:leader="none"/>
        </w:tabs>
        <w:jc w:val="center"/>
        <w:outlineLvl w:val="3"/>
        <w:rPr>
          <w:rFonts w:ascii="Arial" w:hAnsi="Arial" w:cs="Arial"/>
          <w:b/>
          <w:b/>
          <w:caps/>
        </w:rPr>
      </w:pPr>
      <w:r>
        <w:rPr>
          <w:rFonts w:cs="Arial" w:ascii="Arial" w:hAnsi="Arial"/>
          <w:b/>
          <w:caps/>
        </w:rPr>
      </w:r>
    </w:p>
    <w:tbl>
      <w:tblPr>
        <w:tblW w:w="16028"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418"/>
        <w:gridCol w:w="992"/>
        <w:gridCol w:w="992"/>
        <w:gridCol w:w="851"/>
        <w:gridCol w:w="1701"/>
        <w:gridCol w:w="1134"/>
        <w:gridCol w:w="992"/>
        <w:gridCol w:w="1418"/>
        <w:gridCol w:w="992"/>
        <w:gridCol w:w="1417"/>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41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БЕНЗАЛКОНІЮ 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benzalkonium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алкілбензилдиметиламонію хлориди (безводна речовина)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або желеподібні фрагменти (субстанція) в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ЮНІЛАБ КЕМІКАЛЗ ЕНД ФАРМАСЬЮТІКАЛЗ ПВТ. ЛТД.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UA/19186/01/01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ВІГЕСТ-КВ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dienogest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дієногест мікронізований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G03DB08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 мг, по 28 таблеток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серії та випуск серії:</w:t>
              <w:br/>
              <w:t xml:space="preserve">АТ "КИЇВСЬКИЙ ВІТАМІННИЙ ЗАВОД", </w:t>
              <w:br/>
              <w:t>Україна; виробництво нерозфасованої продукції, первинна та вторинна упаковка, контроль серії та випуск серії:</w:t>
              <w:br/>
              <w:t>Сіндеа Фарма, С.Л., Іспанiя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 Іспанiя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ЕЗОПРОТЕКТ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та інфузій по 40 мг,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ВЕМ Ілач Сан. ве Тік. А.С.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UA/19210/01/01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ІБУПРОФЕН-ЗДОРОВ'Я УЛЬТРАКАП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400 мг, по 10 капсул у блістері; по 2 блістери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випуск серії:</w:t>
              <w:br/>
              <w:t>ТОВАРИСТВО З ОБМЕЖЕНОЮ ВІДПОВІДАЛЬНІСТЮ «КОРПОРАЦІЯ «ЗДОРОВ’Я»,</w:t>
              <w:br/>
              <w:t>Україна;</w:t>
              <w:br/>
              <w:t>контроль якості:</w:t>
              <w:br/>
              <w:t>Товариство з обмеженою відповідальністю "ФАРМЕКС ГРУП",</w:t>
              <w:br/>
              <w:t>Україна;</w:t>
              <w:br/>
              <w:t>контроль якості, випуск серії:</w:t>
              <w:br/>
              <w:t>ТОВАРИСТВО З ОБМЕЖЕНОЮ ВІДПОВІДАЛЬНІСТЮ «КОРПОРАЦІЯ «ЗДОРОВ’Я»,</w:t>
              <w:br/>
              <w:t>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UA/19233/01/02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ІБУПРОФЕН-ЗДОРОВ'Я УЛЬТРАКАП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10 капсул у блістері; по 2 блістери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випуск серії:</w:t>
              <w:br/>
              <w:t>ТОВАРИСТВО З ОБМЕЖЕНОЮ ВІДПОВІДАЛЬНІСТЮ «КОРПОРАЦІЯ «ЗДОРОВ’Я»,</w:t>
              <w:br/>
              <w:t>Україна;</w:t>
              <w:br/>
              <w:t>контроль якості:</w:t>
              <w:br/>
              <w:t>Товариство з обмеженою відповідальністю "ФАРМЕКС ГРУП",</w:t>
              <w:br/>
              <w:t>Україна;</w:t>
              <w:br/>
              <w:t>контроль якості, випуск серії:</w:t>
              <w:br/>
              <w:t>ТОВАРИСТВО З ОБМЕЖЕНОЮ ВІДПОВІДАЛЬНІСТЮ «КОРПОРАЦІЯ «ЗДОРОВ’Я»,</w:t>
              <w:br/>
              <w:t>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КСИЛОМЕТАЗОЛІНУ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мішках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АТ</w:t>
              <w:br/>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UA/19115/01/01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РОЗЗОР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ацетилсаліцилова кислота, розувастатин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мг/5 мг, по 7 капсул у блістері; по 4 блістери у пачці з картону; по 28 капсул у банці; по 1 банці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t>відповідальний за виробництво та контроль/випробування серії, не включаючи випуск серії;</w:t>
              <w:br/>
              <w:t>відповідальний за випуск серії, не включаючи контроль/випробування серії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5 років.</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UA/19281/01/01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РОЗЗОР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ацетилсаліцилова кислота, розувастатин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мг/10 мг, по 7 капсул у блістері; по 4 блістери у пачці з картону; по 28 капсул у банці; по 1 банці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t xml:space="preserve">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5 років.</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UA/19281/01/02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РОЗЗОР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ацетилсаліцилова кислота, розувастатин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мг/20 мг; по 7 капсул у блістері; по 4 блістери у пачці з картону; по 28 капсул у банці; по 1 банці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t xml:space="preserve">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5 років.</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UA/19281/01/03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ТІОНЕКС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thiocolchicoside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тіоколхікозид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 по 14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Біофарм Лтд , Польща;</w:t>
              <w:br/>
              <w:br/>
              <w:t>мікробіологічний контроль:</w:t>
              <w:br/>
              <w:t>Фітофарм Кленка С.А., Польща;</w:t>
              <w:br/>
              <w:t xml:space="preserve">ПозЛаб Сп. з о.о., Польща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UA/19133/01/01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ФЕБУМАКС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febuxostat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фебуксостат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M04AA03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 мг, по 14 таблеток у блістері;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UA/19034/01/01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ФЕБУМАКС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febuxostat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фебуксостат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M04AA03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120 мг, по 14 таблеток у блістері;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UA/19034/01/02</w:t>
            </w:r>
          </w:p>
        </w:tc>
      </w:tr>
    </w:tbl>
    <w:p>
      <w:pPr>
        <w:pStyle w:val="Normal"/>
        <w:rPr>
          <w:rFonts w:ascii="Arial" w:hAnsi="Arial" w:cs="Arial"/>
        </w:rPr>
      </w:pPr>
      <w:r>
        <w:rPr>
          <w:rFonts w:cs="Arial" w:ascii="Arial" w:hAnsi="Arial"/>
        </w:rPr>
      </w:r>
    </w:p>
    <w:p>
      <w:pPr>
        <w:pStyle w:val="Normal"/>
        <w:rPr>
          <w:rStyle w:val="InternetLink"/>
          <w:rFonts w:ascii="Arial" w:hAnsi="Arial" w:cs="Arial"/>
          <w:i/>
          <w:i/>
          <w:color w:val="000000"/>
          <w:szCs w:val="16"/>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3">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rPr>
          <w:rStyle w:val="InternetLink"/>
          <w:rFonts w:ascii="Arial" w:hAnsi="Arial" w:cs="Arial"/>
          <w:i/>
          <w:i/>
          <w:color w:val="000000"/>
          <w:szCs w:val="16"/>
        </w:rPr>
      </w:pPr>
      <w:r>
        <w:rPr/>
      </w:r>
    </w:p>
    <w:p>
      <w:pPr>
        <w:pStyle w:val="Normal"/>
        <w:rPr>
          <w:rStyle w:val="InternetLink"/>
          <w:rFonts w:ascii="Arial" w:hAnsi="Arial" w:cs="Arial"/>
          <w:i/>
          <w:i/>
          <w:color w:val="000000"/>
          <w:szCs w:val="16"/>
        </w:rPr>
      </w:pPr>
      <w:r>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rFonts w:ascii="Arial" w:hAnsi="Arial" w:cs="Arial"/>
                <w:b/>
                <w:b/>
                <w:sz w:val="20"/>
                <w:szCs w:val="20"/>
              </w:rPr>
            </w:pPr>
            <w:r>
              <w:rPr>
                <w:rFonts w:cs="Arial" w:ascii="Arial" w:hAnsi="Arial"/>
                <w:b/>
                <w:sz w:val="20"/>
                <w:szCs w:val="20"/>
              </w:rPr>
              <w:t>Додаток 3</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Normal"/>
              <w:tabs>
                <w:tab w:val="left" w:pos="12600" w:leader="none"/>
              </w:tabs>
              <w:rPr>
                <w:rFonts w:ascii="Arial" w:hAnsi="Arial" w:cs="Arial"/>
                <w:b/>
                <w:b/>
                <w:sz w:val="20"/>
                <w:szCs w:val="20"/>
              </w:rPr>
            </w:pPr>
            <w:r>
              <w:rPr>
                <w:rFonts w:cs="Arial" w:ascii="Arial" w:hAnsi="Arial"/>
                <w:sz w:val="20"/>
                <w:szCs w:val="20"/>
              </w:rPr>
              <w:t>__________________ № _______</w:t>
            </w:r>
          </w:p>
        </w:tc>
      </w:tr>
    </w:tbl>
    <w:p>
      <w:pPr>
        <w:pStyle w:val="Normal"/>
        <w:tabs>
          <w:tab w:val="left" w:pos="12600" w:leader="none"/>
        </w:tabs>
        <w:jc w:val="center"/>
        <w:rPr>
          <w:rStyle w:val="Cs7864ebcf1"/>
          <w:rFonts w:ascii="Arial" w:hAnsi="Arial" w:cs="Arial"/>
          <w:b/>
          <w:b/>
          <w:color w:val="000000"/>
          <w:sz w:val="16"/>
          <w:szCs w:val="16"/>
          <w:u w:val="single"/>
          <w:lang w:val="uk-UA"/>
        </w:rPr>
      </w:pPr>
      <w:r>
        <w:rPr/>
      </w:r>
    </w:p>
    <w:p>
      <w:pPr>
        <w:pStyle w:val="Normal"/>
        <w:keepNext w:val="true"/>
        <w:numPr>
          <w:ilvl w:val="0"/>
          <w:numId w:val="0"/>
        </w:numPr>
        <w:jc w:val="center"/>
        <w:outlineLvl w:val="1"/>
        <w:rPr>
          <w:rFonts w:ascii="Arial" w:hAnsi="Arial" w:cs="Arial"/>
          <w:b/>
          <w:b/>
          <w:caps/>
          <w:sz w:val="16"/>
          <w:szCs w:val="16"/>
          <w:u w:val="single"/>
        </w:rPr>
      </w:pPr>
      <w:r>
        <w:rPr>
          <w:rFonts w:cs="Arial" w:ascii="Arial" w:hAnsi="Arial"/>
          <w:b/>
          <w:caps/>
          <w:sz w:val="16"/>
          <w:szCs w:val="16"/>
          <w:u w:val="single"/>
        </w:rPr>
      </w:r>
    </w:p>
    <w:p>
      <w:pPr>
        <w:pStyle w:val="Normal"/>
        <w:keepNext w:val="true"/>
        <w:numPr>
          <w:ilvl w:val="0"/>
          <w:numId w:val="0"/>
        </w:numPr>
        <w:jc w:val="center"/>
        <w:outlineLvl w:val="1"/>
        <w:rPr>
          <w:rFonts w:ascii="Arial" w:hAnsi="Arial" w:cs="Arial"/>
          <w:b/>
          <w:b/>
          <w:lang w:val="ru-RU"/>
        </w:rPr>
      </w:pPr>
      <w:r>
        <w:rPr>
          <w:rFonts w:cs="Arial" w:ascii="Arial" w:hAnsi="Arial"/>
          <w:b/>
          <w:caps/>
        </w:rPr>
        <w:t>ПЕРЕЛІК</w:t>
      </w:r>
    </w:p>
    <w:p>
      <w:pPr>
        <w:pStyle w:val="Normal"/>
        <w:keepNext w:val="true"/>
        <w:numPr>
          <w:ilvl w:val="0"/>
          <w:numId w:val="0"/>
        </w:numPr>
        <w:jc w:val="center"/>
        <w:outlineLvl w:val="3"/>
        <w:rPr>
          <w:rFonts w:ascii="Arial" w:hAnsi="Arial" w:cs="Arial"/>
        </w:rPr>
      </w:pPr>
      <w:r>
        <w:rPr>
          <w:rFonts w:cs="Arial" w:ascii="Arial" w:hAnsi="Arial"/>
          <w:b/>
          <w:caps/>
        </w:rPr>
        <w:t>ЛІКАРСЬКИХ засобів, щодо яких пропонується внесеНня змін до реєстраційних матеріалів</w:t>
      </w:r>
    </w:p>
    <w:p>
      <w:pPr>
        <w:pStyle w:val="11"/>
        <w:jc w:val="center"/>
        <w:rPr>
          <w:rFonts w:ascii="Arial" w:hAnsi="Arial" w:cs="Arial"/>
        </w:rPr>
      </w:pPr>
      <w:r>
        <w:rPr>
          <w:rFonts w:cs="Arial" w:ascii="Arial" w:hAnsi="Arial"/>
        </w:rPr>
      </w:r>
    </w:p>
    <w:tbl>
      <w:tblPr>
        <w:tblW w:w="16312"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561"/>
        <w:gridCol w:w="992"/>
        <w:gridCol w:w="992"/>
        <w:gridCol w:w="851"/>
        <w:gridCol w:w="1701"/>
        <w:gridCol w:w="1134"/>
        <w:gridCol w:w="992"/>
        <w:gridCol w:w="1418"/>
        <w:gridCol w:w="850"/>
        <w:gridCol w:w="1985"/>
        <w:gridCol w:w="850"/>
        <w:gridCol w:w="992"/>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98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АЗИКЛАР 250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clarithromycin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кларитроміцин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Фламінго Фармасьютикалс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АЗИКЛАР 500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clarithromycin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кларитроміцин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Фламінго Фармасьютикалс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АЗИТРО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 у формі азитроміцину дигідрату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200 мг/5 мл: по 17,1 г порошку для 20 мл оральної суспензії у флаконі; по 1 флакону у комплекті з адаптером та шприцом для дозування у картонній коробці; по 24,8 г порошку для 30 мл оральної суспензії у флаконі; по 1 флакону у комплекті з адаптером та шприцом для дозування у картонній коробці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С. Р. 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UA/4764/02/02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АЗИТРО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 у формі азитроміцину дигідрату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оральної суспензії, 100 мг/5 мл: по 17,1 г порошку для 20 мл оральної суспензії у флаконі; по 1 флакону у комплекті з адаптером та шприцом для дозування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С. Р. 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UA/4764/02/01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25/250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25/125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аерозоль для інгаляцій дозований, 25/50 мкг/дозу по 120 доз в алюмінієвому контейнері з дозуючим клапаном і розпилюючою насадкою з захисним ковпачком; по 1 контейнеру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АЙЛАР®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insulin glargine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 (ДНК-рекомбінантний)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одиниць/мл; по 3 мл у картриджі; по 5 картриджів у блістері, по 1 блістеру в пачці; по 10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АКНЕТРЕКС 10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 мг; по 10 капсул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Мега Лайфсайенсіз Паблік Компані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Мега Лайфсайенсіз Паблік Компані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АКНЕТРЕКС 20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 мг; по 10 капсул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Мега Лайфсайенсіз Паблік Компані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Мега Лайфсайенсіз Паблік Компані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UA/16557/01/02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АЛЄНДРА®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alendronic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натрію алендронат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M05BA04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70 мг, по 4 таблетки у блістері; по 1 блістеру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rPr>
            </w:pPr>
            <w:r>
              <w:rPr>
                <w:rFonts w:cs="Arial" w:ascii="Arial" w:hAnsi="Arial"/>
                <w:bCs/>
                <w:color w:val="000000"/>
                <w:sz w:val="16"/>
              </w:rPr>
              <w:t>виробництво, первинне пакування, вторинне пакування, контроль якості, випуск серії</w:t>
            </w:r>
          </w:p>
          <w:p>
            <w:pPr>
              <w:pStyle w:val="Normal"/>
              <w:autoSpaceDE w:val="false"/>
              <w:jc w:val="center"/>
              <w:rPr>
                <w:rFonts w:ascii="Arial" w:hAnsi="Arial" w:cs="Arial"/>
                <w:bCs/>
              </w:rPr>
            </w:pPr>
            <w:r>
              <w:rPr>
                <w:rFonts w:cs="Arial" w:ascii="Arial" w:hAnsi="Arial"/>
                <w:bCs/>
                <w:color w:val="000000"/>
                <w:sz w:val="16"/>
              </w:rPr>
              <w:t>або</w:t>
            </w:r>
          </w:p>
          <w:p>
            <w:pPr>
              <w:pStyle w:val="Normal"/>
              <w:autoSpaceDE w:val="false"/>
              <w:jc w:val="center"/>
              <w:rPr>
                <w:rFonts w:ascii="Arial" w:hAnsi="Arial" w:cs="Arial"/>
                <w:bCs/>
              </w:rPr>
            </w:pPr>
            <w:r>
              <w:rPr>
                <w:rFonts w:cs="Arial" w:ascii="Arial" w:hAnsi="Arial"/>
                <w:bCs/>
                <w:color w:val="000000"/>
                <w:sz w:val="16"/>
              </w:rPr>
              <w:t>виробництво продукції in bulk:</w:t>
            </w:r>
          </w:p>
          <w:p>
            <w:pPr>
              <w:pStyle w:val="Normal"/>
              <w:autoSpaceDE w:val="false"/>
              <w:jc w:val="center"/>
              <w:rPr>
                <w:rFonts w:ascii="Arial" w:hAnsi="Arial" w:cs="Arial"/>
                <w:bCs/>
              </w:rPr>
            </w:pPr>
            <w:r>
              <w:rPr>
                <w:rFonts w:cs="Arial" w:ascii="Arial" w:hAnsi="Arial"/>
                <w:bCs/>
                <w:color w:val="000000"/>
                <w:sz w:val="16"/>
              </w:rPr>
              <w:t>КУСУМ ХЕЛТХКЕР ПВТ ЛТД, Індія;</w:t>
            </w:r>
          </w:p>
          <w:p>
            <w:pPr>
              <w:pStyle w:val="Normal"/>
              <w:autoSpaceDE w:val="false"/>
              <w:jc w:val="center"/>
              <w:rPr>
                <w:rFonts w:ascii="Arial" w:hAnsi="Arial" w:cs="Arial"/>
                <w:bCs/>
              </w:rPr>
            </w:pPr>
            <w:r>
              <w:rPr>
                <w:rFonts w:cs="Arial" w:ascii="Arial" w:hAnsi="Arial"/>
                <w:bCs/>
                <w:color w:val="000000"/>
                <w:sz w:val="16"/>
              </w:rPr>
              <w:t>вторинне пакування, випуск серії з продукції in bulk:</w:t>
            </w:r>
          </w:p>
          <w:p>
            <w:pPr>
              <w:pStyle w:val="Normal"/>
              <w:autoSpaceDE w:val="false"/>
              <w:jc w:val="center"/>
              <w:rPr>
                <w:rFonts w:ascii="Arial" w:hAnsi="Arial" w:cs="Arial"/>
                <w:bCs/>
              </w:rPr>
            </w:pPr>
            <w:r>
              <w:rPr>
                <w:rFonts w:cs="Arial" w:ascii="Arial" w:hAnsi="Arial"/>
                <w:bCs/>
                <w:color w:val="000000"/>
                <w:sz w:val="16"/>
              </w:rPr>
              <w:t>ТОВ «КУСУМ»</w:t>
            </w:r>
            <w:bookmarkStart w:id="0" w:name="_Hlk159426554"/>
            <w:r>
              <w:rPr>
                <w:rFonts w:cs="Arial" w:ascii="Arial" w:hAnsi="Arial"/>
                <w:bCs/>
                <w:color w:val="000000"/>
                <w:sz w:val="16"/>
              </w:rPr>
              <w:t>, Україна</w:t>
            </w:r>
            <w:bookmarkEnd w:id="0"/>
            <w:r>
              <w:rPr>
                <w:rFonts w:cs="Arial" w:ascii="Arial" w:hAnsi="Arial"/>
                <w:bCs/>
                <w:color w:val="000000"/>
                <w:sz w:val="16"/>
              </w:rPr>
              <w:t>;</w:t>
            </w:r>
          </w:p>
          <w:p>
            <w:pPr>
              <w:pStyle w:val="Normal"/>
              <w:autoSpaceDE w:val="false"/>
              <w:jc w:val="center"/>
              <w:rPr>
                <w:rFonts w:ascii="Arial" w:hAnsi="Arial" w:cs="Arial"/>
                <w:bCs/>
              </w:rPr>
            </w:pPr>
            <w:r>
              <w:rPr>
                <w:rFonts w:cs="Arial" w:ascii="Arial" w:hAnsi="Arial"/>
                <w:bCs/>
                <w:color w:val="000000"/>
                <w:sz w:val="16"/>
              </w:rPr>
              <w:t>контроль якості:</w:t>
            </w:r>
          </w:p>
          <w:p>
            <w:pPr>
              <w:pStyle w:val="Normal"/>
              <w:autoSpaceDE w:val="false"/>
              <w:jc w:val="center"/>
              <w:rPr>
                <w:rFonts w:ascii="Arial" w:hAnsi="Arial" w:cs="Arial"/>
                <w:color w:val="000000"/>
                <w:sz w:val="16"/>
                <w:szCs w:val="16"/>
              </w:rPr>
            </w:pPr>
            <w:r>
              <w:rPr>
                <w:rFonts w:cs="Arial" w:ascii="Arial" w:hAnsi="Arial"/>
                <w:bCs/>
                <w:color w:val="000000"/>
                <w:sz w:val="16"/>
              </w:rP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найменування заявника (власника реєстраційного посвідчення)</w:t>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cs="Arial"/>
                <w:color w:val="000000"/>
                <w:sz w:val="16"/>
                <w:szCs w:val="16"/>
              </w:rPr>
            </w:pPr>
            <w:r>
              <w:rPr>
                <w:rFonts w:cs="Arial" w:ascii="Arial" w:hAnsi="Arial"/>
                <w:color w:val="000000"/>
                <w:sz w:val="16"/>
                <w:szCs w:val="16"/>
              </w:rPr>
              <w:t>Зміни І типу</w:t>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UA/7210/01/02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АЛЄНДРА®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alendronic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натрію алендронат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по 70 мг; in bulk № 7200 (4х1800): по 4 таблетки у блістері, по 1800 блістерів у картонній коробці; in bulk № 2560 (4х640): по 4 таблетки у блістері; по 640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найменування заявника (власника реєстраційного посвідчення),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UA/12663/01/01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АЛКАРНІТ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levocarnitine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левокарнітин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200 мг/мл; по 5 мл в ампулі, по 5 ампул у блістері, по 1 блістеру в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"ФАРМАХЕЛС"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АЛТЕМІКС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althea root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алтеї кореня екстракт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сироп, 25 мг/5 мл по 100 мл у флаконі; по 1 флакону у комплекті з мірною ложкою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«КОРПОРАЦІЯ «ЗДОРОВ’Я»,</w:t>
              <w:br/>
              <w:t xml:space="preserve">Україна;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w:t>
              <w:br/>
              <w:t xml:space="preserve">Товариство з обмеженою відповідальністю «Харківське фармацевтичне підприємство «Здоров’я народу», </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UA/7157/01/01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АМБІТ®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кеторолаку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lang w:val="ru-RU"/>
              </w:rPr>
              <w:t>таблетки, вкриті плівковою оболонкою, по 10 мг по 10 таблеток у блістері; по 1 або 10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реєстраційної процедури в наказі МОЗ України </w:t>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UA/19563/01/01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АМБІТ®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кеторолаку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 мг/мл; по 1 мл в ампулі, по 10 ампул у блістері, по 1 блістеру у пачці; по 1 мл в ампулі, по 5 ампул у блістері, по 1 або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реєстраційної процедури в наказі МОЗ України </w:t>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UA/18024/01/01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АМОКСИКЛАВ® 2S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(400 мг/57 мг в 5 мл); по 5,70 г (35 мл ) або по 11,0 г (70 мл) порошку у флаконі; по 1 флакону разом з мірною ложкою або мірним шприцем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 Виробнича дільниця Антиінфекційні ГЛЗ та Хімічні Операції Кундль (АІХО ГЛЗ Кундль),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АНАЛЬГОДЕКС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 (у формі декскетопрофену трометамолу)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2 мл в ампулі, по 5 ампул у контурній упаковці, по 1 контурній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«ІНФАРМА Трейдінг»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АНТИФЛУ®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парацетамол (ацетамінофен), фенілефрину гідрохлорид, хлорфеніраміну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17 г у пакеті; по 5 пакетів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"Байєр"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дозвіл на випуск серії: Контракт Фармакал Корпорейшн, США;</w:t>
              <w:br/>
              <w:t>Виробництво in bulk: Контракт Фармакал Корпорейшн,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rPr>
            </w:pPr>
            <w:r>
              <w:rPr>
                <w:rFonts w:cs="Arial" w:ascii="Arial" w:hAnsi="Arial"/>
                <w:color w:val="000000"/>
                <w:sz w:val="16"/>
                <w:szCs w:val="16"/>
              </w:rPr>
              <w:t>внесення змін до реєстраційних матеріалів: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UA/4910/02/01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АНТИФЛУ® КІДС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ацетамінофен, аскорбінова кислота, хлорфеніраміну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12 г порошку у пакеті з паперу, ламінованого алюмінієвою фольгою та поліетиленом; по 5 пакетів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"Байєр"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дозвіл на випуск серії: Контракт Фармакал Корпорейшн, США; виробництво in bulk:</w:t>
              <w:br/>
              <w:t>Контракт Фармакал Корпорейшн,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rPr>
            </w:pPr>
            <w:r>
              <w:rPr>
                <w:rFonts w:cs="Arial" w:ascii="Arial" w:hAnsi="Arial"/>
                <w:color w:val="000000"/>
                <w:sz w:val="16"/>
                <w:szCs w:val="16"/>
              </w:rPr>
              <w:t>внесення змін до реєстраційних матеріалів: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без рецепта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UA/8974/01/01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АПІЗАРТРОН®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Стандартизована бджолина отрута, метилсаліцилат, алілізотіоціанат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20 г або по 30 г, або по 50 г, або по 100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Пассауер Фарма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Пассауер Фарма ГмбХ, Німеччина; Виробництво in bulk, первинне пакування, вторинне пакування, контроль якості: Ліхтенхельдт ГмбХ Фармацевтична фабрика,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АРГОСУЛЬФАН®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sulfathiazole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сульфатіазол срібла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D06BA02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20 мг/г; по 15 г або 40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Фармзавод Єльфа A.Т.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АРТЕЛАК®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hypromellose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гіпромелоза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3,2 мг/мл по 10 мл у флаконі з крапельницею; по 1 флакону з крапельницею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UA/6038/01/01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АТЕНОЛОЛ -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atenolol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атенолол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2 блістери у картонній коробці; по 10 таблеток у блістері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UA/6065/01/01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АУГМЕНТИН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400 мг/57 мг в 5 мл; 1 флакон з порошком для приготування 70 мл суспензії у флаконах з прозорого скла з металевою кришкою, що загвинчується (з контролем першого відкриття і полімерною плівкою, що міститься всередині) разом з дозуючим шприцом або мірним ковпачком, або мірною ложкою, поміщений в картонну коробку або з кришкою із захистом від відкриття дітьми разом з дозуючим шприцом або мірною ложкою, поміщений в картонну коробку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СмітКляйн Бічем Фармасьютикалс, Велика Британiя; Глаксо Веллком Продакшн, Францiя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UA/0987/05/02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АУГМЕНТИН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(200 мг/28,5 мг в 5 мл); 1 флакон з порошком для приготування 70 мл суспензії з мірним ковпачком, або дозуючим шприцем, або з мірною ложечкою, в картонній коробці або з кришкою із захистом від відкриття дітьми разом з дозуючим шприцом або мірною ложкою,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СмітКляйн Бічем Фармасьютикалс, Велика Британiя;</w:t>
              <w:br/>
              <w:t>Глаксо Веллком Продакшн, Францiя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UA/0987/05/01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АУГМЕНТИН 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600 мг/42,9 мг/5 мл; 1 флакон з порошком з алюмінієвою кришечкою, що накручується (містить всередині полімерну (полівінілхлоридну або поліолефінову) плівку), з контролем першого відкриття або з пластиковою кришкою із захистом від відкриття дітьми та пластиковою мірною ложкою з позначками 2,5 мл та 5 мл,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СмітКляйн Бічем Фармасьютикалс, Велика Британія; Глаксо Веллком Продакшн,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UA/0987/04/01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АУКСИЛЕН®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 (у вигляді декскетопрофену трометамолу)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50 мг/2 мл, по 2 мл в ампулі; по 5 ампул в контурній чарунковій упаковці (піддоні); по 1 контурній чарунковій упаковці (піддону) в пачці з картону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"Калцекс"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виробничого процесу, крім випуску серії:</w:t>
              <w:br/>
              <w:t>ХБМ Фарма с.р.о., Словаччина;</w:t>
              <w:br/>
              <w:t>виробник, який відповідає за контроль серії/випробування:</w:t>
              <w:br/>
              <w:t>АТ "Гріндекс", Латвiя;</w:t>
              <w:br/>
              <w:t>виробник, який відповідає за випуск серії:</w:t>
              <w:br/>
              <w:t>АТ "Калцекс", Латвія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Словаччина</w:t>
            </w:r>
            <w:r>
              <w:rPr>
                <w:rFonts w:cs="Arial" w:ascii="Arial" w:hAnsi="Arial"/>
                <w:color w:val="000000"/>
                <w:sz w:val="16"/>
                <w:szCs w:val="16"/>
                <w:lang w:val="en-US"/>
              </w:rPr>
              <w:t>/</w:t>
            </w:r>
            <w:r>
              <w:rPr>
                <w:rFonts w:cs="Arial" w:ascii="Arial" w:hAnsi="Arial"/>
                <w:color w:val="000000"/>
                <w:sz w:val="16"/>
                <w:szCs w:val="16"/>
              </w:rPr>
              <w:t xml:space="preserve"> Латвiя </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АФЛУ ТАЙСС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Aconitum napellus D6, Baptisia tinсtoria D4, Eupatorium perfoliatum D4, Ferrum phosphoricum D8, Gelsemium sempervirens D6</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орального застосування по 30 мл або по 50 мл у флаконі-крапельниці; по 1 флакону-крапельниці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Тайсс Натурварен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Тайсс Натурварен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Нiмеччина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АЦИКЛОВІР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ацикловір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подвійних поліетиленових мішках для виробництва нестерильних лікарських форм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ВЕЗ Фармахем д.о.о.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Матрікс Фармакорп Пріват Лімітед</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UA/7707/01/01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АЦЦ® 100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ацетилцистеїн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100 мг, по 3 г порошку у пакетику; по 20 пакетиків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Салютас Фарма ГмбХ, Німеччина;</w:t>
              <w:br/>
              <w:br/>
              <w:t>Виробництво in bulk, тестування, пакування</w:t>
              <w:br/>
              <w:t>Ліндофарм ГмбХ, Німеччина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АЦЦ® 200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 xml:space="preserve">ацетилцистеїн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200 мг; по 3 г порошку у пакетику, по 20 пакетиків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Салютас Фарма ГмбХ, Німеччина</w:t>
              <w:br/>
              <w:br/>
              <w:t>Виробництво in bulk, тестування, пакування</w:t>
              <w:br/>
              <w:t>Ліндофарм ГмбХ, Німеччина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БАКЛОФЕН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baclofen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баклофен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5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Рубікон Рісерч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UA/21052/01/02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БАКЛОФЕН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baclofen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баклофен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5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Рубікон Рісерч Пвт. Лтд.,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БЕЛОРЕТИН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 мг по 15 капсул у блістері, по 2 або 4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Белупо, ліки та косметика,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та випуск серії: Белупо, ліки та косметика, д.д., Хорватiя; виробництво балку, контроль якості: СВІСС КАПС АГ, Швейцарія; виробництво балку, контроль якості: ДУГЛАС МАНУФЕКТОРІНГ ЛТД, Нова Зеландія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Хорватiя</w:t>
            </w:r>
            <w:r>
              <w:rPr>
                <w:rFonts w:cs="Arial" w:ascii="Arial" w:hAnsi="Arial"/>
                <w:color w:val="000000"/>
                <w:sz w:val="16"/>
                <w:szCs w:val="16"/>
                <w:lang w:val="en-US"/>
              </w:rPr>
              <w:t>/</w:t>
            </w:r>
            <w:r>
              <w:rPr>
                <w:rFonts w:cs="Arial" w:ascii="Arial" w:hAnsi="Arial"/>
                <w:color w:val="000000"/>
                <w:sz w:val="16"/>
                <w:szCs w:val="16"/>
              </w:rPr>
              <w:t xml:space="preserve"> Швейцарія</w:t>
            </w:r>
            <w:r>
              <w:rPr>
                <w:rFonts w:cs="Arial" w:ascii="Arial" w:hAnsi="Arial"/>
                <w:color w:val="000000"/>
                <w:sz w:val="16"/>
                <w:szCs w:val="16"/>
                <w:lang w:val="en-US"/>
              </w:rPr>
              <w:t>/</w:t>
            </w:r>
            <w:r>
              <w:rPr>
                <w:rFonts w:cs="Arial" w:ascii="Arial" w:hAnsi="Arial"/>
                <w:color w:val="000000"/>
                <w:sz w:val="16"/>
                <w:szCs w:val="16"/>
              </w:rPr>
              <w:t xml:space="preserve"> Нова Зеландія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БЕЛОРЕТИН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 мг по 15 капсул у блістері, по 2 або 4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Белупо, ліки та косметика,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та випуск серії: Белупо, ліки та косметика, д.д., Хорватiя; виробництво балку, контроль якості: СВІСС КАПС АГ, Швейцарія; виробництво балку, контроль якості: ДУГЛАС МАНУФЕКТОРІНГ ЛТД, Нова Зеландія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Хорватiя</w:t>
            </w:r>
            <w:r>
              <w:rPr>
                <w:rFonts w:cs="Arial" w:ascii="Arial" w:hAnsi="Arial"/>
                <w:color w:val="000000"/>
                <w:sz w:val="16"/>
                <w:szCs w:val="16"/>
                <w:lang w:val="en-US"/>
              </w:rPr>
              <w:t>/</w:t>
            </w:r>
            <w:r>
              <w:rPr>
                <w:rFonts w:cs="Arial" w:ascii="Arial" w:hAnsi="Arial"/>
                <w:color w:val="000000"/>
                <w:sz w:val="16"/>
                <w:szCs w:val="16"/>
              </w:rPr>
              <w:t xml:space="preserve"> Нова Зеландія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UA/20248/01/02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БЕНОКСІ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Oxybuprocaine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оксибупрокаїну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S01HA02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0,4 %;</w:t>
              <w:br/>
              <w:t>по 10 мл у контейнері-крапельниці; по 1 контейнеру-крапельниці в картонній коробці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БІТУБ®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isoniazid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ізоніазид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у флаконі; по 10 або по 30 флаконів у пачці; по 5 мл в ампулі; по 5 ампул у контурній чарунковій упаковці; по 2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БОРНОЇ КИСЛОТИ РОЗЧИН СПИРТОВИЙ 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boric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кислота борна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D08AD</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спиртовий 3 %; по 20 мл або по 25 мл у флаконі, закупореному пробкою та кришкою; по 1 флакону в картонній коробці з картонним піддоном або без нього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Черкас»</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Черкас»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БОРТЕКСА 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bortezomib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бортезоміб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L01XG01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3,5 мг; 1 флакон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БРИМОНАЛ 0,2%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brimonidine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бримонідину тартрат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0,2 % по 5 мл або 10 мл у флаконі-крапельниці; по 1 флакону-крапельниці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БРИМОНАЛ 0,2%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brimonidine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бримонідину тартрат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0,2 %; по 5 мл або 10 мл у флаконі-крапельниці; по 1 флакону-крапельниці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БРІНЕЙРА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cerliponase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церліпоназа альфа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A16AB17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30 мг/мл по 5 мл розчину для інфузій у прозорому скляному флаконі (скло І типу), закупореному пробкою (бутилкаучук) з фторполімерним покриттям та обтиснутому алюмінієвою кришкою типу flip-off seal з пластиковим ковпачком зеленого кольору; по 2 флакони з розчином для інфузій у комплекті з 1 флаконом з розчином для промивання (по 5 мл розчину для промивання у прозорому скляному флаконі (скло І типу), закупореному пробкою (бутилкаучук) з фторполімерним покриттям та обтиснутому алюмінієвою кришкою типу flip-off seal з пластиковим ковпачком жовтого кольору) в картонній коробці з маркуванням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БіоМарин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готовий лікарський засіб: обробка лікарського засобу та первинне пакування (наповнення готовим лікарським засобом) та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 розчин для промивання: обробка лікарського засобу та первинне пакування (наповнення розчином для промивання) та випробування контролю якості (контроль в процесі виробництва: ідентифікація, візуальний контроль, біонавантаження, контроль при випуску: стерильність, бактеріальні ендотоксини) Веттер Фарма-Фертігунг ГмбХ і Ко. КГ, Німеччина; готовий лікарський засіб: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 розчин для промивання: випробування контролю якості (контроль в процесі виробництва: ідентифікація, біонавантаження та контроль при випуску: стерильність, бактеріальні ендотоксини) Веттер Фарма-Фертігунг ГмбХ і Ко. КГ, Німеччина; готовий лікарський засіб: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 розчин для промивання: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 Веттер Фарма-Фертігунг ГмбХ і Ко. КГ, Німеччина; готовий лікарський засіб: вторинне пакування (маркування та процес кінцевого пакування) розчин для промивання: вторинне пакування (маркування та процес кінцевого пакування) Алмак Фарма Сервісез (Айрленд) Лімітед, Ірландiя; готовий лікарський засіб: випробування контролю якості (контроль в процесі виробництва: ідентифікація, контроль при випуску (крім стерильності) та випробування стабільності) розчин для промивання: обробка лікарського засобу (виробництво нерозфасованого проміжного розчину для промивання) та випробування контролю якості (контроль в процесі виробництва: ідентифікація, контроль при випуску (крім стерильності) та випробування стабільності) БіоМарин Фармасьютикал Інк., Сполучені Штати Америки; готовий лікарський засіб: зберігання та випробування контролю якості (контроль в процесі виробництва: візуальний контроль) розчин для промивання: зберігання та випробування контролю якості (контроль в процесі виробництва: візуальний контроль) Веттер Фарма-Фертігунг ГмбХ і Ко. КГ, Німеччина; готовий лікарський засіб: випробування контролю якості (контроль при випуску: крім стерильності) та випробування стабільності та випуск серії розчин для промивання: обробка лікарського засобу (виробництво нерозфасованого проміжного розчину для промивання ) та випробування контролю якості (контроль в процесі виробництва: ідентифікація, контроль при випуску: крім стерильності), випробування стабільності та випуск серії БіоМарин Інтернешнл Лімітед, Ірландія; готовий лікарський засіб: вторинне пакування (маркування та процес кінцевого пакування) розчин для промивання: вторинне пакування АндерсонБрекон (ЮК) Лімітед, Великобританія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Великобританія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БРОНХО-ВАКСОМ ДОРОСЛІ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ліофілізат бактеріальних лізатів: Haemophilus influenzae, Streptococcus pneumoniae, Klebsiella pneumoniae ssp. pneumoniae and ozaenae, Staphylococcus aureus, Streptococcus pyogenes and sanguinis, Moraxella (Branhamella) catarrhalis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R07AX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7 мг; по 10 капсул у блістері; по 1 або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ОМ Фарма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ОМ 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БУСТРИКС ПОЛІО КОМБІНОВАНА ВАКЦИНА ДЛЯ ПРОФІЛАКТИКИ ДИФТЕРІЇ, ПРАВЦЯ, КАШЛЮКУ (АЦЕЛЮЛЯРНИЙ КОМПОНЕНТ) ТА ПОЛІОМІЄЛІТУ (ІНАКТИВОВАНА) (АДСОРБОВАНА, ЗІ ЗМЕНШЕНИМ ВМІСТОМ АНТИГЕНІВ)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Diphtheria-pertussis-poliomyelitis-tetanus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lang w:val="ru-RU"/>
              </w:rPr>
              <w:t>дифтерійний анатоксин (</w:t>
            </w:r>
            <w:r>
              <w:rPr>
                <w:rFonts w:cs="Arial" w:ascii="Arial" w:hAnsi="Arial"/>
                <w:sz w:val="16"/>
                <w:szCs w:val="16"/>
              </w:rPr>
              <w:t>D</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pPr>
            <w:r>
              <w:rPr>
                <w:rFonts w:cs="Arial" w:ascii="Arial" w:hAnsi="Arial"/>
                <w:sz w:val="16"/>
                <w:szCs w:val="16"/>
                <w:lang w:val="ru-RU"/>
              </w:rPr>
              <w:t>правцевий анатоксин (</w:t>
            </w:r>
            <w:r>
              <w:rPr>
                <w:rFonts w:cs="Arial" w:ascii="Arial" w:hAnsi="Arial"/>
                <w:sz w:val="16"/>
                <w:szCs w:val="16"/>
              </w:rPr>
              <w:t>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pPr>
            <w:r>
              <w:rPr>
                <w:rFonts w:cs="Arial" w:ascii="Arial" w:hAnsi="Arial"/>
                <w:i/>
                <w:iCs/>
                <w:sz w:val="16"/>
                <w:szCs w:val="16"/>
                <w:lang w:val="ru-RU"/>
              </w:rPr>
              <w:t>Bordetella pertussis</w:t>
            </w:r>
            <w:r>
              <w:rPr>
                <w:rFonts w:cs="Arial" w:ascii="Arial" w:hAnsi="Arial"/>
                <w:sz w:val="16"/>
                <w:szCs w:val="16"/>
                <w:lang w:val="ru-RU"/>
              </w:rPr>
              <w:t> кашлюкові антигени:</w:t>
            </w:r>
          </w:p>
          <w:p>
            <w:pPr>
              <w:pStyle w:val="Normal"/>
              <w:rPr/>
            </w:pPr>
            <w:r>
              <w:rPr>
                <w:rFonts w:cs="Arial" w:ascii="Arial" w:hAnsi="Arial"/>
                <w:sz w:val="16"/>
                <w:szCs w:val="16"/>
                <w:lang w:val="ru-RU"/>
              </w:rPr>
              <w:t>кашлюковий анатоксин (</w:t>
            </w:r>
            <w:r>
              <w:rPr>
                <w:rFonts w:cs="Arial" w:ascii="Arial" w:hAnsi="Arial"/>
                <w:sz w:val="16"/>
                <w:szCs w:val="16"/>
              </w:rPr>
              <w:t>PT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pPr>
            <w:r>
              <w:rPr>
                <w:rFonts w:cs="Arial" w:ascii="Arial" w:hAnsi="Arial"/>
                <w:sz w:val="16"/>
                <w:szCs w:val="16"/>
                <w:lang w:val="ru-RU"/>
              </w:rPr>
              <w:t>філаментозний гемаглютинін (</w:t>
            </w:r>
            <w:r>
              <w:rPr>
                <w:rFonts w:cs="Arial" w:ascii="Arial" w:hAnsi="Arial"/>
                <w:sz w:val="16"/>
                <w:szCs w:val="16"/>
              </w:rPr>
              <w:t>FHA</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pPr>
            <w:r>
              <w:rPr>
                <w:rFonts w:cs="Arial" w:ascii="Arial" w:hAnsi="Arial"/>
                <w:sz w:val="16"/>
                <w:szCs w:val="16"/>
                <w:lang w:val="ru-RU"/>
              </w:rPr>
              <w:t>пертактин (</w:t>
            </w:r>
            <w:r>
              <w:rPr>
                <w:rFonts w:cs="Arial" w:ascii="Arial" w:hAnsi="Arial"/>
                <w:sz w:val="16"/>
                <w:szCs w:val="16"/>
              </w:rPr>
              <w:t>PRN</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lang w:val="ru-RU"/>
              </w:rPr>
            </w:pPr>
            <w:r>
              <w:rPr>
                <w:rFonts w:cs="Arial" w:ascii="Arial" w:hAnsi="Arial"/>
                <w:sz w:val="16"/>
                <w:szCs w:val="16"/>
                <w:lang w:val="ru-RU"/>
              </w:rPr>
              <w:t>інактивовані віруси поліомієліту:</w:t>
            </w:r>
          </w:p>
          <w:p>
            <w:pPr>
              <w:pStyle w:val="Normal"/>
              <w:rPr/>
            </w:pPr>
            <w:r>
              <w:rPr>
                <w:rFonts w:cs="Arial" w:ascii="Arial" w:hAnsi="Arial"/>
                <w:sz w:val="16"/>
                <w:szCs w:val="16"/>
                <w:lang w:val="ru-RU"/>
              </w:rPr>
              <w:t>тип 1 (штам</w:t>
            </w:r>
            <w:r>
              <w:rPr>
                <w:rFonts w:cs="Arial" w:ascii="Arial" w:hAnsi="Arial"/>
                <w:sz w:val="16"/>
                <w:szCs w:val="16"/>
              </w:rPr>
              <w:t> </w:t>
            </w:r>
            <w:r>
              <w:rPr>
                <w:rFonts w:cs="Arial" w:ascii="Arial" w:hAnsi="Arial"/>
                <w:sz w:val="16"/>
                <w:szCs w:val="16"/>
                <w:lang w:val="en-US"/>
              </w:rPr>
              <w:t>Mahoney</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rPr/>
            </w:pPr>
            <w:r>
              <w:rPr>
                <w:rFonts w:cs="Arial" w:ascii="Arial" w:hAnsi="Arial"/>
                <w:sz w:val="16"/>
                <w:szCs w:val="16"/>
                <w:lang w:val="ru-RU"/>
              </w:rPr>
              <w:t>тип 2 (штам</w:t>
            </w:r>
            <w:r>
              <w:rPr>
                <w:rFonts w:cs="Arial" w:ascii="Arial" w:hAnsi="Arial"/>
                <w:sz w:val="16"/>
                <w:szCs w:val="16"/>
              </w:rPr>
              <w:t> </w:t>
            </w:r>
            <w:r>
              <w:rPr>
                <w:rFonts w:cs="Arial" w:ascii="Arial" w:hAnsi="Arial"/>
                <w:sz w:val="16"/>
                <w:szCs w:val="16"/>
                <w:lang w:val="fr-FR"/>
              </w:rPr>
              <w:t>MEF-1</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rPr/>
            </w:pPr>
            <w:r>
              <w:rPr>
                <w:rFonts w:cs="Arial" w:ascii="Arial" w:hAnsi="Arial"/>
                <w:sz w:val="16"/>
                <w:szCs w:val="16"/>
                <w:lang w:val="ru-RU"/>
              </w:rPr>
              <w:t>тип 3 (штам</w:t>
            </w:r>
            <w:r>
              <w:rPr>
                <w:rFonts w:cs="Arial" w:ascii="Arial" w:hAnsi="Arial"/>
                <w:sz w:val="16"/>
                <w:szCs w:val="16"/>
              </w:rPr>
              <w:t> </w:t>
            </w:r>
            <w:r>
              <w:rPr>
                <w:rFonts w:cs="Arial" w:ascii="Arial" w:hAnsi="Arial"/>
                <w:sz w:val="16"/>
                <w:szCs w:val="16"/>
                <w:lang w:val="fr-FR"/>
              </w:rPr>
              <w:t>Saukett</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spacing w:before="60" w:after="0"/>
              <w:ind w:right="-58" w:hanging="0"/>
              <w:rPr>
                <w:rFonts w:ascii="Arial" w:hAnsi="Arial" w:cs="Arial"/>
                <w:sz w:val="16"/>
                <w:szCs w:val="16"/>
                <w:lang w:val="ru-RU"/>
              </w:rPr>
            </w:pPr>
            <w:r>
              <w:rPr>
                <w:rFonts w:cs="Arial" w:ascii="Arial" w:hAnsi="Arial"/>
                <w:i/>
                <w:iCs/>
                <w:sz w:val="16"/>
                <w:szCs w:val="16"/>
                <w:vertAlign w:val="superscript"/>
                <w:lang w:val="ru-RU"/>
              </w:rPr>
              <w:t>1</w:t>
            </w:r>
            <w:r>
              <w:rPr>
                <w:rFonts w:cs="Arial" w:ascii="Arial" w:hAnsi="Arial"/>
                <w:i/>
                <w:iCs/>
                <w:sz w:val="16"/>
                <w:szCs w:val="16"/>
                <w:lang w:val="ru-RU"/>
              </w:rPr>
              <w:t>адсорбований на алюмінію гідроксиді (</w:t>
            </w:r>
            <w:r>
              <w:rPr>
                <w:rFonts w:cs="Arial" w:ascii="Arial" w:hAnsi="Arial"/>
                <w:i/>
                <w:iCs/>
                <w:sz w:val="16"/>
                <w:szCs w:val="16"/>
              </w:rPr>
              <w:t>Al</w:t>
            </w:r>
            <w:r>
              <w:rPr>
                <w:rFonts w:cs="Arial" w:ascii="Arial" w:hAnsi="Arial"/>
                <w:i/>
                <w:iCs/>
                <w:sz w:val="16"/>
                <w:szCs w:val="16"/>
                <w:lang w:val="ru-RU"/>
              </w:rPr>
              <w:t>(</w:t>
            </w:r>
            <w:r>
              <w:rPr>
                <w:rFonts w:cs="Arial" w:ascii="Arial" w:hAnsi="Arial"/>
                <w:i/>
                <w:iCs/>
                <w:sz w:val="16"/>
                <w:szCs w:val="16"/>
              </w:rPr>
              <w:t>OH</w:t>
            </w:r>
            <w:r>
              <w:rPr>
                <w:rFonts w:cs="Arial" w:ascii="Arial" w:hAnsi="Arial"/>
                <w:i/>
                <w:iCs/>
                <w:sz w:val="16"/>
                <w:szCs w:val="16"/>
                <w:lang w:val="ru-RU"/>
              </w:rPr>
              <w:t>)</w:t>
            </w:r>
            <w:r>
              <w:rPr>
                <w:rFonts w:cs="Arial" w:ascii="Arial" w:hAnsi="Arial"/>
                <w:i/>
                <w:iCs/>
                <w:sz w:val="16"/>
                <w:szCs w:val="16"/>
                <w:vertAlign w:val="subscript"/>
                <w:lang w:val="ru-RU"/>
              </w:rPr>
              <w:t>3</w:t>
            </w:r>
            <w:r>
              <w:rPr>
                <w:rFonts w:cs="Arial" w:ascii="Arial" w:hAnsi="Arial"/>
                <w:i/>
                <w:iCs/>
                <w:sz w:val="16"/>
                <w:szCs w:val="16"/>
                <w:lang w:val="ru-RU"/>
              </w:rPr>
              <w:t>)</w:t>
            </w:r>
          </w:p>
          <w:p>
            <w:pPr>
              <w:pStyle w:val="Normal"/>
              <w:ind w:right="-58" w:hanging="0"/>
              <w:rPr>
                <w:rFonts w:ascii="Arial" w:hAnsi="Arial" w:cs="Arial"/>
                <w:sz w:val="16"/>
                <w:szCs w:val="16"/>
              </w:rPr>
            </w:pPr>
            <w:r>
              <w:rPr>
                <w:rFonts w:cs="Arial" w:ascii="Arial" w:hAnsi="Arial"/>
                <w:i/>
                <w:iCs/>
                <w:sz w:val="16"/>
                <w:szCs w:val="16"/>
              </w:rPr>
              <w:t>та алюмінію фосфаті (AlPO</w:t>
            </w:r>
            <w:r>
              <w:rPr>
                <w:rFonts w:cs="Arial" w:ascii="Arial" w:hAnsi="Arial"/>
                <w:i/>
                <w:iCs/>
                <w:sz w:val="16"/>
                <w:szCs w:val="16"/>
                <w:vertAlign w:val="subscript"/>
              </w:rPr>
              <w:t>4</w:t>
            </w:r>
            <w:r>
              <w:rPr>
                <w:rFonts w:cs="Arial" w:ascii="Arial" w:hAnsi="Arial"/>
                <w:i/>
                <w:iCs/>
                <w:sz w:val="16"/>
                <w:szCs w:val="16"/>
              </w:rPr>
              <w:t>)</w:t>
            </w:r>
          </w:p>
          <w:p>
            <w:pPr>
              <w:pStyle w:val="Normal"/>
              <w:rPr>
                <w:rFonts w:ascii="Arial" w:hAnsi="Arial" w:cs="Arial"/>
                <w:sz w:val="16"/>
                <w:szCs w:val="16"/>
                <w:lang w:val="ru-RU"/>
              </w:rPr>
            </w:pPr>
            <w:r>
              <w:rPr>
                <w:rFonts w:cs="Arial" w:ascii="Arial" w:hAnsi="Arial"/>
                <w:sz w:val="16"/>
                <w:szCs w:val="16"/>
                <w:vertAlign w:val="superscript"/>
              </w:rPr>
              <w:t>2 </w:t>
            </w:r>
            <w:r>
              <w:rPr>
                <w:rFonts w:cs="Arial" w:ascii="Arial" w:hAnsi="Arial"/>
                <w:i/>
                <w:iCs/>
                <w:sz w:val="16"/>
                <w:szCs w:val="16"/>
              </w:rPr>
              <w:t>розмножені на клітинах Vero</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J07CA02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для ін'єкцій по 1 дозі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(проведення контролю якості вакцини, випуск серій готового продукту);</w:t>
              <w:br/>
              <w:t>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w:t>
              <w:br/>
              <w:t>ГлаксоСмітКляйн Біолоджікалз С.А., Бельгія (наповнення вакцини в шприці, маркування і пакування готового продукту, проведення контролю якості вакцини)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БУСУЛЬФАН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busulfan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бусульфан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приготування розчину для інфузій, 6 мг/мл; по 10 мл у флаконі; по 1 флакону у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Інтас Фармасьютiкалc Лімітед, Індія;</w:t>
              <w:br/>
              <w:t>контроль якості: Єврофінс Аналітікал Сервісез Хангері Кфт., Угорщина;</w:t>
              <w:br/>
              <w:t>контроль якості: ФАРМАВАЛІД Лтд. Мікробіологічна лабораторія, Угорщина;</w:t>
              <w:br/>
              <w:t>контроль якості: Фармадокс Хелскеа Лтд., Мальта;</w:t>
              <w:br/>
              <w:t>контроль якості та вторинне пакування: ЛАБОРАТОРІ ФУНДАСІО ДАУ, Іспанiя;</w:t>
              <w:br/>
              <w:t>додаткове вторинне пакування: АККОРД ХЕЛСКЕА ЛІМІТЕД, Велика Британiя;</w:t>
              <w:br/>
              <w:t>додаткове вторинне пакування: Синоптиз Індастріал Сп. з о.о., Польща;</w:t>
              <w:br/>
              <w:t>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Індія/ Угорщина/ Мальта/ Іспанiя/ Велика Британiя/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ВАЄСТ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denosumab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деносумаб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M05BX04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70 мг/мл; по 1,7 мл (120 мг) у флаконі; по 1 флакону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Лек Фармацевтична компанія д.д., Словенія; </w:t>
              <w:br/>
              <w:t>контроль серії: Новартіс Фармасьютікал Мануфактуринг ЛЛС, Словенія;</w:t>
              <w:br/>
              <w:t>контроль серії: Новартіс Фармасьютікал Мануфактурінг ГмбХ, Австрія;</w:t>
              <w:br/>
              <w:t>контроль серії: Солвіас АГ, Швейцарія;</w:t>
              <w:br/>
              <w:t>розморожування і зважування речовин, контроль у процесі виробництва: Новартіс Фармасьютікал Мануфактуринг ЛЛС,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 Австрія/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ВАЛЕРІАНА ЕКСТРАКТ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Valerianae radix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валеріани коренів екстракт густий (Valerianae radix extractum spissum)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N05CM09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20 мг; по 10 таблеток у блістері; по 5 або по 10 блістерів у пачці з картону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ВАНДЕР®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dapoxetine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дапоксетину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 або по 4 таблетки у блістері; по 1 блістеру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ВАНДЕР®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dapoxetine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дапоксетину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30 мг, in bulk: №2400 (1х2400): по 1 таблетці у блістері; по 2400 блістерів у картонній коробці; №9600 (4х2400): по 4 таблетки у блістері; по 2400 блістерів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ВАНДЕР®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dapoxetine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дапоксетину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1 або по 4 таблетки у блістері; по 1 блістеру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UA/15230/01/02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ВАНДЕР®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dapoxetine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дапоксетину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60 мг, in bulk: №2400 (1х2400): по 1 таблетці у блістері; по 2400 блістерів у картонній коробці; №9600 (4х2400): по 4 таблетки у блістері; по 2400 блістерів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UA/21229/01/02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0,25 мг; по 1,5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0,5 мг; по 1,5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 Данiя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 мг; по 3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 Данiя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1,7 мг; по 3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2,4 мг; по 3 мл розчину у попередньо наповненій шприц-ручці; 1 або 3 попередньо наповнені шприц-ручки та 4 або 12 одноразових голок НовоФайн® Плюс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ВЕНОГЕПАНОЛ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heparin,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венорутинол, гепарин, декспантенол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C05BA53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по 40 г у тубі;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UA/7100/01/01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ВЕНОГЕПАНОЛ 1000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heparin,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венорутинол, гепарину натрію, декспантенол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C05BA53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по 40 г у тубі; по 1 тубі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ВЕРТИНЕКС®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prochlorperazine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прохлорперазину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N05AB04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1 блістеру в картонній упаковці; по 10 таблеток у блістері; по 1 блістеру в картонній упаковці; по 10 картонних упаковок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ВЕРТИНЕКС®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prochlorperazine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прохлорперазину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in bulk: № 12600 (10х1260) по 10 таблеток у блістері; по 1260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ВИДАНОЛ®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500 мг; по 10 таблеток у блістері; по 3 або по 6 блістерів у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або виробництво продукції in bulk:</w:t>
              <w:br/>
              <w:t>КУСУМ ХЕЛТХКЕР ПВТ ЛТД, Індія;</w:t>
              <w:br/>
              <w:t>вторинне пакування, випуск серії з продукції in bulk:</w:t>
              <w:br/>
              <w:t>ТОВ «КУСУМ»,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UA/14215/01/01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ВИДАНОЛ®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500 мг in bulk по 10 таблеток у блістері; по 150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UA/19694/01/01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ВІДІСІК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карбомер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очний 0,2 % по 10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UA/8536/01/01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ВІНОРЕЛЬБІН "ЕБЕВЕ"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vinorelbine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вінорельбін (у вигляді вінорельбіну тартрату)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1 мл (10 мг) або 5 мл (50 мг)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ЕБЕВЕ Фарма Гес.м.б.Х. Нфг.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ФАРЕВА Унтерах ГмбХ, Австрія; випуск серії: ЕБЕВЕ Фарма Гес.м.б.Х. Нфг. КГ, Австрія; тестування: МПЛ Мікробіологішес Прюфлабор ГмбХ, Австрія; тестування: Лабор ЛС СЕ &amp; Ко.КГ,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ВОГЛІБОЗ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voglibose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воглібоз</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кристали або кристалічний порошок (субстанція) у поліетиленових пакетах для фармацевтичного застосування</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ТОВ «КУСУМ»</w:t>
            </w:r>
          </w:p>
          <w:p>
            <w:pPr>
              <w:pStyle w:val="Normal"/>
              <w:autoSpaceDE w:val="false"/>
              <w:jc w:val="center"/>
              <w:rPr>
                <w:rFonts w:ascii="Arial" w:hAnsi="Arial" w:cs="Arial"/>
                <w:bCs/>
                <w:color w:val="000000"/>
                <w:sz w:val="16"/>
                <w:szCs w:val="16"/>
              </w:rPr>
            </w:pPr>
            <w:r>
              <w:rPr>
                <w:rFonts w:cs="Arial" w:ascii="Arial" w:hAnsi="Arial"/>
                <w:bCs/>
                <w:color w:val="000000"/>
                <w:sz w:val="16"/>
                <w:szCs w:val="16"/>
              </w:rP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КОЛОН ЛАЙФ САЄНС, ІНК.</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Республiка Корея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i/>
                <w:i/>
                <w:color w:val="000000"/>
                <w:sz w:val="16"/>
                <w:szCs w:val="16"/>
              </w:rPr>
            </w:pPr>
            <w:r>
              <w:rPr>
                <w:rFonts w:cs="Arial" w:ascii="Arial" w:hAnsi="Arial"/>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ВОРИКОНАЗОЛ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200 мг; 1 флакон з порошком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Дженофарм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Хайнань Полі Фарм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ВОРИКОНАЗОЛ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J02AC03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14 таблеток у блістері; по 1 або по 2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ІНТАС ФАРМАСЬЮТІКАЛС ЛІМІТЕД, Індія;</w:t>
              <w:br/>
              <w:t>дільниця з контролю якості: АСТРОН РЕСЬОРЧ ЛІМІТЕД, Велика Британія; дільниця з контролю якості: Фармадокс Хелскеа Лтд., Мальта; додаткова дільниця з первинного та вторинного пакування: АККОРД ХЕЛСКЕА ЛІМІТЕД, Велика Британiя; додаткова дільниця з вторинного пакування: АККОРД-ЮКЕЙ ЛІМІТЕД, Велика Британія; додаткова дільниця з вторинного пакування: ДЧЛ САПЛІ ЧЕЙН (Італія) СПА, Італiя; відповідальний за випуск серії: АККОРД ХЕЛСКЕА ЛІМІТЕД, Велика Британія; Аккорд Хелскеа Полска Сп. з o.o.,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Мальта/ Італiя/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ВОРИКОНАЗОЛ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J02AC03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200 мг;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Інтас Фармасьютікалс Лімітед, Індія;</w:t>
              <w:br/>
              <w:t>дільниця з контролю якості: АСТРОН РЕСЬОРЧ ЛІМІТЕД, Велика Британiя;</w:t>
              <w:br/>
              <w:t>дільниця з контролю якості: Фармадокс Хелскеа Лтд., Мальта;</w:t>
              <w:br/>
              <w:t>додаткова дільниця з вторинного пакування: АККОРД ХЕЛСКЕА ЛІМІТЕД, Велика Британія;</w:t>
              <w:br/>
              <w:t>додаткова дільниця з вторинного пакування: Синоптиз Індастріал Сп. з о.о., Польща;</w:t>
              <w:br/>
              <w:t>відповідальний за випуск серії: Аккорд Хелскеа Лімітед, Велика Британія;</w:t>
              <w:br/>
              <w:t>Аккорд Хелскеа Полска Сп. з о.о. ,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Британiя/ Мальта/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UA/20562/01/01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ГАБАЛЕПТ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желатинові по 300 мг; по 10 капсул у блістері; по 3 блістери в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ГАБАПЕНТИН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100 мг; по 10 капсул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UA/21261/01/01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ГАБАПЕНТИН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300 мг; по 10 капсул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UA/21261/01/02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ГАБАПЕНТИН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400 мг; по 10 капсул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UA/21261/01/03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М'ЯТНА СУСПЕНЗІЯ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бікарбонат,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по 150 мл або по 300 мл у флаконах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концентрату для розчину для інфузій по 150 мг, ліофілізат для концентрату для розчину для iнфузiй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Дженентек Інк., США; Виробництво нерозфасованої продукції, первинне пакування, вторинне пакування, випробування контролю якості, випуск серії: Рош Діагностикс ГмбХ, Німеччина; Вторинне пакування, випробування контролю якості, випуск серії: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США</w:t>
            </w:r>
            <w:r>
              <w:rPr>
                <w:rFonts w:cs="Arial" w:ascii="Arial" w:hAnsi="Arial"/>
                <w:color w:val="000000"/>
                <w:sz w:val="16"/>
                <w:szCs w:val="16"/>
                <w:lang w:val="en-US"/>
              </w:rPr>
              <w:t>/</w:t>
            </w:r>
            <w:r>
              <w:rPr>
                <w:rFonts w:cs="Arial" w:ascii="Arial" w:hAnsi="Arial"/>
                <w:color w:val="000000"/>
                <w:sz w:val="16"/>
                <w:szCs w:val="16"/>
              </w:rPr>
              <w:t xml:space="preserve"> Німеччина</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концентрату для розчину для інфузій по 440 мг; ліофілізат для концентрату для розчину для iнфузiй у флаконі, разом з 20 мл розчинника (розчинник: бактеріостатична вода для ін'єкцій 20 мл, що містить 1,1% бензилового спирту та воду для ін'єкцій) у флаконі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(тільки стерильність та механічні включення): Дженентек Інк., США; Дженентек Інк., США; </w:t>
              <w:br/>
              <w:t>Виробництво нерозфасованої продукції, первинне пакування, випробування контролю якості: Рош Діагностикс ГмбХ, Німеччина;</w:t>
              <w:br/>
              <w:t xml:space="preserve">Вторинне пакування, випробування контролю якості, випуск серії: Ф.Хоффманн-Ля Рош Лтд, Швейцарія; </w:t>
              <w:br/>
              <w:t>Розчинник: Виробництво нерозфасованої продукції, первинне пакування, вторинне пакування, випробування контролю якості, випуск серії: Ф.Хоффманн-Ля Рош Лтд, Швейцарія;</w:t>
              <w:br/>
              <w:t xml:space="preserve">Виробництво нерозфасованої продукції, первинне пакування, випробування контролю якості: Зігфрід Гамельн ГмбХ, Німеччина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США</w:t>
            </w:r>
            <w:r>
              <w:rPr>
                <w:rFonts w:cs="Arial" w:ascii="Arial" w:hAnsi="Arial"/>
                <w:color w:val="000000"/>
                <w:sz w:val="16"/>
                <w:szCs w:val="16"/>
                <w:lang w:val="en-US"/>
              </w:rPr>
              <w:t>/</w:t>
            </w:r>
            <w:r>
              <w:rPr>
                <w:rFonts w:cs="Arial" w:ascii="Arial" w:hAnsi="Arial"/>
                <w:color w:val="000000"/>
                <w:sz w:val="16"/>
                <w:szCs w:val="16"/>
              </w:rPr>
              <w:t xml:space="preserve"> Німеччина</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UA/13007/01/02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ГЛЕМОНТ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montelukast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монтелукаст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в картонній коробці; по 30 таблеток у контейнері; по 1 контейнеру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UA/14000/01/01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ГЛЕНЦЕТ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levocetirizine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левоцетиризину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R06AE09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 мг, по 10 таблеток у блістері; по 1 або по 3, або по 10 блістерів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UA/11243/01/01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ГЛЮКОФАЖ XR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500 мг; по 15 таблеток у блістері; по 2 або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Мерк Санте с.а.с.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Мерк Санте, Францiя;</w:t>
            </w:r>
          </w:p>
          <w:p>
            <w:pPr>
              <w:pStyle w:val="Normal"/>
              <w:autoSpaceDE w:val="false"/>
              <w:jc w:val="center"/>
              <w:rPr>
                <w:rFonts w:ascii="Arial" w:hAnsi="Arial" w:cs="Arial"/>
                <w:bCs/>
                <w:sz w:val="16"/>
                <w:szCs w:val="16"/>
              </w:rPr>
            </w:pPr>
            <w:r>
              <w:rPr>
                <w:rFonts w:cs="Arial" w:ascii="Arial" w:hAnsi="Arial"/>
                <w:bCs/>
                <w:color w:val="000000"/>
                <w:sz w:val="16"/>
                <w:szCs w:val="16"/>
              </w:rPr>
              <w:t>контроль/випробування серії (визначення N-нітрозодиметиламіну (NDMA):</w:t>
            </w:r>
          </w:p>
          <w:p>
            <w:pPr>
              <w:pStyle w:val="Normal"/>
              <w:autoSpaceDE w:val="false"/>
              <w:jc w:val="center"/>
              <w:rPr>
                <w:rFonts w:ascii="Arial" w:hAnsi="Arial" w:cs="Arial"/>
                <w:bCs/>
                <w:sz w:val="16"/>
                <w:szCs w:val="16"/>
              </w:rPr>
            </w:pPr>
            <w:r>
              <w:rPr>
                <w:rFonts w:cs="Arial" w:ascii="Arial" w:hAnsi="Arial"/>
                <w:bCs/>
                <w:color w:val="000000"/>
                <w:sz w:val="16"/>
                <w:szCs w:val="16"/>
              </w:rPr>
              <w:t>Єврофінс Аматсі Аналітікс, Францiя;</w:t>
            </w:r>
          </w:p>
          <w:p>
            <w:pPr>
              <w:pStyle w:val="Normal"/>
              <w:autoSpaceDE w:val="false"/>
              <w:jc w:val="center"/>
              <w:rPr>
                <w:rFonts w:ascii="Arial" w:hAnsi="Arial" w:cs="Arial"/>
                <w:bCs/>
                <w:sz w:val="16"/>
                <w:szCs w:val="16"/>
              </w:rPr>
            </w:pPr>
            <w:r>
              <w:rPr>
                <w:rFonts w:cs="Arial" w:ascii="Arial" w:hAnsi="Arial"/>
                <w:bCs/>
                <w:color w:val="000000"/>
                <w:sz w:val="16"/>
                <w:szCs w:val="16"/>
              </w:rPr>
              <w:t>Мерк Хелскеа КГаА,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UA/3994/02/01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900 МО (66 мкг)/1,44 мл; по 1,44 мл у картриджі з пробкою-поршнем та рифленою кришечкою, вміщеному у ручку для введення; по 1 ручці та 16 голок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300 МО (22 мкг)/0,48 мл; по 0,48 мл у картриджі з пробкою-поршнем та рифленою кришечкою, вміщеному у ручку для введення; по 1 ручці та 8 голок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450 МО (33 мкг)/0,72 мл; по 0,72 мл у картриджі з пробкою-поршнем та рифленою кришечкою, вміщеному у ручку для введення; по 1 ручці та 12 голок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450 МО (33 мкг)/0,72 мл; по 0,72 мл у картриджі з пробкою-поршнем та рифленою кришечкою, вміщеному у ручку для введення; по 1 ручці та 12 голок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900 МО (66 мкг)/1,44 мл; по 1,44 мл у картриджі з пробкою-поршнем та рифленою кришечкою, вміщеному у ручку для введення; по 1 ручці та 16 голок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300 МО (22 мкг)/0,48 мл; по 0,48 мл у картриджі з пробкою-поршнем та рифленою кришечкою, вміщеному у ручку для введення; по 1 ручці та 8 голок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UA/4113/02/01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ГРИЗЕОФУЛЬВІН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griseofulvin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гризеофульвін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125 мг по 20 таблеток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Публічне акціонерне товариство «Науково-виробничий центр «Борщагівський хіміко-фармацевтичний завод»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ДАЗАТИНІБ АККОРД ХЕЛСКЕА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dasatinib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дазатинібу моногідрат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L01EA02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70 мг; по 10 таблеток у блістері; по 6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C.Л.У.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w:t>
              <w:br/>
              <w:t>Аккорд Хелскеа Полска Сп. з o.o. Склад Імпортера, Польща;</w:t>
              <w:br/>
              <w:t>виробництво лікарського засобу, первинне та вторинне пакування:</w:t>
              <w:br/>
              <w:t>Інтас Фармасьютікалз Лімітед, Індія;</w:t>
              <w:br/>
              <w:t>контроль якості (фізичні, хімічні та мікробіологічні дослідження):</w:t>
              <w:br/>
              <w:t>Фармадокс Хелскеа Лімітед, Мальта;</w:t>
              <w:br/>
              <w:t>контроль якості (фізичні, хімічні та мікробіологічні дослідження):</w:t>
              <w:br/>
              <w:t>Лабораторі Фундасіo ДАУ,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Індія/ Мальта/ 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ДЕКСАНЕСТ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dexmedetomidine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дексмедетомідину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N05CM18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мкг/мл, по 2 мл в ампулі; по 1 ампулі у пачці з картону; по 5 ампул у блістері; по 1 або 5 блістерів у пачці з картону; по 4 мл у флаконі; по 1 флакону у пачці з картону; по 4 флакони у блістері; по 1 блістеру у пачці з картону; по 10 мл у флаконі; по 1 флакону у пачці з картону; по 4 флакони у блістері; по 1 блістеру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ДЕКСКЕТОПРОФЕН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декскетопрофен (у формі декскетопрофену трометамолу)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2 мл в ампулі, по 5 ампул у контурній упаковці, по 1 контурній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ДЕРМАЗОЛ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вагінальні по 400 мг; in bulk № 1440 (5х288) по 5 супозиторіїв у стрипі; по 288 стрип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UA/12479/04/01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ДЕРМАЗОЛ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G01AF11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вагінальні по 400 мг; по 5 супозиторіїв у стрипі; по 1 або по 2 стрипи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rPr>
              <w:t>UA/16144/01/01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lang w:val="en-US"/>
              </w:rPr>
            </w:pPr>
            <w:r>
              <w:rPr>
                <w:rFonts w:cs="Arial" w:ascii="Arial" w:hAnsi="Arial"/>
                <w:b/>
                <w:sz w:val="16"/>
                <w:szCs w:val="16"/>
                <w:lang w:val="en-US"/>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ДЖАЗ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дроспіренон; </w:t>
            </w:r>
            <w:r>
              <w:rPr>
                <w:rFonts w:cs="Arial" w:ascii="Arial" w:hAnsi="Arial"/>
                <w:sz w:val="16"/>
                <w:szCs w:val="16"/>
              </w:rPr>
              <w:t>етинілестрадіол (у вигляді клатрату з бетадексом)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28 таблеток (24 таблетки світло-рожевого + 4 таблетки (плацебо) білого кольору) у блістері з самоклейкою стрічкою; по 1 блістеру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контроль якості, випуск серії для активної таблетки;</w:t>
              <w:br/>
              <w:t>первинне та вторинне пакування, випуск серії для "плацебо":</w:t>
              <w:br/>
              <w:t>Байєр АГ, Німеччина;</w:t>
              <w:br/>
              <w:t>Виробництво нерозфасованої продукції та проведення контролю якості для «плацебо»:</w:t>
              <w:br/>
              <w:t>Байєр АГ, Німеччина;</w:t>
              <w:br/>
              <w:t>Всі стадії виробництва для активної таблетки та «плацебо»:</w:t>
              <w:br/>
              <w:t>Байєр Ваймар ГмбХ і Ко. КГ, 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UA/5468/01/01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ДЖАКАВІ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ruxolitinib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руксолітиніб (у формі фосфату)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L01EJ01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14 таблеток у блістері; по 4 блістери у коробці із картону пакувального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випуск серії:</w:t>
              <w:br/>
              <w:t>Новартіс Фарма Штейн АГ, Швейцарія;</w:t>
              <w:br/>
              <w:t>Виробництво, частковий контроль якості, первинне та вторинне пакування, випуск серії:</w:t>
              <w:br/>
              <w:t>Новартіс Фармасьютикал Мануфактурінг ЛЛС, Словенія;</w:t>
              <w:br/>
              <w:t>Частковий контроль якості:</w:t>
              <w:br/>
              <w:t>Національна лабораторія здоров'я навколишнього середовища та їжі, Словенія;</w:t>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Словенія/ 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UA/13456/01/01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ДЖАКАВІ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ruxolitinib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руксолітиніб (у формі фосфату)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L01EJ01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 мг; по 14 таблеток у блістері; по 4 блістери у коробці із картону пакувального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випуск серії:</w:t>
              <w:br/>
              <w:t>Новартіс Фарма Штейн АГ, Швейцарія;</w:t>
              <w:br/>
              <w:t>Виробництво, частковий контроль якості, первинне та вторинне пакування, випуск серії:</w:t>
              <w:br/>
              <w:t>Новартіс Фармасьютикал Мануфактурінг ЛЛС, Словенія;</w:t>
              <w:br/>
              <w:br/>
              <w:t>Частковий контроль якості:</w:t>
              <w:br/>
              <w:t xml:space="preserve">Національна лабораторія здоров'я навколишнього середовища та їжі, Словенія; </w:t>
              <w:br/>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Словенія/ 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UA/13456/01/02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ДЖАКАВІ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ruxolitinib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руксолітиніб (у формі фосфату)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L01EJ01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14 таблеток у блістері; по 4 блістери у коробці із картону пакувального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випуск серії:</w:t>
              <w:br/>
              <w:t>Новартіс Фарма Штейн АГ, Швейцарія;</w:t>
              <w:br/>
              <w:br/>
              <w:t>Виробництво, частковий контроль якості, первинне та вторинне пакування, випуск серії:</w:t>
              <w:br/>
              <w:t>Новартіс Фармасьютикал Мануфактурінг ЛЛС, Словенія</w:t>
              <w:br/>
              <w:br/>
              <w:t>Частковий контроль якості:</w:t>
              <w:br/>
              <w:t xml:space="preserve">Національна лабораторія здоров'я навколишнього середовища та їжі, Словенія; </w:t>
              <w:br/>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Словенія/ 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UA/13456/01/03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ДИМЕТИЛСУЛЬФОКСИД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dimethyl sulfoxide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диметилсульфоксид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рідина або кристали (субстанція) у пластмасових бочках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"ДКП "Фармацевтична фабрика"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Хубей Ксінгфа Кемікалс Груп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ДІАФОРМІН®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ДІАФОРМІН®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850 мг;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UA/15141/01/02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ДІАФОРМІН®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10 таблеток у блістері; по 3 або 6 блістерів у пачці з картону</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UA/15141/01/03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ДІКЛОТОЛ®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ацеклофенак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 мг in bulk: № 12000 (10х1200) таблеток: по 10 таблеток у блістері; по 1200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ДІКЛОТОЛ®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ацеклофенак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 мг, по 10 таблеток у блістері; по 3 або 10 блістерів у картонній упаковці; по 14 таблеток у блістері; по 2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UA/12364/01/01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ДОЦЕТАКСЕЛ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docetaxel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доцетаксел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1 мл (20 мг) або 4 мл (80 мг) або 8 мл (160 мг) у флаконах, по 1 флакону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Інтас Фармасьютікалс Лімітед, Індія; Інтас Фармасьютікалс Лімітед, Індія; вторинне пакування: Аккорд Хелскеа Лімітед, Велика Британія; Синоптиз Індастріал Сп.з о.о., Польща; контроль якості серії: Єврофінс Аналітікал Сервісез Хангері Кфт., Угорщина; Фармадокс Хелскеа Лтд., Мальта; виробництво, первинне та вторинне пакування: Онко Ілак Сан. Ве Тідж. А.С., Туреччина; контроль якості серії: ФАРМАВАЛІД Лтд. Мікробіологічна лабораторія, Угорщина; 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ru-RU"/>
              </w:rPr>
            </w:pPr>
            <w:r>
              <w:rPr>
                <w:rFonts w:cs="Arial" w:ascii="Arial" w:hAnsi="Arial"/>
                <w:color w:val="000000"/>
                <w:sz w:val="16"/>
                <w:szCs w:val="16"/>
              </w:rPr>
              <w:t>Індія</w:t>
            </w:r>
            <w:r>
              <w:rPr>
                <w:rFonts w:cs="Arial" w:ascii="Arial" w:hAnsi="Arial"/>
                <w:color w:val="000000"/>
                <w:sz w:val="16"/>
                <w:szCs w:val="16"/>
                <w:lang w:val="ru-RU"/>
              </w:rPr>
              <w:t>/</w:t>
            </w:r>
            <w:r>
              <w:rPr>
                <w:rFonts w:cs="Arial" w:ascii="Arial" w:hAnsi="Arial"/>
                <w:color w:val="000000"/>
                <w:sz w:val="16"/>
                <w:szCs w:val="16"/>
              </w:rPr>
              <w:t xml:space="preserve"> Польща</w:t>
            </w:r>
            <w:r>
              <w:rPr>
                <w:rFonts w:cs="Arial" w:ascii="Arial" w:hAnsi="Arial"/>
                <w:color w:val="000000"/>
                <w:sz w:val="16"/>
                <w:szCs w:val="16"/>
                <w:lang w:val="ru-RU"/>
              </w:rPr>
              <w:t>/</w:t>
            </w:r>
            <w:r>
              <w:rPr>
                <w:rFonts w:cs="Arial" w:ascii="Arial" w:hAnsi="Arial"/>
                <w:color w:val="000000"/>
                <w:sz w:val="16"/>
                <w:szCs w:val="16"/>
              </w:rPr>
              <w:t xml:space="preserve"> Угорщина</w:t>
            </w:r>
            <w:r>
              <w:rPr>
                <w:rFonts w:cs="Arial" w:ascii="Arial" w:hAnsi="Arial"/>
                <w:color w:val="000000"/>
                <w:sz w:val="16"/>
                <w:szCs w:val="16"/>
                <w:lang w:val="ru-RU"/>
              </w:rPr>
              <w:t>/</w:t>
            </w:r>
            <w:r>
              <w:rPr>
                <w:rFonts w:cs="Arial" w:ascii="Arial" w:hAnsi="Arial"/>
                <w:color w:val="000000"/>
                <w:sz w:val="16"/>
                <w:szCs w:val="16"/>
              </w:rPr>
              <w:t xml:space="preserve"> Мальта </w:t>
            </w:r>
            <w:r>
              <w:rPr>
                <w:rFonts w:cs="Arial" w:ascii="Arial" w:hAnsi="Arial"/>
                <w:color w:val="000000"/>
                <w:sz w:val="16"/>
                <w:szCs w:val="16"/>
                <w:lang w:val="ru-RU"/>
              </w:rPr>
              <w:t>/</w:t>
            </w: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ДУФАСТОН®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dydrogesterone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дидрогестерон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або 20, або 28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Хелскеа Продактс Б.В.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Біолоджікалз Б.В.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ЕКСФОРЖ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amlodipine and hydrochlorothiazide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мг/160 мг/25 мг; по 14 таблеток у блістері; по 1 або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Новартіс Фарма C.п.А., Італія</w:t>
              <w:br/>
              <w:t>Виробництво, контроль якості, первинне пакування, вторинне пакування:</w:t>
              <w:br/>
              <w:t>Зігфрід Барбера, С.Л., Іспанія</w:t>
              <w:br/>
              <w:t>Випуск серії:</w:t>
              <w:br/>
              <w:t xml:space="preserve">Новартіс Фармасьютика, С.А., Іспанія </w:t>
              <w:br/>
              <w:t>Контроль якості:</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ЕКСФОРЖ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valsartan, amlodipine and hydrochlorothiazide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мг/160 мг/12,5 мг; по 14 таблеток у блістері; по 1 або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Новартіс Фарма C.п.А., Італія</w:t>
              <w:br/>
              <w:t>Виробництво, контроль якості, первинне пакування, вторинне пакування:</w:t>
              <w:br/>
              <w:t>Зігфрід Барбера, С.Л., Іспанія</w:t>
              <w:br/>
              <w:t>Випуск серії:</w:t>
              <w:br/>
              <w:t xml:space="preserve">Новартіс Фармасьютика, С.А., Іспанія </w:t>
              <w:br/>
              <w:t>Контроль якості:</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ЕКСФОРЖ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amlodipine and hydrochlorothiazide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мг/160 мг/12,5 мг; по 14 таблеток у блістері; по 1 або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Новартіс Фарма C.п.А., Італія</w:t>
              <w:br/>
              <w:t>Виробництво, контроль якості, первинне пакування, вторинне пакування:</w:t>
              <w:br/>
              <w:t>Зігфрід Барбера, С.Л., Іспанія</w:t>
              <w:br/>
              <w:t>Випуск серії:</w:t>
              <w:br/>
              <w:t xml:space="preserve">Новартіс Фармасьютика, С.А., Іспанія </w:t>
              <w:br/>
              <w:t>Контроль якості:</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ЕКСФОРЖ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amlodipine and hydrochlorothiazide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мг/160 мг/25 мг; по 14 таблеток у блістері; по 1 або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Новартіс Фарма C.п.А., Італія</w:t>
              <w:br/>
              <w:t>Виробництво, контроль якості, первинне пакування, вторинне пакування:</w:t>
              <w:br/>
              <w:t>Зігфрід Барбера, С.Л., Іспанія</w:t>
              <w:br/>
              <w:t>Випуск серії:</w:t>
              <w:br/>
              <w:t xml:space="preserve">Новартіс Фармасьютика, С.А., Іспанія </w:t>
              <w:br/>
              <w:t>Контроль якості:</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ЕПІПЕН ЮНІОР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epinephrine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адреналін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C01CA24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0,15 мг/дозу; по 2 мл розчину у попередньо наповненій ручці; по 1 попередньо наповненій ручці в тубі; по 1 тубі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Хелскеа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нерозфасованої продукції (підготовка, асептична фільтрація, наповнення та укупорка):</w:t>
              <w:br/>
              <w:t>Мерідіан Медікал Текнолоджис, ЛЛС, США; виробник, відповідальний за тестування та комплектацію: Мерідіан Медікал Текнолоджис, ЛЛС, США; виробник, відповідальний за маркування та вторинну упаковку: МПФ Б.В. (Мануфактурінг Пекеджинг Фармака), Нідерланди; компанія, що відповідає за проведення контролю якості: Єврофінс Біофарма Продакт Тестінг, Данiя; виробник, відповідальний за випуск серії: МЕДА Фарма ГмбХ енд Ко. КГ, Німеччина; альтернативний виробник, відповідальний за маркування та вторинну упаковку: РОШ-ДЕЛЬТА ГмбХ енд Ко. КГ, Німеччина; альтернативний виробник, відповідальний за маркування та вторинну упаковку: ФармЛог Фарма Логістик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 Нідерланди/ Данiя/ 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ЕРІДЕЗ®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desloratadine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дезлоратадин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R06AX27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5 мг по 10 таблеток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готового продукту, первинне та вторинне пакування, контроль серії, випуск серії: Дженефарм С.А., Греція; </w:t>
              <w:br/>
              <w:t>виробництво готового продукту, первинне та вторинне пакування, контроль серії, випуск серії: Фармапас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ЕРІДОН®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1 мг/мл, по 30 мл у флаконі; по 1 флакону у комплекті з дозуючою піпеткою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зберігання, контроль якості та випуск серії:</w:t>
              <w:br/>
              <w:t xml:space="preserve">Шанель Медікал Анлімітед Компані, Ірландія </w:t>
              <w:br/>
              <w:t>контроль якості (хімічні/фізичні випробування та мікробіологічна чистота нестерильного лікарського засобу):</w:t>
              <w:br/>
              <w:t>Компліт Лабораторі Солушнз, Ірландія</w:t>
              <w:br/>
              <w:t>контроль якості (хімічні/фізичні, аналітичні та випробування стабільності):</w:t>
              <w:br/>
              <w:t>Шанель Лаб, Йорданія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 Йорданія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ЕФЕРАЛГАН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шипучі по 500 мг; по 4 таблетки у стрипі; по 4 стрипи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UA/5237/01/01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ЗАРСІО®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filgrastim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філграстим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30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пакування, контроль серії: Ай Ді Ті Біологіка ГмбХ, Німеччина;</w:t>
              <w:br/>
              <w:t>повний цикл виробництва: Новартіс Фармасьютікал Мануфактурінг ГмбХ, Австрія;</w:t>
              <w:br/>
              <w:t xml:space="preserve">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ЗАРСІО®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filgrastim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філграстим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48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пакування, контроль серії: Ай Ді Ті Біологіка ГмбХ, Німеччина;</w:t>
              <w:br/>
              <w:t>повний цикл виробництва: Новартіс Фармасьютікал Мануфактурінг ГмбХ, Австрія;</w:t>
              <w:br/>
              <w:t xml:space="preserve">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ЗЕЛБОРАФ®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vemurafenib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вемурафеніб у вигляді ко-преципітату вемурафенібу і гіпромелози ацетату сукцинату (у співвідношенні 3:7)</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L01EC01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240 мг; по 8 таблеток у блістері, по 7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вторинне пакування, випробування контролю якості: </w:t>
              <w:br/>
              <w:t>Дельфарм Мілано, С.Р.Л., Італія; Випуск серії: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ЗЕРОДОЛ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ацеклофенак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100 мг по 10 таблеток у блістері; по 1 або по 3 блістери у картонній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ЗОТЕК®-200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ЗОТЕК®-300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dexibuprofen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300 мг; по 10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ЗОТЕК®-400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ІБУПРОМ ДЛЯ ДІТЕЙ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по 100 мг/5 мл по 100мл, 150 мл або 200 мл у флаконі; по 1 флакону у комплекті зі шприцом-дозатором по 5 мл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Юнілаб, ЛП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 Фармасьєрра Мануфекчурін, С.Л., Іспанія; Виробництво, первинне та вторинне пакування, контроль якості, випуск серії готового продукту:</w:t>
              <w:br/>
              <w:t>Делфарм Бладел Б.В., Нідерланди; Контроль якості (за винятком мікробіологічного контролю), випуск серії готового продукту:</w:t>
              <w:br/>
              <w:t>Фармалідер, С.А., Іспанія; Виробництво, первинне та вторинне пакування, контроль якості: Едефарм, С.Л., Іспанія; Альтернативна дільниця для проведення мікробіологічного контролю (субдоговір з виробником Фармалідер, С.А.): Біолаб С.Л., Іспанiя; Випуск серії готового продукту: ТОВ ЮС Фармація,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Нідерланди/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UA/15878/01/02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ХУБЕЙ БІОКОЗ ХЕЙЛЕН ФАРМАСЬЮТИКАЛ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або 12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М.БІОТЕК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СТРАЙДС ФАРМА САЙЕНС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або 12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М.БІОТЕК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СТРАЙДС ФАРМА САЙЕНС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ІНФАКОЛ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silicones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симетикон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A03AX13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40 мг/мл; по 50 мл, або 75 мл, або 100 мл у флаконі з крапельним дозатором;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Фенікс Лабс Анлімітед Компані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Пурна Фармасьютікалз НВ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HAEMOPHILUS INFLUENZAE ТИПУ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B-pertussis-poliomyelitis-tetanus-hepatitis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lang w:val="en-AU"/>
              </w:rPr>
              <w:t>pertussis</w:t>
            </w:r>
            <w:r>
              <w:rPr>
                <w:rFonts w:cs="Arial" w:ascii="Arial" w:hAnsi="Arial"/>
                <w:sz w:val="16"/>
                <w:szCs w:val="16"/>
                <w:lang w:val="en-AU"/>
              </w:rPr>
              <w:t>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 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р-ДНК поверхневий антиген вірусу гепатиту В (</w:t>
            </w:r>
            <w:r>
              <w:rPr>
                <w:rFonts w:cs="Arial" w:ascii="Arial" w:hAnsi="Arial"/>
                <w:sz w:val="16"/>
                <w:szCs w:val="16"/>
                <w:lang w:val="en-AU"/>
              </w:rPr>
              <w:t>HBsAg</w:t>
            </w:r>
            <w:r>
              <w:rPr>
                <w:rFonts w:cs="Arial" w:ascii="Arial" w:hAnsi="Arial"/>
                <w:sz w:val="16"/>
                <w:szCs w:val="16"/>
              </w:rPr>
              <w:t>)</w:t>
            </w:r>
            <w:r>
              <w:rPr>
                <w:rFonts w:cs="Arial" w:ascii="Arial" w:hAnsi="Arial"/>
                <w:sz w:val="16"/>
                <w:szCs w:val="16"/>
                <w:vertAlign w:val="superscript"/>
              </w:rPr>
              <w:t>2,3</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 віруси поліомієліту:</w:t>
            </w:r>
          </w:p>
          <w:p>
            <w:pPr>
              <w:pStyle w:val="Normal"/>
              <w:rPr>
                <w:rFonts w:ascii="Arial" w:hAnsi="Arial" w:cs="Arial"/>
                <w:sz w:val="16"/>
                <w:szCs w:val="16"/>
                <w:vertAlign w:val="superscript"/>
              </w:rPr>
            </w:pPr>
            <w:r>
              <w:rPr>
                <w:rFonts w:cs="Arial" w:ascii="Arial" w:hAnsi="Arial"/>
                <w:sz w:val="16"/>
                <w:szCs w:val="16"/>
              </w:rPr>
              <w:t xml:space="preserve">тип 1 (штам </w:t>
            </w:r>
            <w:r>
              <w:rPr>
                <w:rFonts w:cs="Arial" w:ascii="Arial" w:hAnsi="Arial"/>
                <w:sz w:val="16"/>
                <w:szCs w:val="16"/>
                <w:lang w:val="en-AU"/>
              </w:rPr>
              <w:t>Mahoney</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r>
            <w:r>
              <w:rPr>
                <w:rFonts w:cs="Arial" w:ascii="Arial" w:hAnsi="Arial"/>
                <w:sz w:val="16"/>
                <w:szCs w:val="16"/>
                <w:vertAlign w:val="superscript"/>
              </w:rPr>
              <w:t>3</w:t>
            </w:r>
            <w:r>
              <w:rPr>
                <w:rFonts w:cs="Arial" w:ascii="Arial" w:hAnsi="Arial"/>
                <w:sz w:val="16"/>
                <w:szCs w:val="16"/>
              </w:rPr>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 (</w:t>
            </w:r>
            <w:r>
              <w:rPr>
                <w:rFonts w:cs="Arial" w:ascii="Arial" w:hAnsi="Arial"/>
                <w:i/>
                <w:iCs/>
                <w:sz w:val="16"/>
                <w:szCs w:val="16"/>
                <w:lang w:val="en-AU"/>
              </w:rPr>
              <w:t>Al</w:t>
            </w:r>
            <w:r>
              <w:rPr>
                <w:rFonts w:cs="Arial" w:ascii="Arial" w:hAnsi="Arial"/>
                <w:i/>
                <w:iCs/>
                <w:sz w:val="16"/>
                <w:szCs w:val="16"/>
              </w:rPr>
              <w:t>(</w:t>
            </w:r>
            <w:r>
              <w:rPr>
                <w:rFonts w:cs="Arial" w:ascii="Arial" w:hAnsi="Arial"/>
                <w:i/>
                <w:iCs/>
                <w:sz w:val="16"/>
                <w:szCs w:val="16"/>
                <w:lang w:val="en-AU"/>
              </w:rPr>
              <w:t>OH</w:t>
            </w:r>
            <w:r>
              <w:rPr>
                <w:rFonts w:cs="Arial" w:ascii="Arial" w:hAnsi="Arial"/>
                <w:i/>
                <w:iCs/>
                <w:sz w:val="16"/>
                <w:szCs w:val="16"/>
              </w:rPr>
              <w:t>)</w:t>
            </w:r>
            <w:r>
              <w:rPr>
                <w:rFonts w:cs="Arial" w:ascii="Arial" w:hAnsi="Arial"/>
                <w:i/>
                <w:iCs/>
                <w:sz w:val="16"/>
                <w:szCs w:val="16"/>
                <w:vertAlign w:val="subscript"/>
              </w:rPr>
              <w:t>3</w:t>
            </w:r>
            <w:r>
              <w:rPr>
                <w:rFonts w:cs="Arial" w:ascii="Arial" w:hAnsi="Arial"/>
                <w:i/>
                <w:iCs/>
                <w:sz w:val="16"/>
                <w:szCs w:val="16"/>
              </w:rPr>
              <w:t>)</w:t>
            </w:r>
            <w:r>
              <w:rPr>
                <w:rFonts w:cs="Arial" w:ascii="Arial" w:hAnsi="Arial"/>
                <w:i/>
                <w:iCs/>
                <w:sz w:val="16"/>
                <w:szCs w:val="16"/>
                <w:lang w:val="en-AU"/>
              </w:rPr>
              <w:t> </w:t>
            </w:r>
          </w:p>
          <w:p>
            <w:pPr>
              <w:pStyle w:val="Normal"/>
              <w:rPr>
                <w:rFonts w:ascii="Arial" w:hAnsi="Arial" w:cs="Arial"/>
                <w:sz w:val="16"/>
                <w:szCs w:val="16"/>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вироблений в клітинах дріжджів (Saccharomyces cerevisiae) за допомогою р-ДНК  технології</w:t>
            </w:r>
          </w:p>
          <w:p>
            <w:pPr>
              <w:pStyle w:val="Normal"/>
              <w:rPr>
                <w:rFonts w:ascii="Arial" w:hAnsi="Arial" w:cs="Arial"/>
                <w:sz w:val="16"/>
                <w:szCs w:val="16"/>
                <w:vertAlign w:val="superscript"/>
              </w:rPr>
            </w:pPr>
            <w:r>
              <w:rPr>
                <w:rFonts w:cs="Arial" w:ascii="Arial" w:hAnsi="Arial"/>
                <w:i/>
                <w:iCs/>
                <w:sz w:val="16"/>
                <w:szCs w:val="16"/>
                <w:vertAlign w:val="superscript"/>
              </w:rPr>
              <w:t>3</w:t>
            </w:r>
            <w:r>
              <w:rPr>
                <w:rFonts w:cs="Arial" w:ascii="Arial" w:hAnsi="Arial"/>
                <w:i/>
                <w:iCs/>
                <w:sz w:val="16"/>
                <w:szCs w:val="16"/>
              </w:rPr>
              <w:t>адсорбований на алюмінію фосфат (AlPO4)</w:t>
            </w:r>
          </w:p>
          <w:p>
            <w:pPr>
              <w:pStyle w:val="Normal"/>
              <w:rPr>
                <w:rFonts w:ascii="Arial" w:hAnsi="Arial" w:cs="Arial"/>
                <w:sz w:val="16"/>
                <w:szCs w:val="16"/>
                <w:vertAlign w:val="superscript"/>
              </w:rPr>
            </w:pPr>
            <w:r>
              <w:rPr>
                <w:rFonts w:cs="Arial" w:ascii="Arial" w:hAnsi="Arial"/>
                <w:sz w:val="16"/>
                <w:szCs w:val="16"/>
                <w:vertAlign w:val="superscript"/>
              </w:rPr>
              <w:t>4 </w:t>
            </w:r>
            <w:r>
              <w:rPr>
                <w:rFonts w:cs="Arial" w:ascii="Arial" w:hAnsi="Arial"/>
                <w:i/>
                <w:iCs/>
                <w:sz w:val="16"/>
                <w:szCs w:val="16"/>
                <w:lang w:val="en-AU"/>
              </w:rPr>
              <w:t>розмножені на клітинах </w:t>
            </w:r>
            <w:r>
              <w:rPr>
                <w:rFonts w:cs="Arial" w:ascii="Arial" w:hAnsi="Arial"/>
                <w:i/>
                <w:iCs/>
                <w:sz w:val="16"/>
                <w:szCs w:val="16"/>
              </w:rPr>
              <w:t>Vero</w:t>
            </w:r>
          </w:p>
          <w:p>
            <w:pPr>
              <w:pStyle w:val="Normal"/>
              <w:rPr>
                <w:rFonts w:ascii="Arial" w:hAnsi="Arial" w:cs="Arial"/>
                <w:sz w:val="16"/>
                <w:szCs w:val="16"/>
                <w:vertAlign w:val="superscript"/>
              </w:rPr>
            </w:pPr>
            <w:r>
              <w:rPr>
                <w:rFonts w:cs="Arial" w:ascii="Arial" w:hAnsi="Arial"/>
                <w:sz w:val="16"/>
                <w:szCs w:val="16"/>
                <w:vertAlign w:val="superscript"/>
              </w:rPr>
            </w:r>
          </w:p>
          <w:p>
            <w:pPr>
              <w:pStyle w:val="Normal"/>
              <w:rPr>
                <w:rFonts w:ascii="Arial" w:hAnsi="Arial" w:cs="Arial"/>
                <w:sz w:val="16"/>
                <w:szCs w:val="16"/>
                <w:vertAlign w:val="superscript"/>
              </w:rPr>
            </w:pPr>
            <w:r>
              <w:rPr>
                <w:rFonts w:cs="Arial" w:ascii="Arial" w:hAnsi="Arial"/>
                <w:sz w:val="16"/>
                <w:szCs w:val="16"/>
                <w:vertAlign w:val="superscript"/>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стрикером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Проведення контролю якості DTPa-HBV-IPV компоненту);</w:t>
              <w:br/>
              <w:t>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HAEMOPHILUS INFLUENZAE ТИПУ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B-pertussis-poliomyelitis-tetanus-hepatitis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lang w:val="en-AU"/>
              </w:rPr>
              <w:t>pertussis</w:t>
            </w:r>
            <w:r>
              <w:rPr>
                <w:rFonts w:cs="Arial" w:ascii="Arial" w:hAnsi="Arial"/>
                <w:sz w:val="16"/>
                <w:szCs w:val="16"/>
                <w:lang w:val="en-AU"/>
              </w:rPr>
              <w:t>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 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р-ДНК поверхневий антиген вірусу гепатиту В (</w:t>
            </w:r>
            <w:r>
              <w:rPr>
                <w:rFonts w:cs="Arial" w:ascii="Arial" w:hAnsi="Arial"/>
                <w:sz w:val="16"/>
                <w:szCs w:val="16"/>
                <w:lang w:val="en-AU"/>
              </w:rPr>
              <w:t>HBsAg</w:t>
            </w:r>
            <w:r>
              <w:rPr>
                <w:rFonts w:cs="Arial" w:ascii="Arial" w:hAnsi="Arial"/>
                <w:sz w:val="16"/>
                <w:szCs w:val="16"/>
              </w:rPr>
              <w:t>)</w:t>
            </w:r>
            <w:r>
              <w:rPr>
                <w:rFonts w:cs="Arial" w:ascii="Arial" w:hAnsi="Arial"/>
                <w:sz w:val="16"/>
                <w:szCs w:val="16"/>
                <w:vertAlign w:val="superscript"/>
              </w:rPr>
              <w:t>2,3</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 віруси поліомієліту:</w:t>
            </w:r>
          </w:p>
          <w:p>
            <w:pPr>
              <w:pStyle w:val="Normal"/>
              <w:rPr>
                <w:rFonts w:ascii="Arial" w:hAnsi="Arial" w:cs="Arial"/>
                <w:sz w:val="16"/>
                <w:szCs w:val="16"/>
                <w:vertAlign w:val="superscript"/>
              </w:rPr>
            </w:pPr>
            <w:r>
              <w:rPr>
                <w:rFonts w:cs="Arial" w:ascii="Arial" w:hAnsi="Arial"/>
                <w:sz w:val="16"/>
                <w:szCs w:val="16"/>
              </w:rPr>
              <w:t xml:space="preserve">тип 1 (штам </w:t>
            </w:r>
            <w:r>
              <w:rPr>
                <w:rFonts w:cs="Arial" w:ascii="Arial" w:hAnsi="Arial"/>
                <w:sz w:val="16"/>
                <w:szCs w:val="16"/>
                <w:lang w:val="en-AU"/>
              </w:rPr>
              <w:t>Mahoney</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r>
            <w:r>
              <w:rPr>
                <w:rFonts w:cs="Arial" w:ascii="Arial" w:hAnsi="Arial"/>
                <w:sz w:val="16"/>
                <w:szCs w:val="16"/>
                <w:vertAlign w:val="superscript"/>
              </w:rPr>
              <w:t>3</w:t>
            </w:r>
            <w:r>
              <w:rPr>
                <w:rFonts w:cs="Arial" w:ascii="Arial" w:hAnsi="Arial"/>
                <w:sz w:val="16"/>
                <w:szCs w:val="16"/>
              </w:rPr>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 (</w:t>
            </w:r>
            <w:r>
              <w:rPr>
                <w:rFonts w:cs="Arial" w:ascii="Arial" w:hAnsi="Arial"/>
                <w:i/>
                <w:iCs/>
                <w:sz w:val="16"/>
                <w:szCs w:val="16"/>
                <w:lang w:val="en-AU"/>
              </w:rPr>
              <w:t>Al</w:t>
            </w:r>
            <w:r>
              <w:rPr>
                <w:rFonts w:cs="Arial" w:ascii="Arial" w:hAnsi="Arial"/>
                <w:i/>
                <w:iCs/>
                <w:sz w:val="16"/>
                <w:szCs w:val="16"/>
              </w:rPr>
              <w:t>(</w:t>
            </w:r>
            <w:r>
              <w:rPr>
                <w:rFonts w:cs="Arial" w:ascii="Arial" w:hAnsi="Arial"/>
                <w:i/>
                <w:iCs/>
                <w:sz w:val="16"/>
                <w:szCs w:val="16"/>
                <w:lang w:val="en-AU"/>
              </w:rPr>
              <w:t>OH</w:t>
            </w:r>
            <w:r>
              <w:rPr>
                <w:rFonts w:cs="Arial" w:ascii="Arial" w:hAnsi="Arial"/>
                <w:i/>
                <w:iCs/>
                <w:sz w:val="16"/>
                <w:szCs w:val="16"/>
              </w:rPr>
              <w:t>)</w:t>
            </w:r>
            <w:r>
              <w:rPr>
                <w:rFonts w:cs="Arial" w:ascii="Arial" w:hAnsi="Arial"/>
                <w:i/>
                <w:iCs/>
                <w:sz w:val="16"/>
                <w:szCs w:val="16"/>
                <w:vertAlign w:val="subscript"/>
              </w:rPr>
              <w:t>3</w:t>
            </w:r>
            <w:r>
              <w:rPr>
                <w:rFonts w:cs="Arial" w:ascii="Arial" w:hAnsi="Arial"/>
                <w:i/>
                <w:iCs/>
                <w:sz w:val="16"/>
                <w:szCs w:val="16"/>
              </w:rPr>
              <w:t>)</w:t>
            </w:r>
            <w:r>
              <w:rPr>
                <w:rFonts w:cs="Arial" w:ascii="Arial" w:hAnsi="Arial"/>
                <w:i/>
                <w:iCs/>
                <w:sz w:val="16"/>
                <w:szCs w:val="16"/>
                <w:lang w:val="en-AU"/>
              </w:rPr>
              <w:t> </w:t>
            </w:r>
          </w:p>
          <w:p>
            <w:pPr>
              <w:pStyle w:val="Normal"/>
              <w:rPr>
                <w:rFonts w:ascii="Arial" w:hAnsi="Arial" w:cs="Arial"/>
                <w:sz w:val="16"/>
                <w:szCs w:val="16"/>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вироблений в клітинах дріжджів (Saccharomyces cerevisiae) за допомогою р-ДНК  технології</w:t>
            </w:r>
          </w:p>
          <w:p>
            <w:pPr>
              <w:pStyle w:val="Normal"/>
              <w:rPr>
                <w:rFonts w:ascii="Arial" w:hAnsi="Arial" w:cs="Arial"/>
                <w:sz w:val="16"/>
                <w:szCs w:val="16"/>
                <w:vertAlign w:val="superscript"/>
              </w:rPr>
            </w:pPr>
            <w:r>
              <w:rPr>
                <w:rFonts w:cs="Arial" w:ascii="Arial" w:hAnsi="Arial"/>
                <w:i/>
                <w:iCs/>
                <w:sz w:val="16"/>
                <w:szCs w:val="16"/>
                <w:vertAlign w:val="superscript"/>
              </w:rPr>
              <w:t>3</w:t>
            </w:r>
            <w:r>
              <w:rPr>
                <w:rFonts w:cs="Arial" w:ascii="Arial" w:hAnsi="Arial"/>
                <w:i/>
                <w:iCs/>
                <w:sz w:val="16"/>
                <w:szCs w:val="16"/>
              </w:rPr>
              <w:t>адсорбований на алюмінію фосфат (AlPO4)</w:t>
            </w:r>
          </w:p>
          <w:p>
            <w:pPr>
              <w:pStyle w:val="Normal"/>
              <w:rPr>
                <w:rFonts w:ascii="Arial" w:hAnsi="Arial" w:cs="Arial"/>
                <w:sz w:val="16"/>
                <w:szCs w:val="16"/>
                <w:vertAlign w:val="superscript"/>
              </w:rPr>
            </w:pPr>
            <w:r>
              <w:rPr>
                <w:rFonts w:cs="Arial" w:ascii="Arial" w:hAnsi="Arial"/>
                <w:sz w:val="16"/>
                <w:szCs w:val="16"/>
                <w:vertAlign w:val="superscript"/>
              </w:rPr>
              <w:t>4 </w:t>
            </w:r>
            <w:r>
              <w:rPr>
                <w:rFonts w:cs="Arial" w:ascii="Arial" w:hAnsi="Arial"/>
                <w:i/>
                <w:iCs/>
                <w:sz w:val="16"/>
                <w:szCs w:val="16"/>
                <w:lang w:val="en-AU"/>
              </w:rPr>
              <w:t>розмножені на клітинах </w:t>
            </w:r>
            <w:r>
              <w:rPr>
                <w:rFonts w:cs="Arial" w:ascii="Arial" w:hAnsi="Arial"/>
                <w:i/>
                <w:iCs/>
                <w:sz w:val="16"/>
                <w:szCs w:val="16"/>
              </w:rPr>
              <w:t>Vero</w:t>
            </w:r>
          </w:p>
          <w:p>
            <w:pPr>
              <w:pStyle w:val="Normal"/>
              <w:rPr>
                <w:rFonts w:ascii="Arial" w:hAnsi="Arial" w:cs="Arial"/>
                <w:sz w:val="16"/>
                <w:szCs w:val="16"/>
                <w:vertAlign w:val="superscript"/>
              </w:rPr>
            </w:pPr>
            <w:r>
              <w:rPr>
                <w:rFonts w:cs="Arial" w:ascii="Arial" w:hAnsi="Arial"/>
                <w:sz w:val="16"/>
                <w:szCs w:val="16"/>
                <w:vertAlign w:val="superscript"/>
              </w:rPr>
            </w:r>
          </w:p>
          <w:p>
            <w:pPr>
              <w:pStyle w:val="Normal"/>
              <w:rPr>
                <w:rFonts w:ascii="Arial" w:hAnsi="Arial" w:cs="Arial"/>
                <w:sz w:val="16"/>
                <w:szCs w:val="16"/>
                <w:vertAlign w:val="superscript"/>
              </w:rPr>
            </w:pPr>
            <w:r>
              <w:rPr>
                <w:rFonts w:cs="Arial" w:ascii="Arial" w:hAnsi="Arial"/>
                <w:sz w:val="16"/>
                <w:szCs w:val="16"/>
                <w:vertAlign w:val="superscript"/>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Проведення контролю якості DTPa-HBV-IPV компоненту); 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ІНФАНРИКС ІПВ КОМБІНОВАНА ВАКЦИНА ДЛЯ ПРОФІЛАКТИКИ ДИФТЕРІЇ, ПРАВЦЯ, КАШЛЮКА (АЦЕЛЮЛЯРНИЙ КОМПОНЕНТ) ТА ПОЛІОМІЄЛІТУ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Diphtheria-pertussis-poliomyelitis-tetanus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rFonts w:ascii="Arial" w:hAnsi="Arial" w:cs="Arial"/>
                <w:sz w:val="16"/>
                <w:szCs w:val="16"/>
                <w:vertAlign w:val="superscript"/>
                <w:lang w:val="ru-RU"/>
              </w:rPr>
            </w:pPr>
            <w:r>
              <w:rPr>
                <w:rFonts w:cs="Arial" w:ascii="Arial" w:hAnsi="Arial"/>
                <w:sz w:val="16"/>
                <w:szCs w:val="16"/>
                <w:lang w:val="ru-RU"/>
              </w:rPr>
              <w:t>дифтерійний 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D</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jc w:val="both"/>
              <w:rPr>
                <w:rFonts w:ascii="Arial" w:hAnsi="Arial" w:cs="Arial"/>
                <w:sz w:val="16"/>
                <w:szCs w:val="16"/>
                <w:vertAlign w:val="superscript"/>
                <w:lang w:val="ru-RU"/>
              </w:rPr>
            </w:pPr>
            <w:r>
              <w:rPr>
                <w:rFonts w:cs="Arial" w:ascii="Arial" w:hAnsi="Arial"/>
                <w:sz w:val="16"/>
                <w:szCs w:val="16"/>
                <w:lang w:val="ru-RU"/>
              </w:rPr>
              <w:t>правцевий 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jc w:val="both"/>
              <w:rPr>
                <w:rFonts w:ascii="Arial" w:hAnsi="Arial" w:cs="Arial"/>
                <w:sz w:val="16"/>
                <w:szCs w:val="16"/>
                <w:vertAlign w:val="superscript"/>
              </w:rPr>
            </w:pPr>
            <w:r>
              <w:rPr>
                <w:rFonts w:cs="Arial" w:ascii="Arial" w:hAnsi="Arial"/>
                <w:i/>
                <w:iCs/>
                <w:sz w:val="16"/>
                <w:szCs w:val="16"/>
                <w:shd w:fill="FFFFFF" w:val="clear"/>
              </w:rPr>
              <w:t>Bordetella</w:t>
            </w:r>
            <w:r>
              <w:rPr>
                <w:rFonts w:cs="Arial" w:ascii="Arial" w:hAnsi="Arial"/>
                <w:sz w:val="16"/>
                <w:szCs w:val="16"/>
                <w:shd w:fill="FFFFFF" w:val="clear"/>
              </w:rPr>
              <w:t> </w:t>
            </w:r>
            <w:r>
              <w:rPr>
                <w:rFonts w:cs="Arial" w:ascii="Arial" w:hAnsi="Arial"/>
                <w:i/>
                <w:iCs/>
                <w:sz w:val="16"/>
                <w:szCs w:val="16"/>
                <w:shd w:fill="FFFFFF" w:val="clear"/>
              </w:rPr>
              <w:t>pertussis </w:t>
            </w:r>
            <w:r>
              <w:rPr>
                <w:rFonts w:cs="Arial" w:ascii="Arial" w:hAnsi="Arial"/>
                <w:sz w:val="16"/>
                <w:szCs w:val="16"/>
                <w:shd w:fill="FFFFFF" w:val="clear"/>
              </w:rPr>
              <w:t>кашлюкові</w:t>
            </w:r>
            <w:r>
              <w:rPr>
                <w:rFonts w:cs="Arial" w:ascii="Arial" w:hAnsi="Arial"/>
                <w:sz w:val="16"/>
                <w:szCs w:val="16"/>
              </w:rPr>
              <w:t> антигени:</w:t>
            </w:r>
          </w:p>
          <w:p>
            <w:pPr>
              <w:pStyle w:val="Normal"/>
              <w:jc w:val="both"/>
              <w:rPr>
                <w:rFonts w:ascii="Arial" w:hAnsi="Arial" w:cs="Arial"/>
                <w:sz w:val="16"/>
                <w:szCs w:val="16"/>
                <w:vertAlign w:val="superscript"/>
                <w:lang w:val="ru-RU"/>
              </w:rPr>
            </w:pPr>
            <w:r>
              <w:rPr>
                <w:rFonts w:cs="Arial" w:ascii="Arial" w:hAnsi="Arial"/>
                <w:sz w:val="16"/>
                <w:szCs w:val="16"/>
                <w:lang w:val="ru-RU"/>
              </w:rPr>
              <w:t>кашлюковий</w:t>
            </w:r>
            <w:r>
              <w:rPr>
                <w:rFonts w:cs="Arial" w:ascii="Arial" w:hAnsi="Arial"/>
                <w:sz w:val="16"/>
                <w:szCs w:val="16"/>
              </w:rPr>
              <w:t> </w:t>
            </w:r>
            <w:r>
              <w:rPr>
                <w:rFonts w:cs="Arial" w:ascii="Arial" w:hAnsi="Arial"/>
                <w:sz w:val="16"/>
                <w:szCs w:val="16"/>
                <w:lang w:val="ru-RU"/>
              </w:rPr>
              <w:t>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PT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rPr>
              <w:t>;</w:t>
            </w:r>
          </w:p>
          <w:p>
            <w:pPr>
              <w:pStyle w:val="Normal"/>
              <w:jc w:val="both"/>
              <w:rPr>
                <w:rFonts w:ascii="Arial" w:hAnsi="Arial" w:cs="Arial"/>
                <w:sz w:val="16"/>
                <w:szCs w:val="16"/>
                <w:vertAlign w:val="superscript"/>
                <w:lang w:val="ru-RU"/>
              </w:rPr>
            </w:pPr>
            <w:r>
              <w:rPr>
                <w:rFonts w:cs="Arial" w:ascii="Arial" w:hAnsi="Arial"/>
                <w:sz w:val="16"/>
                <w:szCs w:val="16"/>
                <w:lang w:val="ru-RU"/>
              </w:rPr>
              <w:t>нитчастий</w:t>
            </w:r>
            <w:r>
              <w:rPr>
                <w:rFonts w:cs="Arial" w:ascii="Arial" w:hAnsi="Arial"/>
                <w:sz w:val="16"/>
                <w:szCs w:val="16"/>
              </w:rPr>
              <w:t> </w:t>
            </w:r>
            <w:r>
              <w:rPr>
                <w:rFonts w:cs="Arial" w:ascii="Arial" w:hAnsi="Arial"/>
                <w:sz w:val="16"/>
                <w:szCs w:val="16"/>
                <w:lang w:val="ru-RU"/>
              </w:rPr>
              <w:t>гемаглютинін</w:t>
            </w:r>
            <w:r>
              <w:rPr>
                <w:rFonts w:cs="Arial" w:ascii="Arial" w:hAnsi="Arial"/>
                <w:sz w:val="16"/>
                <w:szCs w:val="16"/>
              </w:rPr>
              <w:t> </w:t>
            </w:r>
            <w:r>
              <w:rPr>
                <w:rFonts w:cs="Arial" w:ascii="Arial" w:hAnsi="Arial"/>
                <w:sz w:val="16"/>
                <w:szCs w:val="16"/>
                <w:lang w:val="ru-RU"/>
              </w:rPr>
              <w:t>(</w:t>
            </w:r>
            <w:r>
              <w:rPr>
                <w:rFonts w:cs="Arial" w:ascii="Arial" w:hAnsi="Arial"/>
                <w:sz w:val="16"/>
                <w:szCs w:val="16"/>
              </w:rPr>
              <w:t>FHA</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rPr>
              <w:t>;</w:t>
            </w:r>
          </w:p>
          <w:p>
            <w:pPr>
              <w:pStyle w:val="Normal"/>
              <w:jc w:val="both"/>
              <w:rPr>
                <w:rFonts w:ascii="Arial" w:hAnsi="Arial" w:cs="Arial"/>
                <w:sz w:val="16"/>
                <w:szCs w:val="16"/>
                <w:vertAlign w:val="superscript"/>
                <w:lang w:val="ru-RU"/>
              </w:rPr>
            </w:pPr>
            <w:r>
              <w:rPr>
                <w:rFonts w:cs="Arial" w:ascii="Arial" w:hAnsi="Arial"/>
                <w:sz w:val="16"/>
                <w:szCs w:val="16"/>
                <w:lang w:val="ru-RU"/>
              </w:rPr>
              <w:t>пертактин</w:t>
            </w:r>
            <w:r>
              <w:rPr>
                <w:rFonts w:cs="Arial" w:ascii="Arial" w:hAnsi="Arial"/>
                <w:sz w:val="16"/>
                <w:szCs w:val="16"/>
              </w:rPr>
              <w:t> </w:t>
            </w:r>
            <w:r>
              <w:rPr>
                <w:rFonts w:cs="Arial" w:ascii="Arial" w:hAnsi="Arial"/>
                <w:sz w:val="16"/>
                <w:szCs w:val="16"/>
                <w:lang w:val="ru-RU"/>
              </w:rPr>
              <w:t>(</w:t>
            </w:r>
            <w:r>
              <w:rPr>
                <w:rFonts w:cs="Arial" w:ascii="Arial" w:hAnsi="Arial"/>
                <w:sz w:val="16"/>
                <w:szCs w:val="16"/>
              </w:rPr>
              <w:t>PRN</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rPr>
              <w:t>;</w:t>
            </w:r>
          </w:p>
          <w:p>
            <w:pPr>
              <w:pStyle w:val="Normal"/>
              <w:jc w:val="both"/>
              <w:rPr>
                <w:rFonts w:ascii="Arial" w:hAnsi="Arial" w:cs="Arial"/>
                <w:sz w:val="16"/>
                <w:szCs w:val="16"/>
                <w:vertAlign w:val="superscript"/>
                <w:lang w:val="ru-RU"/>
              </w:rPr>
            </w:pPr>
            <w:r>
              <w:rPr>
                <w:rFonts w:cs="Arial" w:ascii="Arial" w:hAnsi="Arial"/>
                <w:sz w:val="16"/>
                <w:szCs w:val="16"/>
                <w:lang w:val="ru-RU"/>
              </w:rPr>
              <w:t>інактивовані</w:t>
            </w:r>
            <w:r>
              <w:rPr>
                <w:rFonts w:cs="Arial" w:ascii="Arial" w:hAnsi="Arial"/>
                <w:sz w:val="16"/>
                <w:szCs w:val="16"/>
              </w:rPr>
              <w:t> </w:t>
            </w:r>
            <w:r>
              <w:rPr>
                <w:rFonts w:cs="Arial" w:ascii="Arial" w:hAnsi="Arial"/>
                <w:sz w:val="16"/>
                <w:szCs w:val="16"/>
                <w:lang w:val="ru-RU"/>
              </w:rPr>
              <w:t>віруси поліомієліту:</w:t>
            </w:r>
          </w:p>
          <w:p>
            <w:pPr>
              <w:pStyle w:val="Normal"/>
              <w:jc w:val="both"/>
              <w:rPr>
                <w:rFonts w:ascii="Arial" w:hAnsi="Arial" w:cs="Arial"/>
                <w:sz w:val="16"/>
                <w:szCs w:val="16"/>
                <w:vertAlign w:val="superscript"/>
                <w:lang w:val="ru-RU"/>
              </w:rPr>
            </w:pPr>
            <w:r>
              <w:rPr>
                <w:rFonts w:cs="Arial" w:ascii="Arial" w:hAnsi="Arial"/>
                <w:sz w:val="16"/>
                <w:szCs w:val="16"/>
                <w:lang w:val="ru-RU"/>
              </w:rPr>
              <w:t>тип 1 (штам</w:t>
            </w:r>
            <w:r>
              <w:rPr>
                <w:rFonts w:cs="Arial" w:ascii="Arial" w:hAnsi="Arial"/>
                <w:sz w:val="16"/>
                <w:szCs w:val="16"/>
              </w:rPr>
              <w:t> Mahoney</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jc w:val="both"/>
              <w:rPr>
                <w:rFonts w:ascii="Arial" w:hAnsi="Arial" w:cs="Arial"/>
                <w:sz w:val="16"/>
                <w:szCs w:val="16"/>
                <w:vertAlign w:val="superscript"/>
                <w:lang w:val="ru-RU"/>
              </w:rPr>
            </w:pPr>
            <w:r>
              <w:rPr>
                <w:rFonts w:cs="Arial" w:ascii="Arial" w:hAnsi="Arial"/>
                <w:sz w:val="16"/>
                <w:szCs w:val="16"/>
                <w:lang w:val="ru-RU"/>
              </w:rPr>
              <w:t>тип 2 (штам</w:t>
            </w:r>
            <w:r>
              <w:rPr>
                <w:rFonts w:cs="Arial" w:ascii="Arial" w:hAnsi="Arial"/>
                <w:sz w:val="16"/>
                <w:szCs w:val="16"/>
              </w:rPr>
              <w:t> </w:t>
            </w:r>
            <w:r>
              <w:rPr>
                <w:rFonts w:cs="Arial" w:ascii="Arial" w:hAnsi="Arial"/>
                <w:sz w:val="16"/>
                <w:szCs w:val="16"/>
                <w:lang w:val="fr-FR"/>
              </w:rPr>
              <w:t>MEF-1</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jc w:val="both"/>
              <w:rPr>
                <w:rFonts w:ascii="Arial" w:hAnsi="Arial" w:cs="Arial"/>
                <w:sz w:val="16"/>
                <w:szCs w:val="16"/>
                <w:vertAlign w:val="superscript"/>
                <w:lang w:val="ru-RU"/>
              </w:rPr>
            </w:pPr>
            <w:r>
              <w:rPr>
                <w:rFonts w:cs="Arial" w:ascii="Arial" w:hAnsi="Arial"/>
                <w:sz w:val="16"/>
                <w:szCs w:val="16"/>
                <w:lang w:val="ru-RU"/>
              </w:rPr>
              <w:t>тип 3 (штам</w:t>
            </w:r>
            <w:r>
              <w:rPr>
                <w:rFonts w:cs="Arial" w:ascii="Arial" w:hAnsi="Arial"/>
                <w:sz w:val="16"/>
                <w:szCs w:val="16"/>
              </w:rPr>
              <w:t> </w:t>
            </w:r>
            <w:r>
              <w:rPr>
                <w:rFonts w:cs="Arial" w:ascii="Arial" w:hAnsi="Arial"/>
                <w:sz w:val="16"/>
                <w:szCs w:val="16"/>
                <w:lang w:val="fr-FR"/>
              </w:rPr>
              <w:t>Saukett</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rPr>
              <w:t>;</w:t>
            </w:r>
          </w:p>
          <w:p>
            <w:pPr>
              <w:pStyle w:val="Normal"/>
              <w:jc w:val="both"/>
              <w:rPr/>
            </w:pPr>
            <w:r>
              <w:rPr>
                <w:rFonts w:cs="Arial" w:ascii="Arial" w:hAnsi="Arial"/>
                <w:i/>
                <w:iCs/>
                <w:sz w:val="16"/>
                <w:szCs w:val="16"/>
                <w:vertAlign w:val="superscript"/>
                <w:lang w:val="ru-RU"/>
              </w:rPr>
              <w:t>1</w:t>
            </w:r>
            <w:r>
              <w:rPr>
                <w:rFonts w:cs="Arial" w:ascii="Arial" w:hAnsi="Arial"/>
                <w:i/>
                <w:iCs/>
                <w:sz w:val="16"/>
                <w:szCs w:val="16"/>
                <w:lang w:val="ru-RU"/>
              </w:rPr>
              <w:t>адсорбований на алюмінію гідроксиді, гідратований</w:t>
            </w:r>
          </w:p>
          <w:p>
            <w:pPr>
              <w:pStyle w:val="Normal"/>
              <w:jc w:val="both"/>
              <w:rPr>
                <w:rFonts w:ascii="Arial" w:hAnsi="Arial" w:cs="Arial"/>
                <w:sz w:val="16"/>
                <w:szCs w:val="16"/>
                <w:lang w:val="ru-RU"/>
              </w:rPr>
            </w:pPr>
            <w:r>
              <w:rPr>
                <w:rFonts w:cs="Arial" w:ascii="Arial" w:hAnsi="Arial"/>
                <w:sz w:val="16"/>
                <w:szCs w:val="16"/>
                <w:vertAlign w:val="superscript"/>
              </w:rPr>
              <w:t>2 </w:t>
            </w:r>
            <w:r>
              <w:rPr>
                <w:rFonts w:cs="Arial" w:ascii="Arial" w:hAnsi="Arial"/>
                <w:i/>
                <w:iCs/>
                <w:sz w:val="16"/>
                <w:szCs w:val="16"/>
              </w:rPr>
              <w:t>розмножені на клітинах Vero</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 з маркуванням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Біолоджікалз С.А., Бельгія (проведення контролю якості вакцини, випуск серій готового продукту); </w:t>
              <w:br/>
              <w:t xml:space="preserve">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(наповнення вакцини в шприці, маркування і пакування готового продукту, проведення контролю якості вакцини)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Diphtheria-haemophilus influenzae B-pertussis-poliomyelitis-tetanus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lang w:val="ru-RU"/>
              </w:rPr>
            </w:pPr>
            <w:r>
              <w:rPr>
                <w:rFonts w:cs="Arial" w:ascii="Arial" w:hAnsi="Arial"/>
                <w:sz w:val="16"/>
                <w:szCs w:val="16"/>
                <w:lang w:val="ru-RU"/>
              </w:rPr>
              <w:t>дифтерійний</w:t>
            </w:r>
            <w:r>
              <w:rPr>
                <w:rFonts w:cs="Arial" w:ascii="Arial" w:hAnsi="Arial"/>
                <w:sz w:val="16"/>
                <w:szCs w:val="16"/>
                <w:lang w:val="en-AU"/>
              </w:rPr>
              <w:t> </w:t>
            </w:r>
            <w:r>
              <w:rPr>
                <w:rFonts w:cs="Arial" w:ascii="Arial" w:hAnsi="Arial"/>
                <w:sz w:val="16"/>
                <w:szCs w:val="16"/>
                <w:lang w:val="ru-RU"/>
              </w:rPr>
              <w:t>анатоксин</w:t>
            </w:r>
            <w:r>
              <w:rPr>
                <w:rFonts w:cs="Arial" w:ascii="Arial" w:hAnsi="Arial"/>
                <w:sz w:val="16"/>
                <w:szCs w:val="16"/>
                <w:lang w:val="en-AU"/>
              </w:rPr>
              <w:t> </w:t>
            </w:r>
            <w:r>
              <w:rPr>
                <w:rFonts w:cs="Arial" w:ascii="Arial" w:hAnsi="Arial"/>
                <w:sz w:val="16"/>
                <w:szCs w:val="16"/>
                <w:lang w:val="ru-RU"/>
              </w:rPr>
              <w:t>(</w:t>
            </w:r>
            <w:r>
              <w:rPr>
                <w:rFonts w:cs="Arial" w:ascii="Arial" w:hAnsi="Arial"/>
                <w:sz w:val="16"/>
                <w:szCs w:val="16"/>
              </w:rPr>
              <w:t>D</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правцевий</w:t>
            </w:r>
            <w:r>
              <w:rPr>
                <w:rFonts w:cs="Arial" w:ascii="Arial" w:hAnsi="Arial"/>
                <w:sz w:val="16"/>
                <w:szCs w:val="16"/>
                <w:lang w:val="en-AU"/>
              </w:rPr>
              <w:t> </w:t>
            </w:r>
            <w:r>
              <w:rPr>
                <w:rFonts w:cs="Arial" w:ascii="Arial" w:hAnsi="Arial"/>
                <w:sz w:val="16"/>
                <w:szCs w:val="16"/>
                <w:lang w:val="ru-RU"/>
              </w:rPr>
              <w:t>анатоксин</w:t>
            </w:r>
            <w:r>
              <w:rPr>
                <w:rFonts w:cs="Arial" w:ascii="Arial" w:hAnsi="Arial"/>
                <w:sz w:val="16"/>
                <w:szCs w:val="16"/>
                <w:vertAlign w:val="superscript"/>
                <w:lang w:val="en-AU"/>
              </w:rPr>
              <w:t> </w:t>
            </w:r>
            <w:r>
              <w:rPr>
                <w:rFonts w:cs="Arial" w:ascii="Arial" w:hAnsi="Arial"/>
                <w:sz w:val="16"/>
                <w:szCs w:val="16"/>
                <w:lang w:val="ru-RU"/>
              </w:rPr>
              <w:t>(</w:t>
            </w:r>
            <w:r>
              <w:rPr>
                <w:rFonts w:cs="Arial" w:ascii="Arial" w:hAnsi="Arial"/>
                <w:sz w:val="16"/>
                <w:szCs w:val="16"/>
              </w:rPr>
              <w:t>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rPr>
              <w:t>pertussis</w:t>
            </w:r>
            <w:r>
              <w:rPr>
                <w:rFonts w:cs="Arial" w:ascii="Arial" w:hAnsi="Arial"/>
                <w:sz w:val="16"/>
                <w:szCs w:val="16"/>
              </w:rPr>
              <w:t> </w:t>
            </w:r>
            <w:r>
              <w:rPr>
                <w:rFonts w:cs="Arial" w:ascii="Arial" w:hAnsi="Arial"/>
                <w:sz w:val="16"/>
                <w:szCs w:val="16"/>
                <w:lang w:val="ru-RU"/>
              </w:rPr>
              <w:t>кашлюкові</w:t>
            </w:r>
            <w:r>
              <w:rPr>
                <w:rFonts w:cs="Arial" w:ascii="Arial" w:hAnsi="Arial"/>
                <w:sz w:val="16"/>
                <w:szCs w:val="16"/>
                <w:lang w:val="en-AU"/>
              </w:rPr>
              <w:t> </w:t>
            </w:r>
            <w:r>
              <w:rPr>
                <w:rFonts w:cs="Arial" w:ascii="Arial" w:hAnsi="Arial"/>
                <w:sz w:val="16"/>
                <w:szCs w:val="16"/>
                <w:lang w:val="ru-RU"/>
              </w:rPr>
              <w:t>антигени:</w:t>
            </w:r>
          </w:p>
          <w:p>
            <w:pPr>
              <w:pStyle w:val="Normal"/>
              <w:rPr>
                <w:rFonts w:ascii="Arial" w:hAnsi="Arial" w:cs="Arial"/>
                <w:sz w:val="16"/>
                <w:szCs w:val="16"/>
                <w:vertAlign w:val="superscript"/>
                <w:lang w:val="ru-RU"/>
              </w:rPr>
            </w:pPr>
            <w:r>
              <w:rPr>
                <w:rFonts w:cs="Arial" w:ascii="Arial" w:hAnsi="Arial"/>
                <w:sz w:val="16"/>
                <w:szCs w:val="16"/>
                <w:lang w:val="ru-RU"/>
              </w:rPr>
              <w:t>кашлюковий</w:t>
            </w:r>
            <w:r>
              <w:rPr>
                <w:rFonts w:cs="Arial" w:ascii="Arial" w:hAnsi="Arial"/>
                <w:sz w:val="16"/>
                <w:szCs w:val="16"/>
                <w:lang w:val="en-AU"/>
              </w:rPr>
              <w:t> </w:t>
            </w:r>
            <w:r>
              <w:rPr>
                <w:rFonts w:cs="Arial" w:ascii="Arial" w:hAnsi="Arial"/>
                <w:sz w:val="16"/>
                <w:szCs w:val="16"/>
                <w:lang w:val="ru-RU"/>
              </w:rPr>
              <w:t>анатоксин</w:t>
            </w:r>
            <w:r>
              <w:rPr>
                <w:rFonts w:cs="Arial" w:ascii="Arial" w:hAnsi="Arial"/>
                <w:sz w:val="16"/>
                <w:szCs w:val="16"/>
                <w:lang w:val="en-AU"/>
              </w:rPr>
              <w:t> </w:t>
            </w:r>
            <w:r>
              <w:rPr>
                <w:rFonts w:cs="Arial" w:ascii="Arial" w:hAnsi="Arial"/>
                <w:sz w:val="16"/>
                <w:szCs w:val="16"/>
                <w:lang w:val="ru-RU"/>
              </w:rPr>
              <w:t>(</w:t>
            </w:r>
            <w:r>
              <w:rPr>
                <w:rFonts w:cs="Arial" w:ascii="Arial" w:hAnsi="Arial"/>
                <w:sz w:val="16"/>
                <w:szCs w:val="16"/>
              </w:rPr>
              <w:t>PT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нитчастий</w:t>
            </w:r>
            <w:r>
              <w:rPr>
                <w:rFonts w:cs="Arial" w:ascii="Arial" w:hAnsi="Arial"/>
                <w:sz w:val="16"/>
                <w:szCs w:val="16"/>
                <w:lang w:val="en-AU"/>
              </w:rPr>
              <w:t> </w:t>
            </w:r>
            <w:r>
              <w:rPr>
                <w:rFonts w:cs="Arial" w:ascii="Arial" w:hAnsi="Arial"/>
                <w:sz w:val="16"/>
                <w:szCs w:val="16"/>
                <w:lang w:val="ru-RU"/>
              </w:rPr>
              <w:t>гемаглютинін</w:t>
            </w:r>
            <w:r>
              <w:rPr>
                <w:rFonts w:cs="Arial" w:ascii="Arial" w:hAnsi="Arial"/>
                <w:sz w:val="16"/>
                <w:szCs w:val="16"/>
              </w:rPr>
              <w:t> </w:t>
            </w:r>
            <w:r>
              <w:rPr>
                <w:rFonts w:cs="Arial" w:ascii="Arial" w:hAnsi="Arial"/>
                <w:sz w:val="16"/>
                <w:szCs w:val="16"/>
                <w:lang w:val="ru-RU"/>
              </w:rPr>
              <w:t>(</w:t>
            </w:r>
            <w:r>
              <w:rPr>
                <w:rFonts w:cs="Arial" w:ascii="Arial" w:hAnsi="Arial"/>
                <w:sz w:val="16"/>
                <w:szCs w:val="16"/>
              </w:rPr>
              <w:t>FHA</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пертактин</w:t>
            </w:r>
            <w:r>
              <w:rPr>
                <w:rFonts w:cs="Arial" w:ascii="Arial" w:hAnsi="Arial"/>
                <w:sz w:val="16"/>
                <w:szCs w:val="16"/>
                <w:lang w:val="en-AU"/>
              </w:rPr>
              <w:t> </w:t>
            </w:r>
            <w:r>
              <w:rPr>
                <w:rFonts w:cs="Arial" w:ascii="Arial" w:hAnsi="Arial"/>
                <w:sz w:val="16"/>
                <w:szCs w:val="16"/>
                <w:lang w:val="ru-RU"/>
              </w:rPr>
              <w:t>(</w:t>
            </w:r>
            <w:r>
              <w:rPr>
                <w:rFonts w:cs="Arial" w:ascii="Arial" w:hAnsi="Arial"/>
                <w:sz w:val="16"/>
                <w:szCs w:val="16"/>
              </w:rPr>
              <w:t>PRN</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інактивовані</w:t>
            </w:r>
            <w:r>
              <w:rPr>
                <w:rFonts w:cs="Arial" w:ascii="Arial" w:hAnsi="Arial"/>
                <w:sz w:val="16"/>
                <w:szCs w:val="16"/>
                <w:lang w:val="en-AU"/>
              </w:rPr>
              <w:t> </w:t>
            </w:r>
            <w:r>
              <w:rPr>
                <w:rFonts w:cs="Arial" w:ascii="Arial" w:hAnsi="Arial"/>
                <w:sz w:val="16"/>
                <w:szCs w:val="16"/>
                <w:lang w:val="ru-RU"/>
              </w:rPr>
              <w:t>віруси</w:t>
            </w:r>
            <w:r>
              <w:rPr>
                <w:rFonts w:cs="Arial" w:ascii="Arial" w:hAnsi="Arial"/>
                <w:sz w:val="16"/>
                <w:szCs w:val="16"/>
                <w:lang w:val="en-AU"/>
              </w:rPr>
              <w:t> </w:t>
            </w:r>
            <w:r>
              <w:rPr>
                <w:rFonts w:cs="Arial" w:ascii="Arial" w:hAnsi="Arial"/>
                <w:sz w:val="16"/>
                <w:szCs w:val="16"/>
                <w:lang w:val="ru-RU"/>
              </w:rPr>
              <w:t>поліомієліту:</w:t>
            </w:r>
          </w:p>
          <w:p>
            <w:pPr>
              <w:pStyle w:val="Normal"/>
              <w:rPr>
                <w:rFonts w:ascii="Arial" w:hAnsi="Arial" w:cs="Arial"/>
                <w:sz w:val="16"/>
                <w:szCs w:val="16"/>
                <w:vertAlign w:val="superscript"/>
                <w:lang w:val="ru-RU"/>
              </w:rPr>
            </w:pPr>
            <w:r>
              <w:rPr>
                <w:rFonts w:cs="Arial" w:ascii="Arial" w:hAnsi="Arial"/>
                <w:sz w:val="16"/>
                <w:szCs w:val="16"/>
                <w:lang w:val="ru-RU"/>
              </w:rPr>
              <w:t>тип</w:t>
            </w:r>
            <w:r>
              <w:rPr>
                <w:rFonts w:cs="Arial" w:ascii="Arial" w:hAnsi="Arial"/>
                <w:sz w:val="16"/>
                <w:szCs w:val="16"/>
                <w:lang w:val="en-AU"/>
              </w:rPr>
              <w:t> </w:t>
            </w:r>
            <w:r>
              <w:rPr>
                <w:rFonts w:cs="Arial" w:ascii="Arial" w:hAnsi="Arial"/>
                <w:sz w:val="16"/>
                <w:szCs w:val="16"/>
                <w:lang w:val="ru-RU"/>
              </w:rPr>
              <w:t>1 (штам</w:t>
            </w:r>
            <w:r>
              <w:rPr>
                <w:rFonts w:cs="Arial" w:ascii="Arial" w:hAnsi="Arial"/>
                <w:sz w:val="16"/>
                <w:szCs w:val="16"/>
                <w:lang w:val="en-AU"/>
              </w:rPr>
              <w:t> Mahoney</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тип</w:t>
            </w:r>
            <w:r>
              <w:rPr>
                <w:rFonts w:cs="Arial" w:ascii="Arial" w:hAnsi="Arial"/>
                <w:sz w:val="16"/>
                <w:szCs w:val="16"/>
                <w:lang w:val="en-AU"/>
              </w:rPr>
              <w:t> </w:t>
            </w:r>
            <w:r>
              <w:rPr>
                <w:rFonts w:cs="Arial" w:ascii="Arial" w:hAnsi="Arial"/>
                <w:sz w:val="16"/>
                <w:szCs w:val="16"/>
                <w:lang w:val="ru-RU"/>
              </w:rPr>
              <w:t>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rPr>
                <w:rFonts w:ascii="Arial" w:hAnsi="Arial" w:cs="Arial"/>
                <w:sz w:val="16"/>
                <w:szCs w:val="16"/>
                <w:vertAlign w:val="superscript"/>
              </w:rPr>
            </w:pPr>
            <w:r>
              <w:rPr>
                <w:rFonts w:cs="Arial" w:ascii="Arial" w:hAnsi="Arial"/>
                <w:sz w:val="16"/>
                <w:szCs w:val="16"/>
                <w:lang w:val="ru-RU"/>
              </w:rPr>
              <w:t>тип</w:t>
            </w:r>
            <w:r>
              <w:rPr>
                <w:rFonts w:cs="Arial" w:ascii="Arial" w:hAnsi="Arial"/>
                <w:sz w:val="16"/>
                <w:szCs w:val="16"/>
                <w:lang w:val="en-AU"/>
              </w:rPr>
              <w:t> </w:t>
            </w:r>
            <w:r>
              <w:rPr>
                <w:rFonts w:cs="Arial" w:ascii="Arial" w:hAnsi="Arial"/>
                <w:sz w:val="16"/>
                <w:szCs w:val="16"/>
                <w:lang w:val="ru-RU"/>
              </w:rPr>
              <w:t>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lang w:val="ru-RU"/>
              </w:rPr>
              <w:t>)</w:t>
            </w:r>
            <w:r>
              <w:rPr>
                <w:rFonts w:cs="Arial" w:ascii="Arial" w:hAnsi="Arial"/>
                <w:sz w:val="16"/>
                <w:szCs w:val="16"/>
                <w:vertAlign w:val="superscript"/>
              </w:rPr>
              <w:t>2</w:t>
            </w:r>
            <w:r>
              <w:rPr>
                <w:rFonts w:cs="Arial" w:ascii="Arial" w:hAnsi="Arial"/>
                <w:sz w:val="16"/>
                <w:szCs w:val="16"/>
                <w:lang w:val="ru-RU"/>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br/>
              <w:t>кон'югований з правцевим анатоксином (ТТ) як носієм протеїну</w:t>
            </w:r>
          </w:p>
          <w:p>
            <w:pPr>
              <w:pStyle w:val="Normal"/>
              <w:rPr>
                <w:rFonts w:ascii="Arial" w:hAnsi="Arial" w:cs="Arial"/>
                <w:sz w:val="16"/>
                <w:szCs w:val="16"/>
                <w:lang w:val="ru-RU"/>
              </w:rPr>
            </w:pPr>
            <w:r>
              <w:rPr>
                <w:rFonts w:cs="Arial" w:ascii="Arial" w:hAnsi="Arial"/>
                <w:i/>
                <w:iCs/>
                <w:sz w:val="16"/>
                <w:szCs w:val="16"/>
                <w:vertAlign w:val="superscript"/>
                <w:lang w:val="ru-RU"/>
              </w:rPr>
              <w:t>1</w:t>
            </w:r>
            <w:r>
              <w:rPr>
                <w:rFonts w:cs="Arial" w:ascii="Arial" w:hAnsi="Arial"/>
                <w:i/>
                <w:iCs/>
                <w:sz w:val="16"/>
                <w:szCs w:val="16"/>
                <w:lang w:val="ru-RU"/>
              </w:rPr>
              <w:t> адсорбований на алюмінію гідроксиді, гідратований</w:t>
            </w:r>
          </w:p>
          <w:p>
            <w:pPr>
              <w:pStyle w:val="Normal"/>
              <w:rPr>
                <w:rFonts w:ascii="Arial" w:hAnsi="Arial" w:cs="Arial"/>
                <w:sz w:val="16"/>
                <w:szCs w:val="16"/>
                <w:vertAlign w:val="superscript"/>
                <w:lang w:val="ru-RU"/>
              </w:rPr>
            </w:pPr>
            <w:r>
              <w:rPr>
                <w:rFonts w:cs="Arial" w:ascii="Arial" w:hAnsi="Arial"/>
                <w:i/>
                <w:iCs/>
                <w:sz w:val="16"/>
                <w:szCs w:val="16"/>
                <w:vertAlign w:val="superscript"/>
                <w:lang w:val="ru-RU"/>
              </w:rPr>
              <w:t>2</w:t>
            </w:r>
            <w:r>
              <w:rPr>
                <w:rFonts w:cs="Arial" w:ascii="Arial" w:hAnsi="Arial"/>
                <w:sz w:val="16"/>
                <w:szCs w:val="16"/>
              </w:rPr>
              <w:t> </w:t>
            </w:r>
            <w:r>
              <w:rPr>
                <w:rFonts w:cs="Arial" w:ascii="Arial" w:hAnsi="Arial"/>
                <w:i/>
                <w:iCs/>
                <w:sz w:val="16"/>
                <w:szCs w:val="16"/>
                <w:lang w:val="ru-RU"/>
              </w:rPr>
              <w:t>розмножені на клітинах</w:t>
            </w:r>
            <w:r>
              <w:rPr>
                <w:rFonts w:cs="Arial" w:ascii="Arial" w:hAnsi="Arial"/>
                <w:i/>
                <w:iCs/>
                <w:sz w:val="16"/>
                <w:szCs w:val="16"/>
              </w:rPr>
              <w:t> Vero</w:t>
            </w:r>
          </w:p>
          <w:p>
            <w:pPr>
              <w:pStyle w:val="Normal"/>
              <w:tabs>
                <w:tab w:val="left" w:pos="12600" w:leader="none"/>
              </w:tabs>
              <w:rPr>
                <w:rFonts w:ascii="Arial" w:hAnsi="Arial" w:cs="Arial"/>
                <w:sz w:val="16"/>
                <w:szCs w:val="16"/>
                <w:vertAlign w:val="superscript"/>
                <w:lang w:val="ru-RU"/>
              </w:rPr>
            </w:pPr>
            <w:r>
              <w:rPr>
                <w:rFonts w:cs="Arial" w:ascii="Arial" w:hAnsi="Arial"/>
                <w:sz w:val="16"/>
                <w:szCs w:val="16"/>
                <w:vertAlign w:val="superscript"/>
                <w:lang w:val="ru-RU"/>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Біолоджікалз С.А., Бельгія (Випуск серій готового продукту); 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 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w:t>
              <w:br/>
              <w:t>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ІНФАНРИКС КОМБІНОВАНА ВАКЦИНА ДЛЯ ПРОФІЛАКТИКИ ДИФТЕРІЇ, ПРАВЦЯ, КАШЛЮКУ АЦЕЛЮЛЯРНА ОЧИЩЕНА ІНАКТИВОВАНА РІДКА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Pertussis, purified antigen, combinations with toxoids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rPr>
              <w:t>Bordetella pertussis</w:t>
            </w:r>
            <w:r>
              <w:rPr>
                <w:rFonts w:cs="Arial" w:ascii="Arial" w:hAnsi="Arial"/>
                <w:sz w:val="16"/>
                <w:szCs w:val="16"/>
              </w:rPr>
              <w:t> кашлюкові антигени:</w:t>
            </w:r>
          </w:p>
          <w:p>
            <w:pPr>
              <w:pStyle w:val="Normal"/>
              <w:rPr>
                <w:rFonts w:ascii="Arial" w:hAnsi="Arial" w:cs="Arial"/>
                <w:sz w:val="16"/>
                <w:szCs w:val="16"/>
                <w:vertAlign w:val="superscript"/>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філаментозний гемаглютинін (FHA)</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пертактин (PRN)</w:t>
            </w:r>
            <w:r>
              <w:rPr>
                <w:rFonts w:cs="Arial" w:ascii="Arial" w:hAnsi="Arial"/>
                <w:sz w:val="16"/>
                <w:szCs w:val="16"/>
                <w:vertAlign w:val="superscript"/>
              </w:rPr>
              <w:t>1</w:t>
            </w:r>
          </w:p>
          <w:p>
            <w:pPr>
              <w:pStyle w:val="Normal"/>
              <w:rPr>
                <w:rFonts w:ascii="Arial" w:hAnsi="Arial" w:cs="Arial"/>
                <w:sz w:val="16"/>
                <w:szCs w:val="16"/>
                <w:vertAlign w:val="superscript"/>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w:t>
            </w:r>
          </w:p>
          <w:p>
            <w:pPr>
              <w:pStyle w:val="Normal"/>
              <w:tabs>
                <w:tab w:val="left" w:pos="12600" w:leader="none"/>
              </w:tabs>
              <w:rPr>
                <w:rFonts w:ascii="Arial" w:hAnsi="Arial" w:cs="Arial"/>
                <w:color w:val="000000"/>
                <w:sz w:val="16"/>
                <w:szCs w:val="16"/>
                <w:vertAlign w:val="superscript"/>
              </w:rPr>
            </w:pPr>
            <w:r>
              <w:rPr>
                <w:rFonts w:cs="Arial" w:ascii="Arial" w:hAnsi="Arial"/>
                <w:color w:val="000000"/>
                <w:sz w:val="16"/>
                <w:szCs w:val="16"/>
                <w:vertAlign w:val="superscript"/>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J07AJ52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суспензія для ін’єкцій по 1 дозі (0,5 мл) у попередньо заповненому шприці № 1 у комплекті з однією або двома голками; по 1 попередньо наповненому шприці у комплекті з однією або двома голками у пластиковому контейнері; по 1 пластиковому контейнеру в картонній коробці з маркуванням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 (Формування, наповнення в попередньо наповнені шприці, маркування та пакування, контроль якості); ГлаксоСмітКляйн Біолоджікалз С.А., Бельгія (Наповнення в попередньо наповнені шприці, маркування та пакування, контроль якості); ГлаксоСмітКляйн Біолоджікалз С.А., Бельгія (Контроль якості,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ІРИНОТЕКАН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irinotecan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іринотекану гідрохлориду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20 мг/мл; по 2 мл (40 мг), або по 5 мл (100 мг), або по 15 мл (300 мг) у скляному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первинної упаковки, вторинне пакування, нанесення захисної плівки (опціонально), контроль/випробування серії та за випуск серії: Медак Гезельшафт фюр клініше Шпеціальпрепарате мбХ, Німеччина; Виробник, що відповідає за виробництво лікарського засобу, первинне пакування, маркування первинної упаковки, вторинне пакування, контроль/випробування серії: Онкотек Фарма Продакшн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UA/11702/01/01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КАЛІЮ ЙОДИД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potassium iodide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калію йодид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2 % по 10 мл у контейнері-крапельниці; по 1 контейнеру-крапельниці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КАЛЬЦІЙ -Д3 НІКОМЕД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 xml:space="preserve">кальцію карбонат, холекальциферол (вітамін Д3) у вигляді концентрату холекальциферолу* </w:t>
              <w:br/>
              <w:t>*склад концентрату холекальциферолу: холекальциферол, DL-ɑ-токоферол, тригліцериди середнього ланцюга, крохмаль кукурудзяний модифікований, сахароза, натрію аскорбат, кремнію діоксид колоїдний безводний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30, або 60, або 120 таблеток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Асіно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Аскер Контракт Мануфекчерінг АС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Норвегія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UA/3541/01/02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КАЛЬЦІЙ-Д3 НІКОМЕД ОСТЕОФОРТЕ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 xml:space="preserve">кальцію карбонат, холекальциферол (вітамін Д3) у вигляді концентрату холекальциферолу* </w:t>
              <w:br/>
              <w:t>*склад концентрату холекальциферолу: холекальциферол, токоферол, тригліцериди середнього ланцюга, крохмаль кукурудзяний модифікований, сахароза, натрію аскорбат, кремнію діоксид колоїдний безводний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30 або по 60, або по 90 таблеток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Асіно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Аскер Контракт Мануфекчерінг АС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Норвегія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UA/12922/01/01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КАПЕЦИТАБІН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capecitabine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капецитабін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150 мг; по 10 таблеток у блістері; по 3, 6 або 12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первинне пакування, вторинне пакування, контроль якості серії: Інтас Фармасьютікалз Лімітед, Індія; Виробництво готового лікарського засобу, первинне та вторинне пакування, контроль якості серії (альтернативний виробник): Інтас Фармасьютікалз Лімітед, Індія; Первинне та вторинне пакування: Аккорд Хелскеа Лімітед, Велика Британія; вторинне пакування: ДЧЛ Саплі Чейн, Італія СПА, Італiя; СК Фарма Лоджистікс ГмбХ, Німеччина; Синоптиз Індастріал Сп. з о.о., Польща; вторинне пакування, контроль якості серії: Аккорд Хелскеа Сінгл Мембер С.А., Греція; контроль якості серії: Лабораторі Фундасіо ДАУ, Іспанія; Фармадокс Хелскеа Лтд., Мальта; 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Італiя/ Німеччина/ Польща/ Греція /Мальта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КАРБІДОПА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карбідопа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Старт"</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Жейзян Вілд Вінд Фармасьютікал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КАРБОПЛАТИН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carboplatin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карбоплатин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5 мл, або по 15 мл, або по 45 мл, або по 60 мл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Полска Сп. з.о.о.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первинне та вторинне пакування, контроль якості серії:</w:t>
              <w:br/>
              <w:t>Інтас Фармасьютікалз Лімітед, Індія;</w:t>
              <w:br/>
              <w:t>Вторинне пакування:</w:t>
              <w:br/>
              <w:t>Аккорд Хелскеа Лімітед, Велика Британія;</w:t>
              <w:br/>
              <w:br/>
              <w:t xml:space="preserve">Виробництво готового лікарського засобу, первинне та вторинне пакування, контроль якості серії (альтернативний виробник): </w:t>
              <w:br/>
              <w:t>Інтас Фармасьютікалз Лімітед, Індія;</w:t>
              <w:br/>
              <w:t>виробництво готового лікарського засобу, первинне та вторинне пакування:</w:t>
              <w:br/>
              <w:t>Онко Ілак Санай Ве Тіджарет А.С., Туреччина;</w:t>
              <w:br/>
              <w:t>вторинне пакування</w:t>
              <w:br/>
              <w:t>Аккорд Хелскеа Сінгл Мембер С.А, Греція;</w:t>
              <w:br/>
              <w:t>контроль якості серії:</w:t>
              <w:br/>
              <w:t>Аккорд Хелскеа Сінгл Мембер С.А, Греція;</w:t>
              <w:br/>
              <w:br/>
              <w:t>контроль якості серії:</w:t>
              <w:br/>
              <w:t>Фармадокс Хелскеа Лтд., Мальта;</w:t>
              <w:br/>
              <w:t>Фармавалід Кфт., Угорщина;</w:t>
              <w:br/>
              <w:t xml:space="preserve">Відповідальний за випуск серії: </w:t>
              <w:br/>
              <w:t>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Туреччина/ Греція/ Мальта/ Угорщина/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КАРДУРА®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doxazosin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доксазозину мезилат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 мг; по 10 таблеток у блістері; по 3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препарату in bulk, контроль якості при випуску, пакування, випуск серії:</w:t>
              <w:br/>
              <w:t>Пфайзер Менюфекчуринг Дойчленд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UA/5972/01/02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КАРДУРА®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doxazosin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доксазозину мезилат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 по 10 таблеток у блістері; по 3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препарату in bulk, контроль якості при випуску, пакування, випуск серії:</w:t>
              <w:br/>
              <w:t>Пфайзер Менюфекчуринг Дойчленд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UA/5972/01/03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КАРДУРА®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doxazosin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доксазозину мезилат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C02CA04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 мг; по 10 таблеток у блістері; по 3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препарату in bulk, контроль якості при випуску, пакування, випуск серії:</w:t>
              <w:br/>
              <w:t>Пфайзер Менюфекчуринг Дойчленд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UA/5972/01/01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КАФФЕТІН® ЛЕДІ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 (у формі ібупрофену лізинату)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або 2 блістери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Північна Македонія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КЛЄВАЗОЛ®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Combinations of imidazole derivatives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кліндаміцину фосфат, міконазолу нітрат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G01AF20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вагінальний; по 20 г у тубі; по 1 тубі разом з 3 аплікаторами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"ФІТОФАРМ"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КЛОДИФЕН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3 мл у ампулах, по 5 ампул у контурній чарунковій упаковці; 1 контурна чарункова упаковка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КО-ІРБЕСАН®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irbesartan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ірбесартан,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150 мг/12,5 мг; по 14 таблеток у блістері; по 2 блістери в картонній упаковці; по 15 таблеток у блістері;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КО-ІРБЕСАН®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irbesartan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ірбесартан,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300 мг/12,5 мг; по 14 таблеток у блістері; по 2 блістери в картонній упаковці; по 15 таблеток у блістері; по 6 блістерів у картонній упаковці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UA/11583/01/02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КОЛДІБЕЛ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кофеїн, фенілефрину гідрохлорид, феніраміну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12 таблеток у блістері; по 1 блістеру в картонній коробці; по 4 таблетки у блістері; по 1 блістеру у картонному конверті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«Аміла Хелс Кеа»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Біоділ Фармасьютікалз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UA/11466/01/01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КОПАЦИЛ®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Acetylsalicylic acid,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кислота ацетилсаліцилова, парацетамол, кофеїн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N02BA51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6 або 10 таблеток у блістерах; по 10 таблеток у блістері; по 1 або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Barbiturates in combination with other drugs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 xml:space="preserve">етиловий ефір </w:t>
            </w:r>
            <w:r>
              <w:rPr>
                <w:rFonts w:eastAsia="Symbol" w:cs="Symbol" w:ascii="Symbol" w:hAnsi="Symbol"/>
                <w:sz w:val="16"/>
                <w:szCs w:val="16"/>
              </w:rPr>
              <w:t></w:t>
            </w:r>
            <w:r>
              <w:rPr>
                <w:rFonts w:cs="Arial" w:ascii="Arial" w:hAnsi="Arial"/>
                <w:sz w:val="16"/>
                <w:szCs w:val="16"/>
              </w:rPr>
              <w:t>-бромізовалеріанової кислоти, фенобарбітал, м’яти олія (Mentha oil)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 капсул у блістері; по 1 або по 3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UA/2554/03/01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КОРДАГІН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arginine hydrochloride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аргініну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B05XB01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42 мг/мл; по 100 мл у пляшці; по 1 пляшці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"Українська фармацевтична компанія"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КОРНЕРЕГЕЛЬ®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dexpanthenol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декспантенол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очний, 50 мг/г; по 5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UA/8545/01/01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КРАЛОНІН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Crataegus D0, Kalium carbonicum D3, Spigelia anthelmia D2</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30 мл у флаконі-крапельниці; по 1 флакону-крапельниці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UA/3125/01/01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КСАЛАТАН®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latanoprost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латанопрост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0,005 %; по 2,5 мл у поліетиленовому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Менюфекчуринг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UA/11617/01/01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КСОЛАР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omalizumab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омалізумаб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R03DX05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ін’єкцій по 150 мг; 1 флакон з порошком у комплекті з розчинником (вода для ін’єкцій) по 2 мл в ампулах №1 в </w:t>
            </w:r>
            <w:r>
              <w:rPr>
                <w:rFonts w:cs="Arial" w:ascii="Arial" w:hAnsi="Arial"/>
                <w:b/>
                <w:color w:val="000000"/>
                <w:sz w:val="16"/>
                <w:szCs w:val="16"/>
              </w:rPr>
              <w:t xml:space="preserve">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Штейн АГ, Швейцарія; Вторинне пакування, випуск серії: Лек Фармасьютикалс д.д., Словенія; Виробництво, контроль якості, первинне пакування розчинника: ДЕЛЬФАРМ ДІЖОН,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упаковки (виправлення граматичної помилки) в наказі МОЗ України</w:t>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112"/>
              <w:tabs>
                <w:tab w:val="left" w:pos="12600" w:leader="none"/>
              </w:tabs>
              <w:jc w:val="center"/>
              <w:rPr>
                <w:rFonts w:ascii="Arial" w:hAnsi="Arial" w:cs="Arial"/>
                <w:color w:val="000000"/>
                <w:sz w:val="16"/>
                <w:szCs w:val="16"/>
              </w:rPr>
            </w:pPr>
            <w:r>
              <w:rPr>
                <w:rFonts w:eastAsia="Arial" w:cs="Arial" w:ascii="Arial" w:hAnsi="Arial"/>
                <w:b/>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UA/9055/01/02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КЮРЛЕД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sofosbuvir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софосбувір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J05AP08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28 таблеток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Страйдс Фарма Сайенс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Страйдс Фарма Сайенс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ЛАКТУВІТ®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lactulose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лактулоза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A06AD11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3,335 г/5 мл по 100 мл або 200 мл у флаконах полімерних; по 1 флакону в пачці* з картону; *(можливе додаткове вкладання в пачку мірного пристрою)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UA/12566/01/01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ЛАМІЗИЛ КРЕМ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terbinafine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тербінафіну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1 %; по 15 г або 30 г в тубі; по 1 тубі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КАРО ХЕЛСКЕА 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Халеон КХ С.а.р.л.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UA/1005/03/01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ЛАРИТИЛЕН®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дибукаїну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зі смаком м`яти; по 10 таблеток у блістері; по 1, 2 або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ЛАРИТИЛЕН®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дибукаїну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зі смаком м`яти та лимону; по 10 таблеток у блістері; по 1, 2 або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ЛАРИТИЛЕН®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дибукаїну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зі смаком м`яти та малини, по 10 таблеток у блістері; по 1, 2 або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UA/16645/01/01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ЛЕВОДРОПРОПІЗИН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levodropropizine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леводропропізин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Хунань Джудіан Хонгянг Фармасьютікал Ко.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ЛЕВОКАРНІТИН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levocarnitine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левокарнітин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Нортіст Фармасьютікал Груп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ЛЕФНО®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leflunomide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лефлуномід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 мг; по 10 таблеток у блістері; по 3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UA/6367/01/02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ЛЕФНО®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leflunomide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лефлуномід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 мг; in bulk №14000 (10х1400): по 10 таблеток у блістері; по 1400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ЛІБЕРАТТІ®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етинілестрадіол, дроспіренон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0,02 мг/3 мг; по 28 (24+4) таблеток у блістері; по 1 блістеру разом з календарною шкалою та тримачем для блістеру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"ВОРВАРТС ФАРМА"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таблеток, первинне та вторинне пакування, контроль якості (окрім контролю якості (мікробіологічна чистота) та випуск серій кінцевого продукту):</w:t>
              <w:br/>
              <w:t>Лабораторіос Леон Фарма, С.А., Іспанія;</w:t>
              <w:br/>
              <w:br/>
              <w:t>контроль якості (мікробіологічна чистота):</w:t>
              <w:br/>
              <w:t>Лабораторіо Ечеварне С.А., Іспанія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ЛІНЕФОР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14 капсул у блістері; по 1 або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ЛІНЕФОР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14 капсул у блістері; по 2 або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внесення змін до реєстраційних матеріалів: Зміни І типу </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UA/18144/01/02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ЛІНЕФОР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300 мг; по 14 капсул у блістері; по 2 або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UA/18144/01/03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ЛІПРИМАР®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або по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та випуск серії: Пфайзер Менюфекчуринг Дойчленд ГмбХ, Німеччина; виробництво in bulk, контроль якості: Віатріс Фармасютікалз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UA/2377/01/04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ЛІПРИМАР®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блістери або по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первинна та вторинна упаковка, контроль якості та випуск серії: Пфайзер Менюфекчуринг Дойчленд ГмбХ, Німеччина; виробництво in bulk, контроль якості: Віатріс Фармасютікалз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Німеччина </w:t>
            </w:r>
            <w:r>
              <w:rPr>
                <w:rFonts w:cs="Arial" w:ascii="Arial" w:hAnsi="Arial"/>
                <w:color w:val="000000"/>
                <w:sz w:val="16"/>
                <w:szCs w:val="16"/>
                <w:lang w:val="en-US"/>
              </w:rPr>
              <w:t>/</w:t>
            </w:r>
            <w:r>
              <w:rPr>
                <w:rFonts w:cs="Arial" w:ascii="Arial" w:hAnsi="Arial"/>
                <w:color w:val="000000"/>
                <w:sz w:val="16"/>
                <w:szCs w:val="16"/>
              </w:rPr>
              <w:t>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ЛІПРИМАР®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первинна та вторинна упаковка, контроль якості та випуск серії: Пфайзер Менюфекчуринг Дойчленд ГмбХ, Німеччина; виробництво in bulk, контроль якості: Віатріс Фармасютікалз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UA/2377/01/02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ЛІПРИМАР®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та випуск серії: Пфайзер Менюфекчуринг Дойчленд ГмбХ, Німеччина; виробництво in bulk, контроль якості: Віатріс Фармасютікалз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UA/2377/01/03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ЛОМФЛОКС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lomefloxacin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ломефлоксацину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5 таблеток у блістері; по 1 блістеру в картонній упаковці; по 5 таблеток у блістері; по 1 блістеру в картонній упаковці; по 4 упаковки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МАГНІКУМ-АНТИСТРЕС®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магнію цитрат і піридоксину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A11EC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таблеток у блістері; по 6 блістерів у пачці; по 12 таблеток у блістері; по 4 або 5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МАЙДЕКЛА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daclatasvir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даклатасвіру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J05AP07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28 таблеток у непрозорому поліетиленовому флаконі блакитного кольору з блакитною непрозорою поліпропіленовою кришкою в картонній коробці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UA/17912/01/01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МАЙХЕП ОЛЛ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sofosbuvir and velpatasvir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софосбувір та велпатасвір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J05AP55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мг/100 мг; по 28 таблеток у флаконі; по 1 флакону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МАКСІГРА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100 мг; по 1 або по 4 таблетки у блістері; по 1 блістеру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UA/14262/01/02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МАКСІГРА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50 мг; по 1 або по 4 таблетки у блістері; по 1 блістеру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МЕДАКСА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oxaliplatin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оксаліплатин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розчину для інфузій, 5 мг/мл; по 10 мл (50 мг) або 20 мл (100 мг), або 40 мл (200 мг) у флаконі; по 1 флакону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випуск серії, маркування та вторинне пакування: Медак Гезельшафт фюр клініше Шпеціальпрепарате мбХ, Німеччина; виробник, що відповідає за виробництво нерозфасованої продукції, первинне пакування, маркування та вториннне пакування, контроль/випробування серії: Онкомед меньюфекчерінг, а.с., Чеська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UA/4884/02/01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МЕДОТИЛІН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choline alfoscerate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холіну альфосцерат (в формі 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N07AX02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1000 мг/4 мл; по 4 мл в ампулі; по 3 ампули в контурній чарунковій упаковці; по 1 контурній чарунковій упаковці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 Ромфарм Компані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meloxicam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 мг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UA/7284/01/02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МЕРОНЕМ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meropenem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меропенему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по 500 мг; по 10 флаконів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"in bulk":</w:t>
              <w:br/>
              <w:t xml:space="preserve">ЕйСіЕс Добфар С.п.А., Італія </w:t>
              <w:br/>
              <w:t>або</w:t>
              <w:br/>
              <w:t>Сумітомо Фарма Ко., Лтд., Японія</w:t>
              <w:br/>
              <w:br/>
              <w:t>Виробник, відповідальний за первинну упаковку, вторинну упаковку, випуск серії:</w:t>
              <w:br/>
              <w:t>Замбон Світцерланд Лтд, Швейцарія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Японія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UA/0186/01/01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МЕРОНЕМ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meropenem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меропенему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по 1000 мг; по 10 флаконів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"in bulk":</w:t>
              <w:br/>
              <w:t xml:space="preserve">ЕйСіЕс Добфар С.п.А., Італія </w:t>
              <w:br/>
              <w:br/>
              <w:t>або</w:t>
              <w:br/>
              <w:t>Сумітомо Фарма Ко., Лтд., Японія</w:t>
              <w:br/>
              <w:br/>
              <w:t>Виробник, відповідальний за первинну упаковку, вторинну упаковку, випуск серії:</w:t>
              <w:br/>
              <w:t>Замбон Світцерланд Лтд, Швейцарія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Японія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UA/0186/01/02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МЕТАКАРТИН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levocarnitine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левокарнітин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2 г/10 мл; по 10 мл у флаконах; по 10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A.Ш.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МЕТАМІН®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850 мг, по 10 таблеток у блістері; по 3, по 6 або по 10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UA/11506/02/02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МЕТАМІН®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1000 мг: по 15 таблеток у блістері; по 2, по 4 або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UA/11506/02/03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МЕТАМІН®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500 мг; по 10 таблеток у блістері; по 3, по 6 або по 10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ТОВ "КУСУМ ФАРМ", Україна</w:t>
            </w:r>
          </w:p>
          <w:p>
            <w:pPr>
              <w:pStyle w:val="Normal"/>
              <w:autoSpaceDE w:val="false"/>
              <w:jc w:val="center"/>
              <w:rPr>
                <w:rFonts w:ascii="Arial" w:hAnsi="Arial" w:cs="Arial"/>
                <w:bCs/>
                <w:sz w:val="16"/>
                <w:szCs w:val="16"/>
              </w:rPr>
            </w:pPr>
            <w:r>
              <w:rPr>
                <w:rFonts w:cs="Arial" w:ascii="Arial" w:hAnsi="Arial"/>
                <w:bCs/>
                <w:color w:val="000000"/>
                <w:sz w:val="16"/>
                <w:szCs w:val="16"/>
              </w:rPr>
              <w:t>або</w:t>
            </w:r>
          </w:p>
          <w:p>
            <w:pPr>
              <w:pStyle w:val="Normal"/>
              <w:autoSpaceDE w:val="false"/>
              <w:jc w:val="center"/>
              <w:rPr>
                <w:rFonts w:ascii="Arial" w:hAnsi="Arial" w:cs="Arial"/>
                <w:color w:val="000000"/>
                <w:sz w:val="16"/>
                <w:szCs w:val="16"/>
              </w:rPr>
            </w:pPr>
            <w:r>
              <w:rPr>
                <w:rFonts w:cs="Arial" w:ascii="Arial" w:hAnsi="Arial"/>
                <w:bCs/>
                <w:color w:val="000000"/>
                <w:sz w:val="16"/>
                <w:szCs w:val="16"/>
              </w:rPr>
              <w:t xml:space="preserve">ТОВ "КУСУМ",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UA/11506/02/01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МЕТРОНІДАЗОЛ ДЕНТА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Metronidazole,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метронідазолу бензоат, 20 % розчину хлоргексидину глюконату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гель для ясен, по 20 г гелю в тубі; по 1 тубі в картонній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ПП "ГЛЕДЕКС"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"Арпімед"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Вiрменiя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МІРЕНА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levonorgestrel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левоноргестрел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G02BA03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внутрішньоматкова система з левоноргестрелом, 52 мг (20 мкг/24 години); внутрішньоматкова система та пристрій для введення (запаяний в окремий блістер), запаковані в стерильний, запаяний мішечок, що поміщається в картонну пачку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Оу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Фiнляндiя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Байєр Оу, Фінляндія; Вторинне пакування: Байєр Оу, Фінляндія; Стерилізація: Стерідженікс Белджіум (Петі-Решен),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Фінляндія</w:t>
            </w:r>
            <w:r>
              <w:rPr>
                <w:rFonts w:cs="Arial" w:ascii="Arial" w:hAnsi="Arial"/>
                <w:color w:val="000000"/>
                <w:sz w:val="16"/>
                <w:szCs w:val="16"/>
                <w:lang w:val="en-US"/>
              </w:rPr>
              <w:t>/</w:t>
            </w:r>
            <w:r>
              <w:rPr>
                <w:rFonts w:cs="Arial" w:ascii="Arial" w:hAnsi="Arial"/>
                <w:color w:val="000000"/>
                <w:sz w:val="16"/>
                <w:szCs w:val="16"/>
              </w:rPr>
              <w:t xml:space="preserve"> 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sz w:val="16"/>
                <w:szCs w:val="16"/>
              </w:rPr>
              <w:t xml:space="preserve">Зміни І типу </w:t>
            </w:r>
          </w:p>
          <w:p>
            <w:pPr>
              <w:pStyle w:val="Normal"/>
              <w:jc w:val="center"/>
              <w:rPr>
                <w:rFonts w:ascii="Arial" w:hAnsi="Arial" w:cs="Arial"/>
                <w:sz w:val="16"/>
                <w:szCs w:val="16"/>
              </w:rPr>
            </w:pPr>
            <w:r>
              <w:rPr>
                <w:rFonts w:cs="Arial" w:ascii="Arial" w:hAnsi="Arial"/>
                <w:sz w:val="16"/>
                <w:szCs w:val="16"/>
              </w:rPr>
            </w:r>
          </w:p>
          <w:p>
            <w:pPr>
              <w:pStyle w:val="Normal"/>
              <w:jc w:val="center"/>
              <w:rPr>
                <w:rFonts w:ascii="Arial" w:hAnsi="Arial" w:cs="Arial"/>
                <w:sz w:val="16"/>
                <w:szCs w:val="16"/>
                <w:lang w:val="ru-RU"/>
              </w:rPr>
            </w:pPr>
            <w:r>
              <w:rPr>
                <w:rFonts w:cs="Arial" w:ascii="Arial" w:hAnsi="Arial"/>
                <w:sz w:val="16"/>
                <w:szCs w:val="16"/>
                <w:lang w:val="ru-RU"/>
              </w:rPr>
              <w:t xml:space="preserve">Зміни </w:t>
            </w:r>
            <w:r>
              <w:rPr>
                <w:rFonts w:cs="Arial" w:ascii="Arial" w:hAnsi="Arial"/>
                <w:sz w:val="16"/>
                <w:szCs w:val="16"/>
              </w:rPr>
              <w:t>II</w:t>
            </w:r>
            <w:r>
              <w:rPr>
                <w:rFonts w:cs="Arial" w:ascii="Arial" w:hAnsi="Arial"/>
                <w:sz w:val="16"/>
                <w:szCs w:val="16"/>
                <w:lang w:val="ru-RU"/>
              </w:rPr>
              <w:t xml:space="preserve"> типу</w:t>
            </w:r>
          </w:p>
          <w:p>
            <w:pPr>
              <w:pStyle w:val="Normal"/>
              <w:jc w:val="center"/>
              <w:rPr>
                <w:rFonts w:ascii="Arial" w:hAnsi="Arial" w:cs="Arial"/>
                <w:sz w:val="16"/>
                <w:szCs w:val="16"/>
                <w:lang w:val="ru-RU"/>
              </w:rPr>
            </w:pPr>
            <w:r>
              <w:rPr>
                <w:rFonts w:cs="Arial" w:ascii="Arial" w:hAnsi="Arial"/>
                <w:sz w:val="16"/>
                <w:szCs w:val="16"/>
                <w:lang w:val="ru-RU"/>
              </w:rPr>
            </w:r>
          </w:p>
          <w:p>
            <w:pPr>
              <w:pStyle w:val="Normal"/>
              <w:jc w:val="center"/>
              <w:rPr>
                <w:rFonts w:ascii="Arial" w:hAnsi="Arial" w:cs="Arial"/>
                <w:color w:val="000000"/>
                <w:sz w:val="16"/>
                <w:szCs w:val="16"/>
                <w:lang w:val="ru-RU"/>
              </w:rPr>
            </w:pPr>
            <w:r>
              <w:rPr>
                <w:rFonts w:cs="Arial" w:ascii="Arial" w:hAnsi="Arial"/>
                <w:color w:val="000000"/>
                <w:sz w:val="16"/>
                <w:szCs w:val="16"/>
                <w:lang w:val="ru-RU"/>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UA/8614/01/01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МОВІРИКА®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50 мг; по 7 капсул в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Атлантік Фарма Продукос Фармасьютікас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МОВІРИКА®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7 капсул в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Атлантік Фарма Продукос Фармасьютікас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МОВІРИКА®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7 капсул в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Атлантік Фарма Продукос Фармасьютікас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МУКОТЕК®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сальбутамолу сульфат, бромгексину гідрохлорид, гвайфенезин, ментол (левоментол)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Сироп, по 100 мл або по 200 мл у флаконі; по 1 флакону разом з мірним стаканчиком у коробці з картону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UA/11169/01/01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МУЦИТУС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erdosteine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ердостеїн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300 мг, по 6 капсул у стрипі; по 2 або по 5 стрипів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UA/5589/01/02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МУЦИТУС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erdosteine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ердостеїн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150 мг, по 6 капсул у стрипі; по 2 або по 5 стрипів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Маклеодс Фармасьютикалс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w:t>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НАВІРЕЛ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vinorelbine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вінорелбін (у вигляді вінорелбіну тартрату)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10 мг/мл; по 1 мл (10 мг) або 5 мл (50 мг)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контроль серій: oнкомед меньюфекчерінг а.с., Чеська Республiка; Пакування, маркування та випуск серії:</w:t>
              <w:br/>
              <w:t>Медак Гезельшафт фюр клініше Шпеціальпрепарате 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Чеська Республiка</w:t>
            </w:r>
            <w:r>
              <w:rPr>
                <w:rFonts w:cs="Arial" w:ascii="Arial" w:hAnsi="Arial"/>
                <w:color w:val="000000"/>
                <w:sz w:val="16"/>
                <w:szCs w:val="16"/>
                <w:lang w:val="en-US"/>
              </w:rPr>
              <w:t>/</w:t>
            </w:r>
            <w:r>
              <w:rPr>
                <w:rFonts w:cs="Arial" w:ascii="Arial" w:hAnsi="Arial"/>
                <w:color w:val="000000"/>
                <w:sz w:val="16"/>
                <w:szCs w:val="16"/>
              </w:rPr>
              <w:t xml:space="preserve"> 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НАЛБУФІН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nalbuphine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налбуфіну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N02AF02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1 мл в ампулі, по 5 ампул у контурній упаковці, по 1 контурній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НЕЙРОКОБАЛ®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mecobalamin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метилкобаламін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B03BA05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мкг; по 10 таблеток у блістері; по 3 або по 10 блістерів у картонній упаковці; по 30 таблеток у блістері; по 3 блістера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UA/14887/01/01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НЕЙРОКОБАЛ®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mecobalamin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метилкобаламін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мкг; in bulk: № 18000 (10х1800): по 10 таблеток у блістері, по 1800 блістерів у картонній коробці; № 30000 (30х1000): по 30 таблеток у блістері, по 1000 блістерів у картонній коробці</w:t>
              <w:br/>
              <w:t>(для КУСУМ ХЕЛТХКЕР ПВТ ЛТД (СП-289 (A), РІІКО Індастріал ареа, Чопанкі, Бхіваді, Діст. Алвар (Раджастан), Індія))</w:t>
              <w:br/>
              <w:t>in bulk: № 25200 (30х840): по 30 таблеток у блістері, по 840 блістерів у картонній коробці</w:t>
              <w:br/>
              <w:t>(для КУСУМ ХЕЛТХКЕР ПВТ ЛТД (Плот № М-3, Індор Спешел Ікономік Зоун, Фейз-ІІ, Пітампур, Діст. Дхар, Мадхья Прадеш, Пін 454774, Індія))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НЕЙРОЦИТИН®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Electrolytes in combination with other drugs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цитиколін натрію, натрію хлорид, калію хлорид, кальцію хлорид дигідрат, натрію лактат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B05BB04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по 50 мл, 100 мл, 200 мл у пляшці; по 1 пляшці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НЕОТРИЗОЛ®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орнідазол, неоміцину сульфат, міконазолу нітрат, преднізолон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G01BF</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вагінальні; по 4 таблетки у стрипі; по 2 стрипи в картонній коробці, у комплекті з аплікатором; по 8 таблеток у блістері; по 1 блістеру в картонній коробці, у комплекті з аплікатором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НЕФАМ®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nefopam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N02BG06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10 таблеток у блістері; по 2 або 6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UA/18031/02/01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НІТРЕСАН®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nitrendipine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нітрендипін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2 або 3,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ПРО.МЕД.ЦС Прага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ПРО.МЕД.ЦС Прага а.с., Чеська Республіка; первинне та вторинне пакування: Санека Фармасьютикалз а.с., Словацька Республіка; контроль якості: АЛС Чеська Республіка, с.р.о., Чеська Республіка; контроль якості: ПРО.МЕД.ЦС Прага а.с., Чеська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 Словацька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UA/13146/01/02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НІТРЕСАН®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nitrendipine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нітрендипін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2 або 3,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ПРО.МЕД.ЦС Прага 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ПРО.МЕД.ЦС Прага а.с., Чеська Республіка; первинне та вторинне пакування:</w:t>
              <w:br/>
              <w:t>Санека Фармасьютикалз а.с., Словацька Республіка; контроль якості: АЛС Чеська Республіка, с.р.о., Чеська Республіка; контроль якості:</w:t>
              <w:br/>
              <w:t>ПРО.МЕД.ЦС Прага а.с., Чеська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 Словацька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НОРДІКСИН®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etifoxine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етифоксину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 мг; по 15 капсул у блістері, по 4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"ЗДРАВО"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Атгена ІПС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НУРОФЄН® ДЛЯ ДІТЕЙ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полуничним смаком, 100 мг/5 мл, по 100 мл або 200 мл у флаконі; по 1 флакону в комплекті зі шприцом-дозатором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(первинне та вторинне), контроль якості, випуск серії: 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UA/7914/01/01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ДЛЯ ДІТЕЙ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апельсиновим смаком, 100 мг/5 мл; по 100 мл або 200 мл у флаконі; по 1 флакону в комплекті зі шприцом-дозатором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контроль якості, випуск серії: 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400 мг; по 12 таблеток у блістері; по 1 або 2 блістери в картонній коробці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UA/6313/02/01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ОМЕЗ 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омепразол,</w:t>
              <w:br/>
              <w:t>домперидон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10 капсул у стрипі; по 3 стрипи в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Торрент Фармасьютікалс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ОРНІЗОЛ®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ornidazole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орнідазол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J01XD03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5 мг/мл; по 100 мл у пляшці; по 1 пляшці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ПАНКАЛОР®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200 мг; по 1 г гранул у саше, по 10 або по 30 саше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UA/20432/02/01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ПАНКАЛОР®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200 мг; in bulk: № 960 (1х960) саше; по 1 г гранул у саше, по 960 саше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UA/21156/02/01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ПАНКАЛОР®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600 мг; по 3 г гранул у саше, по 10 або по 30 саше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ПАНКАЛОР®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600 мг; in bulk: № 800 (1х800) саше; по 3 г гранул у саше, по 800 саше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UA/21157/02/01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ПАНТЕНОЛ СПРЕЙ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dexpanthenol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декспантенол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D03AX03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піна нашкірна, 4,63 г/100 г; по 130 г у контейнері під тиском; по 1 контейнеру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серій: Др. Герхард Манн Хем.-фарм. Фабрик ГмбХ, Німеччина; Відповідальний за випуск серій:</w:t>
              <w:br/>
              <w:t xml:space="preserve">Бауш + Ломб Ірланд Лімітед, Ірландія; Виробництво bulk, пакування, контроль якості: АСМ Аеросол-Сервіс АГ,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Ірландія/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ПАНТЕНОЛ-ЗДОРОВ'Я АЕРОЗОЛЬ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dexpanthenol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декспантенол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D03AX03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піна нашкірна, 50 мг/г; по 58,5 г або по 117,0 г у балоні з клапаном-насосом, насадкою-розпилювачем та захисним ковпачком; по 1 балону у коробці з картону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умов відпуску в наказі МОЗ України</w:t>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b/>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UA/19009/02/01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ПАРАЦЕТАМОЛ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Гранулез Індія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ПАРАЦЕТАМОЛ С.А.Л.Ф.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10 мг/мл; по 100 мл у флаконі №1; по 100 мл у флаконі, по 30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С.А.Л.Ф. С.п.А. Лабораторіо Фармаколоджико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 amlodipine and 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периндоприлу трет-бутиламін, індапамід, 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мг/1,25 мг/5 мг; по 10 таблеток у блістері, по 3 або 9 блістерів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 amlodipine and 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периндоприлу трет-бутиламін, індапамід, 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мг/1,25 мг/10 мг; по 10 таблеток у блістері, по 3 або 9 блістерів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 amlodipine and 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периндоприлу трет-бутиламін, індапамід, 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мг/2,5 мг/5 мг; по 10 таблеток у блістері, по 3 або 9 блістерів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 amlodipine and 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периндоприлу трет-бутиламін, індапамід, 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мг/2,5 мг/10 мг; по 10 таблеток у блістері, по 3 або 9 блістерів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ПЛАВІКС®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clopidogrel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клопідогрелю гідросульфат у вигляді основи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75 мг; №28 (14х2): по 14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ПЛАВІКС®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clopidogrel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клопідогрелю гідросульфат у вигляді основи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300 мг; № 10 (10х1):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150 мг, по 10 капсул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300 мг; по 10 капсул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75 мг, по 10 капсул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Стерил-Джен Лайф Сайєнсиз (П)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ПРІОРИКС-ТЕТРА КОМБІНОВАНА ВАКЦИНА ДЛЯ ПРОФІЛАКТИКИ КОРУ, ЕПІДЕМІЧНОГО ПАРОТИТУ, КРАСНУХИ ТА ВІТРЯНОЇ ВІСПИ, ЖИВА АТЕНУЙОВАНА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Measles, combinations with mumps, rubella and 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живий атенуйований вірус кору</w:t>
            </w:r>
            <w:r>
              <w:rPr>
                <w:rFonts w:cs="Arial" w:ascii="Arial" w:hAnsi="Arial"/>
                <w:sz w:val="16"/>
                <w:szCs w:val="16"/>
                <w:vertAlign w:val="superscript"/>
              </w:rPr>
              <w:t>1</w:t>
            </w:r>
            <w:r>
              <w:rPr>
                <w:rFonts w:cs="Arial" w:ascii="Arial" w:hAnsi="Arial"/>
                <w:sz w:val="16"/>
                <w:szCs w:val="16"/>
              </w:rPr>
              <w:t xml:space="preserve"> (штам Schwarz); живий атенуйований вірус епідемічного паротиту</w:t>
            </w:r>
            <w:r>
              <w:rPr>
                <w:rFonts w:cs="Arial" w:ascii="Arial" w:hAnsi="Arial"/>
                <w:sz w:val="16"/>
                <w:szCs w:val="16"/>
                <w:vertAlign w:val="superscript"/>
              </w:rPr>
              <w:t>1</w:t>
            </w:r>
            <w:r>
              <w:rPr>
                <w:rFonts w:cs="Arial" w:ascii="Arial" w:hAnsi="Arial"/>
                <w:sz w:val="16"/>
                <w:szCs w:val="16"/>
              </w:rPr>
              <w:t xml:space="preserve"> (штам RIT 4385, що походить від штаму Jeryl Lynn); живий атенуйований вірус краснухи</w:t>
            </w:r>
            <w:r>
              <w:rPr>
                <w:rFonts w:cs="Arial" w:ascii="Arial" w:hAnsi="Arial"/>
                <w:sz w:val="16"/>
                <w:szCs w:val="16"/>
                <w:vertAlign w:val="superscript"/>
              </w:rPr>
              <w:t>2</w:t>
            </w:r>
            <w:r>
              <w:rPr>
                <w:rFonts w:cs="Arial" w:ascii="Arial" w:hAnsi="Arial"/>
                <w:sz w:val="16"/>
                <w:szCs w:val="16"/>
              </w:rPr>
              <w:t xml:space="preserve"> (штам Wistar RA 27/3); живий атенуйований вірус вітряної віспи</w:t>
            </w:r>
            <w:r>
              <w:rPr>
                <w:rFonts w:cs="Arial" w:ascii="Arial" w:hAnsi="Arial"/>
                <w:sz w:val="16"/>
                <w:szCs w:val="16"/>
                <w:vertAlign w:val="superscript"/>
              </w:rPr>
              <w:t>2</w:t>
            </w:r>
            <w:r>
              <w:rPr>
                <w:rFonts w:cs="Arial" w:ascii="Arial" w:hAnsi="Arial"/>
                <w:sz w:val="16"/>
                <w:szCs w:val="16"/>
              </w:rPr>
              <w:t xml:space="preserve"> (штам ОКА) </w:t>
              <w:br/>
            </w:r>
            <w:r>
              <w:rPr>
                <w:rFonts w:cs="Arial" w:ascii="Arial" w:hAnsi="Arial"/>
                <w:i/>
                <w:sz w:val="16"/>
                <w:szCs w:val="16"/>
                <w:vertAlign w:val="superscript"/>
              </w:rPr>
              <w:t xml:space="preserve">1 </w:t>
            </w:r>
            <w:r>
              <w:rPr>
                <w:rFonts w:cs="Arial" w:ascii="Arial" w:hAnsi="Arial"/>
                <w:i/>
                <w:sz w:val="16"/>
                <w:szCs w:val="16"/>
              </w:rPr>
              <w:t xml:space="preserve">отриманий шляхом розмноження в культурі клітин курячих ембріонів; </w:t>
              <w:br/>
            </w:r>
            <w:r>
              <w:rPr>
                <w:rFonts w:cs="Arial" w:ascii="Arial" w:hAnsi="Arial"/>
                <w:i/>
                <w:sz w:val="16"/>
                <w:szCs w:val="16"/>
                <w:vertAlign w:val="superscript"/>
              </w:rPr>
              <w:t xml:space="preserve">2 </w:t>
            </w:r>
            <w:r>
              <w:rPr>
                <w:rFonts w:cs="Arial" w:ascii="Arial" w:hAnsi="Arial"/>
                <w:i/>
                <w:sz w:val="16"/>
                <w:szCs w:val="16"/>
              </w:rPr>
              <w:t>отриманий шляхом розмноження в диплоїдних клітинах людини (MRC-5)</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J07BD54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ліофілізований порошок для ін’єкцій; 1 флакон з порошком у комплекті з розчинником (вода для ін’єкцій) по 0,5 мл (1 доза) у попередньо наповненому шприці (у комплекті з двома голками або без голок) або у ампулах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у попередньо наповненому шприці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в ампулі у вакуумній стерильній упаковці; по 1 вакуумній стерильній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w:t>
              <w:br/>
              <w:t>ГлаксоСмітКляйн Біолоджікалз, Франція (Маркування та пакування розчинника в ампулах. Маркування та пакування розчинника в шприцах. Маркування та пакування готового продукту);</w:t>
              <w:br/>
              <w:t>ГлаксоСмітКляйн Біолоджікалз С.А., Бельгія (Формування, наповнення та ліофілізація вакцини. Маркування та пакування готового продукту. Контроль якості готового продукту. Маркування та пакування розчинника в шприцах та ампулах. Контроль якості розчинника в шприцах та ампулах);</w:t>
              <w:br/>
              <w:t>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тестів Розчинність та Ідентифікація натрію))</w:t>
              <w:br/>
              <w:t>Делфарм Тур, Франція (Виробництво розчинника в ампулах, маркування та пакування розчинника в ампулах, контроль якості розчинника в ампулах);</w:t>
              <w:br/>
              <w:t>Каталент Белджіум, Бельгія (Виробництво розчинника в шприцах, контроль якості розчинника в шприцах)</w:t>
              <w:br/>
              <w:t>Аспен Нотр-Дам-Де-Бондвіль, Франція (Виробництво розчинника в шприцах, контроль якості розчинника в шприцах)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Франція/ Бельгія/ Італія/ </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ГЕСТА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15 капсул м’яких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ЛАБОРАТОРІОС ЛЕОН ФАРМА С.А., Іспанія; контроль якості: Хемо Індія Формюлейшн Прайвет Лімітед Індія; вторинне пакування: АТДІС ФАРМА, С.Л. Іспанія; вторинне пакування: 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Іспанія</w:t>
            </w:r>
            <w:r>
              <w:rPr>
                <w:rFonts w:cs="Arial" w:ascii="Arial" w:hAnsi="Arial"/>
                <w:color w:val="000000"/>
                <w:sz w:val="16"/>
                <w:szCs w:val="16"/>
                <w:lang w:val="en-US"/>
              </w:rPr>
              <w:t>/</w:t>
            </w:r>
            <w:r>
              <w:rPr>
                <w:rFonts w:cs="Arial" w:ascii="Arial" w:hAnsi="Arial"/>
                <w:color w:val="000000"/>
                <w:sz w:val="16"/>
                <w:szCs w:val="16"/>
              </w:rPr>
              <w:t xml:space="preserve"> 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ГЕСТА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15 капсул м’яких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ЛАБОРАТОРІОС ЛЕОН ФАРМА С.А., Іспанія; контроль якості: Хемо Індія Формюлейшн Прайвет Лімітед Індія; вторинне пакування: АТДІС ФАРМА, С.Л. Іспанія; вторинне пакування: 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Іспанія</w:t>
            </w:r>
            <w:r>
              <w:rPr>
                <w:rFonts w:cs="Arial" w:ascii="Arial" w:hAnsi="Arial"/>
                <w:color w:val="000000"/>
                <w:sz w:val="16"/>
                <w:szCs w:val="16"/>
                <w:lang w:val="en-US"/>
              </w:rPr>
              <w:t>/</w:t>
            </w:r>
            <w:r>
              <w:rPr>
                <w:rFonts w:cs="Arial" w:ascii="Arial" w:hAnsi="Arial"/>
                <w:color w:val="000000"/>
                <w:sz w:val="16"/>
                <w:szCs w:val="16"/>
              </w:rPr>
              <w:t xml:space="preserve"> 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ОВО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15 капсул м’яких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 xml:space="preserve">ЛАБОРАТОРІОС ЛЕОН ФАРМА С.А., Іспанія; </w:t>
              <w:br/>
              <w:t>контроль якості:</w:t>
              <w:br/>
              <w:t>Хемо Індія Формюлейшн Прайвет Лімітед, Індія;</w:t>
              <w:br/>
              <w:t>вторинне пакування:</w:t>
              <w:br/>
              <w:t>АТДІС ФАРМА, С.Л., Іспанія;</w:t>
              <w:br/>
              <w:t>вторинне пакування:</w:t>
              <w:br/>
              <w:t>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Іспанія</w:t>
            </w:r>
            <w:r>
              <w:rPr>
                <w:rFonts w:cs="Arial" w:ascii="Arial" w:hAnsi="Arial"/>
                <w:color w:val="000000"/>
                <w:sz w:val="16"/>
                <w:szCs w:val="16"/>
                <w:lang w:val="en-US"/>
              </w:rPr>
              <w:t>/</w:t>
            </w:r>
            <w:r>
              <w:rPr>
                <w:rFonts w:cs="Arial" w:ascii="Arial" w:hAnsi="Arial"/>
                <w:color w:val="000000"/>
                <w:sz w:val="16"/>
                <w:szCs w:val="16"/>
              </w:rPr>
              <w:t xml:space="preserve"> 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ОВО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15 капсул м’яких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 xml:space="preserve">ЛАБОРАТОРІОС ЛЕОН ФАРМА С.А., Іспанія; </w:t>
              <w:br/>
              <w:t>контроль якості:</w:t>
              <w:br/>
              <w:t>Хемо Індія Формюлейшн Прайвет Лімітед, Індія;</w:t>
              <w:br/>
              <w:t>вторинне пакування:</w:t>
              <w:br/>
              <w:t>АТДІС ФАРМА, С.Л., Іспанія;</w:t>
              <w:br/>
              <w:t>вторинне пакування:</w:t>
              <w:br/>
              <w:t>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Іспанія</w:t>
            </w:r>
            <w:r>
              <w:rPr>
                <w:rFonts w:cs="Arial" w:ascii="Arial" w:hAnsi="Arial"/>
                <w:color w:val="000000"/>
                <w:sz w:val="16"/>
                <w:szCs w:val="16"/>
                <w:lang w:val="en-US"/>
              </w:rPr>
              <w:t>/</w:t>
            </w:r>
            <w:r>
              <w:rPr>
                <w:rFonts w:cs="Arial" w:ascii="Arial" w:hAnsi="Arial"/>
                <w:color w:val="000000"/>
                <w:sz w:val="16"/>
                <w:szCs w:val="16"/>
              </w:rPr>
              <w:t xml:space="preserve"> 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ПРОЛАТАН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latanoprost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латанопрост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0,005 %; по 2,5 мл у флаконі з крапельницею; по 1 або по 3 флакони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СЕНТІСС ФАРМА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СЕНТІСС ФАРМА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ПУЛЬМОБРІЗ®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 амброксолу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по 2 г порошку в саше; по 10 або 20 саше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 Індія; Медітоп Фармасьютікал Лтд.,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UA/10212/02/01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РАЛІНА®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sertraline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сертраліну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орального розчину 20 мг/мл; по 60 мл у флаконі скляному брунатного кольору; по 1 флакону в комплекті зі шприцом-дозатором або ложкою дозуючою у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РАЛІНА®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sertraline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сертраліну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орального розчину 20 мг/мл; по 60 мл у флаконі скляному брунатного кольору; по 1 флакону в комплекті зі шприцом-дозатором або ложкою дозуючою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РАМІЗЕС® 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Ramipril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раміприл,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10 мг/12,5 мг по 10 таблеток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rPr>
            </w:pPr>
            <w:r>
              <w:rPr>
                <w:rFonts w:cs="Arial" w:ascii="Arial" w:hAnsi="Arial"/>
                <w:b/>
                <w:sz w:val="16"/>
                <w:szCs w:val="16"/>
              </w:rPr>
              <w:t>РАПАМУН / RAPAMUNE®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rPr>
              <w:t>Sirolimus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rPr>
              <w:t>сиролімус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b/>
                <w:color w:val="000000"/>
                <w:sz w:val="16"/>
                <w:szCs w:val="16"/>
              </w:rPr>
              <w:t>L04AН01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rPr>
              <w:t>таблетки, вкриті оболонкою по 1 мг</w:t>
            </w:r>
            <w:r>
              <w:rPr>
                <w:rFonts w:cs="Arial" w:ascii="Arial" w:hAnsi="Arial"/>
                <w:color w:val="000000"/>
                <w:sz w:val="16"/>
                <w:szCs w:val="16"/>
                <w:lang w:val="ru-RU"/>
              </w:rPr>
              <w:t>;</w:t>
            </w:r>
            <w:r>
              <w:rPr>
                <w:rFonts w:cs="Arial" w:ascii="Arial" w:hAnsi="Arial"/>
                <w:color w:val="000000"/>
                <w:sz w:val="16"/>
                <w:szCs w:val="16"/>
              </w:rPr>
              <w:t xml:space="preserve"> по 10 таблеток у блістері; по 10 блістерів у картонній упаковці з маркуванням іспанською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Ейч. Сі. Пі. Корпорейшн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первинне та вторинне пакування, тестування при випуску та випробування стабільності, випуск серії: Пфайзер Менюфекчуринг Дойчленд ГмбХ, Німеччина; виробництво та тестування при випуску проміжного продукту сиролімус наносистеми дисперсної: Ново Нордіск Продакшн Ірландія Лімітед, Ірландія; тестування сиролімус наносистеми дисперсної, виробництво in bulk; первинне та вторинне пакування, тестування при випуску та випуск серії: Пфайзер Ірландія Фармасьютікалз Анлімітед Компані, Ірландія; випробування стабільності: Пфайзер Інк.,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ind w:left="-110" w:right="-105" w:hanging="0"/>
              <w:jc w:val="center"/>
              <w:rPr>
                <w:rFonts w:ascii="Arial" w:hAnsi="Arial" w:cs="Arial"/>
                <w:color w:val="000000"/>
                <w:sz w:val="16"/>
                <w:szCs w:val="16"/>
              </w:rPr>
            </w:pPr>
            <w:r>
              <w:rPr>
                <w:rFonts w:cs="Arial" w:ascii="Arial" w:hAnsi="Arial"/>
                <w:color w:val="000000"/>
                <w:sz w:val="16"/>
                <w:szCs w:val="16"/>
              </w:rPr>
              <w:t>Німеччина/ Ірландія/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коду АТХ в наказі МОЗ України</w:t>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112"/>
              <w:tabs>
                <w:tab w:val="left" w:pos="12600" w:leader="none"/>
              </w:tabs>
              <w:jc w:val="center"/>
              <w:rPr>
                <w:rFonts w:ascii="Arial" w:hAnsi="Arial" w:cs="Arial"/>
                <w:b/>
                <w:b/>
                <w:color w:val="000000"/>
                <w:sz w:val="16"/>
                <w:szCs w:val="16"/>
              </w:rPr>
            </w:pPr>
            <w:r>
              <w:rPr>
                <w:rFonts w:cs="Arial" w:ascii="Arial" w:hAnsi="Arial"/>
                <w:b/>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UA/19100/01/01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РАПІМАКС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w:t>
              <w:br/>
              <w:t>кофеїн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1 блістеру у картонній упаковці; по 10 таблеток у блістері; по 10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ДЖІВДХАРА ФАРМА ПРАЙВІТ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Бафна Фармасьютікалс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r>
              <w:rPr>
                <w:rFonts w:eastAsia="Arial" w:cs="Arial" w:ascii="Arial" w:hAnsi="Arial"/>
                <w:i/>
                <w:sz w:val="16"/>
                <w:szCs w:val="16"/>
              </w:rPr>
              <w:t xml:space="preserve"> </w:t>
            </w:r>
            <w:r>
              <w:rPr>
                <w:rFonts w:cs="Arial" w:ascii="Arial" w:hAnsi="Arial"/>
                <w:i/>
                <w:sz w:val="16"/>
                <w:szCs w:val="16"/>
              </w:rPr>
              <w:t>10 – без рецепта; № 100 – 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UA/10268/01/01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РАПТЕН 75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3 мл (75 мг) в ампулі; по 5 ампул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"Хемофарм" 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"Хемофарм" 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РЕВАЦИО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15 таблеток у блістері; по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РЕЗІСТОЛ®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пеларгонії коренів екстракт рідкийо (Pelargonii radix extractum liquidum)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in bulk: по 20 мл у флаконі; по 88 флаконів у коробі картонному; in bulk: по 50 мл у флаконі; по 80 флаконів у коробі картонному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РЕЗІСТОЛ®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пеларгонії коренів екстракт рідкийо (Pelargonii radix extractum liquidum)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20 мл або по 50 мл у флаконі з пробкою-крапельницею;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РЕЗОГЛОБІН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anti-D (rh) immunoglobulin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специфічні антитіла до анти-Rh0(D) (імуноглобулін)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J06BB01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1500 МО (300 мкг імуноглобуліну); по 1 мл в ампулі, по 1 або 3, або 5 ампул в пачці; по 1 мл у попередньо наповненому шприці, по 1 шприцу в пачці; по 2 мл в ампулі, по 1 або 3, або 5 ампул в пачці; по 2 мл у попередньо наповненому шприці, по 1 шприцу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 Україна (виробництво, первинне пакування (ампули), вторинне пакування (ампули, шприци), контроль якості, випуск серій); ТОВ "ФЗ "СТАДА", Україна (первинне пакування (шприци), вторинне пакування (ампули, шприци))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РЕЛАМІО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thiocolchicoside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тіоколхікозид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4 мг/2 мл; по 2 мл в ампулі; по 6 ампул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ВЕМ Ілач Сан. ве Тік. 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РЕТРОВІР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zidovudine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зидовудин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10 мг/мл; по 20 мл у флаконі; по 5 флаконів у картонній коробці з маркуванням англійською мовою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ВііВ Хелскер ЮК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 Оперейшнс ЮК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РИСПОЛЕПТ КОНСТА®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та розчинник для суспензії для ін'єкцій пролонгованої дії по 37,5 мг; один комплект містить: один флакон з порошком, один шприц з 2 мл розчинника, один безголковий пристрій West для приготування суспензії та дві голки довжиною 25 мм та 51 мм (із захисними пристроями) для внутрішньом’язових ін’єкцій; по 1 комплекту у картонній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«Джонсон і Джонсон Україна II»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та первинна упаковка розчинника: Сілаг АГ, Швейцарія; Виробництво та первинна упаковка порошку: Алкермес Інк., США; Вторинна упаковка та випуск серії: Сілаг АГ,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Швейцарія</w:t>
            </w:r>
            <w:r>
              <w:rPr>
                <w:rFonts w:cs="Arial" w:ascii="Arial" w:hAnsi="Arial"/>
                <w:color w:val="000000"/>
                <w:sz w:val="16"/>
                <w:szCs w:val="16"/>
                <w:lang w:val="en-US"/>
              </w:rPr>
              <w:t>/</w:t>
            </w:r>
            <w:r>
              <w:rPr>
                <w:rFonts w:cs="Arial" w:ascii="Arial" w:hAnsi="Arial"/>
                <w:color w:val="000000"/>
                <w:sz w:val="16"/>
                <w:szCs w:val="16"/>
              </w:rPr>
              <w:t xml:space="preserve">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РИСПОЛЕПТ КОНСТА®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та розчинник для суспензії для ін'єкцій пролонгованої дії по 25 мг; один комплект містить: один флакон з порошком, один шприц з 2 мл розчинника, один безголковий пристрій West для приготування суспензії та дві голки довжиною 25 мм та 51 мм (із захисними пристроями) для внутрішньом’язових ін’єкцій; по 1 комплекту у картонній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«Джонсон і Джонсон Україна II»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та первинна упаковка розчинника: Сілаг АГ, Швейцарія; Виробництво та первинна упаковка порошку: Алкермес Інк., США; Вторинна упаковка та випуск серії: Сілаг АГ,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Швейцарія</w:t>
            </w:r>
            <w:r>
              <w:rPr>
                <w:rFonts w:cs="Arial" w:ascii="Arial" w:hAnsi="Arial"/>
                <w:color w:val="000000"/>
                <w:sz w:val="16"/>
                <w:szCs w:val="16"/>
                <w:lang w:val="en-US"/>
              </w:rPr>
              <w:t>/</w:t>
            </w:r>
            <w:r>
              <w:rPr>
                <w:rFonts w:cs="Arial" w:ascii="Arial" w:hAnsi="Arial"/>
                <w:color w:val="000000"/>
                <w:sz w:val="16"/>
                <w:szCs w:val="16"/>
              </w:rPr>
              <w:t xml:space="preserve">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РИФАМПІЦИН 75 МГ ТА ІЗОНІАЗИД 50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rifampicin and isoniazid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рифампіцин та ізоніазид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J04AM02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дисперговані по 75 мг/50 мг, по 28 таблеток у стрипі; по 3 стрипи у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РИФАМПІЦИН 75 МГ/ІЗОНІАЗИД 50 МГ/ПІРАЗИНАМІД 150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rifampicin, pyrazinamide and isoniazid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рифампіцин, ізоніазид, піразинамід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J04AM05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дисперговані, по 75 мг/50 мг/150 мг; № 84 (28х3): по 28 таблеток у стрипі; по 3 стрипи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РИФАМПІЦИН, ІЗОНІАЗИД, ПІРАЗИНАМІД ТА ЕТАМБУТОЛУ ГІДРОХЛОРИД ТАБЛЕТКИ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rifampicin, pyrazinamide, ethambutol and isoniazid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рифампіцин, ізоніазид, піразинамід, етамбутолу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J04AM06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150 мг/75 мг/400 мг/275 мг по 28 таблеток у блістері; по 24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Люпін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Люпін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РИФАМПІЦИН+ІЗОНІАЗИД+ЕТАМБУТОЛУ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рифампін, ізоніазид, етамбутолу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J04AM</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28 таблеток у блістері; по 24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Люпін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Люпін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UA/11941/01/01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РІАЛТРІС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mometasone, combinations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олопатадину гідрохлорид та мометазону фуроату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R01AD59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суспензія по 56,120 або 240 доз у поліетиленовому флаконі; по 1 флакону з дозуючим насосом- розпилювачем, закритим ковпачком,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Спешіалті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РІАЛТРІС МОНО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mometasone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мометазону фуроату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R01AD09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назальний, дозований, суспензія, 50 мкг/дозу по 60 або 120 доз у поліетиленовому флаконі, по 1 флакону з дозуючим насосом- розпилювачем, закритим ковпачком,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Спешіалті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РІВАБАН®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14 таблеток у блістері, по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РІВАБАН®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UA/21320/01/02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РІВАБАН®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14 таблеток у блістері, по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UA/21320/01/03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РІВАБАН®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UA/21320/01/04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РІТРАЗА 10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rizatriptan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ризатриптану бензоат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N02CC04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3 таблетки у блістері, по 1 або 3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РІТРАЗА 5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rizatriptan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ризатриптану бензоат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N02CC04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5 мг; по 3 таблетки у блістері; по 1 або 3 блістери у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РОСЕМІД®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1 мг/мл по 30 мл або по 100 мл у скляному флаконі з кришкою з контролем першого відкриття; по 30 мл або по 100 мл у скляному флаконі з кришкою недоступною для відкриття дітьми; кожен флакон у картонній упаковці разом з шприцем-дозатором об'ємом 3 мл та адаптером для шприца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t xml:space="preserve">або </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САНГЕРА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або по 10 мл в ампулі; по 5 ампул у контурній чарунковій упаковці; по 1 контурній чарунковій упаковці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САНГЕРА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або по 10 мл в ампулі; по 5 ампул у контурній чарунковій упаковці; по 1 контурній чарунковій упаковці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САНФУР - 750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цефуроксим натрію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750 мг; 1 флакон з порошком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Cенс Лабораторіc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Cенс Лабораторіc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СЕВЕЛАМЕР-ВІСТА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sevelamer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севеламеру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V03AE02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800 мг, по 180 таблеток у контейнерах (баночках) з кришечкою; по 1 контейнеру (баночці)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включаючи первинне, вторинне пакування та випуск серії:</w:t>
              <w:br/>
              <w:t xml:space="preserve">Сінтон Хіспанія, С.Л., Іспанія; </w:t>
              <w:br/>
              <w:t>виробництво нерозфасованої продукції:</w:t>
              <w:br/>
              <w:t>Фармас'ютікал Уоркс ПОЛЬФАРМА С.А., Польща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СЕВІКАР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Olmesartan medoxomil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олмесартану медоксоміл, </w:t>
              <w:br/>
              <w:t>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мг/5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СЕВІКАР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Olmesartan medoxomil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олмесартану медоксоміл, </w:t>
              <w:br/>
              <w:t>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мг/5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СЕВІКАР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Olmesartan medoxomil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олмесартану медоксоміл, </w:t>
              <w:br/>
              <w:t>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мг/10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UA/17647/01/03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СЕЛЬТАВІР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oseltamivir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озельтамівіру фосфат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30 мг; по 10 капсул у блістері; по 1 блістеру в картонній упаковці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СЕЛЬТАВІР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oseltamivir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озельтамівіру фосфат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10 капсул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СЕЛЬТАВІР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oseltamivir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озельтамівіру фосфат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45 мг; по 10 капсул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СІНЕГРА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 таблетці у блістері; по 1 блістеру в картонній упаковці; по 4 таблетки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UA/15696/01/02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СІНЕГРА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силденафілу цитрат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 таблетці у блістері; по 1 блістеру в картонній упаковці; по 4 таблетки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UA/15696/01/03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СІОФОР® 850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850 мг по 15 таблеток у блістері;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Первинне та вторинне пакування, контроль та випуск серії: </w:t>
              <w:br/>
              <w:t>БЕРЛІН-ХЕМІ АГ, Нiмеччина;</w:t>
              <w:br/>
              <w:t xml:space="preserve">Виробництво "in bulk" та контроль серій: </w:t>
              <w:br/>
              <w:t>БЕРЛІН-ХЕМІ АГ, Нiмеччина;</w:t>
              <w:br/>
              <w:t>виробництво "in bulk", первинне та вторинне пакування, контроль серій та випуск серій:</w:t>
              <w:br/>
              <w:t>Менаріні-Фон Хейден ГмбХ, Німеччина;</w:t>
              <w:br/>
              <w:br/>
              <w:t>Контроль серій:</w:t>
              <w:br/>
              <w:t>АЛС Чеська Республіка с.р.о., Чеська Республiка;</w:t>
              <w:br/>
              <w:t>АЛС Чеська Республіка с.р.о., Чеська Республiка;</w:t>
              <w:br/>
              <w:t>А. Менаріні Мануфактурінг Логістікс енд Сервісес С.р.Л., Італія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Нiмеччина/ Чеська Республiка/ 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UA/3734/01/03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СОЛАНТРА®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ivermectin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івермектин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D11AX22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10 мг/г; по 30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Галдерма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маркування, випробування контролю якості, випробування стабільності та випуск серій:</w:t>
              <w:br/>
              <w:t xml:space="preserve">ЛАБОРАТОРІЇ ГАЛДЕРМА, Францiя; Випробування стабільності: АЛЬБЕД ПРОВАНС, Франція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СПЕКТРІЛА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asparaginase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аспарагіназа*</w:t>
              <w:br/>
              <w:t>* Виробляється клітинами Escherichia coli методом рекомбінантних ДНК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L01XX02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інфузій, по 10 000 ОД; 1 або 5 флаконів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вторинне пакування та за випуск серії: Медак Гезельшафт фюр клініше Шпеціальпрепарате мбХ, Німеччина; Виробник, що відповідає за виробництво готової лікарської форми, первинне пакування, випробування/контроль якості: Ліоконтракт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СТЕРКСАМІК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у контурній упаковці; по 1 контурній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UA/20106/01/01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СТЕРКСАМІК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у контурній упаковці; по 1 контурній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UA/20106/01/01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ІНТЕНСИВ З МЕДОМ ТА ЛИМОНОМ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flurbiprofen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флурбіпрофен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8,75 мг по 8 льодяників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 амілметакрезол; 2,4-дихлорбензиловий спирт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R02AA03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8 льодяників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СУЛЬФОКАЇН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DL-сульфокамфорна кислота,</w:t>
              <w:br/>
              <w:t>новокаїну основа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2 мл в ампулі; по 10 ампул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«ФАРМАСЕЛ»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«ФАРМАСЕЛ»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ТАВІН-ЕМ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tenofovir disoproxil and emtricitabine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тенофовіру дизопроксилу фумарат, емтрицитабін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J05AR03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300 мг/200 мг, по 30 таблеток у пластиковому флаконі, що містить контейнер з силікагелем; по 1 пластиковому флакону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Eмкур Фармасьютікалс Лтд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Eмкур Фармасьютікалс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ТАДАЛАФІЛ ГЕНЕЙМ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tadalafil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тадалафіл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2 таблетки у блістері; по 1 блістеру у пачці; по 4 таблетки у блістері; по 1 або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w:t>
              <w:br/>
              <w:t>АККОРД ХЕЛСКЕА ЛІМІТЕД, Bелика Британія</w:t>
              <w:br/>
              <w:br/>
              <w:t>контроль якості:</w:t>
              <w:br/>
              <w:t>АСТРОН РЕСЬОРЧ ЛІМІТЕД, Bелика Британія;</w:t>
              <w:br/>
              <w:t>контроль якості:</w:t>
              <w:br/>
              <w:t xml:space="preserve">Єврофінс Аналітікал Сервісез Хангері Кфт., Угорщина </w:t>
              <w:br/>
              <w:br/>
              <w:t>вторинне пакування:</w:t>
              <w:br/>
              <w:t xml:space="preserve">ДіЕйчЕль СЕПЛАЙ ЧЕЙН (Італія) СПА, Італія </w:t>
              <w:br/>
              <w:t>виробництво лікарського засобу, первинне та вторинне пакування, контроль якості серії, експорт на дільницю випуску серії:</w:t>
              <w:br/>
              <w:t>Інтас Фармасьютікалс Лімітед, Індія</w:t>
              <w:br/>
              <w:t>контроль якості:</w:t>
              <w:br/>
              <w:t>ФАРМАВАЛІД Лтд. Мікробіологічна лабораторія, Угорщина</w:t>
              <w:br/>
              <w:br/>
              <w:t>контроль якості:</w:t>
              <w:br/>
              <w:t>Фармадокс Хелскеа Лтд., Мальта</w:t>
              <w:br/>
              <w:t>відповідальний за випуск серії:</w:t>
              <w:br/>
              <w:t>Аккорд Хелскеа Полска Сп. з о.о. Склад Імпортера, Польща</w:t>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ru-RU"/>
              </w:rPr>
            </w:pPr>
            <w:r>
              <w:rPr>
                <w:rFonts w:cs="Arial" w:ascii="Arial" w:hAnsi="Arial"/>
                <w:color w:val="000000"/>
                <w:sz w:val="16"/>
                <w:szCs w:val="16"/>
              </w:rPr>
              <w:t>Bелика Британія/ Угорщина/ Італія</w:t>
            </w:r>
            <w:r>
              <w:rPr>
                <w:rFonts w:cs="Arial" w:ascii="Arial" w:hAnsi="Arial"/>
                <w:color w:val="000000"/>
                <w:sz w:val="16"/>
                <w:szCs w:val="16"/>
                <w:lang w:val="ru-RU"/>
              </w:rPr>
              <w:t>/</w:t>
            </w:r>
            <w:r>
              <w:rPr>
                <w:rFonts w:cs="Arial" w:ascii="Arial" w:hAnsi="Arial"/>
                <w:color w:val="000000"/>
                <w:sz w:val="16"/>
                <w:szCs w:val="16"/>
              </w:rPr>
              <w:t xml:space="preserve"> Індія</w:t>
            </w:r>
            <w:r>
              <w:rPr>
                <w:rFonts w:cs="Arial" w:ascii="Arial" w:hAnsi="Arial"/>
                <w:color w:val="000000"/>
                <w:sz w:val="16"/>
                <w:szCs w:val="16"/>
                <w:lang w:val="ru-RU"/>
              </w:rPr>
              <w:t>/</w:t>
            </w:r>
            <w:r>
              <w:rPr>
                <w:rFonts w:cs="Arial" w:ascii="Arial" w:hAnsi="Arial"/>
                <w:color w:val="000000"/>
                <w:sz w:val="16"/>
                <w:szCs w:val="16"/>
              </w:rPr>
              <w:t xml:space="preserve"> Мальта</w:t>
            </w:r>
            <w:r>
              <w:rPr>
                <w:rFonts w:cs="Arial" w:ascii="Arial" w:hAnsi="Arial"/>
                <w:color w:val="000000"/>
                <w:sz w:val="16"/>
                <w:szCs w:val="16"/>
                <w:lang w:val="ru-RU"/>
              </w:rPr>
              <w:t>/</w:t>
            </w:r>
            <w:r>
              <w:rPr>
                <w:rFonts w:cs="Arial" w:ascii="Arial" w:hAnsi="Arial"/>
                <w:color w:val="000000"/>
                <w:sz w:val="16"/>
                <w:szCs w:val="16"/>
              </w:rPr>
              <w:t xml:space="preserve"> Польща</w:t>
            </w:r>
            <w:r>
              <w:rPr>
                <w:rFonts w:cs="Arial" w:ascii="Arial" w:hAnsi="Arial"/>
                <w:color w:val="000000"/>
                <w:sz w:val="16"/>
                <w:szCs w:val="16"/>
                <w:lang w:val="ru-RU"/>
              </w:rPr>
              <w:t>/</w:t>
            </w:r>
            <w:r>
              <w:rPr>
                <w:rFonts w:cs="Arial" w:ascii="Arial" w:hAnsi="Arial"/>
                <w:color w:val="000000"/>
                <w:sz w:val="16"/>
                <w:szCs w:val="16"/>
              </w:rPr>
              <w:t xml:space="preserve"> 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ТАЛФАТРЕКС-Е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Emtricitabine and tenofovir alafenamide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емтрицитабін; тенофовіру алафенаміду фумарат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J05AR17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мг/25 мг, по 30 таблеток у флаконі; по 1 флакону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ТАМОКСИФЕН-ЗДОРОВ'Я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tamoxifen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тамоксифен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6 блістерів у картонній коробці; по 60 таблеток у контейнері пластмасовому; по 1 контейнеру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ТАМОКСИФЕН-ЗДОРОВ'Я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tamoxifen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тамоксифен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3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UA/5528/01/02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ТАФЛОТАН® МУЛЬТІ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tafluprost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тафлупрост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по 15 мкг/мл; по 3 мл у флаконі з дозатором та кришкою з контролем першого відкриття;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Сантен 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Фiнляндiя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випуск серії: Сантен АТ, Фінляндія; Виробник, відповідальний за виробництво in-bulk, первинну та вторинну упаковку, випробування щодо якості: Тубілюкс Фарма С.П.А., Італiя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Фінляндія/ 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ТВІНРИКС ВАКЦИНА ДЛЯ ПРОФІЛАКТИКИ ГЕПАТИТІВ А (ІНАКТИВОВАНА) І В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вірус гепатиту А (інактивований)</w:t>
            </w:r>
            <w:r>
              <w:rPr>
                <w:rFonts w:cs="Arial" w:ascii="Arial" w:hAnsi="Arial"/>
                <w:sz w:val="16"/>
                <w:szCs w:val="16"/>
                <w:vertAlign w:val="superscript"/>
              </w:rPr>
              <w:t>(1,2)</w:t>
            </w:r>
            <w:r>
              <w:rPr>
                <w:rFonts w:cs="Arial" w:ascii="Arial" w:hAnsi="Arial"/>
                <w:sz w:val="16"/>
                <w:szCs w:val="16"/>
              </w:rPr>
              <w:t xml:space="preserve">; поверхневий антиген вірусу гепатиту В </w:t>
            </w:r>
            <w:r>
              <w:rPr>
                <w:rFonts w:cs="Arial" w:ascii="Arial" w:hAnsi="Arial"/>
                <w:sz w:val="16"/>
                <w:szCs w:val="16"/>
                <w:vertAlign w:val="superscript"/>
              </w:rPr>
              <w:t>(3,4)</w:t>
            </w:r>
            <w:r>
              <w:rPr>
                <w:rFonts w:cs="Arial" w:ascii="Arial" w:hAnsi="Arial"/>
                <w:sz w:val="16"/>
                <w:szCs w:val="16"/>
              </w:rPr>
              <w:t xml:space="preserve"> </w:t>
              <w:br/>
            </w:r>
            <w:r>
              <w:rPr>
                <w:rFonts w:cs="Arial" w:ascii="Arial" w:hAnsi="Arial"/>
                <w:sz w:val="16"/>
                <w:szCs w:val="16"/>
                <w:vertAlign w:val="superscript"/>
              </w:rPr>
              <w:t>(1)</w:t>
            </w:r>
            <w:r>
              <w:rPr>
                <w:rFonts w:cs="Arial" w:ascii="Arial" w:hAnsi="Arial"/>
                <w:sz w:val="16"/>
                <w:szCs w:val="16"/>
              </w:rPr>
              <w:t xml:space="preserve"> вироблено на диплоїдних клітинах людини MRC-5</w:t>
              <w:br/>
            </w:r>
            <w:r>
              <w:rPr>
                <w:rFonts w:cs="Arial" w:ascii="Arial" w:hAnsi="Arial"/>
                <w:sz w:val="16"/>
                <w:szCs w:val="16"/>
                <w:vertAlign w:val="superscript"/>
              </w:rPr>
              <w:t>(2)</w:t>
            </w:r>
            <w:r>
              <w:rPr>
                <w:rFonts w:cs="Arial" w:ascii="Arial" w:hAnsi="Arial"/>
                <w:sz w:val="16"/>
                <w:szCs w:val="16"/>
              </w:rPr>
              <w:t xml:space="preserve"> адсорбований на алюмінію гідроксиді, гідратованому 0,05 мг Al3+</w:t>
              <w:br/>
            </w:r>
            <w:r>
              <w:rPr>
                <w:rFonts w:cs="Arial" w:ascii="Arial" w:hAnsi="Arial"/>
                <w:sz w:val="16"/>
                <w:szCs w:val="16"/>
                <w:vertAlign w:val="superscript"/>
              </w:rPr>
              <w:t>(3)</w:t>
            </w:r>
            <w:r>
              <w:rPr>
                <w:rFonts w:cs="Arial" w:ascii="Arial" w:hAnsi="Arial"/>
                <w:sz w:val="16"/>
                <w:szCs w:val="16"/>
              </w:rPr>
              <w:t xml:space="preserve"> вироблено у клітинах дріжджової культури Saccharomyces cerevisiae за технологією рекомбінантної ДНК</w:t>
              <w:br/>
            </w:r>
            <w:r>
              <w:rPr>
                <w:rFonts w:cs="Arial" w:ascii="Arial" w:hAnsi="Arial"/>
                <w:sz w:val="16"/>
                <w:szCs w:val="16"/>
                <w:vertAlign w:val="superscript"/>
              </w:rPr>
              <w:t>(4)</w:t>
            </w:r>
            <w:r>
              <w:rPr>
                <w:rFonts w:cs="Arial" w:ascii="Arial" w:hAnsi="Arial"/>
                <w:sz w:val="16"/>
                <w:szCs w:val="16"/>
              </w:rPr>
              <w:t xml:space="preserve"> адсорбований на алюмінію фосфаті</w:t>
            </w:r>
          </w:p>
          <w:p>
            <w:pPr>
              <w:pStyle w:val="Normal"/>
              <w:tabs>
                <w:tab w:val="left" w:pos="12600" w:leader="none"/>
              </w:tabs>
              <w:rPr>
                <w:rFonts w:ascii="Arial" w:hAnsi="Arial" w:cs="Arial"/>
                <w:sz w:val="16"/>
                <w:szCs w:val="16"/>
              </w:rPr>
            </w:pPr>
            <w:r>
              <w:rPr>
                <w:rFonts w:cs="Arial" w:ascii="Arial" w:hAnsi="Arial"/>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J07BC20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дозі (1 мл/дозу) у попередньо наповненому шприці № 1 у комплекті з голкою з маркуванням українською мовою або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Маркування та пакування готового продукту: ГлаксоСмітКляйн Біолоджікалз, Франція; Формування вакцини, наповнення в шприці, проведення контролю якості, маркування і пакування готового продукту: ГлаксоСмітКляйн Біолоджікалз С.А., Бельгія;</w:t>
              <w:br/>
              <w:t>Формування вакцини, наповнення в шприці, проведення контролю якості: СмітКляйн Бічем Фарма ГмбХ унд Ко. КГ, Німеччина;</w:t>
              <w:br/>
              <w:t>Випуск серії готового продукту: ГлаксоСмітКляйн Біолоджікалз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 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ТЕНОЧЕК®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Atenolol and other antihypertensives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атенолол, 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C07FB03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14 таблеток в блістері;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UA/8615/01/01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ТЕРОНРЕД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abiraterone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абіратерону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120 таблеток у контейнері з ПЕ високої щільності з кришкою, недоступною для відкриття дітьми. Всередину контейнера поміщено пакет з адсорбентом кисню з попереджувальним написом. По 1 контейнеру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 ФТО-7</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ТЕТРАКСИМ®/TETRAXIM ВАКЦИНА ДЛЯ ПРОФІЛАКТИКИ ДИФТЕРІЇ, ПРАВЦЯ, КАШЛЮКУ (АЦЕЛЮЛЯРНИЙ КОМПОНЕНТ) ТА ПОЛІОМІЄЛІТУ АДСОРБОВАНА, ІНАКТИВОВАНА, РІДКА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Diphtheria-pertussis-poliomyelitis-tetanus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дифтерійний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jc w:val="both"/>
              <w:rPr/>
            </w:pPr>
            <w:r>
              <w:rPr>
                <w:rFonts w:cs="Arial" w:ascii="Arial" w:hAnsi="Arial"/>
                <w:color w:val="000000"/>
                <w:sz w:val="16"/>
                <w:szCs w:val="16"/>
              </w:rPr>
              <w:t>правцевий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jc w:val="both"/>
              <w:rPr/>
            </w:pPr>
            <w:r>
              <w:rPr>
                <w:rFonts w:cs="Arial" w:ascii="Arial" w:hAnsi="Arial"/>
                <w:color w:val="000000"/>
                <w:sz w:val="16"/>
                <w:szCs w:val="16"/>
              </w:rPr>
              <w:t>антигени </w:t>
            </w:r>
            <w:r>
              <w:rPr>
                <w:rFonts w:cs="Arial" w:ascii="Arial" w:hAnsi="Arial"/>
                <w:i/>
                <w:iCs/>
                <w:color w:val="000000"/>
                <w:sz w:val="16"/>
                <w:szCs w:val="16"/>
              </w:rPr>
              <w:t>Bordetella pertussis</w:t>
            </w:r>
            <w:r>
              <w:rPr>
                <w:rFonts w:cs="Arial" w:ascii="Arial" w:hAnsi="Arial"/>
                <w:color w:val="000000"/>
                <w:sz w:val="16"/>
                <w:szCs w:val="16"/>
              </w:rPr>
              <w:t>:</w:t>
            </w:r>
          </w:p>
          <w:p>
            <w:pPr>
              <w:pStyle w:val="Normal"/>
              <w:jc w:val="both"/>
              <w:rPr/>
            </w:pPr>
            <w:r>
              <w:rPr>
                <w:rFonts w:cs="Arial" w:ascii="Arial" w:hAnsi="Arial"/>
                <w:color w:val="000000"/>
                <w:sz w:val="16"/>
                <w:szCs w:val="16"/>
                <w:lang w:val="ru-RU"/>
              </w:rPr>
              <w:t>- кашлюковий анатоксин</w:t>
            </w:r>
            <w:r>
              <w:rPr>
                <w:rFonts w:cs="Arial" w:ascii="Arial" w:hAnsi="Arial"/>
                <w:color w:val="000000"/>
                <w:sz w:val="16"/>
                <w:szCs w:val="16"/>
                <w:vertAlign w:val="superscript"/>
                <w:lang w:val="ru-RU"/>
              </w:rPr>
              <w:t>1</w:t>
            </w:r>
            <w:r>
              <w:rPr>
                <w:rFonts w:cs="Arial" w:ascii="Arial" w:hAnsi="Arial"/>
                <w:color w:val="000000"/>
                <w:sz w:val="16"/>
                <w:szCs w:val="16"/>
              </w:rPr>
              <w:t>;</w:t>
            </w:r>
          </w:p>
          <w:p>
            <w:pPr>
              <w:pStyle w:val="Normal"/>
              <w:jc w:val="both"/>
              <w:rPr/>
            </w:pPr>
            <w:r>
              <w:rPr>
                <w:rFonts w:cs="Arial" w:ascii="Arial" w:hAnsi="Arial"/>
                <w:color w:val="000000"/>
                <w:sz w:val="16"/>
                <w:szCs w:val="16"/>
                <w:lang w:val="ru-RU"/>
              </w:rPr>
              <w:t>-</w:t>
            </w:r>
            <w:r>
              <w:rPr>
                <w:rFonts w:cs="Arial" w:ascii="Arial" w:hAnsi="Arial"/>
                <w:color w:val="000000"/>
                <w:sz w:val="16"/>
                <w:szCs w:val="16"/>
              </w:rPr>
              <w:t> </w:t>
            </w:r>
            <w:r>
              <w:rPr>
                <w:rFonts w:cs="Arial" w:ascii="Arial" w:hAnsi="Arial"/>
                <w:color w:val="000000"/>
                <w:sz w:val="16"/>
                <w:szCs w:val="16"/>
                <w:lang w:val="ru-RU"/>
              </w:rPr>
              <w:t>філаментний</w:t>
            </w:r>
            <w:r>
              <w:rPr>
                <w:rFonts w:cs="Arial" w:ascii="Arial" w:hAnsi="Arial"/>
                <w:color w:val="000000"/>
                <w:sz w:val="16"/>
                <w:szCs w:val="16"/>
              </w:rPr>
              <w:t> </w:t>
            </w:r>
            <w:r>
              <w:rPr>
                <w:rFonts w:cs="Arial" w:ascii="Arial" w:hAnsi="Arial"/>
                <w:color w:val="000000"/>
                <w:sz w:val="16"/>
                <w:szCs w:val="16"/>
                <w:lang w:val="ru-RU"/>
              </w:rPr>
              <w:t>гемаглютинін</w:t>
            </w:r>
            <w:r>
              <w:rPr>
                <w:rFonts w:cs="Arial" w:ascii="Arial" w:hAnsi="Arial"/>
                <w:color w:val="000000"/>
                <w:sz w:val="16"/>
                <w:szCs w:val="16"/>
              </w:rPr>
              <w:t> </w:t>
            </w:r>
            <w:r>
              <w:rPr>
                <w:rFonts w:cs="Arial" w:ascii="Arial" w:hAnsi="Arial"/>
                <w:color w:val="000000"/>
                <w:sz w:val="16"/>
                <w:szCs w:val="16"/>
                <w:lang w:val="ru-RU"/>
              </w:rPr>
              <w:t>(ФГА)</w:t>
            </w:r>
            <w:r>
              <w:rPr>
                <w:rFonts w:cs="Arial" w:ascii="Arial" w:hAnsi="Arial"/>
                <w:color w:val="000000"/>
                <w:sz w:val="16"/>
                <w:szCs w:val="16"/>
                <w:vertAlign w:val="superscript"/>
                <w:lang w:val="ru-RU"/>
              </w:rPr>
              <w:t>1</w:t>
            </w:r>
            <w:r>
              <w:rPr>
                <w:rFonts w:cs="Arial" w:ascii="Arial" w:hAnsi="Arial"/>
                <w:color w:val="000000"/>
                <w:sz w:val="16"/>
                <w:szCs w:val="16"/>
              </w:rPr>
              <w:t>;</w:t>
            </w:r>
          </w:p>
          <w:p>
            <w:pPr>
              <w:pStyle w:val="Normal"/>
              <w:jc w:val="both"/>
              <w:rPr>
                <w:rFonts w:ascii="Arial" w:hAnsi="Arial" w:cs="Arial"/>
                <w:color w:val="000000"/>
                <w:sz w:val="16"/>
                <w:szCs w:val="16"/>
              </w:rPr>
            </w:pPr>
            <w:r>
              <w:rPr>
                <w:rFonts w:cs="Arial" w:ascii="Arial" w:hAnsi="Arial"/>
                <w:color w:val="000000"/>
                <w:sz w:val="16"/>
                <w:szCs w:val="16"/>
              </w:rPr>
              <w:t>інактивований вірус поліомієліту</w:t>
            </w:r>
            <w:r>
              <w:rPr>
                <w:rFonts w:cs="Arial" w:ascii="Arial" w:hAnsi="Arial"/>
                <w:color w:val="000000"/>
                <w:sz w:val="16"/>
                <w:szCs w:val="16"/>
                <w:vertAlign w:val="superscript"/>
              </w:rPr>
              <w:t>5</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1 (Mahoney);</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2 (MEF-1);</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3 (Saukett);</w:t>
            </w:r>
          </w:p>
          <w:p>
            <w:pPr>
              <w:pStyle w:val="Normal"/>
              <w:jc w:val="both"/>
              <w:rPr/>
            </w:pPr>
            <w:r>
              <w:rPr>
                <w:rFonts w:cs="Arial" w:ascii="Arial" w:hAnsi="Arial"/>
                <w:color w:val="000000"/>
                <w:sz w:val="16"/>
                <w:szCs w:val="16"/>
                <w:vertAlign w:val="superscript"/>
              </w:rPr>
              <w:t>1</w:t>
            </w:r>
            <w:r>
              <w:rPr>
                <w:rFonts w:cs="Arial" w:ascii="Arial" w:hAnsi="Arial"/>
                <w:color w:val="000000"/>
                <w:sz w:val="16"/>
                <w:szCs w:val="16"/>
              </w:rPr>
              <w:t> адсорбовані на гідратованому алюмінію гідроксиді</w:t>
            </w:r>
          </w:p>
          <w:p>
            <w:pPr>
              <w:pStyle w:val="Normal"/>
              <w:jc w:val="both"/>
              <w:rPr>
                <w:rFonts w:ascii="Arial" w:hAnsi="Arial" w:cs="Arial"/>
                <w:color w:val="000000"/>
                <w:sz w:val="16"/>
                <w:szCs w:val="16"/>
              </w:rPr>
            </w:pPr>
            <w:r>
              <w:rPr>
                <w:rFonts w:cs="Arial" w:ascii="Arial" w:hAnsi="Arial"/>
                <w:color w:val="000000"/>
                <w:sz w:val="16"/>
                <w:szCs w:val="16"/>
                <w:vertAlign w:val="superscript"/>
              </w:rPr>
              <w:t>5 </w:t>
            </w:r>
            <w:r>
              <w:rPr>
                <w:rFonts w:cs="Arial" w:ascii="Arial" w:hAnsi="Arial"/>
                <w:color w:val="000000"/>
                <w:sz w:val="16"/>
                <w:szCs w:val="16"/>
              </w:rPr>
              <w:t>культивовані на клітинах </w:t>
            </w:r>
            <w:r>
              <w:rPr>
                <w:rStyle w:val="Spelle"/>
                <w:rFonts w:cs="Arial" w:ascii="Arial" w:hAnsi="Arial"/>
                <w:i/>
                <w:iCs/>
                <w:color w:val="000000"/>
                <w:sz w:val="16"/>
                <w:szCs w:val="16"/>
              </w:rPr>
              <w:t>Vero</w:t>
            </w:r>
          </w:p>
          <w:p>
            <w:pPr>
              <w:pStyle w:val="112"/>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попередньо заповненому шприцу по 0,5 мл (1 доза) з прикріпленою голкою (або 2-ма окремими голками), що містить суспензію для ін’єкцій, в картонній коробці з маркуванням українською або англійською, або іншими іноземними мовами; по 1 попередньо заповненому шприцу по 0,5 мл (1 доза) з прикріпленою голкою (або 2-ма окремими голками), що містить суспензію для ін’єкцій в картонній коробці, в якій міститься стандартно-експортна упаковка та інструкція для медичного застосування з маркуванням українською або англійською, або іншими іноземними мовами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контроль якості, вторинне пакування, випуск серії: Санофі Вінтроп Індастрі, Франція; повний цикл виробництва, контроль якості, вторинне пакування, випуск серії: Санофі Вінтроп Індастрі, Франція; випуск серії: Санофі-Авентіс Зрт., Угорщина; вторинне пакування: Кюне + Нагель Кфт.,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ТІВОРЕЛЬ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аргініну гідрохлорид, левокарнітин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B05XB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По 100 мл у пляшках скляних. По 100 мл у пляшках полімерних. По 1 пляшці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ТІОКТАЦИД® 600 HR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тіоктова (α-ліпоєва)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600 мг, по 30 або по 100 таблеток, вкритих плівковою оболонкою, у флаконі; по 1 флакону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Хелскеа ГмбХ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нерозфасованої продукції, первинне та вторинне пакування, контроль якості та випуск серії:</w:t>
              <w:br/>
              <w:t>Роттафарм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UA/6616/01/01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ТІОРОКС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thiocolchicoside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тіоколхікозид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4 мг/2 мл; по 2 мл в ампулі, по 5 ампул у блістері та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Абрил Лабораторіз Прайвет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ТОПОТЕКАН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topotecan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топотекану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 мг/мл; по 1 мл або по 4 мл концентрату у скляному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готового лікарського засобу, первинне, вторинне пакування, контроль якості серії: Інтас Фармасьютікалз Лімітед, Індія; </w:t>
              <w:br/>
              <w:t xml:space="preserve">Вторинне пакування: Аккорд Хелскеа Лімітед, Велика Британія; Контроль якості: Єврофінс Аналітікал Сервісез Хангері Кфт., Угорщина; </w:t>
              <w:br/>
              <w:t>Контроль якості: ФАРМАВАЛІД Лтд. Мікробіологічна лабораторія, Угорщина; Відповідальний за випуск серії: Аккорд Хелскеа Полска Сп. з о.о. Склад Імпортера, Польща; вторинне пакування, контроль якості серії: 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Польща/ 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ТОРГАБАЛІН 150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4 капсули у блістері; по 3 блістери у картонній упаковці; по 10 капсул у блістері; по 3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Торрент Фармасьютікалс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Торрент Фармасьютікалс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UA/15969/01/02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ТОРГАБАЛІН 75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10 капсул у блістері; по 3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Торрент Фармасьютікалс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Торрент Фармасьютікалс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кеторолаку трометамін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 мг/мл по 1 мл у флаконі; по 5 або по 10 флаконів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ТРАНЕКСАМОВА КИСЛОТА-ЗДОРОВ`Я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транексамова кислота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5 мл в ампулі; по 5 ампул у блістері; по 1 або 2 блістери у коробці з картону; по 5 мл в ампулі; по 5 або 10 ампул у картонній коробці з перегородками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ТРАНКВІЛАР® ІС 300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temgicoluril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темгіколурил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N06BX21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0,3 г по 10 таблеток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ТРАНКВІЛАР® ІС 500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temgicoluril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темгіколурил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N06BX21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0,5 г по 10 таблеток у блістері; по 1 або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UA/8823/01/02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ТРАХІСАН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тиротрицин, лідокаїну гідрохлориду моногідрат, хлоргексидину диглюконат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смоктання; по 10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Альпен Фарма АГ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Енгельгард Арцнайміттель ГмбХ &amp; Ко.КГ, Нiмеччина;</w:t>
              <w:br/>
              <w:br/>
              <w:t>виробник, що відповідає за ввезення, контроль та випуск серії:</w:t>
              <w:br/>
              <w:t>ТОВ "ПІК-ФАРМ",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Нiмеччина/ 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UA/6121/01/01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ТРЕЛЕДЖИ ЕЛЛІПТА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Vilanterol, umeclidinium bromide and fluticasone furoate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флютиказону фуроат, умеклідиніум (у формі броміду) і вілантерол (у формі трифенатату)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R03AL08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інгаляцій, дозований, по 92 мкг/55 мкг/22 мкг/дозу; по 14 або 30 доз в порошковому інгаляторі; по 1 інгалятору в лотку з фольги; по 1 лотку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 Оперейшнс ЮК Лімітед, що веде діяльність як Глаксо Веллком Оперейшнс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ТРЕСІБА®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insulin degludec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інсулін деглюдек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b/>
                <w:color w:val="000000"/>
                <w:sz w:val="16"/>
                <w:szCs w:val="16"/>
              </w:rPr>
              <w:t>A10AE06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 по 3 мл у картриджі, який міститься у багатодозовій одноразовій шприц-ручці; по 1 або по 5 шприц-ручок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наповнення в первинну упаковку та контроль балку. Відповідальний за випуск: А/Т Ново Нордіск, Данія; </w:t>
              <w:br/>
              <w:t>Комплектування, маркування та вторинне пакування готового продукту. Контроль якості балку готового продукту та кінцевого готового продукту: А/Т Ново Нордіск, Данія; Виробник нерозфасованого продукту, наповнення в первинну упаковку та перевірка якості продукції балку. Контроль якості зразків в процесі виробництва та продукції bulk. Контроль якості готового продукту. Комплектування, маркування та вторинне пакування готового продукту. Відповідальний за випуск серії: Ново Нордіск Продюксьон САС,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коду АТХ в наказі МОЗ України</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UA/14264/01/01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УЛСЕПАН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пантопразол (у формі пантопразолу натрію сесквігідрату)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40 мг; 1 флакон у контурній чарунковій упаковці, по 1 контурній чарунковій упаковці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ru-RU"/>
              </w:rPr>
            </w:pPr>
            <w:r>
              <w:rPr>
                <w:rFonts w:cs="Arial" w:ascii="Arial" w:hAnsi="Arial"/>
                <w:color w:val="000000"/>
                <w:sz w:val="16"/>
                <w:szCs w:val="16"/>
              </w:rPr>
              <w:t>Мефар Ілач Сан.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УНІФЛОКС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S03AA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очні/вушні, розчин 0,3 % по 5 мл або 10 мл у пластиковому контейнері-крапельниці; по 1 контейнеру-крапельниці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УРОЛЕСАН®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ялиці олія, м’яти перцевої олія, моркви дикої плодів екстракт рідкий Extractum fructuum Dauci sativi fluidum, хмелю шишок екстракт рідкий Extractum fructuum Strobili lupuli fluidum, материнки трави екстракт рідкий Extractum herbae Origani fluidum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G04BX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по 90 мл у банці; по 1 банці у пачці; по 90 мл або по 180 мл у флаконі; по 1 флакону в пачці; по 5 мл в саше, по 15 або 16 саше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усі стадії виробництва, за винятком первинного пакування в саше:</w:t>
              <w:br/>
              <w:t>ПАТ "Галичфарм",</w:t>
              <w:br/>
              <w:t>Україна;</w:t>
              <w:br/>
              <w:t>первинне пакування в саше:</w:t>
              <w:br/>
              <w:t>ТОВ "КОРПОРАЦІЯ "ЗДОРОВ'Я",</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UA/2727/01/01 </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УРОЛЕСАН®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ялиці олія, м’яти перцевої олія, моркви дикої плодів екстракт рідкий Extractum fructuum Dauci sativi fluidum, хмелю шишок екстракт рідкий Extractum fructuum Strobili lupuli fluidum, материнки трави екстракт рідкий Extractum herbae Origani fluidum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in bulk: по 90 мл у банці; по 48 банок у коробах картонних; in bulk: по 180 мл у флаконі; по 30 флаконів у коробах картонних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UA/9518/01/01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УРСОФАЛЬК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ursodeoxycholic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урсодезоксихолева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A05AA02, A05B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250 мг/5 мл; по 250 мл у скляній пляшці; по 1 пляшці разом з 1 мірним стаканчиком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Фальк Фарма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серій кінцевого продукту:</w:t>
              <w:br/>
              <w:t>Др. Фальк Фарма ГмбХ, Німеччина;</w:t>
              <w:br/>
              <w:t>Виробник дозованої форми, первинне, вторинне пакування та контроль якості:</w:t>
              <w:br/>
              <w:t xml:space="preserve">Корден Фарма Фрібург АГ Цвайнідерлассунг Еттінген, Швейцарія; </w:t>
              <w:br/>
              <w:t>Лозан Фарма ГмбХ, Німеччина;</w:t>
              <w:br/>
              <w:t>Виробник, відповідальний за контроль якості:</w:t>
              <w:br/>
              <w:t>Біоекзам АГ, Швейцарія;</w:t>
              <w:br/>
              <w:t>Лозан Фарма ГмбХ, Німеччина;</w:t>
              <w:br/>
              <w:t>Приватний Науково-дослідний інститут Хеппелер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УРСОФАЛЬК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ursodeoxycholic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урсодезоксихолева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A05AA02, A05B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25 таблеток у блістері; по 1, 2, або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Фальк Фарма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серій кінцевого продукту: Др. Фальк Фарма ГмбХ, Німеччина; Виробник дозованої форми, первинне, вторинне пакування та контроль якості: Лозан Фарма ГмбХ, Німеччина; Виробник, відповідальний за первинне, вторинне пакування та контроль якості: Лозан Фарма ГмбХ, Німеччина; Виробник, відповідальний за контроль якості: Приватний науково-дослідний інститут Хеппелер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UA/3746/03/01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ФАБРАЗИМ®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agalsidase beta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агалсидаза бета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A16AB04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приготування концентрату (5 мг/мл) для розчину для інфузій; по 5 мг або по 35 мг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Б.В.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кінцевого продукту (fill/finish), контроль серії/випробування, первинна та вторинна упаковка, дозвіл на випуск серії:</w:t>
              <w:br/>
              <w:t>Джензайм Ірланд Лімітед, Ірландія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UA/10306/01/01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ФЕРВЕКС ДЛЯ ДОРОСЛИХ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кислота аскорбінова (вітамін С), феніраміну малеат</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8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UA/7741/01/01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ФЛАМІФІКС 200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цефіксиму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Cенс Лабораторіс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UA/11911/01/02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ФЛОКСАЛ®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очна 0,3 % по 3 г у ламінованій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UA/8528/02/01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ФЛОКСАЛ®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офлоксацин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0,3 %; по 5 мл у флаконі з крапельницею; по 1 флакону з крапельницею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ФЛОКСАНЕКСТ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3 мг/мл; по 10 мл у флаконі-крапельниці; по 1 флакону-крапельниці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БІОСАЙНС ГРУП ЛАБОРАТОРІЗ с.р.о.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готової продукції, контроль якості, первинне та вторинне пакування, випуск серії:</w:t>
              <w:br/>
              <w:t>ФАРМІГЕА С.П.А., Італiя;</w:t>
              <w:br/>
              <w:t>альтернативне вторинне пакування:</w:t>
              <w:br/>
              <w:t>Фарма Партнерс С.Р.Л., Італiя;</w:t>
              <w:br/>
              <w:t>місце стерилізації первинної упаковки (за допомогою гамма-випромінення):</w:t>
              <w:br/>
              <w:t>Стерігенікс Італія С.П.А., Італiя;</w:t>
              <w:br/>
              <w:t xml:space="preserve">додаткове вторинне пакування: </w:t>
              <w:br/>
              <w:t>ФАЛОРНІ С.Р.Л., Італія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ФЛОКСІУМ®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левофлоксацину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5 або по 10 таблеток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ФЛОРАЗІД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ceftazidime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цефтазидим (у формі цефтазидиму пентагідрату)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1 флакон з порошком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ФЛУДАРАБІН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fludarabine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флударабіну фосфат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ін'єкцій або інфузій, 25 мг/мл, по 2 мл (50 мг/2 мл) у флаконі; по 1 флакону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 о.о.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додаткове вторинне пакування:</w:t>
              <w:br/>
              <w:t>Аккорд Хелскеа Лімітед, Велика Британiя;</w:t>
              <w:br/>
              <w:t>випуск серії:</w:t>
              <w:br/>
              <w:t>Аккорд Хелскеа Полска Сп. з о.о. Склад Імпортера, Польща;</w:t>
              <w:br/>
              <w:t>контроль якості:</w:t>
              <w:br/>
              <w:t>Єврофінс Аналітікал Сервісез Хангері Кфт., Угорщина;</w:t>
              <w:br/>
              <w:t>виробництво лікарського засобу, первинне та вторинне пакування, контроль якості:</w:t>
              <w:br/>
              <w:t>Інтас Фармасьютікалc Лімітед, Індія;</w:t>
              <w:br/>
              <w:t>додаткове вторинне пакування:</w:t>
              <w:br/>
              <w:t xml:space="preserve">Лабораторі Фундасіо Дау, Іспанія; </w:t>
              <w:br/>
              <w:t>мікробіологічний контроль:</w:t>
              <w:br/>
              <w:t xml:space="preserve">Фармавалід Кфт., Угорщина; </w:t>
              <w:br/>
              <w:t>вторинне пакування:</w:t>
              <w:br/>
              <w:t>Аккорд Хелскеа Сінгл Мембер С.А., Греція;</w:t>
              <w:br/>
              <w:t>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Угорщина/ Індія/ Іспанія/ 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ФЛУКОНАЗОЛ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подвійних поліетиленових пакетах (зовнішній чорний)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Алівус Лайф Сайенсіз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ФОРКСІГА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dapagliflozin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дапагліфлозину пропандіолу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АСТРАЗЕНЕКА 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та випуск серії: АстраЗенека ЮК Лімітед, Велика Британія; Випробування лікарського засобу:</w:t>
              <w:br/>
              <w:t>АстраЗенека АБ, Швеція; Випробування лікарського засобу: АстраЗенека АБ, Швеція; Виробник нерозфасованого продукту:</w:t>
              <w:br/>
              <w:t xml:space="preserve">АстраЗенека Фармасьютикалс ЛП,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 xml:space="preserve">Велика Британія </w:t>
            </w:r>
            <w:r>
              <w:rPr>
                <w:rFonts w:cs="Arial" w:ascii="Arial" w:hAnsi="Arial"/>
                <w:color w:val="000000"/>
                <w:sz w:val="16"/>
                <w:szCs w:val="16"/>
                <w:lang w:val="en-US"/>
              </w:rPr>
              <w:t>/</w:t>
            </w:r>
            <w:r>
              <w:rPr>
                <w:rFonts w:cs="Arial" w:ascii="Arial" w:hAnsi="Arial"/>
                <w:color w:val="000000"/>
                <w:sz w:val="16"/>
                <w:szCs w:val="16"/>
              </w:rPr>
              <w:t>Швеція</w:t>
            </w:r>
            <w:r>
              <w:rPr>
                <w:rFonts w:cs="Arial" w:ascii="Arial" w:hAnsi="Arial"/>
                <w:color w:val="000000"/>
                <w:sz w:val="16"/>
                <w:szCs w:val="16"/>
                <w:lang w:val="en-US"/>
              </w:rPr>
              <w:t>/</w:t>
            </w:r>
            <w:r>
              <w:rPr>
                <w:rFonts w:cs="Arial" w:ascii="Arial" w:hAnsi="Arial"/>
                <w:color w:val="000000"/>
                <w:sz w:val="16"/>
                <w:szCs w:val="16"/>
              </w:rPr>
              <w:t xml:space="preserve">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ФОРКСІГА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dapagliflozin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дапагліфлозину пропандіолу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АСТРАЗЕНЕКА 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та випуск серії: АстраЗенека ЮК Лімітед, Велика Британія; Випробування лікарського засобу:</w:t>
              <w:br/>
              <w:t>АстраЗенека АБ, Швеція; Випробування лікарського засобу: АстраЗенека АБ, Швеція; Виробник нерозфасованого продукту:</w:t>
              <w:br/>
              <w:t xml:space="preserve">АстраЗенека Фармасьютикалс ЛП,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Велика Британія</w:t>
            </w:r>
            <w:r>
              <w:rPr>
                <w:rFonts w:cs="Arial" w:ascii="Arial" w:hAnsi="Arial"/>
                <w:color w:val="000000"/>
                <w:sz w:val="16"/>
                <w:szCs w:val="16"/>
                <w:lang w:val="en-US"/>
              </w:rPr>
              <w:t>/</w:t>
            </w:r>
            <w:r>
              <w:rPr>
                <w:rFonts w:cs="Arial" w:ascii="Arial" w:hAnsi="Arial"/>
                <w:color w:val="000000"/>
                <w:sz w:val="16"/>
                <w:szCs w:val="16"/>
              </w:rPr>
              <w:t xml:space="preserve"> Швеція</w:t>
            </w:r>
            <w:r>
              <w:rPr>
                <w:rFonts w:cs="Arial" w:ascii="Arial" w:hAnsi="Arial"/>
                <w:color w:val="000000"/>
                <w:sz w:val="16"/>
                <w:szCs w:val="16"/>
                <w:lang w:val="en-US"/>
              </w:rPr>
              <w:t>/</w:t>
            </w:r>
            <w:r>
              <w:rPr>
                <w:rFonts w:cs="Arial" w:ascii="Arial" w:hAnsi="Arial"/>
                <w:color w:val="000000"/>
                <w:sz w:val="16"/>
                <w:szCs w:val="16"/>
              </w:rPr>
              <w:t xml:space="preserve">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UA/13302/01/02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ФУЦИС®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5 мг/г по 30 г гелю у тубі; по 1 тубі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UA/7617/03/01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ФУЦИС®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5 мг/г in bulk: по 30 г гелю у тубі; по 144 туби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UA/19806/03/01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по 15 мл у контейнері зі скла або пластмаси; по 1 контейнеру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«Дослідний завод «ГНЦЛС», Україна (контроль якості, випуск серії); </w:t>
              <w:br/>
              <w:t>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в олії, 20 мг/мл, по 20 мл у флаконі; по 1 флакону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серії:</w:t>
              <w:br/>
              <w:t>Товариство з обмеженою відповідальністю "Дослідний завод "ГНЦЛС", Україна;</w:t>
              <w:b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окрім контролю якості та випуску серії:</w:t>
              <w:br/>
              <w:t>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в олії, 20 мг/мл, in bulk: по 50 л у бочках пластмасових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"Дослідний завод "ГНЦЛС", Україна</w:t>
              <w:b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окрім контролю якості та випуску серії:</w:t>
              <w:br/>
              <w:t>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UA/11848/02/01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ін’єкцій, спиртовий, 2,5 мг/мл по 2 мл в ампулах; по 10 ампул у пачці з картону; по 2 мл в ампулі; по 10 ампул у блістері; по 1 блістеру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серії: Товариство з обмеженою відповідальністю "Дослідний завод "ГНЦЛС", Україна;</w:t>
              <w:br/>
              <w:t>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25 мг; по 40 таблеток у контейнерах пластмасових; по 10 таблеток у блістері; по 2 блістери у пачці з картону; по 20 таблеток у блістері; по 1 блістеру у пачці з картону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 Товариство з обмеженою відповідальністю "Дослідний завод "ГНЦЛС", Україна</w:t>
              <w:br/>
              <w:t>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12,5 мг; по 10 таблеток у блістері; по 2 блістери у пачці з картону; по 20 таблеток у блістері; по 1 блістеру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 Товариство з обмеженою відповідальністю "Дослідний завод "ГНЦЛС", Україна</w:t>
              <w:br/>
              <w:t>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спиртовий, 10 мг/мл in bulk: по 50 л у бочках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"Дослідний завод "ГНЦЛС"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спиртовий, 10 мг/мл по 100 мл у флаконах; по 1 флакону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«КОРПОРАЦІЯ «ЗДОРОВ'Я», Україна</w:t>
              <w:br/>
              <w:t>контроль якості, випуск серії:</w:t>
              <w:br/>
              <w:t>Товариство з обмеженою відповідальністю "Дослідний завод "ГНЦЛС,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UA/1556/05/01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ХЛОРОФІЛІПТ®АРТЕРІУМ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екстракт з листя евкаліпту густий (extractum ex folii eucalypti spissum)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олійний, 20 мг/мл; по 25 мл або 30 мл у флаконі;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UA/4551/01/01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ЦЕТРОТІД® 0,25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cetrorelix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цетрорелікс (у вигляді цетрореліксу ацетату)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0,25 мг 1 флакон з порошком у комплекті з 1 попередньо заповненим шприцом з розчинником (вода для ін'єкцій) по 1 мл, 1 голкою для розчинення та 1 голкою для ін'єкцій у контурній чарунковій упаковці; по 7 контурних чарункових упаковок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нерозфасованої продукції, первинне пакування та контроль якості: </w:t>
              <w:br/>
              <w:t>Сімтра Дойчланд ГмбХ, Німеччина</w:t>
              <w:br/>
              <w:br/>
              <w:t>ФАРЕВА ПАУ 1, Франція</w:t>
              <w:br/>
              <w:br/>
              <w:t>виробник нерозфасованої продукції, первинне пакування та контроль якості (візуальний контроль):</w:t>
              <w:br/>
              <w:t>ФАРЕВА ПАУ 2, Франція</w:t>
              <w:br/>
              <w:br/>
              <w:t>вторинне пакування:</w:t>
              <w:br/>
              <w:t>Абботт Біолоджікалз Б.В., Нідерланди</w:t>
              <w:br/>
              <w:br/>
              <w:t>відповідальний за випуск серії:</w:t>
              <w:br/>
              <w:t xml:space="preserve">Мерк Хелскеа KГаА, Німеччина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Франція</w:t>
            </w:r>
            <w:r>
              <w:rPr>
                <w:rFonts w:cs="Arial" w:ascii="Arial" w:hAnsi="Arial"/>
                <w:color w:val="000000"/>
                <w:sz w:val="16"/>
                <w:szCs w:val="16"/>
                <w:lang w:val="en-US"/>
              </w:rPr>
              <w:t>/</w:t>
            </w:r>
            <w:r>
              <w:rPr>
                <w:rFonts w:cs="Arial" w:ascii="Arial" w:hAnsi="Arial"/>
                <w:color w:val="000000"/>
                <w:sz w:val="16"/>
                <w:szCs w:val="16"/>
              </w:rPr>
              <w:t xml:space="preserve"> Нідерланди</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цефазоліну натрієва сіль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0,5 г; 1 флакон з порошком в пачці; 5 флаконів з порошком в контурній чарунковій упаковці; по 1 контурній чарунковій упаковці в пачці; 1 флакон з порошком у комплекті з 1 ампулою розчинника (Вода для ін'єкцій-Дарниця) по 5 мл в контурній чарунковій упаковці; по 1 контурній чарунковій упаковці в пачці; 40 флаконів з порошком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цефазоліну натрієва сіль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1,0 г, 1 флакон з порошком в пачці; 5 флаконів з порошком в контурній чарунковій упаковці; по 1 контурній чарунковій упаковці в пачці; 1 флакон з порошком у комплекті з 1 ампулою розчинника (Вода для ін'єкцій-Дарниця) по 10 мл в контурній чарунковій упаковці; по 1 контурній чарунковій упаковці в пачці; 40 флаконів з порошком у коробці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UA/6216/01/02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ЦЕФАЛЕКСИН АЛКАЛОЇД®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cefalexin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цефалексин (у формі цефалексину моногідрату)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250 мг/5 мл (для 100 мл), по 65,4 г порошку у флаконі; по 1 флакону у комплекті з пластмасовою мірною ложкою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ЦЕФИНАК®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цефіксиму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Нектар Лайфсайнсіз Лімітед-Юніт VI</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UA/16758/01/01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ЦЕФИНАК®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цефіксиму тригідрат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Нектар Лайфсайнсіз Лімітед-Юніт VI</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UA/16758/01/02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ЦЕФОТРИН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cefepime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цефепіму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1 флакон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Ананта Медікеар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UA/12006/01/01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ЦИКЛОКС®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есциталопраму оксалат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або по 4 блістера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ЦИКЛОКС®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есциталопраму оксалат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або по 4 блістера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UA/19243/01/02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ЦИКЛОКС®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есциталопраму оксалат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in bulk: № 7560 (14х540) таблеток: 14 таблеток у блістері; по 540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ЦІАНОКОБАЛАМІН-ДАРНИЦЯ (ВІТАМІН В12-ДАРНИЦЯ)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cyanocobalamin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ціанокобаламін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0,5 мг/мл, по 1 мл в ампулі; по 5 ампул у контурній чарунковій упаковці; по 2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UA/3471/01/02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ЦІАНОКОБАЛАМІН-ДАРНИЦЯ (ВІТАМІН В12-ДАРНИЦЯ)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cyanocobalamin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ціанокобаламін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0,2 мг/мл, по 1 мл в ампулі; по 5 ампул у контурній чарунковій упаковці; по 2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"Фармацевтична фірма "Дарниця"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ЯРИНА®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1 таблетка оранжевого кольору містить етинілестрадіол, дроспіренон та левомефолат кальцію; 1 таблетка світло-оранжевого кольору містить левомефолат кальцію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 28: по 21 таблетці оранжевого кольору і по 7 таблеток світло-оранжевого кольору в блістері; по 1 блістеру в картонній пачці; №84: по 21 таблетці оранжевого кольору і по 7 таблеток світло-оранжевого кольору в блістері; по 3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дозвіл на випуск серії:</w:t>
              <w:br/>
              <w:t xml:space="preserve">Байєр АГ, Німеччина </w:t>
              <w:br/>
              <w:t>Виробництво нерозфасованої продукції:</w:t>
              <w:br/>
              <w:t>Байєр Ваймар ГмбХ і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UA/12155/01/01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4">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ind w:right="20" w:hanging="0"/>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eastAsia="Arial" w:cs="Arial" w:ascii="Arial" w:hAnsi="Arial"/>
                <w:color w:val="000000"/>
                <w:sz w:val="24"/>
                <w:szCs w:val="24"/>
              </w:rPr>
              <w:t xml:space="preserve"> </w:t>
            </w: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jc w:val="center"/>
              <w:rPr/>
            </w:pPr>
            <w:r>
              <w:rPr>
                <w:rStyle w:val="Cs7864ebcf1"/>
                <w:rFonts w:eastAsia="Arial" w:cs="Arial" w:ascii="Arial" w:hAnsi="Arial"/>
                <w:color w:val="000000"/>
                <w:sz w:val="24"/>
                <w:szCs w:val="24"/>
                <w:lang w:val="uk-UA"/>
              </w:rPr>
              <w:t xml:space="preserve">                                            </w:t>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pStyle w:val="Normal"/>
        <w:tabs>
          <w:tab w:val="left" w:pos="1985" w:leader="none"/>
        </w:tabs>
        <w:rPr>
          <w:rStyle w:val="Cs7864ebcf1"/>
          <w:rFonts w:ascii="Arial" w:hAnsi="Arial" w:cs="Arial"/>
          <w:color w:val="000000"/>
          <w:sz w:val="20"/>
          <w:szCs w:val="20"/>
          <w:lang w:val="uk-UA"/>
        </w:rPr>
      </w:pPr>
      <w:r>
        <w:br w:type="page"/>
      </w:r>
      <w:r>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spacing w:lineRule="auto" w:line="254"/>
              <w:jc w:val="both"/>
              <w:rPr>
                <w:rFonts w:cs="Arial"/>
                <w:sz w:val="18"/>
                <w:szCs w:val="18"/>
              </w:rPr>
            </w:pPr>
            <w:r>
              <w:rPr>
                <w:rFonts w:cs="Arial"/>
                <w:sz w:val="18"/>
                <w:szCs w:val="18"/>
              </w:rPr>
              <w:t>Додаток 4</w:t>
            </w:r>
          </w:p>
          <w:p>
            <w:pPr>
              <w:pStyle w:val="Heading4"/>
              <w:numPr>
                <w:ilvl w:val="3"/>
                <w:numId w:val="1"/>
              </w:numPr>
              <w:tabs>
                <w:tab w:val="left" w:pos="12600" w:leader="none"/>
              </w:tabs>
              <w:spacing w:lineRule="auto" w:line="254"/>
              <w:jc w:val="both"/>
              <w:rPr>
                <w:rFonts w:cs="Arial"/>
                <w:sz w:val="18"/>
                <w:szCs w:val="18"/>
              </w:rPr>
            </w:pPr>
            <w:r>
              <w:rPr>
                <w:rFonts w:cs="Arial"/>
                <w:sz w:val="18"/>
                <w:szCs w:val="18"/>
              </w:rPr>
              <w:t>до наказу Міністерства охорони</w:t>
            </w:r>
          </w:p>
          <w:p>
            <w:pPr>
              <w:pStyle w:val="Normal"/>
              <w:tabs>
                <w:tab w:val="left" w:pos="12600" w:leader="none"/>
              </w:tabs>
              <w:spacing w:lineRule="auto" w:line="254"/>
              <w:jc w:val="both"/>
              <w:rPr>
                <w:rFonts w:ascii="Arial" w:hAnsi="Arial" w:cs="Arial"/>
                <w:b/>
                <w:b/>
                <w:sz w:val="18"/>
                <w:szCs w:val="18"/>
                <w:lang w:eastAsia="en-US"/>
              </w:rPr>
            </w:pPr>
            <w:r>
              <w:rPr>
                <w:rFonts w:cs="Arial" w:ascii="Arial" w:hAnsi="Arial"/>
                <w:b/>
                <w:sz w:val="18"/>
                <w:szCs w:val="18"/>
                <w:lang w:eastAsia="en-US"/>
              </w:rPr>
              <w:t>здоров’я України</w:t>
            </w:r>
          </w:p>
          <w:p>
            <w:pPr>
              <w:pStyle w:val="Normal"/>
              <w:tabs>
                <w:tab w:val="left" w:pos="12600" w:leader="none"/>
              </w:tabs>
              <w:spacing w:lineRule="auto" w:line="254"/>
              <w:jc w:val="both"/>
              <w:rPr/>
            </w:pPr>
            <w:r>
              <w:rPr>
                <w:rFonts w:cs="Arial" w:ascii="Arial" w:hAnsi="Arial"/>
                <w:b/>
                <w:sz w:val="18"/>
                <w:szCs w:val="18"/>
                <w:lang w:eastAsia="en-US"/>
              </w:rPr>
              <w:t>від ________________</w:t>
            </w:r>
            <w:r>
              <w:rPr>
                <w:rFonts w:cs="Arial" w:ascii="Arial" w:hAnsi="Arial"/>
                <w:b/>
                <w:sz w:val="18"/>
                <w:szCs w:val="18"/>
                <w:lang w:val="en-US" w:eastAsia="en-US"/>
              </w:rPr>
              <w:t xml:space="preserve"> </w:t>
            </w:r>
            <w:r>
              <w:rPr>
                <w:rFonts w:cs="Arial" w:ascii="Arial" w:hAnsi="Arial"/>
                <w:b/>
                <w:sz w:val="18"/>
                <w:szCs w:val="18"/>
                <w:lang w:eastAsia="en-US"/>
              </w:rPr>
              <w:t xml:space="preserve"> № _____</w:t>
            </w:r>
          </w:p>
        </w:tc>
      </w:tr>
    </w:tbl>
    <w:p>
      <w:pPr>
        <w:pStyle w:val="Normal"/>
        <w:tabs>
          <w:tab w:val="left" w:pos="12600" w:leader="none"/>
        </w:tabs>
        <w:rPr>
          <w:rFonts w:ascii="Arial" w:hAnsi="Arial" w:cs="Arial"/>
          <w:sz w:val="18"/>
          <w:szCs w:val="18"/>
        </w:rPr>
      </w:pPr>
      <w:r>
        <w:rPr>
          <w:rFonts w:cs="Arial" w:ascii="Arial" w:hAnsi="Arial"/>
          <w:sz w:val="18"/>
          <w:szCs w:val="18"/>
        </w:rPr>
      </w:r>
    </w:p>
    <w:p>
      <w:pPr>
        <w:pStyle w:val="Normal"/>
        <w:jc w:val="center"/>
        <w:rPr>
          <w:rFonts w:ascii="Arial" w:hAnsi="Arial" w:cs="Arial"/>
          <w:b/>
          <w:b/>
          <w:sz w:val="22"/>
          <w:szCs w:val="22"/>
        </w:rPr>
      </w:pPr>
      <w:r>
        <w:rPr>
          <w:rFonts w:cs="Arial" w:ascii="Arial" w:hAnsi="Arial"/>
          <w:b/>
          <w:sz w:val="22"/>
          <w:szCs w:val="22"/>
        </w:rPr>
        <w:t>ПЕРЕЛІК</w:t>
      </w:r>
    </w:p>
    <w:p>
      <w:pPr>
        <w:pStyle w:val="Normal"/>
        <w:jc w:val="center"/>
        <w:rPr>
          <w:rFonts w:ascii="Arial" w:hAnsi="Arial" w:cs="Arial"/>
          <w:b/>
          <w:b/>
          <w:sz w:val="22"/>
          <w:szCs w:val="22"/>
        </w:rPr>
      </w:pPr>
      <w:r>
        <w:rPr>
          <w:rFonts w:cs="Arial" w:ascii="Arial" w:hAnsi="Arial"/>
          <w:b/>
          <w:sz w:val="22"/>
          <w:szCs w:val="22"/>
        </w:rPr>
        <w:t xml:space="preserve">ЛІКАРСЬКИХ ЗАСОБІВ, ЯКІ НЕ РЕКОМЕНДОВАНІ ДО ДЕРЖАВНОЇ РЕЄСТРАЦІЇ, ПЕРЕРЕЄСТРАЦІЇ ТА ВНЕСЕННЯ ЗМІН ДО РЕЄСТРАЦІЙНИХ МАТЕРІАЛІВ </w:t>
      </w:r>
    </w:p>
    <w:p>
      <w:pPr>
        <w:pStyle w:val="Normal"/>
        <w:jc w:val="center"/>
        <w:rPr>
          <w:rFonts w:ascii="Arial" w:hAnsi="Arial" w:cs="Arial"/>
          <w:b/>
          <w:b/>
          <w:sz w:val="20"/>
          <w:szCs w:val="20"/>
        </w:rPr>
      </w:pPr>
      <w:r>
        <w:rPr>
          <w:rFonts w:cs="Arial" w:ascii="Arial" w:hAnsi="Arial"/>
          <w:b/>
          <w:sz w:val="20"/>
          <w:szCs w:val="20"/>
        </w:rPr>
      </w:r>
    </w:p>
    <w:tbl>
      <w:tblPr>
        <w:tblW w:w="15345" w:type="dxa"/>
        <w:jc w:val="left"/>
        <w:tblInd w:w="8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47"/>
        <w:gridCol w:w="1601"/>
        <w:gridCol w:w="1871"/>
        <w:gridCol w:w="1418"/>
        <w:gridCol w:w="1530"/>
        <w:gridCol w:w="1559"/>
        <w:gridCol w:w="1276"/>
        <w:gridCol w:w="1985"/>
        <w:gridCol w:w="3553"/>
        <w:gridCol w:w="5"/>
      </w:tblGrid>
      <w:tr>
        <w:trPr>
          <w:tblHeader w:val="true"/>
        </w:trPr>
        <w:tc>
          <w:tcPr>
            <w:tcW w:w="547"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w:t>
            </w:r>
            <w:r>
              <w:rPr>
                <w:rFonts w:eastAsia="Arial" w:cs="Arial" w:ascii="Arial" w:hAnsi="Arial"/>
                <w:b/>
                <w:i/>
                <w:sz w:val="16"/>
                <w:szCs w:val="16"/>
                <w:lang w:eastAsia="en-US"/>
              </w:rPr>
              <w:t xml:space="preserve"> </w:t>
            </w:r>
            <w:r>
              <w:rPr>
                <w:rFonts w:cs="Arial" w:ascii="Arial" w:hAnsi="Arial"/>
                <w:b/>
                <w:i/>
                <w:sz w:val="16"/>
                <w:szCs w:val="16"/>
                <w:lang w:eastAsia="en-US"/>
              </w:rPr>
              <w:t>п/п</w:t>
            </w:r>
          </w:p>
        </w:tc>
        <w:tc>
          <w:tcPr>
            <w:tcW w:w="1601"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Назва лікарського засобу</w:t>
            </w:r>
          </w:p>
        </w:tc>
        <w:tc>
          <w:tcPr>
            <w:tcW w:w="1871"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Форма випуску</w:t>
            </w:r>
          </w:p>
        </w:tc>
        <w:tc>
          <w:tcPr>
            <w:tcW w:w="1418"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Заявник</w:t>
            </w:r>
          </w:p>
        </w:tc>
        <w:tc>
          <w:tcPr>
            <w:tcW w:w="1530"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Країна</w:t>
            </w:r>
          </w:p>
        </w:tc>
        <w:tc>
          <w:tcPr>
            <w:tcW w:w="1559"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Виробник</w:t>
            </w:r>
          </w:p>
        </w:tc>
        <w:tc>
          <w:tcPr>
            <w:tcW w:w="1276"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Країна</w:t>
            </w:r>
          </w:p>
        </w:tc>
        <w:tc>
          <w:tcPr>
            <w:tcW w:w="1985"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Підстава</w:t>
            </w:r>
          </w:p>
        </w:tc>
        <w:tc>
          <w:tcPr>
            <w:tcW w:w="3558"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Процедура</w:t>
            </w:r>
          </w:p>
        </w:tc>
      </w:tr>
      <w:tr>
        <w:trPr>
          <w:trHeight w:val="1413"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6"/>
              </w:numPr>
              <w:snapToGrid w:val="false"/>
              <w:spacing w:lineRule="auto" w:line="254"/>
              <w:rPr>
                <w:rFonts w:ascii="Arial" w:hAnsi="Arial" w:eastAsia="Calibri" w:cs="Arial"/>
                <w:b/>
                <w:b/>
                <w:i/>
                <w:i/>
                <w:sz w:val="16"/>
                <w:szCs w:val="16"/>
                <w:lang w:eastAsia="en-US"/>
              </w:rPr>
            </w:pPr>
            <w:r>
              <w:rPr>
                <w:rFonts w:eastAsia="Calibri" w:cs="Arial" w:ascii="Arial" w:hAnsi="Arial"/>
                <w:b/>
                <w:i/>
                <w:sz w:val="16"/>
                <w:szCs w:val="16"/>
                <w:lang w:eastAsia="en-US"/>
              </w:rPr>
            </w:r>
          </w:p>
        </w:tc>
        <w:tc>
          <w:tcPr>
            <w:tcW w:w="16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b/>
                <w:b/>
                <w:sz w:val="16"/>
                <w:szCs w:val="16"/>
                <w:lang w:eastAsia="en-US"/>
              </w:rPr>
            </w:pPr>
            <w:r>
              <w:rPr>
                <w:rFonts w:cs="Arial" w:ascii="Arial" w:hAnsi="Arial"/>
                <w:b/>
                <w:sz w:val="16"/>
                <w:szCs w:val="16"/>
                <w:lang w:eastAsia="en-US"/>
              </w:rPr>
              <w:t xml:space="preserve">АКНЕТРЕКС 10, АКНЕТРЕКС 20 </w:t>
            </w:r>
          </w:p>
        </w:tc>
        <w:tc>
          <w:tcPr>
            <w:tcW w:w="187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sz w:val="16"/>
                <w:szCs w:val="16"/>
                <w:lang w:eastAsia="en-US"/>
              </w:rPr>
            </w:pPr>
            <w:r>
              <w:rPr>
                <w:rFonts w:cs="Arial" w:ascii="Arial" w:hAnsi="Arial"/>
                <w:sz w:val="16"/>
                <w:szCs w:val="16"/>
                <w:lang w:eastAsia="en-US"/>
              </w:rPr>
              <w:t>капсули м'які по 10 мг; по 20 мг; по 10 капсул у блістері, по 3 блістери в картонній коробці</w:t>
            </w:r>
          </w:p>
          <w:p>
            <w:pPr>
              <w:pStyle w:val="Normal"/>
              <w:spacing w:lineRule="auto" w:line="254"/>
              <w:rPr>
                <w:rFonts w:ascii="Arial" w:hAnsi="Arial" w:cs="Arial"/>
                <w:sz w:val="16"/>
                <w:szCs w:val="16"/>
                <w:lang w:eastAsia="en-US"/>
              </w:rPr>
            </w:pPr>
            <w:r>
              <w:rPr>
                <w:rFonts w:cs="Arial" w:ascii="Arial" w:hAnsi="Arial"/>
                <w:sz w:val="16"/>
                <w:szCs w:val="16"/>
                <w:lang w:eastAsia="en-US"/>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jc w:val="center"/>
              <w:rPr>
                <w:rFonts w:ascii="Arial" w:hAnsi="Arial" w:cs="Arial"/>
                <w:sz w:val="16"/>
                <w:szCs w:val="16"/>
                <w:lang w:eastAsia="en-US"/>
              </w:rPr>
            </w:pPr>
            <w:r>
              <w:rPr>
                <w:rFonts w:cs="Arial" w:ascii="Arial" w:hAnsi="Arial"/>
                <w:sz w:val="16"/>
                <w:szCs w:val="16"/>
                <w:lang w:eastAsia="en-US"/>
              </w:rPr>
              <w:t>МЕГА ЛАЙФСАЙЕНСІЗ Паблік Компані Лімітед</w:t>
            </w:r>
          </w:p>
          <w:p>
            <w:pPr>
              <w:pStyle w:val="Normal"/>
              <w:spacing w:lineRule="auto" w:line="254"/>
              <w:jc w:val="center"/>
              <w:rPr>
                <w:rFonts w:ascii="Arial" w:hAnsi="Arial" w:cs="Arial"/>
                <w:sz w:val="16"/>
                <w:szCs w:val="16"/>
                <w:lang w:eastAsia="en-US"/>
              </w:rPr>
            </w:pPr>
            <w:r>
              <w:rPr>
                <w:rFonts w:cs="Arial" w:ascii="Arial" w:hAnsi="Arial"/>
                <w:sz w:val="16"/>
                <w:szCs w:val="16"/>
                <w:lang w:eastAsia="en-US"/>
              </w:rPr>
            </w:r>
          </w:p>
        </w:tc>
        <w:tc>
          <w:tcPr>
            <w:tcW w:w="153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jc w:val="center"/>
              <w:rPr>
                <w:rFonts w:ascii="Arial" w:hAnsi="Arial" w:cs="Arial"/>
                <w:sz w:val="16"/>
                <w:szCs w:val="16"/>
                <w:lang w:eastAsia="en-US"/>
              </w:rPr>
            </w:pPr>
            <w:r>
              <w:rPr>
                <w:rFonts w:cs="Arial" w:ascii="Arial" w:hAnsi="Arial"/>
                <w:sz w:val="16"/>
                <w:szCs w:val="16"/>
                <w:lang w:eastAsia="en-US"/>
              </w:rPr>
              <w:t>Таїланд</w:t>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410"/>
              <w:spacing w:lineRule="auto" w:line="254"/>
              <w:ind w:hanging="0"/>
              <w:jc w:val="center"/>
              <w:rPr>
                <w:rFonts w:cs="Arial"/>
                <w:b w:val="false"/>
                <w:b w:val="false"/>
                <w:iCs/>
                <w:sz w:val="16"/>
                <w:szCs w:val="16"/>
                <w:lang w:val="uk-UA"/>
              </w:rPr>
            </w:pPr>
            <w:r>
              <w:rPr>
                <w:rFonts w:cs="Arial"/>
                <w:b w:val="false"/>
                <w:sz w:val="16"/>
                <w:szCs w:val="16"/>
                <w:lang w:val="uk-UA"/>
              </w:rPr>
              <w:t>Мега Лайфсайенсіз Паблік Компані Лімітед</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54" w:before="0" w:after="120"/>
              <w:rPr>
                <w:rFonts w:ascii="Arial" w:hAnsi="Arial" w:cs="Arial"/>
                <w:sz w:val="16"/>
                <w:szCs w:val="16"/>
                <w:lang w:val="uk-UA" w:eastAsia="en-US"/>
              </w:rPr>
            </w:pPr>
            <w:r>
              <w:rPr>
                <w:rFonts w:cs="Arial" w:ascii="Arial" w:hAnsi="Arial"/>
                <w:sz w:val="16"/>
                <w:szCs w:val="16"/>
                <w:lang w:eastAsia="en-US"/>
              </w:rPr>
              <w:t>Таїланд</w:t>
            </w:r>
          </w:p>
        </w:tc>
        <w:tc>
          <w:tcPr>
            <w:tcW w:w="198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410"/>
              <w:spacing w:lineRule="auto" w:line="254"/>
              <w:ind w:hanging="0"/>
              <w:jc w:val="left"/>
              <w:rPr>
                <w:rFonts w:cs="Arial"/>
                <w:b w:val="false"/>
                <w:b w:val="false"/>
                <w:iCs/>
                <w:sz w:val="16"/>
                <w:szCs w:val="16"/>
              </w:rPr>
            </w:pPr>
            <w:r>
              <w:rPr>
                <w:rFonts w:cs="Arial"/>
                <w:b w:val="false"/>
                <w:iCs/>
                <w:sz w:val="16"/>
                <w:szCs w:val="16"/>
              </w:rPr>
              <w:t>засідання НТР № 38 від 24.09.2026</w:t>
            </w:r>
          </w:p>
        </w:tc>
        <w:tc>
          <w:tcPr>
            <w:tcW w:w="35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54" w:before="0" w:after="120"/>
              <w:ind w:left="0" w:hanging="0"/>
              <w:jc w:val="both"/>
              <w:rPr>
                <w:rFonts w:ascii="Arial" w:hAnsi="Arial" w:cs="Arial"/>
                <w:b/>
                <w:b/>
                <w:sz w:val="16"/>
                <w:szCs w:val="16"/>
                <w:lang w:eastAsia="en-US"/>
              </w:rPr>
            </w:pPr>
            <w:r>
              <w:rPr>
                <w:rFonts w:cs="Arial" w:ascii="Arial" w:hAnsi="Arial"/>
                <w:b/>
                <w:sz w:val="16"/>
                <w:szCs w:val="16"/>
                <w:lang w:eastAsia="en-US"/>
              </w:rPr>
              <w:t xml:space="preserve">не рекомендувати до затвердження - </w:t>
            </w:r>
            <w:r>
              <w:rPr>
                <w:rFonts w:cs="Arial" w:ascii="Arial" w:hAnsi="Arial"/>
                <w:sz w:val="16"/>
                <w:szCs w:val="16"/>
                <w:lang w:eastAsia="en-US"/>
              </w:rPr>
              <w:t xml:space="preserve">зміни І типу </w:t>
            </w:r>
          </w:p>
        </w:tc>
      </w:tr>
      <w:tr>
        <w:trPr>
          <w:trHeight w:val="31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b/>
                <w:b/>
                <w:sz w:val="16"/>
                <w:szCs w:val="16"/>
                <w:lang w:eastAsia="en-US"/>
              </w:rPr>
            </w:pPr>
            <w:r>
              <w:rPr>
                <w:rFonts w:cs="Arial" w:ascii="Arial" w:hAnsi="Arial"/>
                <w:b/>
                <w:sz w:val="16"/>
                <w:szCs w:val="16"/>
                <w:lang w:eastAsia="en-US"/>
              </w:rPr>
              <w:t>2.</w:t>
            </w:r>
          </w:p>
          <w:p>
            <w:pPr>
              <w:pStyle w:val="Normal"/>
              <w:spacing w:lineRule="auto" w:line="254"/>
              <w:rPr>
                <w:rFonts w:ascii="Arial" w:hAnsi="Arial" w:cs="Arial"/>
                <w:b/>
                <w:b/>
                <w:sz w:val="16"/>
                <w:szCs w:val="16"/>
                <w:lang w:eastAsia="en-US"/>
              </w:rPr>
            </w:pPr>
            <w:r>
              <w:rPr>
                <w:rFonts w:cs="Arial" w:ascii="Arial" w:hAnsi="Arial"/>
                <w:b/>
                <w:sz w:val="16"/>
                <w:szCs w:val="16"/>
                <w:lang w:eastAsia="en-US"/>
              </w:rPr>
            </w:r>
          </w:p>
        </w:tc>
        <w:tc>
          <w:tcPr>
            <w:tcW w:w="16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b/>
                <w:b/>
                <w:sz w:val="16"/>
                <w:szCs w:val="16"/>
                <w:lang w:eastAsia="en-US"/>
              </w:rPr>
            </w:pPr>
            <w:r>
              <w:rPr>
                <w:rFonts w:cs="Arial" w:ascii="Arial" w:hAnsi="Arial"/>
                <w:b/>
                <w:sz w:val="16"/>
                <w:szCs w:val="16"/>
                <w:lang w:eastAsia="en-US"/>
              </w:rPr>
              <w:t xml:space="preserve">ФЛОКСАНЕКСТ </w:t>
            </w:r>
          </w:p>
        </w:tc>
        <w:tc>
          <w:tcPr>
            <w:tcW w:w="187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sz w:val="16"/>
                <w:szCs w:val="16"/>
                <w:lang w:eastAsia="en-US"/>
              </w:rPr>
            </w:pPr>
            <w:r>
              <w:rPr>
                <w:rFonts w:cs="Arial" w:ascii="Arial" w:hAnsi="Arial"/>
                <w:sz w:val="16"/>
                <w:szCs w:val="16"/>
                <w:lang w:eastAsia="en-US"/>
              </w:rPr>
              <w:t>краплі очні, розчин, 3 мг/мл; по 10 мл у флаконі-крапельниці; по 1 флакону-крапельниці в пачці</w:t>
            </w:r>
          </w:p>
          <w:p>
            <w:pPr>
              <w:pStyle w:val="Normal"/>
              <w:spacing w:lineRule="auto" w:line="254"/>
              <w:rPr>
                <w:rFonts w:ascii="Arial" w:hAnsi="Arial" w:cs="Arial"/>
                <w:sz w:val="16"/>
                <w:szCs w:val="16"/>
                <w:lang w:eastAsia="en-US"/>
              </w:rPr>
            </w:pPr>
            <w:r>
              <w:rPr>
                <w:rFonts w:cs="Arial" w:ascii="Arial" w:hAnsi="Arial"/>
                <w:sz w:val="16"/>
                <w:szCs w:val="16"/>
                <w:lang w:eastAsia="en-US"/>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jc w:val="center"/>
              <w:rPr>
                <w:rFonts w:ascii="Arial" w:hAnsi="Arial" w:cs="Arial"/>
                <w:sz w:val="16"/>
                <w:szCs w:val="16"/>
                <w:lang w:eastAsia="en-US"/>
              </w:rPr>
            </w:pPr>
            <w:r>
              <w:rPr>
                <w:rFonts w:cs="Arial" w:ascii="Arial" w:hAnsi="Arial"/>
                <w:sz w:val="16"/>
                <w:szCs w:val="16"/>
                <w:lang w:eastAsia="en-US"/>
              </w:rPr>
              <w:t>БІОСАЙНС ГРУП ЛАБОРАТОРІЗ с.р.о.</w:t>
            </w:r>
          </w:p>
          <w:p>
            <w:pPr>
              <w:pStyle w:val="Normal"/>
              <w:spacing w:lineRule="auto" w:line="254"/>
              <w:jc w:val="center"/>
              <w:rPr>
                <w:rFonts w:ascii="Arial" w:hAnsi="Arial" w:cs="Arial"/>
                <w:sz w:val="16"/>
                <w:szCs w:val="16"/>
                <w:lang w:eastAsia="en-US"/>
              </w:rPr>
            </w:pPr>
            <w:r>
              <w:rPr>
                <w:rFonts w:cs="Arial" w:ascii="Arial" w:hAnsi="Arial"/>
                <w:sz w:val="16"/>
                <w:szCs w:val="16"/>
                <w:lang w:eastAsia="en-US"/>
              </w:rPr>
            </w:r>
          </w:p>
        </w:tc>
        <w:tc>
          <w:tcPr>
            <w:tcW w:w="153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jc w:val="center"/>
              <w:rPr>
                <w:rFonts w:ascii="Arial" w:hAnsi="Arial" w:cs="Arial"/>
                <w:sz w:val="16"/>
                <w:szCs w:val="16"/>
                <w:lang w:eastAsia="en-US"/>
              </w:rPr>
            </w:pPr>
            <w:r>
              <w:rPr>
                <w:rFonts w:cs="Arial" w:ascii="Arial" w:hAnsi="Arial"/>
                <w:sz w:val="16"/>
                <w:szCs w:val="16"/>
                <w:lang w:eastAsia="en-US"/>
              </w:rPr>
              <w:t>Словацька Республіка</w:t>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410"/>
              <w:spacing w:lineRule="auto" w:line="254"/>
              <w:ind w:hanging="0"/>
              <w:jc w:val="center"/>
              <w:rPr>
                <w:rFonts w:cs="Arial"/>
                <w:b w:val="false"/>
                <w:b w:val="false"/>
                <w:iCs/>
                <w:sz w:val="16"/>
                <w:szCs w:val="16"/>
                <w:lang w:val="uk-UA"/>
              </w:rPr>
            </w:pPr>
            <w:r>
              <w:rPr>
                <w:rFonts w:cs="Arial"/>
                <w:b w:val="false"/>
                <w:sz w:val="16"/>
                <w:szCs w:val="16"/>
                <w:lang w:val="uk-UA"/>
              </w:rPr>
              <w:t>Стерігенікс Італія С.П.А., Італ</w:t>
            </w:r>
            <w:r>
              <w:rPr>
                <w:rFonts w:cs="Arial"/>
                <w:b w:val="false"/>
                <w:sz w:val="16"/>
                <w:szCs w:val="16"/>
              </w:rPr>
              <w:t>i</w:t>
            </w:r>
            <w:r>
              <w:rPr>
                <w:rFonts w:cs="Arial"/>
                <w:b w:val="false"/>
                <w:sz w:val="16"/>
                <w:szCs w:val="16"/>
                <w:lang w:val="uk-UA"/>
              </w:rPr>
              <w:t>я (місце стерилізації первинної упаковки (за допомогою гамма-випромінення)); ФАЛОРНІ С.Р.Л., Італ</w:t>
            </w:r>
            <w:r>
              <w:rPr>
                <w:rFonts w:cs="Arial"/>
                <w:b w:val="false"/>
                <w:sz w:val="16"/>
                <w:szCs w:val="16"/>
              </w:rPr>
              <w:t>i</w:t>
            </w:r>
            <w:r>
              <w:rPr>
                <w:rFonts w:cs="Arial"/>
                <w:b w:val="false"/>
                <w:sz w:val="16"/>
                <w:szCs w:val="16"/>
                <w:lang w:val="uk-UA"/>
              </w:rPr>
              <w:t>я (додаткове вторинне пакування ); Фарма Партнерс С.Р.Л., Італ</w:t>
            </w:r>
            <w:r>
              <w:rPr>
                <w:rFonts w:cs="Arial"/>
                <w:b w:val="false"/>
                <w:sz w:val="16"/>
                <w:szCs w:val="16"/>
              </w:rPr>
              <w:t>i</w:t>
            </w:r>
            <w:r>
              <w:rPr>
                <w:rFonts w:cs="Arial"/>
                <w:b w:val="false"/>
                <w:sz w:val="16"/>
                <w:szCs w:val="16"/>
                <w:lang w:val="uk-UA"/>
              </w:rPr>
              <w:t>я (альтернативне вторинне пакування); ФАРМІГЕА С.П.А., Італ</w:t>
            </w:r>
            <w:r>
              <w:rPr>
                <w:rFonts w:cs="Arial"/>
                <w:b w:val="false"/>
                <w:sz w:val="16"/>
                <w:szCs w:val="16"/>
              </w:rPr>
              <w:t>i</w:t>
            </w:r>
            <w:r>
              <w:rPr>
                <w:rFonts w:cs="Arial"/>
                <w:b w:val="false"/>
                <w:sz w:val="16"/>
                <w:szCs w:val="16"/>
                <w:lang w:val="uk-UA"/>
              </w:rPr>
              <w:t>я (виробництво готової продукції, контроль якості, первинне та вторинне пакування, випуск серії)</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54" w:before="0" w:after="120"/>
              <w:rPr>
                <w:rFonts w:ascii="Arial" w:hAnsi="Arial" w:cs="Arial"/>
                <w:sz w:val="16"/>
                <w:szCs w:val="16"/>
                <w:lang w:val="uk-UA" w:eastAsia="en-US"/>
              </w:rPr>
            </w:pPr>
            <w:r>
              <w:rPr>
                <w:rFonts w:cs="Arial" w:ascii="Arial" w:hAnsi="Arial"/>
                <w:sz w:val="16"/>
                <w:szCs w:val="16"/>
                <w:lang w:eastAsia="en-US"/>
              </w:rPr>
              <w:t>Італiя</w:t>
            </w:r>
          </w:p>
        </w:tc>
        <w:tc>
          <w:tcPr>
            <w:tcW w:w="198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410"/>
              <w:spacing w:lineRule="auto" w:line="254"/>
              <w:ind w:hanging="0"/>
              <w:jc w:val="left"/>
              <w:rPr>
                <w:rFonts w:cs="Arial"/>
                <w:b w:val="false"/>
                <w:b w:val="false"/>
                <w:iCs/>
                <w:sz w:val="16"/>
                <w:szCs w:val="16"/>
              </w:rPr>
            </w:pPr>
            <w:r>
              <w:rPr>
                <w:rFonts w:cs="Arial"/>
                <w:b w:val="false"/>
                <w:iCs/>
                <w:sz w:val="16"/>
                <w:szCs w:val="16"/>
              </w:rPr>
              <w:t>засідання НТР № 38 від 24.09.2026</w:t>
            </w:r>
          </w:p>
        </w:tc>
        <w:tc>
          <w:tcPr>
            <w:tcW w:w="35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54"/>
              <w:ind w:left="2" w:hanging="0"/>
              <w:jc w:val="both"/>
              <w:rPr>
                <w:rFonts w:ascii="Arial" w:hAnsi="Arial" w:cs="Arial"/>
                <w:sz w:val="16"/>
                <w:szCs w:val="16"/>
                <w:lang w:eastAsia="en-US"/>
              </w:rPr>
            </w:pPr>
            <w:r>
              <w:rPr>
                <w:rFonts w:cs="Arial" w:ascii="Arial" w:hAnsi="Arial"/>
                <w:b/>
                <w:sz w:val="16"/>
                <w:szCs w:val="16"/>
                <w:lang w:eastAsia="en-US"/>
              </w:rPr>
              <w:t xml:space="preserve">не рекомендувати до затвердження - </w:t>
            </w:r>
            <w:r>
              <w:rPr>
                <w:rFonts w:cs="Arial" w:ascii="Arial" w:hAnsi="Arial"/>
                <w:sz w:val="16"/>
                <w:szCs w:val="16"/>
                <w:lang w:eastAsia="en-US"/>
              </w:rPr>
              <w:t xml:space="preserve">зміни І типу </w:t>
            </w:r>
          </w:p>
          <w:p>
            <w:pPr>
              <w:pStyle w:val="TextBodyIndent"/>
              <w:spacing w:lineRule="auto" w:line="254" w:before="0" w:after="120"/>
              <w:ind w:left="2" w:hanging="0"/>
              <w:jc w:val="both"/>
              <w:rPr>
                <w:rFonts w:ascii="Arial" w:hAnsi="Arial" w:cs="Arial"/>
                <w:b/>
                <w:b/>
                <w:sz w:val="16"/>
                <w:szCs w:val="16"/>
                <w:lang w:eastAsia="en-US"/>
              </w:rPr>
            </w:pPr>
            <w:r>
              <w:rPr>
                <w:rFonts w:cs="Arial" w:ascii="Arial" w:hAnsi="Arial"/>
                <w:b/>
                <w:sz w:val="16"/>
                <w:szCs w:val="16"/>
                <w:lang w:eastAsia="en-US"/>
              </w:rPr>
            </w:r>
          </w:p>
        </w:tc>
      </w:tr>
    </w:tbl>
    <w:p>
      <w:pPr>
        <w:pStyle w:val="Normal"/>
        <w:rPr/>
      </w:pPr>
      <w:r>
        <w:rPr/>
      </w:r>
    </w:p>
    <w:p>
      <w:pPr>
        <w:pStyle w:val="Normal"/>
        <w:rPr/>
      </w:pPr>
      <w:r>
        <w:rPr/>
      </w:r>
    </w:p>
    <w:p>
      <w:pPr>
        <w:pStyle w:val="Normal"/>
        <w:rPr/>
      </w:pPr>
      <w:r>
        <w:rPr/>
      </w:r>
    </w:p>
    <w:tbl>
      <w:tblPr>
        <w:tblW w:w="14627" w:type="dxa"/>
        <w:jc w:val="left"/>
        <w:tblInd w:w="0" w:type="dxa"/>
        <w:tblBorders/>
        <w:tblCellMar>
          <w:top w:w="0" w:type="dxa"/>
          <w:left w:w="108" w:type="dxa"/>
          <w:bottom w:w="0" w:type="dxa"/>
          <w:right w:w="108" w:type="dxa"/>
        </w:tblCellMar>
      </w:tblPr>
      <w:tblGrid>
        <w:gridCol w:w="7343"/>
        <w:gridCol w:w="7284"/>
      </w:tblGrid>
      <w:tr>
        <w:trPr/>
        <w:tc>
          <w:tcPr>
            <w:tcW w:w="7343" w:type="dxa"/>
            <w:tcBorders/>
            <w:shd w:fill="auto" w:val="clear"/>
          </w:tcPr>
          <w:p>
            <w:pPr>
              <w:pStyle w:val="Normal"/>
              <w:spacing w:lineRule="auto" w:line="252"/>
              <w:ind w:right="20" w:hanging="0"/>
              <w:rPr>
                <w:rStyle w:val="Cs95e872d01"/>
                <w:rFonts w:ascii="Arial" w:hAnsi="Arial" w:cs="Arial"/>
              </w:rPr>
            </w:pPr>
            <w:r>
              <w:rPr>
                <w:rStyle w:val="Cs7864ebcf1"/>
                <w:rFonts w:eastAsia="Arial" w:cs="Arial" w:ascii="Arial" w:hAnsi="Arial"/>
                <w:sz w:val="28"/>
                <w:szCs w:val="28"/>
                <w:lang w:eastAsia="en-US"/>
              </w:rPr>
              <w:t xml:space="preserve"> </w:t>
            </w:r>
            <w:r>
              <w:rPr>
                <w:rStyle w:val="Cs7864ebcf1"/>
                <w:rFonts w:cs="Arial" w:ascii="Arial" w:hAnsi="Arial"/>
                <w:sz w:val="28"/>
                <w:szCs w:val="28"/>
                <w:lang w:eastAsia="en-US"/>
              </w:rPr>
              <w:t>Начальник</w:t>
            </w:r>
          </w:p>
          <w:p>
            <w:pPr>
              <w:pStyle w:val="Normal"/>
              <w:spacing w:lineRule="auto" w:line="252"/>
              <w:ind w:right="20" w:hanging="0"/>
              <w:rPr>
                <w:rStyle w:val="Cs7864ebcf1"/>
                <w:rFonts w:ascii="Arial" w:hAnsi="Arial" w:cs="Arial"/>
                <w:sz w:val="28"/>
                <w:szCs w:val="28"/>
              </w:rPr>
            </w:pPr>
            <w:r>
              <w:rPr>
                <w:rStyle w:val="Cs7864ebcf1"/>
                <w:rFonts w:eastAsia="Arial" w:cs="Arial" w:ascii="Arial" w:hAnsi="Arial"/>
                <w:sz w:val="28"/>
                <w:szCs w:val="28"/>
                <w:lang w:eastAsia="en-US"/>
              </w:rPr>
              <w:t xml:space="preserve"> </w:t>
            </w:r>
            <w:r>
              <w:rPr>
                <w:rStyle w:val="Cs7864ebcf1"/>
                <w:rFonts w:cs="Arial" w:ascii="Arial" w:hAnsi="Arial"/>
                <w:sz w:val="28"/>
                <w:szCs w:val="28"/>
                <w:lang w:eastAsia="en-US"/>
              </w:rPr>
              <w:t xml:space="preserve">Фармацевтичного управління </w:t>
            </w:r>
            <w:r>
              <w:rPr>
                <w:rStyle w:val="Cs188c92b51"/>
                <w:rFonts w:cs="Arial" w:ascii="Arial" w:hAnsi="Arial"/>
                <w:sz w:val="28"/>
                <w:szCs w:val="28"/>
                <w:lang w:eastAsia="en-US"/>
              </w:rPr>
              <w:t>                                 </w:t>
            </w:r>
          </w:p>
        </w:tc>
        <w:tc>
          <w:tcPr>
            <w:tcW w:w="7284" w:type="dxa"/>
            <w:tcBorders/>
            <w:shd w:fill="auto" w:val="clear"/>
          </w:tcPr>
          <w:p>
            <w:pPr>
              <w:pStyle w:val="Cs95e872d0"/>
              <w:snapToGrid w:val="false"/>
              <w:spacing w:lineRule="auto" w:line="252"/>
              <w:rPr>
                <w:rStyle w:val="Cs7864ebcf1"/>
                <w:rFonts w:ascii="Arial" w:hAnsi="Arial" w:cs="Arial"/>
                <w:sz w:val="28"/>
                <w:szCs w:val="28"/>
                <w:lang w:val="uk-UA"/>
              </w:rPr>
            </w:pPr>
            <w:r>
              <w:rPr/>
            </w:r>
          </w:p>
          <w:p>
            <w:pPr>
              <w:pStyle w:val="Cs95e872d0"/>
              <w:spacing w:lineRule="auto" w:line="252"/>
              <w:jc w:val="center"/>
              <w:rPr/>
            </w:pPr>
            <w:r>
              <w:rPr>
                <w:rStyle w:val="Cs7864ebcf1"/>
                <w:rFonts w:eastAsia="Arial" w:cs="Arial" w:ascii="Arial" w:hAnsi="Arial"/>
                <w:sz w:val="28"/>
                <w:szCs w:val="28"/>
                <w:lang w:val="uk-UA"/>
              </w:rPr>
              <w:t xml:space="preserve">                                             </w:t>
            </w:r>
            <w:r>
              <w:rPr>
                <w:rStyle w:val="Cs7864ebcf1"/>
                <w:rFonts w:cs="Arial" w:ascii="Arial" w:hAnsi="Arial"/>
                <w:sz w:val="28"/>
                <w:szCs w:val="28"/>
                <w:lang w:val="uk-UA"/>
              </w:rPr>
              <w:t xml:space="preserve">Олександр ГРІЦЕНКО  </w:t>
            </w:r>
          </w:p>
        </w:tc>
      </w:tr>
    </w:tbl>
    <w:p>
      <w:pPr>
        <w:pStyle w:val="11"/>
        <w:rPr>
          <w:rStyle w:val="Cs7864ebcf1"/>
          <w:rFonts w:ascii="Arial" w:hAnsi="Arial" w:eastAsia="Calibri" w:cs="Arial"/>
          <w:sz w:val="28"/>
          <w:szCs w:val="28"/>
          <w:lang w:val="uk-UA"/>
        </w:rPr>
      </w:pPr>
      <w:r>
        <w:rPr/>
      </w:r>
    </w:p>
    <w:p>
      <w:pPr>
        <w:pStyle w:val="11"/>
        <w:rPr>
          <w:rStyle w:val="Cs7864ebcf1"/>
          <w:rFonts w:ascii="Arial" w:hAnsi="Arial" w:cs="Arial"/>
          <w:color w:val="000000"/>
          <w:sz w:val="16"/>
          <w:szCs w:val="16"/>
        </w:rPr>
      </w:pPr>
      <w:r>
        <w:rPr>
          <w:rFonts w:cs="Arial" w:ascii="Arial" w:hAnsi="Arial"/>
        </w:rPr>
      </w:r>
    </w:p>
    <w:sectPr>
      <w:headerReference w:type="default" r:id="rId5"/>
      <w:headerReference w:type="first" r:id="rId6"/>
      <w:type w:val="nextPage"/>
      <w:pgSz w:orient="landscape" w:w="16838" w:h="11906"/>
      <w:pgMar w:left="1077" w:right="1134" w:header="709" w:top="907" w:footer="0" w:bottom="90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Light">
    <w:charset w:val="cc"/>
    <w:family w:val="swiss"/>
    <w:pitch w:val="variable"/>
  </w:font>
  <w:font w:name="Cambria">
    <w:charset w:val="cc"/>
    <w:family w:val="roman"/>
    <w:pitch w:val="variable"/>
  </w:font>
  <w:font w:name="Tahoma">
    <w:charset w:val="cc"/>
    <w:family w:val="swiss"/>
    <w:pitch w:val="variable"/>
  </w:font>
  <w:font w:name="Segoe UI">
    <w:charset w:val="cc"/>
    <w:family w:val="swiss"/>
    <w:pitch w:val="variable"/>
  </w:font>
  <w:font w:name="Microsoft YaHei">
    <w:charset w:val="86"/>
    <w:family w:val="swiss"/>
    <w:pitch w:val="variable"/>
  </w:font>
  <w:font w:name="Calibri">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6</w:t>
    </w:r>
    <w: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left"/>
      <w:pPr>
        <w:tabs>
          <w:tab w:val="num" w:pos="360"/>
        </w:tabs>
        <w:ind w:left="360" w:hanging="360"/>
      </w:pPr>
      <w:rPr/>
    </w:lvl>
  </w:abstractNum>
  <w:abstractNum w:abstractNumId="4">
    <w:lvl w:ilvl="0">
      <w:start w:val="1"/>
      <w:numFmt w:val="decimal"/>
      <w:lvlText w:val="%1."/>
      <w:lvlJc w:val="right"/>
      <w:pPr>
        <w:ind w:left="720" w:hanging="360"/>
      </w:pPr>
      <w:rPr/>
    </w:lvl>
  </w:abstractNum>
  <w:abstractNum w:abstractNumId="5">
    <w:lvl w:ilvl="0">
      <w:start w:val="1"/>
      <w:numFmt w:val="decimal"/>
      <w:lvlText w:val="%1."/>
      <w:lvlJc w:val="right"/>
      <w:pPr>
        <w:ind w:left="720" w:hanging="360"/>
      </w:pPr>
      <w:rPr/>
    </w:lvl>
  </w:abstractNum>
  <w:abstractNum w:abstractNumId="6">
    <w:lvl w:ilvl="0">
      <w:start w:val="1"/>
      <w:numFmt w:val="decimal"/>
      <w:lvlText w:val="%1."/>
      <w:lvlJc w:val="left"/>
      <w:pPr>
        <w:tabs>
          <w:tab w:val="num" w:pos="360"/>
        </w:tabs>
        <w:ind w:left="360" w:hanging="360"/>
      </w:pPr>
      <w:rPr/>
    </w:lvl>
    <w:lvl w:ilvl="1">
      <w:start w:val="1"/>
      <w:numFmt w:val="lowerLetter"/>
      <w:lvlText w:val="%2."/>
      <w:lvlJc w:val="left"/>
      <w:pPr>
        <w:tabs>
          <w:tab w:val="num" w:pos="1080"/>
        </w:tabs>
        <w:ind w:left="1080" w:hanging="360"/>
      </w:pPr>
      <w:rPr/>
    </w:lvl>
    <w:lvl w:ilvl="2">
      <w:start w:val="1"/>
      <w:numFmt w:val="lowerRoman"/>
      <w:lvlText w:val="%3."/>
      <w:lvlJc w:val="right"/>
      <w:pPr>
        <w:tabs>
          <w:tab w:val="num" w:pos="1800"/>
        </w:tabs>
        <w:ind w:left="1800" w:hanging="180"/>
      </w:pPr>
      <w:rPr/>
    </w:lvl>
    <w:lvl w:ilvl="3">
      <w:start w:val="1"/>
      <w:numFmt w:val="decimal"/>
      <w:lvlText w:val="%4."/>
      <w:lvlJc w:val="left"/>
      <w:pPr>
        <w:tabs>
          <w:tab w:val="num" w:pos="2520"/>
        </w:tabs>
        <w:ind w:left="2520" w:hanging="360"/>
      </w:pPr>
      <w:rPr/>
    </w:lvl>
    <w:lvl w:ilvl="4">
      <w:start w:val="1"/>
      <w:numFmt w:val="lowerLetter"/>
      <w:lvlText w:val="%5."/>
      <w:lvlJc w:val="left"/>
      <w:pPr>
        <w:tabs>
          <w:tab w:val="num" w:pos="3240"/>
        </w:tabs>
        <w:ind w:left="3240" w:hanging="360"/>
      </w:pPr>
      <w:rPr/>
    </w:lvl>
    <w:lvl w:ilvl="5">
      <w:start w:val="1"/>
      <w:numFmt w:val="lowerRoman"/>
      <w:lvlText w:val="%6."/>
      <w:lvlJc w:val="right"/>
      <w:pPr>
        <w:tabs>
          <w:tab w:val="num" w:pos="3960"/>
        </w:tabs>
        <w:ind w:left="3960" w:hanging="180"/>
      </w:pPr>
      <w:rPr/>
    </w:lvl>
    <w:lvl w:ilvl="6">
      <w:start w:val="1"/>
      <w:numFmt w:val="decimal"/>
      <w:lvlText w:val="%7."/>
      <w:lvlJc w:val="left"/>
      <w:pPr>
        <w:tabs>
          <w:tab w:val="num" w:pos="4680"/>
        </w:tabs>
        <w:ind w:left="4680" w:hanging="360"/>
      </w:pPr>
      <w:rPr/>
    </w:lvl>
    <w:lvl w:ilvl="7">
      <w:start w:val="1"/>
      <w:numFmt w:val="lowerLetter"/>
      <w:lvlText w:val="%8."/>
      <w:lvlJc w:val="left"/>
      <w:pPr>
        <w:tabs>
          <w:tab w:val="num" w:pos="5400"/>
        </w:tabs>
        <w:ind w:left="5400" w:hanging="360"/>
      </w:pPr>
      <w:rPr/>
    </w:lvl>
    <w:lvl w:ilvl="8">
      <w:start w:val="1"/>
      <w:numFmt w:val="lowerRoman"/>
      <w:lvlText w:val="%9."/>
      <w:lvlJc w:val="right"/>
      <w:pPr>
        <w:tabs>
          <w:tab w:val="num" w:pos="6120"/>
        </w:tabs>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8"/>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Cs w:val="24"/>
        <w:lang w:val="ru-RU"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uk-UA" w:bidi="ar-SA" w:eastAsia="zh-CN"/>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cs="Calibri Light"/>
      <w:b/>
      <w:bCs/>
      <w:sz w:val="32"/>
      <w:szCs w:val="32"/>
    </w:rPr>
  </w:style>
  <w:style w:type="paragraph" w:styleId="Heading2">
    <w:name w:val="Heading 2"/>
    <w:basedOn w:val="Normal"/>
    <w:next w:val="11"/>
    <w:qFormat/>
    <w:pPr>
      <w:keepNext w:val="true"/>
      <w:numPr>
        <w:ilvl w:val="1"/>
        <w:numId w:val="1"/>
      </w:numPr>
      <w:outlineLvl w:val="1"/>
    </w:pPr>
    <w:rPr>
      <w:rFonts w:ascii="Arial" w:hAnsi="Arial" w:cs="Arial"/>
      <w:b/>
      <w:caps/>
      <w:sz w:val="16"/>
      <w:szCs w:val="20"/>
    </w:rPr>
  </w:style>
  <w:style w:type="paragraph" w:styleId="Heading3">
    <w:name w:val="Heading 3"/>
    <w:basedOn w:val="Normal"/>
    <w:next w:val="TextBody"/>
    <w:qFormat/>
    <w:pPr>
      <w:keepNext w:val="true"/>
      <w:numPr>
        <w:ilvl w:val="2"/>
        <w:numId w:val="1"/>
      </w:numPr>
      <w:outlineLvl w:val="2"/>
    </w:pPr>
    <w:rPr>
      <w:rFonts w:ascii="Arial" w:hAnsi="Arial" w:eastAsia="Calibri" w:cs="Arial"/>
      <w:b/>
      <w:bCs/>
      <w:lang w:val="en-US"/>
    </w:rPr>
  </w:style>
  <w:style w:type="paragraph" w:styleId="Heading4">
    <w:name w:val="Heading 4"/>
    <w:basedOn w:val="Normal"/>
    <w:next w:val="11"/>
    <w:qFormat/>
    <w:pPr>
      <w:keepNext w:val="true"/>
      <w:numPr>
        <w:ilvl w:val="3"/>
        <w:numId w:val="1"/>
      </w:numPr>
      <w:jc w:val="center"/>
      <w:outlineLvl w:val="3"/>
    </w:pPr>
    <w:rPr>
      <w:rFonts w:ascii="Arial" w:hAnsi="Arial" w:cs="Arial"/>
      <w:b/>
      <w:sz w:val="20"/>
      <w:szCs w:val="20"/>
    </w:rPr>
  </w:style>
  <w:style w:type="paragraph" w:styleId="Heading6">
    <w:name w:val="Heading 6"/>
    <w:basedOn w:val="Normal"/>
    <w:next w:val="TextBody"/>
    <w:qFormat/>
    <w:pPr>
      <w:numPr>
        <w:ilvl w:val="5"/>
        <w:numId w:val="1"/>
      </w:numPr>
      <w:spacing w:before="240" w:after="60"/>
      <w:outlineLvl w:val="5"/>
    </w:pPr>
    <w:rPr>
      <w:rFonts w:eastAsia="Calibri"/>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Style9">
    <w:name w:val="Основной шрифт абзаца"/>
    <w:qFormat/>
    <w:rPr/>
  </w:style>
  <w:style w:type="character" w:styleId="2">
    <w:name w:val="Заголовок 2 Знак"/>
    <w:qFormat/>
    <w:rPr>
      <w:rFonts w:ascii="Cambria" w:hAnsi="Cambria" w:eastAsia="Times New Roman" w:cs="Times New Roman"/>
      <w:b/>
      <w:bCs/>
      <w:color w:val="4F81BD"/>
      <w:sz w:val="26"/>
      <w:szCs w:val="26"/>
    </w:rPr>
  </w:style>
  <w:style w:type="character" w:styleId="4">
    <w:name w:val="Заголовок 4 Знак"/>
    <w:qFormat/>
    <w:rPr>
      <w:rFonts w:ascii="Cambria" w:hAnsi="Cambria" w:eastAsia="Times New Roman" w:cs="Times New Roman"/>
      <w:b/>
      <w:bCs/>
      <w:i/>
      <w:iCs/>
      <w:color w:val="4F81BD"/>
      <w:sz w:val="24"/>
      <w:szCs w:val="24"/>
    </w:rPr>
  </w:style>
  <w:style w:type="character" w:styleId="Heading2Char">
    <w:name w:val="Heading 2 Char"/>
    <w:qFormat/>
    <w:rPr>
      <w:rFonts w:ascii="Arial" w:hAnsi="Arial" w:eastAsia="Times New Roman" w:cs="Times New Roman"/>
      <w:b/>
      <w:bCs w:val="false"/>
      <w:caps/>
      <w:sz w:val="16"/>
      <w:lang w:val="ru-RU"/>
    </w:rPr>
  </w:style>
  <w:style w:type="character" w:styleId="Heading4Char">
    <w:name w:val="Heading 4 Char"/>
    <w:qFormat/>
    <w:rPr>
      <w:rFonts w:ascii="Arial" w:hAnsi="Arial" w:eastAsia="Times New Roman" w:cs="Times New Roman"/>
      <w:b/>
      <w:bCs w:val="false"/>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1">
    <w:name w:val="Заголовок 1 Знак"/>
    <w:qFormat/>
    <w:rPr>
      <w:rFonts w:ascii="Calibri Light" w:hAnsi="Calibri Light" w:eastAsia="Times New Roman" w:cs="Times New Roman"/>
      <w:b/>
      <w:bCs/>
      <w:sz w:val="32"/>
      <w:szCs w:val="32"/>
    </w:rPr>
  </w:style>
  <w:style w:type="character" w:styleId="Style10">
    <w:name w:val="Верхний колонтитул Знак"/>
    <w:qFormat/>
    <w:rPr>
      <w:rFonts w:ascii="Times New Roman" w:hAnsi="Times New Roman" w:eastAsia="Times New Roman" w:cs="Times New Roman"/>
      <w:sz w:val="24"/>
      <w:szCs w:val="24"/>
    </w:rPr>
  </w:style>
  <w:style w:type="character" w:styleId="Style11">
    <w:name w:val="Нижний колонтитул Знак"/>
    <w:qFormat/>
    <w:rPr>
      <w:rFonts w:ascii="Times New Roman" w:hAnsi="Times New Roman" w:eastAsia="Times New Roman" w:cs="Times New Roman"/>
      <w:sz w:val="24"/>
      <w:szCs w:val="24"/>
    </w:rPr>
  </w:style>
  <w:style w:type="character" w:styleId="PageNumber">
    <w:name w:val="Page Numbe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InternetLink">
    <w:name w:val="Internet Link"/>
    <w:rPr>
      <w:rFonts w:ascii="Segoe UI" w:hAnsi="Segoe UI" w:cs="Segoe UI"/>
      <w:color w:val="0000FF"/>
      <w:sz w:val="18"/>
      <w:szCs w:val="18"/>
      <w:u w:val="single"/>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32">
    <w:name w:val="Заголовок 3 Знак"/>
    <w:qFormat/>
    <w:rPr>
      <w:rFonts w:ascii="Arial" w:hAnsi="Arial" w:cs="Arial"/>
      <w:b/>
      <w:bCs/>
      <w:sz w:val="24"/>
      <w:szCs w:val="24"/>
    </w:rPr>
  </w:style>
  <w:style w:type="character" w:styleId="6">
    <w:name w:val="Заголовок 6 Знак"/>
    <w:qFormat/>
    <w:rPr>
      <w:rFonts w:ascii="Times New Roman" w:hAnsi="Times New Roman" w:cs="Times New Roman"/>
      <w:b/>
      <w:bCs/>
      <w:sz w:val="22"/>
      <w:szCs w:val="22"/>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rPr>
  </w:style>
  <w:style w:type="character" w:styleId="22">
    <w:name w:val="Основной текст 2 Знак"/>
    <w:qFormat/>
    <w:rPr>
      <w:rFonts w:ascii="Times New Roman" w:hAnsi="Times New Roman" w:cs="Times New Roman"/>
      <w:sz w:val="24"/>
      <w:szCs w:val="24"/>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rFonts w:eastAsia="Calibri"/>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11">
    <w:name w:val="Обычный1"/>
    <w:basedOn w:val="Normal"/>
    <w:qFormat/>
    <w:pPr/>
    <w:rPr/>
  </w:style>
  <w:style w:type="paragraph" w:styleId="Msolistparagraph">
    <w:name w:val="msolistparagraph"/>
    <w:basedOn w:val="Normal"/>
    <w:qFormat/>
    <w:pPr>
      <w:spacing w:before="0" w:after="0"/>
      <w:ind w:left="720" w:hanging="0"/>
      <w:contextualSpacing/>
    </w:pPr>
    <w:rPr/>
  </w:style>
  <w:style w:type="paragraph" w:styleId="Encryption">
    <w:name w:val="Encryption"/>
    <w:basedOn w:val="Normal"/>
    <w:qFormat/>
    <w:pPr>
      <w:jc w:val="both"/>
    </w:pPr>
    <w:rPr>
      <w:b/>
      <w:bCs/>
      <w:i/>
      <w:iCs/>
    </w:rPr>
  </w:style>
  <w:style w:type="paragraph" w:styleId="211">
    <w:name w:val="Заголовок 21"/>
    <w:basedOn w:val="Normal"/>
    <w:qFormat/>
    <w:pPr/>
    <w:rPr/>
  </w:style>
  <w:style w:type="paragraph" w:styleId="411">
    <w:name w:val="Заголовок 41"/>
    <w:basedOn w:val="Normal"/>
    <w:qFormat/>
    <w:pPr/>
    <w:rPr/>
  </w:style>
  <w:style w:type="paragraph" w:styleId="Header">
    <w:name w:val="Header"/>
    <w:basedOn w:val="Normal"/>
    <w:pPr/>
    <w:rPr/>
  </w:style>
  <w:style w:type="paragraph" w:styleId="Footer">
    <w:name w:val="Footer"/>
    <w:basedOn w:val="Normal"/>
    <w:pPr/>
    <w:rPr/>
  </w:style>
  <w:style w:type="paragraph" w:styleId="Style23">
    <w:name w:val="Текст выноски"/>
    <w:basedOn w:val="Normal"/>
    <w:qFormat/>
    <w:pPr/>
    <w:rPr>
      <w:rFonts w:ascii="Tahoma" w:hAnsi="Tahoma" w:cs="Tahoma"/>
      <w:sz w:val="16"/>
      <w:szCs w:val="16"/>
      <w:lang w:val="ru-RU"/>
    </w:rPr>
  </w:style>
  <w:style w:type="paragraph" w:styleId="BodyTextIndent2">
    <w:name w:val="Body Text Indent2"/>
    <w:basedOn w:val="Normal"/>
    <w:qFormat/>
    <w:pPr>
      <w:jc w:val="center"/>
    </w:pPr>
    <w:rPr>
      <w:rFonts w:ascii="Arial" w:hAnsi="Arial" w:cs="Arial"/>
      <w:b/>
      <w:i/>
      <w:sz w:val="18"/>
      <w:szCs w:val="20"/>
    </w:rPr>
  </w:style>
  <w:style w:type="paragraph" w:styleId="12">
    <w:name w:val="Основной текст с отступом1"/>
    <w:basedOn w:val="Normal"/>
    <w:qFormat/>
    <w:pPr>
      <w:spacing w:before="120" w:after="120"/>
    </w:pPr>
    <w:rPr>
      <w:rFonts w:ascii="Arial" w:hAnsi="Arial" w:cs="Arial"/>
      <w:sz w:val="18"/>
      <w:szCs w:val="20"/>
      <w:lang w:val="ru-RU"/>
    </w:rPr>
  </w:style>
  <w:style w:type="paragraph" w:styleId="Cs95e872d0">
    <w:name w:val="cs95e872d0"/>
    <w:basedOn w:val="Normal"/>
    <w:qFormat/>
    <w:pPr/>
    <w:rPr>
      <w:lang w:val="ru-RU"/>
    </w:rPr>
  </w:style>
  <w:style w:type="paragraph" w:styleId="TextBodyIndent">
    <w:name w:val="Body Text Indent"/>
    <w:basedOn w:val="Normal"/>
    <w:pPr>
      <w:spacing w:before="0" w:after="120"/>
      <w:ind w:left="283" w:hanging="0"/>
    </w:pPr>
    <w:rPr>
      <w:lang w:val="ru-RU"/>
    </w:rPr>
  </w:style>
  <w:style w:type="paragraph" w:styleId="33">
    <w:name w:val="Основной текст 3"/>
    <w:basedOn w:val="Normal"/>
    <w:qFormat/>
    <w:pPr>
      <w:spacing w:before="0" w:after="120"/>
    </w:pPr>
    <w:rPr>
      <w:sz w:val="16"/>
      <w:szCs w:val="16"/>
    </w:rPr>
  </w:style>
  <w:style w:type="paragraph" w:styleId="24">
    <w:name w:val="Основной текст с отступом2"/>
    <w:basedOn w:val="Normal"/>
    <w:qFormat/>
    <w:pPr>
      <w:ind w:firstLine="708"/>
      <w:jc w:val="both"/>
    </w:pPr>
    <w:rPr>
      <w:rFonts w:ascii="Arial" w:hAnsi="Arial" w:cs="Arial"/>
      <w:b/>
      <w:sz w:val="18"/>
      <w:szCs w:val="20"/>
    </w:rPr>
  </w:style>
  <w:style w:type="paragraph" w:styleId="34">
    <w:name w:val="Основной текст с отступом3"/>
    <w:basedOn w:val="Normal"/>
    <w:qFormat/>
    <w:pPr>
      <w:ind w:firstLine="708"/>
      <w:jc w:val="both"/>
    </w:pPr>
    <w:rPr>
      <w:rFonts w:ascii="Arial" w:hAnsi="Arial" w:cs="Arial"/>
      <w:b/>
      <w:sz w:val="18"/>
      <w:szCs w:val="20"/>
    </w:rPr>
  </w:style>
  <w:style w:type="paragraph" w:styleId="42">
    <w:name w:val="Основной текст с отступом4"/>
    <w:basedOn w:val="Normal"/>
    <w:qFormat/>
    <w:pPr>
      <w:ind w:firstLine="708"/>
      <w:jc w:val="both"/>
    </w:pPr>
    <w:rPr>
      <w:rFonts w:ascii="Arial" w:hAnsi="Arial" w:cs="Arial"/>
      <w:b/>
      <w:sz w:val="18"/>
      <w:szCs w:val="20"/>
    </w:rPr>
  </w:style>
  <w:style w:type="paragraph" w:styleId="5">
    <w:name w:val="Основной текст с отступом5"/>
    <w:basedOn w:val="Normal"/>
    <w:qFormat/>
    <w:pPr>
      <w:ind w:firstLine="708"/>
      <w:jc w:val="both"/>
    </w:pPr>
    <w:rPr>
      <w:rFonts w:ascii="Arial" w:hAnsi="Arial" w:cs="Arial"/>
      <w:b/>
      <w:sz w:val="18"/>
      <w:szCs w:val="20"/>
    </w:rPr>
  </w:style>
  <w:style w:type="paragraph" w:styleId="Cse71256d6">
    <w:name w:val="cse71256d6"/>
    <w:basedOn w:val="Normal"/>
    <w:qFormat/>
    <w:pPr>
      <w:ind w:left="1440" w:hanging="0"/>
    </w:pPr>
    <w:rPr/>
  </w:style>
  <w:style w:type="paragraph" w:styleId="61">
    <w:name w:val="Основной текст с отступом6"/>
    <w:basedOn w:val="Normal"/>
    <w:qFormat/>
    <w:pPr>
      <w:ind w:firstLine="708"/>
      <w:jc w:val="both"/>
    </w:pPr>
    <w:rPr>
      <w:rFonts w:ascii="Arial" w:hAnsi="Arial" w:cs="Arial"/>
      <w:b/>
      <w:sz w:val="18"/>
      <w:szCs w:val="20"/>
    </w:rPr>
  </w:style>
  <w:style w:type="paragraph" w:styleId="7">
    <w:name w:val="Основной текст с отступом7"/>
    <w:basedOn w:val="Normal"/>
    <w:qFormat/>
    <w:pPr>
      <w:ind w:firstLine="708"/>
      <w:jc w:val="both"/>
    </w:pPr>
    <w:rPr>
      <w:rFonts w:ascii="Arial" w:hAnsi="Arial" w:cs="Arial"/>
      <w:b/>
      <w:sz w:val="18"/>
      <w:szCs w:val="20"/>
    </w:rPr>
  </w:style>
  <w:style w:type="paragraph" w:styleId="8">
    <w:name w:val="Основной текст с отступом8"/>
    <w:basedOn w:val="Normal"/>
    <w:qFormat/>
    <w:pPr>
      <w:ind w:firstLine="708"/>
      <w:jc w:val="both"/>
    </w:pPr>
    <w:rPr>
      <w:rFonts w:ascii="Arial" w:hAnsi="Arial" w:cs="Arial"/>
      <w:b/>
      <w:sz w:val="18"/>
      <w:szCs w:val="20"/>
    </w:rPr>
  </w:style>
  <w:style w:type="paragraph" w:styleId="9">
    <w:name w:val="Основной текст с отступом9"/>
    <w:basedOn w:val="Normal"/>
    <w:qFormat/>
    <w:pPr>
      <w:ind w:firstLine="708"/>
      <w:jc w:val="both"/>
    </w:pPr>
    <w:rPr>
      <w:rFonts w:ascii="Arial" w:hAnsi="Arial" w:cs="Arial"/>
      <w:b/>
      <w:sz w:val="18"/>
      <w:szCs w:val="20"/>
    </w:rPr>
  </w:style>
  <w:style w:type="paragraph" w:styleId="111">
    <w:name w:val="Основной текст с отступом11"/>
    <w:basedOn w:val="Normal"/>
    <w:qFormat/>
    <w:pPr>
      <w:ind w:firstLine="708"/>
      <w:jc w:val="both"/>
    </w:pPr>
    <w:rPr>
      <w:rFonts w:ascii="Arial" w:hAnsi="Arial" w:cs="Arial"/>
      <w:b/>
      <w:sz w:val="18"/>
      <w:szCs w:val="20"/>
    </w:rPr>
  </w:style>
  <w:style w:type="paragraph" w:styleId="10">
    <w:name w:val="Основной текст с отступом10"/>
    <w:basedOn w:val="Normal"/>
    <w:qFormat/>
    <w:pPr>
      <w:ind w:firstLine="708"/>
      <w:jc w:val="both"/>
    </w:pPr>
    <w:rPr>
      <w:rFonts w:ascii="Arial" w:hAnsi="Arial" w:cs="Arial"/>
      <w:b/>
      <w:sz w:val="18"/>
      <w:szCs w:val="20"/>
    </w:rPr>
  </w:style>
  <w:style w:type="paragraph" w:styleId="112">
    <w:name w:val="Обычный11"/>
    <w:basedOn w:val="Normal"/>
    <w:qFormat/>
    <w:pPr/>
    <w:rPr/>
  </w:style>
  <w:style w:type="paragraph" w:styleId="110">
    <w:name w:val="Основной текст с отступом110"/>
    <w:basedOn w:val="Normal"/>
    <w:qFormat/>
    <w:pPr>
      <w:ind w:firstLine="708"/>
      <w:jc w:val="both"/>
    </w:pPr>
    <w:rPr>
      <w:rFonts w:ascii="Arial" w:hAnsi="Arial" w:cs="Arial"/>
      <w:b/>
      <w:sz w:val="18"/>
      <w:szCs w:val="22"/>
    </w:rPr>
  </w:style>
  <w:style w:type="paragraph" w:styleId="35">
    <w:name w:val="Основной текст с отступом 3"/>
    <w:basedOn w:val="Normal"/>
    <w:qFormat/>
    <w:pPr>
      <w:spacing w:before="0" w:after="120"/>
      <w:ind w:left="283" w:hanging="0"/>
    </w:pPr>
    <w:rPr>
      <w:rFonts w:eastAsia="Calibri"/>
      <w:sz w:val="16"/>
      <w:szCs w:val="16"/>
      <w:lang w:val="ru-RU"/>
    </w:rPr>
  </w:style>
  <w:style w:type="paragraph" w:styleId="121">
    <w:name w:val="Основной текст с отступом12"/>
    <w:basedOn w:val="Normal"/>
    <w:qFormat/>
    <w:pPr>
      <w:ind w:firstLine="708"/>
      <w:jc w:val="both"/>
    </w:pPr>
    <w:rPr>
      <w:rFonts w:ascii="Arial" w:hAnsi="Arial" w:cs="Arial"/>
      <w:b/>
      <w:sz w:val="18"/>
      <w:szCs w:val="20"/>
    </w:rPr>
  </w:style>
  <w:style w:type="paragraph" w:styleId="13">
    <w:name w:val="Основной текст с отступом13"/>
    <w:basedOn w:val="Normal"/>
    <w:qFormat/>
    <w:pPr>
      <w:ind w:firstLine="708"/>
      <w:jc w:val="both"/>
    </w:pPr>
    <w:rPr>
      <w:rFonts w:ascii="Arial" w:hAnsi="Arial" w:cs="Arial"/>
      <w:b/>
      <w:sz w:val="18"/>
      <w:szCs w:val="20"/>
    </w:rPr>
  </w:style>
  <w:style w:type="paragraph" w:styleId="141">
    <w:name w:val="Основной текст с отступом14"/>
    <w:basedOn w:val="Normal"/>
    <w:qFormat/>
    <w:pPr>
      <w:ind w:firstLine="708"/>
      <w:jc w:val="both"/>
    </w:pPr>
    <w:rPr>
      <w:rFonts w:ascii="Arial" w:hAnsi="Arial" w:cs="Arial"/>
      <w:b/>
      <w:sz w:val="18"/>
      <w:szCs w:val="20"/>
    </w:rPr>
  </w:style>
  <w:style w:type="paragraph" w:styleId="15">
    <w:name w:val="Основной текст с отступом15"/>
    <w:basedOn w:val="Normal"/>
    <w:qFormat/>
    <w:pPr>
      <w:ind w:firstLine="708"/>
      <w:jc w:val="both"/>
    </w:pPr>
    <w:rPr>
      <w:rFonts w:ascii="Arial" w:hAnsi="Arial" w:cs="Arial"/>
      <w:b/>
      <w:sz w:val="18"/>
      <w:szCs w:val="20"/>
    </w:rPr>
  </w:style>
  <w:style w:type="paragraph" w:styleId="16">
    <w:name w:val="Основной текст с отступом16"/>
    <w:basedOn w:val="Normal"/>
    <w:qFormat/>
    <w:pPr>
      <w:ind w:firstLine="708"/>
      <w:jc w:val="both"/>
    </w:pPr>
    <w:rPr>
      <w:rFonts w:ascii="Arial" w:hAnsi="Arial" w:cs="Arial"/>
      <w:b/>
      <w:sz w:val="18"/>
      <w:szCs w:val="20"/>
    </w:rPr>
  </w:style>
  <w:style w:type="paragraph" w:styleId="17">
    <w:name w:val="Основной текст с отступом17"/>
    <w:basedOn w:val="Normal"/>
    <w:qFormat/>
    <w:pPr>
      <w:ind w:firstLine="708"/>
      <w:jc w:val="both"/>
    </w:pPr>
    <w:rPr>
      <w:rFonts w:ascii="Arial" w:hAnsi="Arial" w:cs="Arial"/>
      <w:b/>
      <w:sz w:val="18"/>
      <w:szCs w:val="20"/>
    </w:rPr>
  </w:style>
  <w:style w:type="paragraph" w:styleId="18">
    <w:name w:val="Основной текст с отступом18"/>
    <w:basedOn w:val="Normal"/>
    <w:qFormat/>
    <w:pPr>
      <w:ind w:firstLine="708"/>
      <w:jc w:val="both"/>
    </w:pPr>
    <w:rPr>
      <w:rFonts w:ascii="Arial" w:hAnsi="Arial" w:cs="Arial"/>
      <w:b/>
      <w:sz w:val="18"/>
      <w:szCs w:val="20"/>
    </w:rPr>
  </w:style>
  <w:style w:type="paragraph" w:styleId="19">
    <w:name w:val="Основной текст с отступом19"/>
    <w:basedOn w:val="Normal"/>
    <w:qFormat/>
    <w:pPr>
      <w:ind w:firstLine="708"/>
      <w:jc w:val="both"/>
    </w:pPr>
    <w:rPr>
      <w:rFonts w:ascii="Arial" w:hAnsi="Arial" w:cs="Arial"/>
      <w:b/>
      <w:sz w:val="18"/>
      <w:szCs w:val="20"/>
    </w:rPr>
  </w:style>
  <w:style w:type="paragraph" w:styleId="20">
    <w:name w:val="Основной текст с отступом20"/>
    <w:basedOn w:val="Normal"/>
    <w:qFormat/>
    <w:pPr>
      <w:ind w:firstLine="708"/>
      <w:jc w:val="both"/>
    </w:pPr>
    <w:rPr>
      <w:rFonts w:ascii="Arial" w:hAnsi="Arial" w:cs="Arial"/>
      <w:b/>
      <w:sz w:val="18"/>
      <w:szCs w:val="20"/>
    </w:rPr>
  </w:style>
  <w:style w:type="paragraph" w:styleId="Cs80d9435b">
    <w:name w:val="cs80d9435b"/>
    <w:basedOn w:val="Normal"/>
    <w:qFormat/>
    <w:pPr>
      <w:jc w:val="both"/>
    </w:pPr>
    <w:rPr>
      <w:rFonts w:ascii="Arial" w:hAnsi="Arial" w:cs="Arial"/>
    </w:rPr>
  </w:style>
  <w:style w:type="paragraph" w:styleId="212">
    <w:name w:val="Основной текст с отступом21"/>
    <w:basedOn w:val="Normal"/>
    <w:qFormat/>
    <w:pPr>
      <w:ind w:firstLine="708"/>
      <w:jc w:val="both"/>
    </w:pPr>
    <w:rPr>
      <w:rFonts w:ascii="Arial" w:hAnsi="Arial" w:cs="Arial"/>
      <w:b/>
      <w:sz w:val="18"/>
      <w:szCs w:val="20"/>
    </w:rPr>
  </w:style>
  <w:style w:type="paragraph" w:styleId="231">
    <w:name w:val="Основной текст с отступом23"/>
    <w:basedOn w:val="Normal"/>
    <w:qFormat/>
    <w:pPr>
      <w:ind w:firstLine="708"/>
      <w:jc w:val="both"/>
    </w:pPr>
    <w:rPr>
      <w:rFonts w:ascii="Arial" w:hAnsi="Arial" w:cs="Arial"/>
      <w:b/>
      <w:sz w:val="18"/>
      <w:szCs w:val="20"/>
    </w:rPr>
  </w:style>
  <w:style w:type="paragraph" w:styleId="26">
    <w:name w:val="Основной текст с отступом26"/>
    <w:basedOn w:val="Normal"/>
    <w:qFormat/>
    <w:pPr>
      <w:ind w:firstLine="708"/>
      <w:jc w:val="both"/>
    </w:pPr>
    <w:rPr>
      <w:rFonts w:ascii="Arial" w:hAnsi="Arial" w:cs="Arial"/>
      <w:b/>
      <w:sz w:val="18"/>
      <w:szCs w:val="20"/>
    </w:rPr>
  </w:style>
  <w:style w:type="paragraph" w:styleId="28">
    <w:name w:val="Основной текст с отступом28"/>
    <w:basedOn w:val="Normal"/>
    <w:qFormat/>
    <w:pPr>
      <w:ind w:firstLine="708"/>
      <w:jc w:val="both"/>
    </w:pPr>
    <w:rPr>
      <w:rFonts w:ascii="Arial" w:hAnsi="Arial" w:cs="Arial"/>
      <w:b/>
      <w:sz w:val="18"/>
      <w:szCs w:val="20"/>
    </w:rPr>
  </w:style>
  <w:style w:type="paragraph" w:styleId="29">
    <w:name w:val="Основной текст с отступом29"/>
    <w:basedOn w:val="Normal"/>
    <w:qFormat/>
    <w:pPr>
      <w:ind w:firstLine="708"/>
      <w:jc w:val="both"/>
    </w:pPr>
    <w:rPr>
      <w:rFonts w:ascii="Arial" w:hAnsi="Arial" w:cs="Arial"/>
      <w:b/>
      <w:sz w:val="18"/>
      <w:szCs w:val="20"/>
    </w:rPr>
  </w:style>
  <w:style w:type="paragraph" w:styleId="311">
    <w:name w:val="Основной текст с отступом31"/>
    <w:basedOn w:val="Normal"/>
    <w:qFormat/>
    <w:pPr>
      <w:ind w:firstLine="708"/>
      <w:jc w:val="both"/>
    </w:pPr>
    <w:rPr>
      <w:rFonts w:ascii="Arial" w:hAnsi="Arial" w:cs="Arial"/>
      <w:b/>
      <w:sz w:val="18"/>
      <w:szCs w:val="20"/>
    </w:rPr>
  </w:style>
  <w:style w:type="paragraph" w:styleId="321">
    <w:name w:val="Основной текст с отступом32"/>
    <w:basedOn w:val="Normal"/>
    <w:qFormat/>
    <w:pPr>
      <w:ind w:firstLine="708"/>
      <w:jc w:val="both"/>
    </w:pPr>
    <w:rPr>
      <w:rFonts w:ascii="Arial" w:hAnsi="Arial" w:cs="Arial"/>
      <w:b/>
      <w:sz w:val="18"/>
      <w:szCs w:val="20"/>
    </w:rPr>
  </w:style>
  <w:style w:type="paragraph" w:styleId="331">
    <w:name w:val="Основной текст с отступом33"/>
    <w:basedOn w:val="Normal"/>
    <w:qFormat/>
    <w:pPr>
      <w:ind w:firstLine="708"/>
      <w:jc w:val="both"/>
    </w:pPr>
    <w:rPr>
      <w:rFonts w:ascii="Arial" w:hAnsi="Arial" w:cs="Arial"/>
      <w:b/>
      <w:sz w:val="18"/>
      <w:szCs w:val="20"/>
    </w:rPr>
  </w:style>
  <w:style w:type="paragraph" w:styleId="351">
    <w:name w:val="Основной текст с отступом35"/>
    <w:basedOn w:val="Normal"/>
    <w:qFormat/>
    <w:pPr>
      <w:ind w:firstLine="708"/>
      <w:jc w:val="both"/>
    </w:pPr>
    <w:rPr>
      <w:rFonts w:ascii="Arial" w:hAnsi="Arial" w:cs="Arial"/>
      <w:b/>
      <w:sz w:val="18"/>
      <w:szCs w:val="20"/>
    </w:rPr>
  </w:style>
  <w:style w:type="paragraph" w:styleId="341">
    <w:name w:val="Основной текст с отступом34"/>
    <w:basedOn w:val="Normal"/>
    <w:qFormat/>
    <w:pPr>
      <w:ind w:firstLine="708"/>
      <w:jc w:val="both"/>
    </w:pPr>
    <w:rPr>
      <w:rFonts w:ascii="Arial" w:hAnsi="Arial" w:cs="Arial"/>
      <w:b/>
      <w:sz w:val="18"/>
      <w:szCs w:val="20"/>
    </w:rPr>
  </w:style>
  <w:style w:type="paragraph" w:styleId="36">
    <w:name w:val="Основной текст с отступом36"/>
    <w:basedOn w:val="Normal"/>
    <w:qFormat/>
    <w:pPr>
      <w:ind w:firstLine="708"/>
      <w:jc w:val="both"/>
    </w:pPr>
    <w:rPr>
      <w:rFonts w:ascii="Arial" w:hAnsi="Arial" w:cs="Arial"/>
      <w:b/>
      <w:sz w:val="18"/>
      <w:szCs w:val="20"/>
    </w:rPr>
  </w:style>
  <w:style w:type="paragraph" w:styleId="37">
    <w:name w:val="Основной текст с отступом37"/>
    <w:basedOn w:val="Normal"/>
    <w:qFormat/>
    <w:pPr>
      <w:ind w:firstLine="708"/>
      <w:jc w:val="both"/>
    </w:pPr>
    <w:rPr>
      <w:rFonts w:ascii="Arial" w:hAnsi="Arial" w:cs="Arial"/>
      <w:b/>
      <w:sz w:val="18"/>
      <w:szCs w:val="20"/>
    </w:rPr>
  </w:style>
  <w:style w:type="paragraph" w:styleId="Style24">
    <w:name w:val="Текст примечания"/>
    <w:basedOn w:val="Normal"/>
    <w:qFormat/>
    <w:pPr/>
    <w:rPr>
      <w:sz w:val="20"/>
      <w:szCs w:val="20"/>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cs="Arial"/>
    </w:rPr>
  </w:style>
  <w:style w:type="paragraph" w:styleId="38">
    <w:name w:val="Основной текст с отступом38"/>
    <w:basedOn w:val="Normal"/>
    <w:qFormat/>
    <w:pPr>
      <w:ind w:firstLine="708"/>
      <w:jc w:val="both"/>
    </w:pPr>
    <w:rPr>
      <w:rFonts w:ascii="Arial" w:hAnsi="Arial" w:cs="Arial"/>
      <w:b/>
      <w:sz w:val="18"/>
      <w:szCs w:val="20"/>
    </w:rPr>
  </w:style>
  <w:style w:type="paragraph" w:styleId="39">
    <w:name w:val="Основной текст с отступом39"/>
    <w:basedOn w:val="Normal"/>
    <w:qFormat/>
    <w:pPr>
      <w:ind w:firstLine="708"/>
      <w:jc w:val="both"/>
    </w:pPr>
    <w:rPr>
      <w:rFonts w:ascii="Arial" w:hAnsi="Arial" w:cs="Arial"/>
      <w:b/>
      <w:sz w:val="18"/>
      <w:szCs w:val="20"/>
    </w:rPr>
  </w:style>
  <w:style w:type="paragraph" w:styleId="40">
    <w:name w:val="Основной текст с отступом40"/>
    <w:basedOn w:val="Normal"/>
    <w:qFormat/>
    <w:pPr>
      <w:ind w:firstLine="708"/>
      <w:jc w:val="both"/>
    </w:pPr>
    <w:rPr>
      <w:rFonts w:ascii="Arial" w:hAnsi="Arial" w:cs="Arial"/>
      <w:b/>
      <w:sz w:val="18"/>
      <w:szCs w:val="20"/>
    </w:rPr>
  </w:style>
  <w:style w:type="paragraph" w:styleId="412">
    <w:name w:val="Основной текст с отступом41"/>
    <w:basedOn w:val="Normal"/>
    <w:qFormat/>
    <w:pPr>
      <w:ind w:firstLine="708"/>
      <w:jc w:val="both"/>
    </w:pPr>
    <w:rPr>
      <w:rFonts w:ascii="Arial" w:hAnsi="Arial" w:cs="Arial"/>
      <w:b/>
      <w:sz w:val="18"/>
      <w:szCs w:val="20"/>
    </w:rPr>
  </w:style>
  <w:style w:type="paragraph" w:styleId="421">
    <w:name w:val="Основной текст с отступом42"/>
    <w:basedOn w:val="Normal"/>
    <w:qFormat/>
    <w:pPr>
      <w:ind w:firstLine="708"/>
      <w:jc w:val="both"/>
    </w:pPr>
    <w:rPr>
      <w:rFonts w:ascii="Arial" w:hAnsi="Arial" w:cs="Arial"/>
      <w:b/>
      <w:sz w:val="18"/>
      <w:szCs w:val="20"/>
    </w:rPr>
  </w:style>
  <w:style w:type="paragraph" w:styleId="43">
    <w:name w:val="Основной текст с отступом43"/>
    <w:basedOn w:val="Normal"/>
    <w:qFormat/>
    <w:pPr>
      <w:ind w:firstLine="708"/>
      <w:jc w:val="both"/>
    </w:pPr>
    <w:rPr>
      <w:rFonts w:ascii="Arial" w:hAnsi="Arial" w:cs="Arial"/>
      <w:b/>
      <w:sz w:val="18"/>
      <w:szCs w:val="20"/>
    </w:rPr>
  </w:style>
  <w:style w:type="paragraph" w:styleId="44">
    <w:name w:val="Основной текст с отступом44"/>
    <w:basedOn w:val="Normal"/>
    <w:qFormat/>
    <w:pPr>
      <w:ind w:firstLine="708"/>
      <w:jc w:val="both"/>
    </w:pPr>
    <w:rPr>
      <w:rFonts w:ascii="Arial" w:hAnsi="Arial" w:cs="Arial"/>
      <w:b/>
      <w:sz w:val="18"/>
      <w:szCs w:val="20"/>
    </w:rPr>
  </w:style>
  <w:style w:type="paragraph" w:styleId="45">
    <w:name w:val="Основной текст с отступом45"/>
    <w:basedOn w:val="Normal"/>
    <w:qFormat/>
    <w:pPr>
      <w:ind w:firstLine="708"/>
      <w:jc w:val="both"/>
    </w:pPr>
    <w:rPr>
      <w:rFonts w:ascii="Arial" w:hAnsi="Arial" w:cs="Arial"/>
      <w:b/>
      <w:sz w:val="18"/>
      <w:szCs w:val="20"/>
    </w:rPr>
  </w:style>
  <w:style w:type="paragraph" w:styleId="46">
    <w:name w:val="Основной текст с отступом46"/>
    <w:basedOn w:val="Normal"/>
    <w:qFormat/>
    <w:pPr>
      <w:ind w:firstLine="708"/>
      <w:jc w:val="both"/>
    </w:pPr>
    <w:rPr>
      <w:rFonts w:ascii="Arial" w:hAnsi="Arial" w:cs="Arial"/>
      <w:b/>
      <w:sz w:val="18"/>
      <w:szCs w:val="20"/>
    </w:rPr>
  </w:style>
  <w:style w:type="paragraph" w:styleId="47">
    <w:name w:val="Основной текст с отступом47"/>
    <w:basedOn w:val="Normal"/>
    <w:qFormat/>
    <w:pPr>
      <w:ind w:firstLine="708"/>
      <w:jc w:val="both"/>
    </w:pPr>
    <w:rPr>
      <w:rFonts w:ascii="Arial" w:hAnsi="Arial" w:cs="Arial"/>
      <w:b/>
      <w:sz w:val="18"/>
      <w:szCs w:val="20"/>
    </w:rPr>
  </w:style>
  <w:style w:type="paragraph" w:styleId="48">
    <w:name w:val="Основной текст с отступом48"/>
    <w:basedOn w:val="Normal"/>
    <w:qFormat/>
    <w:pPr>
      <w:ind w:firstLine="708"/>
      <w:jc w:val="both"/>
    </w:pPr>
    <w:rPr>
      <w:rFonts w:ascii="Arial" w:hAnsi="Arial" w:cs="Arial"/>
      <w:b/>
      <w:sz w:val="18"/>
      <w:szCs w:val="20"/>
    </w:rPr>
  </w:style>
  <w:style w:type="paragraph" w:styleId="49">
    <w:name w:val="Основной текст с отступом49"/>
    <w:basedOn w:val="Normal"/>
    <w:qFormat/>
    <w:pPr>
      <w:ind w:firstLine="708"/>
      <w:jc w:val="both"/>
    </w:pPr>
    <w:rPr>
      <w:rFonts w:ascii="Arial" w:hAnsi="Arial" w:cs="Arial"/>
      <w:b/>
      <w:sz w:val="18"/>
      <w:szCs w:val="20"/>
    </w:rPr>
  </w:style>
  <w:style w:type="paragraph" w:styleId="50">
    <w:name w:val="Основной текст с отступом50"/>
    <w:basedOn w:val="Normal"/>
    <w:qFormat/>
    <w:pPr>
      <w:ind w:firstLine="708"/>
      <w:jc w:val="both"/>
    </w:pPr>
    <w:rPr>
      <w:rFonts w:ascii="Arial" w:hAnsi="Arial" w:cs="Arial"/>
      <w:b/>
      <w:sz w:val="18"/>
      <w:szCs w:val="20"/>
    </w:rPr>
  </w:style>
  <w:style w:type="paragraph" w:styleId="52">
    <w:name w:val="Основной текст с отступом52"/>
    <w:basedOn w:val="Normal"/>
    <w:qFormat/>
    <w:pPr>
      <w:ind w:firstLine="708"/>
      <w:jc w:val="both"/>
    </w:pPr>
    <w:rPr>
      <w:rFonts w:ascii="Arial" w:hAnsi="Arial" w:cs="Arial"/>
      <w:b/>
      <w:sz w:val="18"/>
      <w:szCs w:val="20"/>
    </w:rPr>
  </w:style>
  <w:style w:type="paragraph" w:styleId="53">
    <w:name w:val="Основной текст с отступом53"/>
    <w:basedOn w:val="Normal"/>
    <w:qFormat/>
    <w:pPr>
      <w:ind w:firstLine="708"/>
      <w:jc w:val="both"/>
    </w:pPr>
    <w:rPr>
      <w:rFonts w:ascii="Arial" w:hAnsi="Arial" w:cs="Arial"/>
      <w:b/>
      <w:sz w:val="18"/>
      <w:szCs w:val="20"/>
    </w:rPr>
  </w:style>
  <w:style w:type="paragraph" w:styleId="54">
    <w:name w:val="Основной текст с отступом54"/>
    <w:basedOn w:val="Normal"/>
    <w:qFormat/>
    <w:pPr>
      <w:ind w:firstLine="708"/>
      <w:jc w:val="both"/>
    </w:pPr>
    <w:rPr>
      <w:rFonts w:ascii="Arial" w:hAnsi="Arial" w:cs="Arial"/>
      <w:b/>
      <w:sz w:val="18"/>
      <w:szCs w:val="20"/>
    </w:rPr>
  </w:style>
  <w:style w:type="paragraph" w:styleId="57">
    <w:name w:val="Основной текст с отступом57"/>
    <w:basedOn w:val="Normal"/>
    <w:qFormat/>
    <w:pPr>
      <w:ind w:firstLine="708"/>
      <w:jc w:val="both"/>
    </w:pPr>
    <w:rPr>
      <w:rFonts w:ascii="Arial" w:hAnsi="Arial" w:cs="Arial"/>
      <w:b/>
      <w:sz w:val="18"/>
      <w:szCs w:val="20"/>
    </w:rPr>
  </w:style>
  <w:style w:type="paragraph" w:styleId="59">
    <w:name w:val="Основной текст с отступом59"/>
    <w:basedOn w:val="Normal"/>
    <w:qFormat/>
    <w:pPr>
      <w:ind w:firstLine="708"/>
      <w:jc w:val="both"/>
    </w:pPr>
    <w:rPr>
      <w:rFonts w:ascii="Arial" w:hAnsi="Arial" w:cs="Arial"/>
      <w:b/>
      <w:sz w:val="18"/>
      <w:szCs w:val="20"/>
    </w:rPr>
  </w:style>
  <w:style w:type="paragraph" w:styleId="60">
    <w:name w:val="Основной текст с отступом60"/>
    <w:basedOn w:val="Normal"/>
    <w:qFormat/>
    <w:pPr>
      <w:ind w:firstLine="708"/>
      <w:jc w:val="both"/>
    </w:pPr>
    <w:rPr>
      <w:rFonts w:ascii="Arial" w:hAnsi="Arial" w:cs="Arial"/>
      <w:b/>
      <w:sz w:val="18"/>
      <w:szCs w:val="20"/>
    </w:rPr>
  </w:style>
  <w:style w:type="paragraph" w:styleId="611">
    <w:name w:val="Основной текст с отступом61"/>
    <w:basedOn w:val="Normal"/>
    <w:qFormat/>
    <w:pPr>
      <w:ind w:firstLine="708"/>
      <w:jc w:val="both"/>
    </w:pPr>
    <w:rPr>
      <w:rFonts w:ascii="Arial" w:hAnsi="Arial" w:cs="Arial"/>
      <w:b/>
      <w:sz w:val="18"/>
      <w:szCs w:val="20"/>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cs="Arial"/>
      <w:sz w:val="18"/>
      <w:szCs w:val="20"/>
      <w:lang w:val="ru-RU"/>
    </w:rPr>
  </w:style>
  <w:style w:type="paragraph" w:styleId="222">
    <w:name w:val="Заголовок 22"/>
    <w:basedOn w:val="Normal"/>
    <w:qFormat/>
    <w:pPr/>
    <w:rPr>
      <w:rFonts w:ascii="Arial" w:hAnsi="Arial" w:cs="Arial"/>
      <w:b/>
      <w:caps/>
      <w:sz w:val="16"/>
      <w:szCs w:val="20"/>
      <w:lang w:val="ru-RU"/>
    </w:rPr>
  </w:style>
  <w:style w:type="paragraph" w:styleId="422">
    <w:name w:val="Заголовок 42"/>
    <w:basedOn w:val="Normal"/>
    <w:qFormat/>
    <w:pPr/>
    <w:rPr>
      <w:rFonts w:ascii="Arial" w:hAnsi="Arial" w:cs="Arial"/>
      <w:b/>
      <w:sz w:val="20"/>
      <w:szCs w:val="20"/>
      <w:lang w:val="ru-RU"/>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cs="Arial"/>
      <w:sz w:val="18"/>
      <w:szCs w:val="20"/>
      <w:lang w:val="ru-RU"/>
    </w:rPr>
  </w:style>
  <w:style w:type="paragraph" w:styleId="232">
    <w:name w:val="Заголовок 23"/>
    <w:basedOn w:val="Normal"/>
    <w:qFormat/>
    <w:pPr/>
    <w:rPr>
      <w:rFonts w:ascii="Arial" w:hAnsi="Arial" w:cs="Arial"/>
      <w:b/>
      <w:caps/>
      <w:sz w:val="16"/>
      <w:szCs w:val="20"/>
      <w:lang w:val="ru-RU"/>
    </w:rPr>
  </w:style>
  <w:style w:type="paragraph" w:styleId="431">
    <w:name w:val="Заголовок 43"/>
    <w:basedOn w:val="Normal"/>
    <w:qFormat/>
    <w:pPr/>
    <w:rPr>
      <w:rFonts w:ascii="Arial" w:hAnsi="Arial" w:cs="Arial"/>
      <w:b/>
      <w:sz w:val="20"/>
      <w:szCs w:val="20"/>
      <w:lang w:val="ru-RU"/>
    </w:rPr>
  </w:style>
  <w:style w:type="paragraph" w:styleId="BodyTextIndent">
    <w:name w:val="Body Text Indent"/>
    <w:basedOn w:val="Normal"/>
    <w:qFormat/>
    <w:pPr>
      <w:spacing w:before="120" w:after="120"/>
    </w:pPr>
    <w:rPr>
      <w:rFonts w:ascii="Arial" w:hAnsi="Arial" w:cs="Arial"/>
      <w:sz w:val="18"/>
      <w:szCs w:val="20"/>
      <w:lang w:val="ru-RU"/>
    </w:rPr>
  </w:style>
  <w:style w:type="paragraph" w:styleId="WWHeading2">
    <w:name w:val="WW-Heading 2"/>
    <w:basedOn w:val="Normal"/>
    <w:qFormat/>
    <w:pPr/>
    <w:rPr>
      <w:rFonts w:ascii="Arial" w:hAnsi="Arial" w:cs="Arial"/>
      <w:b/>
      <w:caps/>
      <w:sz w:val="16"/>
      <w:szCs w:val="20"/>
      <w:lang w:val="ru-RU"/>
    </w:rPr>
  </w:style>
  <w:style w:type="paragraph" w:styleId="WWHeading4">
    <w:name w:val="WW-Heading 4"/>
    <w:basedOn w:val="Normal"/>
    <w:qFormat/>
    <w:pPr/>
    <w:rPr>
      <w:rFonts w:ascii="Arial" w:hAnsi="Arial" w:cs="Arial"/>
      <w:b/>
      <w:sz w:val="20"/>
      <w:szCs w:val="20"/>
      <w:lang w:val="ru-RU"/>
    </w:rPr>
  </w:style>
  <w:style w:type="paragraph" w:styleId="62">
    <w:name w:val="Основной текст с отступом62"/>
    <w:basedOn w:val="Normal"/>
    <w:qFormat/>
    <w:pPr>
      <w:ind w:firstLine="708"/>
      <w:jc w:val="both"/>
    </w:pPr>
    <w:rPr>
      <w:rFonts w:ascii="Arial" w:hAnsi="Arial" w:cs="Arial"/>
      <w:b/>
      <w:sz w:val="18"/>
      <w:szCs w:val="20"/>
    </w:rPr>
  </w:style>
  <w:style w:type="paragraph" w:styleId="64">
    <w:name w:val="Основной текст с отступом64"/>
    <w:basedOn w:val="Normal"/>
    <w:qFormat/>
    <w:pPr>
      <w:ind w:firstLine="708"/>
      <w:jc w:val="both"/>
    </w:pPr>
    <w:rPr>
      <w:rFonts w:ascii="Arial" w:hAnsi="Arial" w:cs="Arial"/>
      <w:b/>
      <w:sz w:val="18"/>
      <w:szCs w:val="20"/>
    </w:rPr>
  </w:style>
  <w:style w:type="paragraph" w:styleId="63">
    <w:name w:val="Основной текст с отступом63"/>
    <w:basedOn w:val="Normal"/>
    <w:qFormat/>
    <w:pPr>
      <w:ind w:firstLine="708"/>
      <w:jc w:val="both"/>
    </w:pPr>
    <w:rPr>
      <w:rFonts w:ascii="Arial" w:hAnsi="Arial" w:cs="Arial"/>
      <w:b/>
      <w:sz w:val="18"/>
      <w:szCs w:val="20"/>
    </w:rPr>
  </w:style>
  <w:style w:type="paragraph" w:styleId="65">
    <w:name w:val="Основной текст с отступом65"/>
    <w:basedOn w:val="Normal"/>
    <w:qFormat/>
    <w:pPr>
      <w:ind w:firstLine="708"/>
      <w:jc w:val="both"/>
    </w:pPr>
    <w:rPr>
      <w:rFonts w:ascii="Arial" w:hAnsi="Arial" w:cs="Arial"/>
      <w:b/>
      <w:sz w:val="18"/>
      <w:szCs w:val="20"/>
    </w:rPr>
  </w:style>
  <w:style w:type="paragraph" w:styleId="66">
    <w:name w:val="Основной текст с отступом66"/>
    <w:basedOn w:val="Normal"/>
    <w:qFormat/>
    <w:pPr>
      <w:ind w:firstLine="708"/>
      <w:jc w:val="both"/>
    </w:pPr>
    <w:rPr>
      <w:rFonts w:ascii="Arial" w:hAnsi="Arial" w:cs="Arial"/>
      <w:b/>
      <w:sz w:val="18"/>
      <w:szCs w:val="20"/>
    </w:rPr>
  </w:style>
  <w:style w:type="paragraph" w:styleId="67">
    <w:name w:val="Основной текст с отступом67"/>
    <w:basedOn w:val="Normal"/>
    <w:qFormat/>
    <w:pPr>
      <w:ind w:firstLine="708"/>
      <w:jc w:val="both"/>
    </w:pPr>
    <w:rPr>
      <w:rFonts w:ascii="Arial" w:hAnsi="Arial" w:cs="Arial"/>
      <w:b/>
      <w:sz w:val="18"/>
      <w:szCs w:val="20"/>
    </w:rPr>
  </w:style>
  <w:style w:type="paragraph" w:styleId="68">
    <w:name w:val="Основной текст с отступом68"/>
    <w:basedOn w:val="Normal"/>
    <w:qFormat/>
    <w:pPr>
      <w:ind w:firstLine="708"/>
      <w:jc w:val="both"/>
    </w:pPr>
    <w:rPr>
      <w:rFonts w:ascii="Arial" w:hAnsi="Arial" w:cs="Arial"/>
      <w:b/>
      <w:sz w:val="18"/>
      <w:szCs w:val="20"/>
    </w:rPr>
  </w:style>
  <w:style w:type="paragraph" w:styleId="69">
    <w:name w:val="Основной текст с отступом69"/>
    <w:basedOn w:val="Normal"/>
    <w:qFormat/>
    <w:pPr>
      <w:ind w:firstLine="708"/>
      <w:jc w:val="both"/>
    </w:pPr>
    <w:rPr>
      <w:rFonts w:ascii="Arial" w:hAnsi="Arial" w:cs="Arial"/>
      <w:b/>
      <w:sz w:val="18"/>
      <w:szCs w:val="20"/>
    </w:rPr>
  </w:style>
  <w:style w:type="paragraph" w:styleId="70">
    <w:name w:val="Основной текст с отступом70"/>
    <w:basedOn w:val="Normal"/>
    <w:qFormat/>
    <w:pPr>
      <w:ind w:firstLine="708"/>
      <w:jc w:val="both"/>
    </w:pPr>
    <w:rPr>
      <w:rFonts w:ascii="Arial" w:hAnsi="Arial" w:cs="Arial"/>
      <w:b/>
      <w:sz w:val="18"/>
      <w:szCs w:val="20"/>
    </w:rPr>
  </w:style>
  <w:style w:type="paragraph" w:styleId="71">
    <w:name w:val="Основной текст с отступом71"/>
    <w:basedOn w:val="Normal"/>
    <w:qFormat/>
    <w:pPr>
      <w:ind w:firstLine="708"/>
      <w:jc w:val="both"/>
    </w:pPr>
    <w:rPr>
      <w:rFonts w:ascii="Arial" w:hAnsi="Arial" w:cs="Arial"/>
      <w:b/>
      <w:sz w:val="18"/>
      <w:szCs w:val="20"/>
    </w:rPr>
  </w:style>
  <w:style w:type="paragraph" w:styleId="72">
    <w:name w:val="Основной текст с отступом72"/>
    <w:basedOn w:val="Normal"/>
    <w:qFormat/>
    <w:pPr>
      <w:ind w:firstLine="708"/>
      <w:jc w:val="both"/>
    </w:pPr>
    <w:rPr>
      <w:rFonts w:ascii="Arial" w:hAnsi="Arial" w:cs="Arial"/>
      <w:b/>
      <w:sz w:val="18"/>
      <w:szCs w:val="20"/>
    </w:rPr>
  </w:style>
  <w:style w:type="paragraph" w:styleId="142">
    <w:name w:val="Основной текст (14)"/>
    <w:basedOn w:val="Normal"/>
    <w:qFormat/>
    <w:pPr>
      <w:widowControl w:val="false"/>
      <w:shd w:fill="FFFFFF" w:val="clear"/>
      <w:spacing w:lineRule="exact" w:line="278"/>
      <w:jc w:val="center"/>
    </w:pPr>
    <w:rPr>
      <w:rFonts w:eastAsia="Calibri"/>
      <w:sz w:val="21"/>
      <w:szCs w:val="21"/>
    </w:rPr>
  </w:style>
  <w:style w:type="paragraph" w:styleId="73">
    <w:name w:val="Основной текст с отступом73"/>
    <w:basedOn w:val="Normal"/>
    <w:qFormat/>
    <w:pPr>
      <w:ind w:firstLine="708"/>
      <w:jc w:val="both"/>
    </w:pPr>
    <w:rPr>
      <w:rFonts w:ascii="Arial" w:hAnsi="Arial" w:cs="Arial"/>
      <w:b/>
      <w:sz w:val="18"/>
      <w:szCs w:val="20"/>
    </w:rPr>
  </w:style>
  <w:style w:type="paragraph" w:styleId="74">
    <w:name w:val="Основной текст с отступом74"/>
    <w:basedOn w:val="Normal"/>
    <w:qFormat/>
    <w:pPr>
      <w:ind w:firstLine="708"/>
      <w:jc w:val="both"/>
    </w:pPr>
    <w:rPr>
      <w:rFonts w:ascii="Arial" w:hAnsi="Arial" w:cs="Arial"/>
      <w:b/>
      <w:sz w:val="18"/>
      <w:szCs w:val="20"/>
    </w:rPr>
  </w:style>
  <w:style w:type="paragraph" w:styleId="75">
    <w:name w:val="Основной текст с отступом75"/>
    <w:basedOn w:val="Normal"/>
    <w:qFormat/>
    <w:pPr>
      <w:ind w:firstLine="708"/>
      <w:jc w:val="both"/>
    </w:pPr>
    <w:rPr>
      <w:rFonts w:ascii="Arial" w:hAnsi="Arial" w:cs="Arial"/>
      <w:b/>
      <w:sz w:val="18"/>
      <w:szCs w:val="20"/>
    </w:rPr>
  </w:style>
  <w:style w:type="paragraph" w:styleId="76">
    <w:name w:val="Основной текст с отступом76"/>
    <w:basedOn w:val="Normal"/>
    <w:qFormat/>
    <w:pPr>
      <w:ind w:firstLine="708"/>
      <w:jc w:val="both"/>
    </w:pPr>
    <w:rPr>
      <w:rFonts w:ascii="Arial" w:hAnsi="Arial" w:cs="Arial"/>
      <w:b/>
      <w:sz w:val="18"/>
      <w:szCs w:val="20"/>
    </w:rPr>
  </w:style>
  <w:style w:type="paragraph" w:styleId="77">
    <w:name w:val="Основной текст с отступом77"/>
    <w:basedOn w:val="Normal"/>
    <w:qFormat/>
    <w:pPr>
      <w:ind w:firstLine="708"/>
      <w:jc w:val="both"/>
    </w:pPr>
    <w:rPr>
      <w:rFonts w:ascii="Arial" w:hAnsi="Arial" w:cs="Arial"/>
      <w:b/>
      <w:sz w:val="18"/>
      <w:szCs w:val="20"/>
    </w:rPr>
  </w:style>
  <w:style w:type="paragraph" w:styleId="78">
    <w:name w:val="Основной текст с отступом78"/>
    <w:basedOn w:val="Normal"/>
    <w:qFormat/>
    <w:pPr>
      <w:ind w:firstLine="708"/>
      <w:jc w:val="both"/>
    </w:pPr>
    <w:rPr>
      <w:rFonts w:ascii="Arial" w:hAnsi="Arial" w:cs="Arial"/>
      <w:b/>
      <w:sz w:val="18"/>
      <w:szCs w:val="20"/>
    </w:rPr>
  </w:style>
  <w:style w:type="paragraph" w:styleId="79">
    <w:name w:val="Основной текст с отступом79"/>
    <w:basedOn w:val="Normal"/>
    <w:qFormat/>
    <w:pPr>
      <w:ind w:firstLine="708"/>
      <w:jc w:val="both"/>
    </w:pPr>
    <w:rPr>
      <w:rFonts w:ascii="Arial" w:hAnsi="Arial" w:cs="Arial"/>
      <w:b/>
      <w:sz w:val="18"/>
      <w:szCs w:val="20"/>
    </w:rPr>
  </w:style>
  <w:style w:type="paragraph" w:styleId="81">
    <w:name w:val="Основной текст с отступом81"/>
    <w:basedOn w:val="Normal"/>
    <w:qFormat/>
    <w:pPr>
      <w:ind w:firstLine="708"/>
      <w:jc w:val="both"/>
    </w:pPr>
    <w:rPr>
      <w:rFonts w:ascii="Arial" w:hAnsi="Arial" w:cs="Arial"/>
      <w:b/>
      <w:sz w:val="18"/>
      <w:szCs w:val="20"/>
    </w:rPr>
  </w:style>
  <w:style w:type="paragraph" w:styleId="82">
    <w:name w:val="Основной текст с отступом82"/>
    <w:basedOn w:val="Normal"/>
    <w:qFormat/>
    <w:pPr>
      <w:ind w:firstLine="708"/>
      <w:jc w:val="both"/>
    </w:pPr>
    <w:rPr>
      <w:rFonts w:ascii="Arial" w:hAnsi="Arial" w:cs="Arial"/>
      <w:b/>
      <w:sz w:val="18"/>
      <w:szCs w:val="20"/>
    </w:rPr>
  </w:style>
  <w:style w:type="paragraph" w:styleId="84">
    <w:name w:val="Основной текст с отступом84"/>
    <w:basedOn w:val="Normal"/>
    <w:qFormat/>
    <w:pPr>
      <w:ind w:firstLine="708"/>
      <w:jc w:val="both"/>
    </w:pPr>
    <w:rPr>
      <w:rFonts w:ascii="Arial" w:hAnsi="Arial" w:cs="Arial"/>
      <w:b/>
      <w:sz w:val="18"/>
      <w:szCs w:val="20"/>
    </w:rPr>
  </w:style>
  <w:style w:type="paragraph" w:styleId="85">
    <w:name w:val="Основной текст с отступом85"/>
    <w:basedOn w:val="Normal"/>
    <w:qFormat/>
    <w:pPr>
      <w:ind w:firstLine="708"/>
      <w:jc w:val="both"/>
    </w:pPr>
    <w:rPr>
      <w:rFonts w:ascii="Arial" w:hAnsi="Arial" w:cs="Arial"/>
      <w:b/>
      <w:sz w:val="18"/>
      <w:szCs w:val="20"/>
    </w:rPr>
  </w:style>
  <w:style w:type="paragraph" w:styleId="86">
    <w:name w:val="Основной текст с отступом86"/>
    <w:basedOn w:val="Normal"/>
    <w:qFormat/>
    <w:pPr>
      <w:ind w:firstLine="708"/>
      <w:jc w:val="both"/>
    </w:pPr>
    <w:rPr>
      <w:rFonts w:ascii="Arial" w:hAnsi="Arial" w:cs="Arial"/>
      <w:b/>
      <w:sz w:val="18"/>
      <w:szCs w:val="20"/>
    </w:rPr>
  </w:style>
  <w:style w:type="paragraph" w:styleId="87">
    <w:name w:val="Основной текст с отступом87"/>
    <w:basedOn w:val="Normal"/>
    <w:qFormat/>
    <w:pPr>
      <w:ind w:firstLine="708"/>
      <w:jc w:val="both"/>
    </w:pPr>
    <w:rPr>
      <w:rFonts w:ascii="Arial" w:hAnsi="Arial" w:cs="Arial"/>
      <w:b/>
      <w:sz w:val="18"/>
      <w:szCs w:val="20"/>
    </w:rPr>
  </w:style>
  <w:style w:type="paragraph" w:styleId="88">
    <w:name w:val="Основной текст с отступом88"/>
    <w:basedOn w:val="Normal"/>
    <w:qFormat/>
    <w:pPr>
      <w:ind w:firstLine="708"/>
      <w:jc w:val="both"/>
    </w:pPr>
    <w:rPr>
      <w:rFonts w:ascii="Arial" w:hAnsi="Arial" w:cs="Arial"/>
      <w:b/>
      <w:sz w:val="18"/>
      <w:szCs w:val="20"/>
    </w:rPr>
  </w:style>
  <w:style w:type="paragraph" w:styleId="89">
    <w:name w:val="Основной текст с отступом89"/>
    <w:basedOn w:val="Normal"/>
    <w:qFormat/>
    <w:pPr>
      <w:ind w:firstLine="708"/>
      <w:jc w:val="both"/>
    </w:pPr>
    <w:rPr>
      <w:rFonts w:ascii="Arial" w:hAnsi="Arial" w:cs="Arial"/>
      <w:b/>
      <w:sz w:val="18"/>
      <w:szCs w:val="20"/>
    </w:rPr>
  </w:style>
  <w:style w:type="paragraph" w:styleId="91">
    <w:name w:val="Основной текст с отступом91"/>
    <w:basedOn w:val="Normal"/>
    <w:qFormat/>
    <w:pPr>
      <w:ind w:firstLine="708"/>
      <w:jc w:val="both"/>
    </w:pPr>
    <w:rPr>
      <w:rFonts w:ascii="Arial" w:hAnsi="Arial" w:cs="Arial"/>
      <w:b/>
      <w:sz w:val="18"/>
      <w:szCs w:val="20"/>
    </w:rPr>
  </w:style>
  <w:style w:type="paragraph" w:styleId="92">
    <w:name w:val="Основной текст с отступом92"/>
    <w:basedOn w:val="Normal"/>
    <w:qFormat/>
    <w:pPr>
      <w:ind w:firstLine="708"/>
      <w:jc w:val="both"/>
    </w:pPr>
    <w:rPr>
      <w:rFonts w:ascii="Arial" w:hAnsi="Arial" w:cs="Arial"/>
      <w:b/>
      <w:sz w:val="18"/>
      <w:szCs w:val="20"/>
    </w:rPr>
  </w:style>
  <w:style w:type="paragraph" w:styleId="93">
    <w:name w:val="Основной текст с отступом93"/>
    <w:basedOn w:val="Normal"/>
    <w:qFormat/>
    <w:pPr>
      <w:ind w:firstLine="708"/>
      <w:jc w:val="both"/>
    </w:pPr>
    <w:rPr>
      <w:rFonts w:ascii="Arial" w:hAnsi="Arial" w:cs="Arial"/>
      <w:b/>
      <w:sz w:val="18"/>
      <w:szCs w:val="20"/>
    </w:rPr>
  </w:style>
  <w:style w:type="paragraph" w:styleId="94">
    <w:name w:val="Основной текст с отступом94"/>
    <w:basedOn w:val="Normal"/>
    <w:qFormat/>
    <w:pPr>
      <w:ind w:firstLine="708"/>
      <w:jc w:val="both"/>
    </w:pPr>
    <w:rPr>
      <w:rFonts w:ascii="Arial" w:hAnsi="Arial" w:cs="Arial"/>
      <w:b/>
      <w:sz w:val="18"/>
      <w:szCs w:val="20"/>
    </w:rPr>
  </w:style>
  <w:style w:type="paragraph" w:styleId="95">
    <w:name w:val="Основной текст с отступом95"/>
    <w:basedOn w:val="Normal"/>
    <w:qFormat/>
    <w:pPr>
      <w:ind w:firstLine="708"/>
      <w:jc w:val="both"/>
    </w:pPr>
    <w:rPr>
      <w:rFonts w:ascii="Arial" w:hAnsi="Arial" w:cs="Arial"/>
      <w:b/>
      <w:sz w:val="18"/>
      <w:szCs w:val="20"/>
    </w:rPr>
  </w:style>
  <w:style w:type="paragraph" w:styleId="97">
    <w:name w:val="Основной текст с отступом97"/>
    <w:basedOn w:val="Normal"/>
    <w:qFormat/>
    <w:pPr>
      <w:ind w:firstLine="708"/>
      <w:jc w:val="both"/>
    </w:pPr>
    <w:rPr>
      <w:rFonts w:ascii="Arial" w:hAnsi="Arial" w:cs="Arial"/>
      <w:b/>
      <w:sz w:val="18"/>
      <w:szCs w:val="20"/>
    </w:rPr>
  </w:style>
  <w:style w:type="paragraph" w:styleId="99">
    <w:name w:val="Основной текст с отступом99"/>
    <w:basedOn w:val="Normal"/>
    <w:qFormat/>
    <w:pPr>
      <w:ind w:firstLine="708"/>
      <w:jc w:val="both"/>
    </w:pPr>
    <w:rPr>
      <w:rFonts w:ascii="Arial" w:hAnsi="Arial" w:cs="Arial"/>
      <w:b/>
      <w:sz w:val="18"/>
      <w:szCs w:val="20"/>
    </w:rPr>
  </w:style>
  <w:style w:type="paragraph" w:styleId="100">
    <w:name w:val="Основной текст с отступом100"/>
    <w:basedOn w:val="Normal"/>
    <w:qFormat/>
    <w:pPr>
      <w:ind w:firstLine="708"/>
      <w:jc w:val="both"/>
    </w:pPr>
    <w:rPr>
      <w:rFonts w:ascii="Arial" w:hAnsi="Arial" w:cs="Arial"/>
      <w:b/>
      <w:sz w:val="18"/>
      <w:szCs w:val="20"/>
    </w:rPr>
  </w:style>
  <w:style w:type="paragraph" w:styleId="101">
    <w:name w:val="Основной текст с отступом101"/>
    <w:basedOn w:val="Normal"/>
    <w:qFormat/>
    <w:pPr>
      <w:ind w:firstLine="708"/>
      <w:jc w:val="both"/>
    </w:pPr>
    <w:rPr>
      <w:rFonts w:ascii="Arial" w:hAnsi="Arial" w:cs="Arial"/>
      <w:b/>
      <w:sz w:val="18"/>
      <w:szCs w:val="20"/>
    </w:rPr>
  </w:style>
  <w:style w:type="paragraph" w:styleId="102">
    <w:name w:val="Основной текст с отступом102"/>
    <w:basedOn w:val="Normal"/>
    <w:qFormat/>
    <w:pPr>
      <w:ind w:firstLine="708"/>
      <w:jc w:val="both"/>
    </w:pPr>
    <w:rPr>
      <w:rFonts w:ascii="Arial" w:hAnsi="Arial" w:cs="Arial"/>
      <w:b/>
      <w:sz w:val="18"/>
      <w:szCs w:val="20"/>
    </w:rPr>
  </w:style>
  <w:style w:type="paragraph" w:styleId="103">
    <w:name w:val="Основной текст с отступом103"/>
    <w:basedOn w:val="Normal"/>
    <w:qFormat/>
    <w:pPr>
      <w:ind w:firstLine="708"/>
      <w:jc w:val="both"/>
    </w:pPr>
    <w:rPr>
      <w:rFonts w:ascii="Arial" w:hAnsi="Arial" w:cs="Arial"/>
      <w:b/>
      <w:sz w:val="18"/>
      <w:szCs w:val="20"/>
    </w:rPr>
  </w:style>
  <w:style w:type="paragraph" w:styleId="104">
    <w:name w:val="Основной текст с отступом104"/>
    <w:basedOn w:val="Normal"/>
    <w:qFormat/>
    <w:pPr>
      <w:ind w:firstLine="708"/>
      <w:jc w:val="both"/>
    </w:pPr>
    <w:rPr>
      <w:rFonts w:ascii="Arial" w:hAnsi="Arial" w:cs="Arial"/>
      <w:b/>
      <w:sz w:val="18"/>
      <w:szCs w:val="20"/>
    </w:rPr>
  </w:style>
  <w:style w:type="paragraph" w:styleId="105">
    <w:name w:val="Основной текст с отступом105"/>
    <w:basedOn w:val="Normal"/>
    <w:qFormat/>
    <w:pPr>
      <w:ind w:firstLine="708"/>
      <w:jc w:val="both"/>
    </w:pPr>
    <w:rPr>
      <w:rFonts w:ascii="Arial" w:hAnsi="Arial" w:cs="Arial"/>
      <w:b/>
      <w:sz w:val="18"/>
      <w:szCs w:val="20"/>
    </w:rPr>
  </w:style>
  <w:style w:type="paragraph" w:styleId="107">
    <w:name w:val="Основной текст с отступом107"/>
    <w:basedOn w:val="Normal"/>
    <w:qFormat/>
    <w:pPr>
      <w:ind w:firstLine="708"/>
      <w:jc w:val="both"/>
    </w:pPr>
    <w:rPr>
      <w:rFonts w:ascii="Arial" w:hAnsi="Arial" w:cs="Arial"/>
      <w:b/>
      <w:sz w:val="18"/>
      <w:szCs w:val="20"/>
    </w:rPr>
  </w:style>
  <w:style w:type="paragraph" w:styleId="109">
    <w:name w:val="Основной текст с отступом109"/>
    <w:basedOn w:val="Normal"/>
    <w:qFormat/>
    <w:pPr>
      <w:ind w:firstLine="708"/>
      <w:jc w:val="both"/>
    </w:pPr>
    <w:rPr>
      <w:rFonts w:ascii="Arial" w:hAnsi="Arial" w:cs="Arial"/>
      <w:b/>
      <w:sz w:val="18"/>
      <w:szCs w:val="20"/>
    </w:rPr>
  </w:style>
  <w:style w:type="paragraph" w:styleId="1111">
    <w:name w:val="Основной текст с отступом111"/>
    <w:basedOn w:val="Normal"/>
    <w:qFormat/>
    <w:pPr>
      <w:ind w:firstLine="708"/>
      <w:jc w:val="both"/>
    </w:pPr>
    <w:rPr>
      <w:rFonts w:ascii="Arial" w:hAnsi="Arial" w:cs="Arial"/>
      <w:b/>
      <w:sz w:val="18"/>
      <w:szCs w:val="20"/>
    </w:rPr>
  </w:style>
  <w:style w:type="paragraph" w:styleId="1121">
    <w:name w:val="Основной текст с отступом112"/>
    <w:basedOn w:val="Normal"/>
    <w:qFormat/>
    <w:pPr>
      <w:ind w:firstLine="708"/>
      <w:jc w:val="both"/>
    </w:pPr>
    <w:rPr>
      <w:rFonts w:ascii="Arial" w:hAnsi="Arial" w:cs="Arial"/>
      <w:b/>
      <w:sz w:val="18"/>
      <w:szCs w:val="20"/>
    </w:rPr>
  </w:style>
  <w:style w:type="paragraph" w:styleId="113">
    <w:name w:val="Основной текст с отступом113"/>
    <w:basedOn w:val="Normal"/>
    <w:qFormat/>
    <w:pPr>
      <w:ind w:firstLine="708"/>
      <w:jc w:val="both"/>
    </w:pPr>
    <w:rPr>
      <w:rFonts w:ascii="Arial" w:hAnsi="Arial" w:cs="Arial"/>
      <w:b/>
      <w:sz w:val="18"/>
      <w:szCs w:val="20"/>
    </w:rPr>
  </w:style>
  <w:style w:type="paragraph" w:styleId="114">
    <w:name w:val="Основной текст с отступом114"/>
    <w:basedOn w:val="Normal"/>
    <w:qFormat/>
    <w:pPr>
      <w:ind w:firstLine="708"/>
      <w:jc w:val="both"/>
    </w:pPr>
    <w:rPr>
      <w:rFonts w:ascii="Arial" w:hAnsi="Arial" w:cs="Arial"/>
      <w:b/>
      <w:sz w:val="18"/>
      <w:szCs w:val="20"/>
    </w:rPr>
  </w:style>
  <w:style w:type="paragraph" w:styleId="115">
    <w:name w:val="Основной текст с отступом115"/>
    <w:basedOn w:val="Normal"/>
    <w:qFormat/>
    <w:pPr>
      <w:ind w:firstLine="708"/>
      <w:jc w:val="both"/>
    </w:pPr>
    <w:rPr>
      <w:rFonts w:ascii="Arial" w:hAnsi="Arial" w:cs="Arial"/>
      <w:b/>
      <w:sz w:val="18"/>
      <w:szCs w:val="20"/>
    </w:rPr>
  </w:style>
  <w:style w:type="paragraph" w:styleId="116">
    <w:name w:val="Основной текст с отступом116"/>
    <w:basedOn w:val="Normal"/>
    <w:qFormat/>
    <w:pPr>
      <w:ind w:firstLine="708"/>
      <w:jc w:val="both"/>
    </w:pPr>
    <w:rPr>
      <w:rFonts w:ascii="Arial" w:hAnsi="Arial" w:cs="Arial"/>
      <w:b/>
      <w:sz w:val="18"/>
      <w:szCs w:val="20"/>
    </w:rPr>
  </w:style>
  <w:style w:type="paragraph" w:styleId="117">
    <w:name w:val="Основной текст с отступом117"/>
    <w:basedOn w:val="Normal"/>
    <w:qFormat/>
    <w:pPr>
      <w:ind w:firstLine="708"/>
      <w:jc w:val="both"/>
    </w:pPr>
    <w:rPr>
      <w:rFonts w:ascii="Arial" w:hAnsi="Arial" w:cs="Arial"/>
      <w:b/>
      <w:sz w:val="18"/>
      <w:szCs w:val="20"/>
    </w:rPr>
  </w:style>
  <w:style w:type="paragraph" w:styleId="118">
    <w:name w:val="Основной текст с отступом118"/>
    <w:basedOn w:val="Normal"/>
    <w:qFormat/>
    <w:pPr>
      <w:ind w:firstLine="708"/>
      <w:jc w:val="both"/>
    </w:pPr>
    <w:rPr>
      <w:rFonts w:ascii="Arial" w:hAnsi="Arial" w:cs="Arial"/>
      <w:b/>
      <w:sz w:val="18"/>
      <w:szCs w:val="20"/>
    </w:rPr>
  </w:style>
  <w:style w:type="paragraph" w:styleId="119">
    <w:name w:val="Основной текст с отступом119"/>
    <w:basedOn w:val="Normal"/>
    <w:qFormat/>
    <w:pPr>
      <w:ind w:firstLine="708"/>
      <w:jc w:val="both"/>
    </w:pPr>
    <w:rPr>
      <w:rFonts w:ascii="Arial" w:hAnsi="Arial" w:cs="Arial"/>
      <w:b/>
      <w:sz w:val="18"/>
      <w:szCs w:val="20"/>
    </w:rPr>
  </w:style>
  <w:style w:type="paragraph" w:styleId="120">
    <w:name w:val="Основной текст с отступом120"/>
    <w:basedOn w:val="Normal"/>
    <w:qFormat/>
    <w:pPr>
      <w:ind w:firstLine="708"/>
      <w:jc w:val="both"/>
    </w:pPr>
    <w:rPr>
      <w:rFonts w:ascii="Arial" w:hAnsi="Arial" w:cs="Arial"/>
      <w:b/>
      <w:sz w:val="18"/>
      <w:szCs w:val="20"/>
    </w:rPr>
  </w:style>
  <w:style w:type="paragraph" w:styleId="1211">
    <w:name w:val="Основной текст с отступом121"/>
    <w:basedOn w:val="Normal"/>
    <w:qFormat/>
    <w:pPr>
      <w:ind w:firstLine="708"/>
      <w:jc w:val="both"/>
    </w:pPr>
    <w:rPr>
      <w:rFonts w:ascii="Arial" w:hAnsi="Arial" w:cs="Arial"/>
      <w:b/>
      <w:sz w:val="18"/>
      <w:szCs w:val="20"/>
    </w:rPr>
  </w:style>
  <w:style w:type="paragraph" w:styleId="122">
    <w:name w:val="Основной текст с отступом122"/>
    <w:basedOn w:val="Normal"/>
    <w:qFormat/>
    <w:pPr>
      <w:ind w:firstLine="708"/>
      <w:jc w:val="both"/>
    </w:pPr>
    <w:rPr>
      <w:rFonts w:ascii="Arial" w:hAnsi="Arial" w:cs="Arial"/>
      <w:b/>
      <w:sz w:val="18"/>
      <w:szCs w:val="20"/>
    </w:rPr>
  </w:style>
  <w:style w:type="paragraph" w:styleId="125">
    <w:name w:val="Основной текст с отступом125"/>
    <w:basedOn w:val="Normal"/>
    <w:qFormat/>
    <w:pPr>
      <w:ind w:firstLine="708"/>
      <w:jc w:val="both"/>
    </w:pPr>
    <w:rPr>
      <w:rFonts w:ascii="Arial" w:hAnsi="Arial" w:cs="Arial"/>
      <w:b/>
      <w:sz w:val="18"/>
      <w:szCs w:val="20"/>
    </w:rPr>
  </w:style>
  <w:style w:type="paragraph" w:styleId="124">
    <w:name w:val="Основной текст с отступом124"/>
    <w:basedOn w:val="Normal"/>
    <w:qFormat/>
    <w:pPr>
      <w:ind w:firstLine="708"/>
      <w:jc w:val="both"/>
    </w:pPr>
    <w:rPr>
      <w:rFonts w:ascii="Arial" w:hAnsi="Arial" w:cs="Arial"/>
      <w:b/>
      <w:sz w:val="18"/>
      <w:szCs w:val="20"/>
    </w:rPr>
  </w:style>
  <w:style w:type="paragraph" w:styleId="126">
    <w:name w:val="Основной текст с отступом126"/>
    <w:basedOn w:val="Normal"/>
    <w:qFormat/>
    <w:pPr>
      <w:ind w:firstLine="708"/>
      <w:jc w:val="both"/>
    </w:pPr>
    <w:rPr>
      <w:rFonts w:ascii="Arial" w:hAnsi="Arial" w:cs="Arial"/>
      <w:b/>
      <w:sz w:val="18"/>
      <w:szCs w:val="20"/>
    </w:rPr>
  </w:style>
  <w:style w:type="paragraph" w:styleId="127">
    <w:name w:val="Основной текст с отступом127"/>
    <w:basedOn w:val="Normal"/>
    <w:qFormat/>
    <w:pPr>
      <w:ind w:firstLine="708"/>
      <w:jc w:val="both"/>
    </w:pPr>
    <w:rPr>
      <w:rFonts w:ascii="Arial" w:hAnsi="Arial" w:cs="Arial"/>
      <w:b/>
      <w:sz w:val="18"/>
      <w:szCs w:val="20"/>
    </w:rPr>
  </w:style>
  <w:style w:type="paragraph" w:styleId="128">
    <w:name w:val="Основной текст с отступом128"/>
    <w:basedOn w:val="Normal"/>
    <w:qFormat/>
    <w:pPr>
      <w:ind w:firstLine="708"/>
      <w:jc w:val="both"/>
    </w:pPr>
    <w:rPr>
      <w:rFonts w:ascii="Arial" w:hAnsi="Arial" w:cs="Arial"/>
      <w:b/>
      <w:sz w:val="18"/>
      <w:szCs w:val="20"/>
    </w:rPr>
  </w:style>
  <w:style w:type="paragraph" w:styleId="129">
    <w:name w:val="Основной текст с отступом129"/>
    <w:basedOn w:val="Normal"/>
    <w:qFormat/>
    <w:pPr>
      <w:ind w:firstLine="708"/>
      <w:jc w:val="both"/>
    </w:pPr>
    <w:rPr>
      <w:rFonts w:ascii="Arial" w:hAnsi="Arial" w:cs="Arial"/>
      <w:b/>
      <w:sz w:val="18"/>
      <w:szCs w:val="20"/>
    </w:rPr>
  </w:style>
  <w:style w:type="paragraph" w:styleId="130">
    <w:name w:val="Основной текст с отступом130"/>
    <w:basedOn w:val="Normal"/>
    <w:qFormat/>
    <w:pPr>
      <w:ind w:firstLine="708"/>
      <w:jc w:val="both"/>
    </w:pPr>
    <w:rPr>
      <w:rFonts w:ascii="Arial" w:hAnsi="Arial" w:cs="Arial"/>
      <w:b/>
      <w:sz w:val="18"/>
      <w:szCs w:val="20"/>
    </w:rPr>
  </w:style>
  <w:style w:type="paragraph" w:styleId="131">
    <w:name w:val="Основной текст с отступом131"/>
    <w:basedOn w:val="Normal"/>
    <w:qFormat/>
    <w:pPr>
      <w:ind w:firstLine="708"/>
      <w:jc w:val="both"/>
    </w:pPr>
    <w:rPr>
      <w:rFonts w:ascii="Arial" w:hAnsi="Arial" w:cs="Arial"/>
      <w:b/>
      <w:sz w:val="18"/>
      <w:szCs w:val="20"/>
    </w:rPr>
  </w:style>
  <w:style w:type="paragraph" w:styleId="133">
    <w:name w:val="Основной текст с отступом133"/>
    <w:basedOn w:val="Normal"/>
    <w:qFormat/>
    <w:pPr>
      <w:ind w:firstLine="708"/>
      <w:jc w:val="both"/>
    </w:pPr>
    <w:rPr>
      <w:rFonts w:ascii="Arial" w:hAnsi="Arial" w:cs="Arial"/>
      <w:b/>
      <w:sz w:val="18"/>
      <w:szCs w:val="20"/>
    </w:rPr>
  </w:style>
  <w:style w:type="paragraph" w:styleId="132">
    <w:name w:val="Основной текст с отступом132"/>
    <w:basedOn w:val="Normal"/>
    <w:qFormat/>
    <w:pPr>
      <w:ind w:firstLine="708"/>
      <w:jc w:val="both"/>
    </w:pPr>
    <w:rPr>
      <w:rFonts w:ascii="Arial" w:hAnsi="Arial" w:cs="Arial"/>
      <w:b/>
      <w:sz w:val="18"/>
      <w:szCs w:val="20"/>
    </w:rPr>
  </w:style>
  <w:style w:type="paragraph" w:styleId="135">
    <w:name w:val="Основной текст с отступом135"/>
    <w:basedOn w:val="Normal"/>
    <w:qFormat/>
    <w:pPr>
      <w:ind w:firstLine="708"/>
      <w:jc w:val="both"/>
    </w:pPr>
    <w:rPr>
      <w:rFonts w:ascii="Arial" w:hAnsi="Arial" w:cs="Arial"/>
      <w:b/>
      <w:sz w:val="18"/>
      <w:szCs w:val="20"/>
    </w:rPr>
  </w:style>
  <w:style w:type="paragraph" w:styleId="136">
    <w:name w:val="Основной текст с отступом136"/>
    <w:basedOn w:val="Normal"/>
    <w:qFormat/>
    <w:pPr>
      <w:ind w:firstLine="708"/>
      <w:jc w:val="both"/>
    </w:pPr>
    <w:rPr>
      <w:rFonts w:ascii="Arial" w:hAnsi="Arial" w:cs="Arial"/>
      <w:b/>
      <w:sz w:val="18"/>
      <w:szCs w:val="20"/>
    </w:rPr>
  </w:style>
  <w:style w:type="paragraph" w:styleId="137">
    <w:name w:val="Основной текст с отступом137"/>
    <w:basedOn w:val="Normal"/>
    <w:qFormat/>
    <w:pPr>
      <w:ind w:firstLine="708"/>
      <w:jc w:val="both"/>
    </w:pPr>
    <w:rPr>
      <w:rFonts w:ascii="Arial" w:hAnsi="Arial" w:cs="Arial"/>
      <w:b/>
      <w:sz w:val="18"/>
      <w:szCs w:val="20"/>
    </w:rPr>
  </w:style>
  <w:style w:type="paragraph" w:styleId="138">
    <w:name w:val="Основной текст с отступом138"/>
    <w:basedOn w:val="Normal"/>
    <w:qFormat/>
    <w:pPr>
      <w:ind w:firstLine="708"/>
      <w:jc w:val="both"/>
    </w:pPr>
    <w:rPr>
      <w:rFonts w:ascii="Arial" w:hAnsi="Arial" w:cs="Arial"/>
      <w:b/>
      <w:sz w:val="18"/>
      <w:szCs w:val="20"/>
    </w:rPr>
  </w:style>
  <w:style w:type="paragraph" w:styleId="139">
    <w:name w:val="Основной текст с отступом139"/>
    <w:basedOn w:val="Normal"/>
    <w:qFormat/>
    <w:pPr>
      <w:ind w:firstLine="708"/>
      <w:jc w:val="both"/>
    </w:pPr>
    <w:rPr>
      <w:rFonts w:ascii="Arial" w:hAnsi="Arial" w:cs="Arial"/>
      <w:b/>
      <w:sz w:val="18"/>
      <w:szCs w:val="20"/>
    </w:rPr>
  </w:style>
  <w:style w:type="paragraph" w:styleId="140">
    <w:name w:val="Основной текст с отступом140"/>
    <w:basedOn w:val="Normal"/>
    <w:qFormat/>
    <w:pPr>
      <w:ind w:firstLine="708"/>
      <w:jc w:val="both"/>
    </w:pPr>
    <w:rPr>
      <w:rFonts w:ascii="Arial" w:hAnsi="Arial" w:cs="Arial"/>
      <w:b/>
      <w:sz w:val="18"/>
      <w:szCs w:val="20"/>
    </w:rPr>
  </w:style>
  <w:style w:type="paragraph" w:styleId="1411">
    <w:name w:val="Основной текст с отступом141"/>
    <w:basedOn w:val="Normal"/>
    <w:qFormat/>
    <w:pPr>
      <w:ind w:firstLine="708"/>
      <w:jc w:val="both"/>
    </w:pPr>
    <w:rPr>
      <w:rFonts w:ascii="Arial" w:hAnsi="Arial" w:cs="Arial"/>
      <w:b/>
      <w:sz w:val="18"/>
      <w:szCs w:val="20"/>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cs="Arial"/>
      <w:sz w:val="28"/>
      <w:szCs w:val="20"/>
      <w:lang w:val="ru-RU"/>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eastAsia="Calibri" w:cs="Arial"/>
      <w:sz w:val="18"/>
      <w:szCs w:val="20"/>
      <w:lang w:val="ru-RU"/>
    </w:rPr>
  </w:style>
  <w:style w:type="paragraph" w:styleId="Msonormal">
    <w:name w:val="msonormal"/>
    <w:basedOn w:val="Normal"/>
    <w:qFormat/>
    <w:pPr>
      <w:spacing w:before="280" w:after="280"/>
    </w:pPr>
    <w:rPr>
      <w:rFonts w:eastAsia="Calibri"/>
      <w:lang w:val="en-US"/>
    </w:rPr>
  </w:style>
  <w:style w:type="paragraph" w:styleId="27">
    <w:name w:val="Основной текст 2"/>
    <w:basedOn w:val="Normal"/>
    <w:qFormat/>
    <w:pPr/>
    <w:rPr>
      <w:rFonts w:eastAsia="Calibri"/>
      <w:lang w:val="en-US"/>
    </w:rPr>
  </w:style>
  <w:style w:type="paragraph" w:styleId="Style28">
    <w:name w:val="Название"/>
    <w:basedOn w:val="Normal"/>
    <w:qFormat/>
    <w:pPr/>
    <w:rPr>
      <w:rFonts w:ascii="Cambria" w:hAnsi="Cambria" w:eastAsia="Calibri" w:cs="Cambria"/>
      <w:color w:val="17365D"/>
      <w:spacing w:val="5"/>
      <w:sz w:val="20"/>
      <w:szCs w:val="20"/>
      <w:lang w:val="en-US"/>
    </w:rPr>
  </w:style>
  <w:style w:type="paragraph" w:styleId="210">
    <w:name w:val="Верхній колонтитул2"/>
    <w:basedOn w:val="Normal"/>
    <w:qFormat/>
    <w:pPr/>
    <w:rPr>
      <w:rFonts w:ascii="Calibri" w:hAnsi="Calibri" w:eastAsia="Calibri" w:cs="Calibri"/>
      <w:sz w:val="20"/>
      <w:szCs w:val="20"/>
      <w:lang w:val="en-US"/>
    </w:rPr>
  </w:style>
  <w:style w:type="paragraph" w:styleId="213">
    <w:name w:val="Нижній колонтитул2"/>
    <w:basedOn w:val="Normal"/>
    <w:qFormat/>
    <w:pPr/>
    <w:rPr>
      <w:rFonts w:ascii="Calibri" w:hAnsi="Calibri" w:eastAsia="Calibri" w:cs="Calibri"/>
      <w:sz w:val="20"/>
      <w:szCs w:val="20"/>
      <w:lang w:val="en-US"/>
    </w:rPr>
  </w:style>
  <w:style w:type="paragraph" w:styleId="214">
    <w:name w:val="Назва2"/>
    <w:basedOn w:val="Normal"/>
    <w:qFormat/>
    <w:pPr/>
    <w:rPr>
      <w:rFonts w:ascii="Calibri Light" w:hAnsi="Calibri Light" w:eastAsia="Calibri" w:cs="Calibri Light"/>
      <w:spacing w:val="-10"/>
      <w:sz w:val="20"/>
      <w:szCs w:val="20"/>
      <w:lang w:val="en-US"/>
    </w:rPr>
  </w:style>
  <w:style w:type="paragraph" w:styleId="223">
    <w:name w:val="Основний текст 22"/>
    <w:basedOn w:val="Normal"/>
    <w:qFormat/>
    <w:pPr/>
    <w:rPr>
      <w:rFonts w:ascii="Calibri" w:hAnsi="Calibri" w:eastAsia="Calibri" w:cs="Calibri"/>
      <w:sz w:val="20"/>
      <w:szCs w:val="20"/>
      <w:lang w:val="en-US"/>
    </w:rPr>
  </w:style>
  <w:style w:type="paragraph" w:styleId="215">
    <w:name w:val="Текст у виносці2"/>
    <w:basedOn w:val="Normal"/>
    <w:qFormat/>
    <w:pPr/>
    <w:rPr>
      <w:rFonts w:ascii="Segoe UI" w:hAnsi="Segoe UI" w:eastAsia="Calibri" w:cs="Segoe UI"/>
      <w:sz w:val="20"/>
      <w:szCs w:val="20"/>
      <w:lang w:val="en-US"/>
    </w:rPr>
  </w:style>
  <w:style w:type="paragraph" w:styleId="143">
    <w:name w:val="Основной текст с отступом143"/>
    <w:basedOn w:val="Normal"/>
    <w:qFormat/>
    <w:pPr>
      <w:ind w:firstLine="708"/>
      <w:jc w:val="both"/>
    </w:pPr>
    <w:rPr>
      <w:rFonts w:ascii="Arial" w:hAnsi="Arial" w:cs="Arial"/>
      <w:b/>
      <w:sz w:val="18"/>
      <w:szCs w:val="20"/>
      <w:lang w:val="en-US"/>
    </w:rPr>
  </w:style>
  <w:style w:type="paragraph" w:styleId="144">
    <w:name w:val="Основной текст с отступом144"/>
    <w:basedOn w:val="Normal"/>
    <w:qFormat/>
    <w:pPr>
      <w:ind w:firstLine="708"/>
      <w:jc w:val="both"/>
    </w:pPr>
    <w:rPr>
      <w:rFonts w:ascii="Arial" w:hAnsi="Arial" w:cs="Arial"/>
      <w:b/>
      <w:sz w:val="18"/>
      <w:szCs w:val="20"/>
      <w:lang w:val="en-US"/>
    </w:rPr>
  </w:style>
  <w:style w:type="paragraph" w:styleId="145">
    <w:name w:val="Основной текст с отступом145"/>
    <w:basedOn w:val="Normal"/>
    <w:qFormat/>
    <w:pPr>
      <w:ind w:firstLine="708"/>
      <w:jc w:val="both"/>
    </w:pPr>
    <w:rPr>
      <w:rFonts w:ascii="Arial" w:hAnsi="Arial" w:cs="Arial"/>
      <w:b/>
      <w:sz w:val="18"/>
      <w:szCs w:val="20"/>
      <w:lang w:val="en-US"/>
    </w:rPr>
  </w:style>
  <w:style w:type="paragraph" w:styleId="147">
    <w:name w:val="Основной текст с отступом147"/>
    <w:basedOn w:val="Normal"/>
    <w:qFormat/>
    <w:pPr>
      <w:ind w:firstLine="708"/>
      <w:jc w:val="both"/>
    </w:pPr>
    <w:rPr>
      <w:rFonts w:ascii="Arial" w:hAnsi="Arial" w:cs="Arial"/>
      <w:b/>
      <w:sz w:val="18"/>
      <w:szCs w:val="20"/>
      <w:lang w:val="en-US"/>
    </w:rPr>
  </w:style>
  <w:style w:type="paragraph" w:styleId="148">
    <w:name w:val="Основной текст с отступом148"/>
    <w:basedOn w:val="Normal"/>
    <w:qFormat/>
    <w:pPr>
      <w:ind w:firstLine="708"/>
      <w:jc w:val="both"/>
    </w:pPr>
    <w:rPr>
      <w:rFonts w:ascii="Arial" w:hAnsi="Arial" w:cs="Arial"/>
      <w:b/>
      <w:sz w:val="18"/>
      <w:szCs w:val="20"/>
      <w:lang w:val="en-US"/>
    </w:rPr>
  </w:style>
  <w:style w:type="paragraph" w:styleId="149">
    <w:name w:val="Основной текст с отступом149"/>
    <w:basedOn w:val="Normal"/>
    <w:qFormat/>
    <w:pPr>
      <w:ind w:firstLine="708"/>
      <w:jc w:val="both"/>
    </w:pPr>
    <w:rPr>
      <w:rFonts w:ascii="Arial" w:hAnsi="Arial" w:cs="Arial"/>
      <w:b/>
      <w:sz w:val="18"/>
      <w:szCs w:val="20"/>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eastAsia="Calibri" w:cs="Arial"/>
      <w:b/>
      <w:sz w:val="18"/>
      <w:szCs w:val="20"/>
      <w:lang w:val="en-US"/>
    </w:rPr>
  </w:style>
  <w:style w:type="paragraph" w:styleId="150">
    <w:name w:val="Основной текст с отступом150"/>
    <w:basedOn w:val="Normal"/>
    <w:qFormat/>
    <w:pPr>
      <w:ind w:firstLine="708"/>
      <w:jc w:val="both"/>
    </w:pPr>
    <w:rPr>
      <w:rFonts w:ascii="Arial" w:hAnsi="Arial" w:cs="Arial"/>
      <w:b/>
      <w:sz w:val="18"/>
      <w:szCs w:val="20"/>
      <w:lang w:val="en-US"/>
    </w:rPr>
  </w:style>
  <w:style w:type="paragraph" w:styleId="156">
    <w:name w:val="Основной текст с отступом156"/>
    <w:basedOn w:val="Normal"/>
    <w:qFormat/>
    <w:pPr>
      <w:ind w:firstLine="708"/>
      <w:jc w:val="both"/>
    </w:pPr>
    <w:rPr>
      <w:rFonts w:ascii="Arial" w:hAnsi="Arial" w:cs="Arial"/>
      <w:b/>
      <w:sz w:val="18"/>
      <w:szCs w:val="20"/>
      <w:lang w:val="en-US"/>
    </w:rPr>
  </w:style>
  <w:style w:type="paragraph" w:styleId="157">
    <w:name w:val="Основной текст с отступом157"/>
    <w:basedOn w:val="Normal"/>
    <w:qFormat/>
    <w:pPr>
      <w:ind w:firstLine="708"/>
      <w:jc w:val="both"/>
    </w:pPr>
    <w:rPr>
      <w:rFonts w:ascii="Arial" w:hAnsi="Arial" w:cs="Arial"/>
      <w:b/>
      <w:sz w:val="18"/>
      <w:szCs w:val="20"/>
      <w:lang w:val="en-US"/>
    </w:rPr>
  </w:style>
  <w:style w:type="paragraph" w:styleId="162">
    <w:name w:val="Основной текст с отступом162"/>
    <w:basedOn w:val="Normal"/>
    <w:qFormat/>
    <w:pPr>
      <w:ind w:firstLine="708"/>
      <w:jc w:val="both"/>
    </w:pPr>
    <w:rPr>
      <w:rFonts w:ascii="Arial" w:hAnsi="Arial" w:cs="Arial"/>
      <w:b/>
      <w:sz w:val="18"/>
      <w:szCs w:val="20"/>
      <w:lang w:val="en-US"/>
    </w:rPr>
  </w:style>
  <w:style w:type="paragraph" w:styleId="163">
    <w:name w:val="Основной текст с отступом163"/>
    <w:basedOn w:val="Normal"/>
    <w:qFormat/>
    <w:pPr>
      <w:ind w:firstLine="708"/>
      <w:jc w:val="both"/>
    </w:pPr>
    <w:rPr>
      <w:rFonts w:ascii="Arial" w:hAnsi="Arial" w:cs="Arial"/>
      <w:b/>
      <w:sz w:val="18"/>
      <w:szCs w:val="20"/>
      <w:lang w:val="en-US"/>
    </w:rPr>
  </w:style>
  <w:style w:type="paragraph" w:styleId="165">
    <w:name w:val="Основной текст с отступом165"/>
    <w:basedOn w:val="Normal"/>
    <w:qFormat/>
    <w:pPr>
      <w:ind w:firstLine="708"/>
      <w:jc w:val="both"/>
    </w:pPr>
    <w:rPr>
      <w:rFonts w:ascii="Arial" w:hAnsi="Arial" w:cs="Arial"/>
      <w:b/>
      <w:sz w:val="18"/>
      <w:szCs w:val="20"/>
      <w:lang w:val="en-US"/>
    </w:rPr>
  </w:style>
  <w:style w:type="paragraph" w:styleId="168">
    <w:name w:val="Основной текст с отступом168"/>
    <w:basedOn w:val="Normal"/>
    <w:qFormat/>
    <w:pPr>
      <w:ind w:firstLine="708"/>
      <w:jc w:val="both"/>
    </w:pPr>
    <w:rPr>
      <w:rFonts w:ascii="Arial" w:hAnsi="Arial" w:cs="Arial"/>
      <w:b/>
      <w:sz w:val="18"/>
      <w:szCs w:val="20"/>
      <w:lang w:val="en-US"/>
    </w:rPr>
  </w:style>
  <w:style w:type="paragraph" w:styleId="169">
    <w:name w:val="Основной текст с отступом169"/>
    <w:basedOn w:val="Normal"/>
    <w:qFormat/>
    <w:pPr>
      <w:ind w:firstLine="708"/>
      <w:jc w:val="both"/>
    </w:pPr>
    <w:rPr>
      <w:rFonts w:ascii="Arial" w:hAnsi="Arial" w:cs="Arial"/>
      <w:b/>
      <w:sz w:val="18"/>
      <w:szCs w:val="20"/>
      <w:lang w:val="en-US"/>
    </w:rPr>
  </w:style>
  <w:style w:type="paragraph" w:styleId="170">
    <w:name w:val="Основной текст с отступом170"/>
    <w:basedOn w:val="Normal"/>
    <w:qFormat/>
    <w:pPr>
      <w:ind w:firstLine="708"/>
      <w:jc w:val="both"/>
    </w:pPr>
    <w:rPr>
      <w:rFonts w:ascii="Arial" w:hAnsi="Arial" w:cs="Arial"/>
      <w:b/>
      <w:sz w:val="18"/>
      <w:szCs w:val="20"/>
      <w:lang w:val="en-US"/>
    </w:rPr>
  </w:style>
  <w:style w:type="paragraph" w:styleId="171">
    <w:name w:val="Основной текст с отступом171"/>
    <w:basedOn w:val="Normal"/>
    <w:qFormat/>
    <w:pPr>
      <w:ind w:firstLine="708"/>
      <w:jc w:val="both"/>
    </w:pPr>
    <w:rPr>
      <w:rFonts w:ascii="Arial" w:hAnsi="Arial" w:cs="Arial"/>
      <w:b/>
      <w:sz w:val="18"/>
      <w:szCs w:val="20"/>
      <w:lang w:val="en-US"/>
    </w:rPr>
  </w:style>
  <w:style w:type="paragraph" w:styleId="172">
    <w:name w:val="Основной текст с отступом172"/>
    <w:basedOn w:val="Normal"/>
    <w:qFormat/>
    <w:pPr>
      <w:ind w:firstLine="708"/>
      <w:jc w:val="both"/>
    </w:pPr>
    <w:rPr>
      <w:rFonts w:ascii="Arial" w:hAnsi="Arial" w:cs="Arial"/>
      <w:b/>
      <w:sz w:val="18"/>
      <w:szCs w:val="20"/>
      <w:lang w:val="en-US"/>
    </w:rPr>
  </w:style>
  <w:style w:type="paragraph" w:styleId="173">
    <w:name w:val="Основной текст с отступом173"/>
    <w:basedOn w:val="Normal"/>
    <w:qFormat/>
    <w:pPr>
      <w:ind w:firstLine="708"/>
      <w:jc w:val="both"/>
    </w:pPr>
    <w:rPr>
      <w:rFonts w:ascii="Arial" w:hAnsi="Arial" w:cs="Arial"/>
      <w:b/>
      <w:sz w:val="18"/>
      <w:szCs w:val="20"/>
      <w:lang w:val="en-US"/>
    </w:rPr>
  </w:style>
  <w:style w:type="paragraph" w:styleId="174">
    <w:name w:val="Основной текст с отступом174"/>
    <w:basedOn w:val="Normal"/>
    <w:qFormat/>
    <w:pPr>
      <w:ind w:firstLine="708"/>
      <w:jc w:val="both"/>
    </w:pPr>
    <w:rPr>
      <w:rFonts w:ascii="Arial" w:hAnsi="Arial" w:cs="Arial"/>
      <w:b/>
      <w:sz w:val="18"/>
      <w:szCs w:val="20"/>
      <w:lang w:val="en-US"/>
    </w:rPr>
  </w:style>
  <w:style w:type="paragraph" w:styleId="175">
    <w:name w:val="Основной текст с отступом175"/>
    <w:basedOn w:val="Normal"/>
    <w:qFormat/>
    <w:pPr>
      <w:ind w:firstLine="708"/>
      <w:jc w:val="both"/>
    </w:pPr>
    <w:rPr>
      <w:rFonts w:ascii="Arial" w:hAnsi="Arial" w:cs="Arial"/>
      <w:b/>
      <w:sz w:val="18"/>
      <w:szCs w:val="20"/>
      <w:lang w:val="en-US"/>
    </w:rPr>
  </w:style>
  <w:style w:type="paragraph" w:styleId="176">
    <w:name w:val="Основной текст с отступом176"/>
    <w:basedOn w:val="Normal"/>
    <w:qFormat/>
    <w:pPr>
      <w:ind w:firstLine="708"/>
      <w:jc w:val="both"/>
    </w:pPr>
    <w:rPr>
      <w:rFonts w:ascii="Arial" w:hAnsi="Arial" w:cs="Arial"/>
      <w:b/>
      <w:sz w:val="18"/>
      <w:szCs w:val="20"/>
      <w:lang w:val="en-US"/>
    </w:rPr>
  </w:style>
  <w:style w:type="paragraph" w:styleId="177">
    <w:name w:val="Основной текст с отступом177"/>
    <w:basedOn w:val="Normal"/>
    <w:qFormat/>
    <w:pPr>
      <w:ind w:firstLine="708"/>
      <w:jc w:val="both"/>
    </w:pPr>
    <w:rPr>
      <w:rFonts w:ascii="Arial" w:hAnsi="Arial" w:cs="Arial"/>
      <w:b/>
      <w:sz w:val="18"/>
      <w:szCs w:val="20"/>
      <w:lang w:val="en-US"/>
    </w:rPr>
  </w:style>
  <w:style w:type="paragraph" w:styleId="178">
    <w:name w:val="Основной текст с отступом178"/>
    <w:basedOn w:val="Normal"/>
    <w:qFormat/>
    <w:pPr>
      <w:ind w:firstLine="708"/>
      <w:jc w:val="both"/>
    </w:pPr>
    <w:rPr>
      <w:rFonts w:ascii="Arial" w:hAnsi="Arial" w:cs="Arial"/>
      <w:b/>
      <w:sz w:val="18"/>
      <w:szCs w:val="20"/>
      <w:lang w:val="en-US"/>
    </w:rPr>
  </w:style>
  <w:style w:type="paragraph" w:styleId="179">
    <w:name w:val="Основной текст с отступом179"/>
    <w:basedOn w:val="Normal"/>
    <w:qFormat/>
    <w:pPr>
      <w:ind w:firstLine="708"/>
      <w:jc w:val="both"/>
    </w:pPr>
    <w:rPr>
      <w:rFonts w:ascii="Arial" w:hAnsi="Arial" w:cs="Arial"/>
      <w:b/>
      <w:sz w:val="18"/>
      <w:szCs w:val="20"/>
      <w:lang w:val="en-US"/>
    </w:rPr>
  </w:style>
  <w:style w:type="paragraph" w:styleId="180">
    <w:name w:val="Основной текст с отступом180"/>
    <w:basedOn w:val="Normal"/>
    <w:qFormat/>
    <w:pPr>
      <w:ind w:firstLine="708"/>
      <w:jc w:val="both"/>
    </w:pPr>
    <w:rPr>
      <w:rFonts w:ascii="Arial" w:hAnsi="Arial" w:cs="Arial"/>
      <w:b/>
      <w:sz w:val="18"/>
      <w:szCs w:val="20"/>
      <w:lang w:val="en-US"/>
    </w:rPr>
  </w:style>
  <w:style w:type="paragraph" w:styleId="181">
    <w:name w:val="Основной текст с отступом181"/>
    <w:basedOn w:val="Normal"/>
    <w:qFormat/>
    <w:pPr>
      <w:ind w:firstLine="708"/>
      <w:jc w:val="both"/>
    </w:pPr>
    <w:rPr>
      <w:rFonts w:ascii="Arial" w:hAnsi="Arial" w:cs="Arial"/>
      <w:b/>
      <w:sz w:val="18"/>
      <w:szCs w:val="20"/>
      <w:lang w:val="en-US"/>
    </w:rPr>
  </w:style>
  <w:style w:type="paragraph" w:styleId="182">
    <w:name w:val="Основной текст с отступом182"/>
    <w:basedOn w:val="Normal"/>
    <w:qFormat/>
    <w:pPr>
      <w:ind w:firstLine="708"/>
      <w:jc w:val="both"/>
    </w:pPr>
    <w:rPr>
      <w:rFonts w:ascii="Arial" w:hAnsi="Arial" w:cs="Arial"/>
      <w:b/>
      <w:sz w:val="18"/>
      <w:szCs w:val="20"/>
      <w:lang w:val="en-US"/>
    </w:rPr>
  </w:style>
  <w:style w:type="paragraph" w:styleId="123">
    <w:name w:val="Верхній колонтитул1"/>
    <w:basedOn w:val="Normal"/>
    <w:qFormat/>
    <w:pPr/>
    <w:rPr>
      <w:rFonts w:ascii="Calibri" w:hAnsi="Calibri" w:eastAsia="Calibri" w:cs="Calibri"/>
      <w:sz w:val="20"/>
      <w:szCs w:val="20"/>
      <w:lang w:val="en-US"/>
    </w:rPr>
  </w:style>
  <w:style w:type="paragraph" w:styleId="134">
    <w:name w:val="Нижній колонтитул1"/>
    <w:basedOn w:val="Normal"/>
    <w:qFormat/>
    <w:pPr/>
    <w:rPr>
      <w:rFonts w:ascii="Calibri" w:hAnsi="Calibri" w:eastAsia="Calibri" w:cs="Calibri"/>
      <w:sz w:val="20"/>
      <w:szCs w:val="20"/>
      <w:lang w:val="en-US"/>
    </w:rPr>
  </w:style>
  <w:style w:type="paragraph" w:styleId="146">
    <w:name w:val="Назва1"/>
    <w:basedOn w:val="Normal"/>
    <w:qFormat/>
    <w:pPr/>
    <w:rPr>
      <w:rFonts w:ascii="Calibri Light" w:hAnsi="Calibri Light" w:eastAsia="Calibri" w:cs="Calibri Light"/>
      <w:spacing w:val="-10"/>
      <w:sz w:val="20"/>
      <w:szCs w:val="20"/>
      <w:lang w:val="en-US"/>
    </w:rPr>
  </w:style>
  <w:style w:type="paragraph" w:styleId="216">
    <w:name w:val="Основний текст 21"/>
    <w:basedOn w:val="Normal"/>
    <w:qFormat/>
    <w:pPr/>
    <w:rPr>
      <w:rFonts w:ascii="Calibri" w:hAnsi="Calibri" w:eastAsia="Calibri" w:cs="Calibri"/>
      <w:sz w:val="20"/>
      <w:szCs w:val="20"/>
      <w:lang w:val="en-US"/>
    </w:rPr>
  </w:style>
  <w:style w:type="paragraph" w:styleId="151">
    <w:name w:val="Текст у виносці1"/>
    <w:basedOn w:val="Normal"/>
    <w:qFormat/>
    <w:pPr/>
    <w:rPr>
      <w:rFonts w:ascii="Segoe UI" w:hAnsi="Segoe UI" w:eastAsia="Calibri" w:cs="Segoe UI"/>
      <w:sz w:val="20"/>
      <w:szCs w:val="20"/>
      <w:lang w:val="en-US"/>
    </w:rPr>
  </w:style>
  <w:style w:type="paragraph" w:styleId="164">
    <w:name w:val="Основной текст с отступом164"/>
    <w:basedOn w:val="Normal"/>
    <w:qFormat/>
    <w:pPr>
      <w:ind w:firstLine="708"/>
      <w:jc w:val="both"/>
    </w:pPr>
    <w:rPr>
      <w:rFonts w:ascii="Arial" w:hAnsi="Arial" w:cs="Arial"/>
      <w:b/>
      <w:sz w:val="18"/>
      <w:szCs w:val="20"/>
      <w:lang w:val="en-US"/>
    </w:rPr>
  </w:style>
  <w:style w:type="paragraph" w:styleId="Arial95">
    <w:name w:val="arial9(жирнбез интерв)"/>
    <w:basedOn w:val="Normal"/>
    <w:qFormat/>
    <w:pPr/>
    <w:rPr>
      <w:rFonts w:ascii="Arial" w:hAnsi="Arial" w:eastAsia="Calibri" w:cs="Arial"/>
      <w:b/>
      <w:sz w:val="18"/>
      <w:szCs w:val="20"/>
      <w:lang w:val="ru-RU"/>
    </w:rPr>
  </w:style>
  <w:style w:type="paragraph" w:styleId="203">
    <w:name w:val="Основной текст с отступом203"/>
    <w:basedOn w:val="Normal"/>
    <w:qFormat/>
    <w:pPr>
      <w:ind w:firstLine="708"/>
      <w:jc w:val="both"/>
    </w:pPr>
    <w:rPr>
      <w:rFonts w:ascii="Arial" w:hAnsi="Arial" w:cs="Arial"/>
      <w:b/>
      <w:sz w:val="18"/>
      <w:szCs w:val="20"/>
      <w:lang w:val="en-US"/>
    </w:rPr>
  </w:style>
  <w:style w:type="paragraph" w:styleId="204">
    <w:name w:val="Основной текст с отступом204"/>
    <w:basedOn w:val="Normal"/>
    <w:qFormat/>
    <w:pPr>
      <w:ind w:firstLine="708"/>
      <w:jc w:val="both"/>
    </w:pPr>
    <w:rPr>
      <w:rFonts w:ascii="Arial" w:hAnsi="Arial" w:cs="Arial"/>
      <w:b/>
      <w:sz w:val="18"/>
      <w:szCs w:val="20"/>
      <w:lang w:val="en-US"/>
    </w:rPr>
  </w:style>
  <w:style w:type="paragraph" w:styleId="217">
    <w:name w:val="Основний текст з відступом2"/>
    <w:basedOn w:val="Normal"/>
    <w:qFormat/>
    <w:pPr>
      <w:ind w:firstLine="708"/>
      <w:jc w:val="both"/>
    </w:pPr>
    <w:rPr>
      <w:rFonts w:ascii="Arial" w:hAnsi="Arial" w:cs="Arial"/>
      <w:b/>
      <w:sz w:val="18"/>
      <w:szCs w:val="20"/>
      <w:lang w:val="en-US"/>
    </w:rPr>
  </w:style>
  <w:style w:type="paragraph" w:styleId="152">
    <w:name w:val="Основний текст з відступом1"/>
    <w:basedOn w:val="Normal"/>
    <w:qFormat/>
    <w:pPr>
      <w:ind w:firstLine="708"/>
      <w:jc w:val="both"/>
    </w:pPr>
    <w:rPr>
      <w:rFonts w:ascii="Arial" w:hAnsi="Arial" w:cs="Arial"/>
      <w:b/>
      <w:sz w:val="18"/>
      <w:szCs w:val="20"/>
      <w:lang w:val="en-US"/>
    </w:rPr>
  </w:style>
  <w:style w:type="paragraph" w:styleId="207">
    <w:name w:val="Основной текст с отступом207"/>
    <w:basedOn w:val="Normal"/>
    <w:qFormat/>
    <w:pPr>
      <w:ind w:firstLine="708"/>
      <w:jc w:val="both"/>
    </w:pPr>
    <w:rPr>
      <w:rFonts w:ascii="Arial" w:hAnsi="Arial" w:cs="Arial"/>
      <w:b/>
      <w:sz w:val="18"/>
      <w:szCs w:val="20"/>
      <w:lang w:val="en-US"/>
    </w:rPr>
  </w:style>
  <w:style w:type="paragraph" w:styleId="2101">
    <w:name w:val="Основной текст с отступом210"/>
    <w:basedOn w:val="Normal"/>
    <w:qFormat/>
    <w:pPr>
      <w:ind w:firstLine="708"/>
      <w:jc w:val="both"/>
    </w:pPr>
    <w:rPr>
      <w:rFonts w:ascii="Arial" w:hAnsi="Arial" w:cs="Arial"/>
      <w:b/>
      <w:sz w:val="18"/>
      <w:szCs w:val="20"/>
      <w:lang w:val="en-US"/>
    </w:rPr>
  </w:style>
  <w:style w:type="paragraph" w:styleId="312">
    <w:name w:val="Основний текст з відступом3"/>
    <w:basedOn w:val="Normal"/>
    <w:qFormat/>
    <w:pPr>
      <w:ind w:firstLine="708"/>
      <w:jc w:val="both"/>
    </w:pPr>
    <w:rPr>
      <w:rFonts w:ascii="Arial" w:hAnsi="Arial" w:cs="Arial"/>
      <w:b/>
      <w:sz w:val="18"/>
      <w:szCs w:val="20"/>
      <w:lang w:val="en-US"/>
    </w:rPr>
  </w:style>
  <w:style w:type="paragraph" w:styleId="2171">
    <w:name w:val="Основной текст с отступом217"/>
    <w:basedOn w:val="Normal"/>
    <w:qFormat/>
    <w:pPr>
      <w:ind w:firstLine="708"/>
      <w:jc w:val="both"/>
    </w:pPr>
    <w:rPr>
      <w:rFonts w:ascii="Arial" w:hAnsi="Arial" w:cs="Arial"/>
      <w:b/>
      <w:sz w:val="18"/>
      <w:szCs w:val="20"/>
      <w:lang w:val="en-US"/>
    </w:rPr>
  </w:style>
  <w:style w:type="paragraph" w:styleId="218">
    <w:name w:val="Основной текст с отступом218"/>
    <w:basedOn w:val="Normal"/>
    <w:qFormat/>
    <w:pPr>
      <w:ind w:firstLine="708"/>
      <w:jc w:val="both"/>
    </w:pPr>
    <w:rPr>
      <w:rFonts w:ascii="Arial" w:hAnsi="Arial" w:cs="Arial"/>
      <w:b/>
      <w:sz w:val="18"/>
      <w:szCs w:val="20"/>
      <w:lang w:val="en-US"/>
    </w:rPr>
  </w:style>
  <w:style w:type="paragraph" w:styleId="219">
    <w:name w:val="Основной текст с отступом219"/>
    <w:basedOn w:val="Normal"/>
    <w:qFormat/>
    <w:pPr>
      <w:ind w:firstLine="708"/>
      <w:jc w:val="both"/>
    </w:pPr>
    <w:rPr>
      <w:rFonts w:ascii="Arial" w:hAnsi="Arial" w:cs="Arial"/>
      <w:b/>
      <w:sz w:val="18"/>
      <w:szCs w:val="20"/>
      <w:lang w:val="en-US"/>
    </w:rPr>
  </w:style>
  <w:style w:type="paragraph" w:styleId="220">
    <w:name w:val="Основной текст с отступом220"/>
    <w:basedOn w:val="Normal"/>
    <w:qFormat/>
    <w:pPr>
      <w:ind w:firstLine="708"/>
      <w:jc w:val="both"/>
    </w:pPr>
    <w:rPr>
      <w:rFonts w:ascii="Arial" w:hAnsi="Arial" w:cs="Arial"/>
      <w:b/>
      <w:sz w:val="18"/>
      <w:szCs w:val="20"/>
      <w:lang w:val="en-US"/>
    </w:rPr>
  </w:style>
  <w:style w:type="paragraph" w:styleId="Style29">
    <w:name w:val="Без интервала"/>
    <w:qFormat/>
    <w:pPr>
      <w:widowControl/>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jc w:val="both"/>
    </w:pPr>
    <w:rPr>
      <w:rFonts w:ascii="Arial" w:hAnsi="Arial" w:cs="Arial"/>
      <w:b/>
      <w:sz w:val="18"/>
      <w:szCs w:val="20"/>
      <w:lang w:val="en-US"/>
    </w:rPr>
  </w:style>
  <w:style w:type="paragraph" w:styleId="2231">
    <w:name w:val="Основной текст с отступом223"/>
    <w:basedOn w:val="Normal"/>
    <w:qFormat/>
    <w:pPr>
      <w:ind w:firstLine="708"/>
      <w:jc w:val="both"/>
    </w:pPr>
    <w:rPr>
      <w:rFonts w:ascii="Arial" w:hAnsi="Arial" w:cs="Arial"/>
      <w:b/>
      <w:sz w:val="18"/>
      <w:szCs w:val="20"/>
      <w:lang w:val="en-US"/>
    </w:rPr>
  </w:style>
  <w:style w:type="paragraph" w:styleId="410">
    <w:name w:val="Основний текст з відступом4"/>
    <w:basedOn w:val="Normal"/>
    <w:qFormat/>
    <w:pPr>
      <w:ind w:firstLine="708"/>
      <w:jc w:val="both"/>
    </w:pPr>
    <w:rPr>
      <w:rFonts w:ascii="Arial" w:hAnsi="Arial" w:cs="Arial"/>
      <w:b/>
      <w:sz w:val="18"/>
      <w:szCs w:val="20"/>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whocc.no/atc_ddd_index/" TargetMode="External"/><Relationship Id="rId3" Type="http://schemas.openxmlformats.org/officeDocument/2006/relationships/hyperlink" Target="https://www.whocc.no/atc_ddd_index/" TargetMode="External"/><Relationship Id="rId4" Type="http://schemas.openxmlformats.org/officeDocument/2006/relationships/hyperlink" Target="https://www.whocc.no/atc_ddd_index/"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261</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2026-10-12T09:06:00Z</dcterms:created>
  <dc:creator>Vitaliya</dc:creator>
  <dc:description/>
  <dc:language>ru-RU</dc:language>
  <cp:lastModifiedBy>Пермінова Тетяна Миколаївна</cp:lastModifiedBy>
  <cp:lastPrinted>2021-12-06T14:34:00Z</cp:lastPrinted>
  <dcterms:modified xsi:type="dcterms:W3CDTF">2026-10-12T13:30:00Z</dcterms:modified>
  <cp:revision>13</cp:revision>
  <dc:subject/>
  <dc:title/>
</cp:coreProperties>
</file>