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111" w:rsidRDefault="007B7340">
      <w:pPr>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741111" w:rsidRDefault="007B7340">
      <w:pPr>
        <w:spacing w:after="0"/>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Наказ Міністерства охорони </w:t>
      </w:r>
    </w:p>
    <w:p w:rsidR="00741111" w:rsidRDefault="007B7340">
      <w:pPr>
        <w:spacing w:after="0"/>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здоров’я України </w:t>
      </w:r>
    </w:p>
    <w:p w:rsidR="00741111" w:rsidRDefault="007B7340">
      <w:pPr>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 №_______</w:t>
      </w:r>
    </w:p>
    <w:p w:rsidR="00741111" w:rsidRDefault="00741111">
      <w:pPr>
        <w:jc w:val="both"/>
        <w:rPr>
          <w:rFonts w:ascii="Times New Roman" w:eastAsia="Times New Roman" w:hAnsi="Times New Roman" w:cs="Times New Roman"/>
          <w:b/>
          <w:bCs/>
          <w:sz w:val="24"/>
          <w:szCs w:val="24"/>
        </w:rPr>
      </w:pPr>
    </w:p>
    <w:p w:rsidR="00741111" w:rsidRDefault="007B734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Вимоги </w:t>
      </w:r>
    </w:p>
    <w:p w:rsidR="00741111" w:rsidRDefault="007B734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 специфікації електронного формату загального технічного документа (eCTD) до Модуля 1 з рекомендаціями щодо подачі матеріалів реєстраційного досьє, періодично оновлюваних звітів з безпеки лікарських засобів  (ПОЗБ)  в електронному форматі загального техн</w:t>
      </w:r>
      <w:r>
        <w:rPr>
          <w:rFonts w:ascii="Times New Roman" w:eastAsia="Times New Roman" w:hAnsi="Times New Roman" w:cs="Times New Roman"/>
          <w:b/>
          <w:bCs/>
          <w:sz w:val="28"/>
          <w:szCs w:val="28"/>
        </w:rPr>
        <w:t>ічного документа (eCTD)</w:t>
      </w:r>
    </w:p>
    <w:p w:rsidR="00741111" w:rsidRDefault="00741111">
      <w:pPr>
        <w:jc w:val="both"/>
        <w:rPr>
          <w:rFonts w:ascii="Times New Roman" w:eastAsia="Times New Roman" w:hAnsi="Times New Roman" w:cs="Times New Roman"/>
          <w:b/>
          <w:bCs/>
          <w:sz w:val="24"/>
          <w:szCs w:val="24"/>
        </w:rPr>
      </w:pPr>
    </w:p>
    <w:p w:rsidR="00741111" w:rsidRDefault="007B7340">
      <w:pPr>
        <w:pBdr>
          <w:top w:val="nil"/>
          <w:left w:val="nil"/>
          <w:bottom w:val="nil"/>
          <w:right w:val="nil"/>
          <w:between w:val="nil"/>
        </w:pBd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 Загальні положення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Ці Вимоги розроблені з метою надання рекомендацій щодо подання матеріалів реєстраційного досьє (далі – досьє), періодично оновлюваних звітів з безпеки лікарських засобів  (далі – ПОЗБ) в електронному формат</w:t>
      </w:r>
      <w:r>
        <w:rPr>
          <w:rFonts w:ascii="Times New Roman" w:eastAsia="Times New Roman" w:hAnsi="Times New Roman" w:cs="Times New Roman"/>
          <w:sz w:val="28"/>
          <w:szCs w:val="28"/>
        </w:rPr>
        <w:t xml:space="preserve">і загального технічного документу eCTD , що застосовуються разом зі специфікацією eCTD v3.2.2, розробленою Міжнародною радою з гармонізації технічних вимог до лікарських засобів для людини (ICH), для подання eCTD до </w:t>
      </w:r>
      <w:r>
        <w:rPr>
          <w:rFonts w:ascii="Times New Roman" w:eastAsia="Times New Roman" w:hAnsi="Times New Roman" w:cs="Times New Roman"/>
          <w:color w:val="333333"/>
          <w:sz w:val="28"/>
          <w:szCs w:val="28"/>
        </w:rPr>
        <w:t>Українського фармацевтичного агентства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далі - УФА).  </w:t>
      </w:r>
    </w:p>
    <w:p w:rsidR="00741111" w:rsidRDefault="007B7340">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 цих Вимогах терміни вживаються в такому значенні:</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базове подання (baseline submission) – повторне подання документів, які вже були надані та затверджені, але в іншому форматі відмінному від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послідовність (sequence) – єдиний набір </w:t>
      </w:r>
      <w:r>
        <w:rPr>
          <w:rFonts w:ascii="Times New Roman" w:eastAsia="Times New Roman" w:hAnsi="Times New Roman" w:cs="Times New Roman"/>
          <w:sz w:val="28"/>
          <w:szCs w:val="28"/>
        </w:rPr>
        <w:t>інформації та/або електронних документів, що у певний момент часу надаються заявником як частина або як повне досьє. Будь-який набір документів, зібраних відповідно до специфікації eCTD, описується за допомогою метаданих, як визначено в конверті. Послідовн</w:t>
      </w:r>
      <w:r>
        <w:rPr>
          <w:rFonts w:ascii="Times New Roman" w:eastAsia="Times New Roman" w:hAnsi="Times New Roman" w:cs="Times New Roman"/>
          <w:sz w:val="28"/>
          <w:szCs w:val="28"/>
        </w:rPr>
        <w:t>ості можуть бути пов’язані одна з одною у межах однієї регуляторної дії. Завжди слід вказувати номер пов’язаної послідовності. У разі дій тільки з однією послідовністю застосовується номер тієї самої послідовності;</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регуляторна дія/процедура (regulatory act</w:t>
      </w:r>
      <w:r>
        <w:rPr>
          <w:rFonts w:ascii="Times New Roman" w:eastAsia="Times New Roman" w:hAnsi="Times New Roman" w:cs="Times New Roman"/>
          <w:sz w:val="28"/>
          <w:szCs w:val="28"/>
        </w:rPr>
        <w:t xml:space="preserve">ivity) – одна послідовність або набір послідовностей, що охоплює певну реєстраційну процедуру з початку до завершення;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вузлів – спосіб надання додаткової організаційної інформації до eCTD. Розширення вузла слід візуалізовувати як додатковий заг</w:t>
      </w:r>
      <w:r>
        <w:rPr>
          <w:rFonts w:ascii="Times New Roman" w:eastAsia="Times New Roman" w:hAnsi="Times New Roman" w:cs="Times New Roman"/>
          <w:sz w:val="28"/>
          <w:szCs w:val="28"/>
        </w:rPr>
        <w:t>оловок у структурі ЗТД, що повинно відображатися під час перегляду магістрального файлу XML;</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тип подання (submission type) – подання, що описує регуляторну дію, стосовно якої надаються документи, зазначені у додатку 1 до цих Вимог;</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 одиниці подання (sub</w:t>
      </w:r>
      <w:r>
        <w:rPr>
          <w:rFonts w:ascii="Times New Roman" w:eastAsia="Times New Roman" w:hAnsi="Times New Roman" w:cs="Times New Roman"/>
          <w:sz w:val="28"/>
          <w:szCs w:val="28"/>
        </w:rPr>
        <w:t>mission unit type) – елемент типу одиниці подання набору метаданих конверта описує вміст на нижчому рівні («піддіяльність»), який подається стосовно визначеної регуляторної діяльності, наприклад, початкове подання, відповідь заявника на зауваження або будь</w:t>
      </w:r>
      <w:r>
        <w:rPr>
          <w:rFonts w:ascii="Times New Roman" w:eastAsia="Times New Roman" w:hAnsi="Times New Roman" w:cs="Times New Roman"/>
          <w:sz w:val="28"/>
          <w:szCs w:val="28"/>
        </w:rPr>
        <w:t>-яка інша додаткова інформація.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терміни вживаються у значеннях, наведених у законах України «Про лікарські засоби», «Про електронну ідентифікацію та електронні довірчі послуги», «Про захист інформації в інформаційно-комунікаційних системах», Порядку д</w:t>
      </w:r>
      <w:r>
        <w:rPr>
          <w:rFonts w:ascii="Times New Roman" w:eastAsia="Times New Roman" w:hAnsi="Times New Roman" w:cs="Times New Roman"/>
          <w:sz w:val="28"/>
          <w:szCs w:val="28"/>
        </w:rPr>
        <w:t>ержавної реєстрації (перереєстрації) лікарських засобів, затвердженого постановою Кабінету Міністрів України від ______________ № ________, Порядку проведення експертизи матеріалів реєстраційного досьє на лікарські засоби, що подаються на державну реєстрац</w:t>
      </w:r>
      <w:r>
        <w:rPr>
          <w:rFonts w:ascii="Times New Roman" w:eastAsia="Times New Roman" w:hAnsi="Times New Roman" w:cs="Times New Roman"/>
          <w:sz w:val="28"/>
          <w:szCs w:val="28"/>
        </w:rPr>
        <w:t>ію (перереєстрацію), а також експертизи матеріалів про внесення змін до матеріалів реєстраційного досьє протягом дії державної реєстрації лікарського засобу, затвердженого наказом МОЗ від _____________ № _______  (далі - Порядок експертизи), Порядку здійсн</w:t>
      </w:r>
      <w:r>
        <w:rPr>
          <w:rFonts w:ascii="Times New Roman" w:eastAsia="Times New Roman" w:hAnsi="Times New Roman" w:cs="Times New Roman"/>
          <w:sz w:val="28"/>
          <w:szCs w:val="28"/>
        </w:rPr>
        <w:t>ення фармаконагляду, затвердженого наказом Міністерства охорони здоров'я України від 03 червня 2026 року № 740, Порядку приведення реєстраційних матеріалів на власні лікарські засоби у відповідність із Законом, затвердженого ________,  та інших нормативно-</w:t>
      </w:r>
      <w:r>
        <w:rPr>
          <w:rFonts w:ascii="Times New Roman" w:eastAsia="Times New Roman" w:hAnsi="Times New Roman" w:cs="Times New Roman"/>
          <w:sz w:val="28"/>
          <w:szCs w:val="28"/>
        </w:rPr>
        <w:t xml:space="preserve">правових актах у сфері обігу лікарських засобів. </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 цих Вимогах вживаються скорочення, що мають такі значення: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АФІ - активний фармацевтичний інгредієнт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ЗТД - загальний технічний документ;</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ЛЗ - лікарський засіб;</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МОЗ - Міністерство охорони здоров'я України;</w:t>
      </w:r>
    </w:p>
    <w:p w:rsidR="00741111" w:rsidRDefault="007B7340">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УФА - Українське фармацевтичне агентство;</w:t>
      </w:r>
    </w:p>
    <w:p w:rsidR="00741111" w:rsidRDefault="007B7340">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ПОЗБ - періодично оновлювані звіти з безпеки лікарських засобів;</w:t>
      </w:r>
    </w:p>
    <w:p w:rsidR="00741111" w:rsidRDefault="007B7340">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СЕУ - спеціалізована експертна установа, що належить до сфери управління МОЗ або УФА;</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Специф</w:t>
      </w:r>
      <w:r>
        <w:rPr>
          <w:rFonts w:ascii="Times New Roman" w:eastAsia="Times New Roman" w:hAnsi="Times New Roman" w:cs="Times New Roman"/>
          <w:sz w:val="28"/>
          <w:szCs w:val="28"/>
        </w:rPr>
        <w:t>ікація ICH eCTD - ICH eCTD специфікація версія 3.2.2;</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DTD – визначення типу документа;</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eCTD - електронний формат загального технічного документа;</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UUID (Universally Unique Identifier) – універсальний унікальний ідентифікатор;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XML – розширювана мова розміт</w:t>
      </w:r>
      <w:r>
        <w:rPr>
          <w:rFonts w:ascii="Times New Roman" w:eastAsia="Times New Roman" w:hAnsi="Times New Roman" w:cs="Times New Roman"/>
          <w:sz w:val="28"/>
          <w:szCs w:val="28"/>
        </w:rPr>
        <w:t>ки;</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OCR  - оптичне розпізнавання символів;</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ICH M2 EWG - Робоча експертна група ICH M2.</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Фактори, які можуть вплинути на зміст Вимог, як підстава внесення змін:</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зміна змісту ЗТД шляхом внесення змін до інформації на тому ж рівні деталізації або надання б</w:t>
      </w:r>
      <w:r>
        <w:rPr>
          <w:rFonts w:ascii="Times New Roman" w:eastAsia="Times New Roman" w:hAnsi="Times New Roman" w:cs="Times New Roman"/>
          <w:sz w:val="28"/>
          <w:szCs w:val="28"/>
        </w:rPr>
        <w:t>ільш детального визначення змісту та структури;</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зміна національних вимог до досьє, які виходять за сферу застосування ЗТД;</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оновлення стандартів, які вже використовуються в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нових стандартів, які покращують умови для створення та/або використ</w:t>
      </w:r>
      <w:r>
        <w:rPr>
          <w:rFonts w:ascii="Times New Roman" w:eastAsia="Times New Roman" w:hAnsi="Times New Roman" w:cs="Times New Roman"/>
          <w:sz w:val="28"/>
          <w:szCs w:val="28"/>
        </w:rPr>
        <w:t>ання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нових функціональних вимог;</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досвід використання eCTD усіма сторонами процесу.</w:t>
      </w:r>
    </w:p>
    <w:p w:rsidR="00741111" w:rsidRDefault="00741111">
      <w:pPr>
        <w:spacing w:after="0" w:line="276" w:lineRule="auto"/>
        <w:jc w:val="both"/>
        <w:rPr>
          <w:rFonts w:ascii="Times New Roman" w:eastAsia="Times New Roman" w:hAnsi="Times New Roman" w:cs="Times New Roman"/>
          <w:sz w:val="24"/>
          <w:szCs w:val="24"/>
        </w:rPr>
      </w:pPr>
    </w:p>
    <w:p w:rsidR="00741111" w:rsidRDefault="007B7340">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ІІ. Загальний технічний документ (eCTD) </w:t>
      </w:r>
    </w:p>
    <w:p w:rsidR="00741111" w:rsidRDefault="00741111">
      <w:pPr>
        <w:pBdr>
          <w:top w:val="nil"/>
          <w:left w:val="nil"/>
          <w:bottom w:val="nil"/>
          <w:right w:val="nil"/>
          <w:between w:val="nil"/>
        </w:pBdr>
        <w:spacing w:after="0" w:line="276" w:lineRule="auto"/>
        <w:jc w:val="center"/>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Подання електронних матеріалів реєстраційного досьє на лікарський засіб для використання людиною під час процедур реєстрації, перереєстрації та внесення змін, щорічного перегляду, щорічної оцінки, оцінки ПОЗБ, відкликання реєстраційного дозволу, приведе</w:t>
      </w:r>
      <w:r>
        <w:rPr>
          <w:rFonts w:ascii="Times New Roman" w:eastAsia="Times New Roman" w:hAnsi="Times New Roman" w:cs="Times New Roman"/>
          <w:sz w:val="28"/>
          <w:szCs w:val="28"/>
        </w:rPr>
        <w:t xml:space="preserve">ння реєстраційних матеріалів у відповідність із Законом в eCTD форматі може охоплювати всі лікарські форми та сили дії (дозування) лікарського засобу з однією назвою. У випадку формування окремих eCTD на кожне дозування або лікарську форму, очікується, що </w:t>
      </w:r>
      <w:r>
        <w:rPr>
          <w:rFonts w:ascii="Times New Roman" w:eastAsia="Times New Roman" w:hAnsi="Times New Roman" w:cs="Times New Roman"/>
          <w:sz w:val="28"/>
          <w:szCs w:val="28"/>
        </w:rPr>
        <w:t>кожне з цих eCTD буде підтримуватися індивідуально, так що подання однієї послідовності, яка охоплює більше ніж одне дозування або лікарську форму, буде неможливим.</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Подання електронних матеріалів ПОЗБ охоплює усі зареєстровані лікарські засоби, незалежно в</w:t>
      </w:r>
      <w:r>
        <w:rPr>
          <w:rFonts w:ascii="Times New Roman" w:eastAsia="Times New Roman" w:hAnsi="Times New Roman" w:cs="Times New Roman"/>
          <w:sz w:val="28"/>
          <w:szCs w:val="28"/>
        </w:rPr>
        <w:t>ід наявності лікарського засобу в обігу України на всі лікарські форми та сили дії (дозування) лікарського засобу, до складу якого входить діюча речовина або комбінація діючих речовин, якщо інше не зазначено у Переліку референтних дат і періодичності подан</w:t>
      </w:r>
      <w:r>
        <w:rPr>
          <w:rFonts w:ascii="Times New Roman" w:eastAsia="Times New Roman" w:hAnsi="Times New Roman" w:cs="Times New Roman"/>
          <w:sz w:val="28"/>
          <w:szCs w:val="28"/>
        </w:rPr>
        <w:t>ня ПОЗБ (далі – Перелік подання ПОЗБ) або періодичність подання ПОЗБ не зазначена у зобов’язані, що є умовою під час прийняття рішення про державну реєстрацію лікарського засобу. ПОЗБ охоплює всі показання, способи застосування, форми випуску і силу дії не</w:t>
      </w:r>
      <w:r>
        <w:rPr>
          <w:rFonts w:ascii="Times New Roman" w:eastAsia="Times New Roman" w:hAnsi="Times New Roman" w:cs="Times New Roman"/>
          <w:sz w:val="28"/>
          <w:szCs w:val="28"/>
        </w:rPr>
        <w:t xml:space="preserve">залежно від того, зареєстровані чи ні такі лікарські засоби, під різними торговельними назвами і за різними типами заяв на реєстрацію.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переходу на eCTD для надання УФА  доступу до всієї або принаймні до частини попередньо поданої документації в ра</w:t>
      </w:r>
      <w:r>
        <w:rPr>
          <w:rFonts w:ascii="Times New Roman" w:eastAsia="Times New Roman" w:hAnsi="Times New Roman" w:cs="Times New Roman"/>
          <w:sz w:val="28"/>
          <w:szCs w:val="28"/>
        </w:rPr>
        <w:t>мках життєвого циклу eCTD, рекомендоване базове подання (baseline submission).</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Ці Вимоги не застосовуються для подання інформації щодо наукового консультування, заяв на клінічні дослідження (випробування), призначення статусу орфанного лікарського засобу, </w:t>
      </w:r>
      <w:r>
        <w:rPr>
          <w:rFonts w:ascii="Times New Roman" w:eastAsia="Times New Roman" w:hAnsi="Times New Roman" w:cs="Times New Roman"/>
          <w:sz w:val="28"/>
          <w:szCs w:val="28"/>
        </w:rPr>
        <w:t>подання плану педіатричних досліджень, а також документів, що не включені до матеріалів реєстраційного досьє.</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Деталізація документа при подані є набором документів, як окремо поданих файлів. Детальна структура eCTD базується на специфікації ICH M2 EWG,</w:t>
      </w:r>
      <w:r>
        <w:rPr>
          <w:rFonts w:ascii="Times New Roman" w:eastAsia="Times New Roman" w:hAnsi="Times New Roman" w:cs="Times New Roman"/>
          <w:sz w:val="28"/>
          <w:szCs w:val="28"/>
        </w:rPr>
        <w:t xml:space="preserve"> та цих Вимогах. </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Найменування файлів eCTD, що описані в цих Вимогах, базуються на ICH M2 EWG, і мають рекомендаційних характер.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наявності декількох файлів в одному розділі, коли доступне лише одне рекомендоване ім'я, розділення файлів досягаєт</w:t>
      </w:r>
      <w:r>
        <w:rPr>
          <w:rFonts w:ascii="Times New Roman" w:eastAsia="Times New Roman" w:hAnsi="Times New Roman" w:cs="Times New Roman"/>
          <w:sz w:val="28"/>
          <w:szCs w:val="28"/>
        </w:rPr>
        <w:t>ься додаванням суфіксу до імені файлу або використанням змінних елементів імені файлу.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Імена файлів в eCTD формуються з фіксованих та змінних компонентів. Компоненти відокремлюються дефісом. Всередині кожного компонента не використовуються дефіси або пробіли.</w:t>
      </w:r>
    </w:p>
    <w:p w:rsidR="00741111" w:rsidRDefault="007B7340">
      <w:pPr>
        <w:spacing w:after="4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Імена файлів, включаючи розширення, не повинні перевищувати 64 символів. Також імен</w:t>
      </w:r>
      <w:r>
        <w:rPr>
          <w:rFonts w:ascii="Times New Roman" w:eastAsia="Times New Roman" w:hAnsi="Times New Roman" w:cs="Times New Roman"/>
          <w:sz w:val="28"/>
          <w:szCs w:val="28"/>
        </w:rPr>
        <w:t>а папок не повинні перевищувати 64 символів, а загальна довжина шляху до файлу/папки не повинна перевищувати 180 символів. Відлік починається з першої цифри порядкового номера в назві папки з порядковим номером.</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найменування файлів в eCTD слід використовувати фіксовані компоненти. Змінний компонент слід використовувати, якщо це доцільно для подальшої ідентифікації окремих файлів або їх елементів. Змінний компонент є осмисленою послідовністю слів без відокремле</w:t>
      </w:r>
      <w:r>
        <w:rPr>
          <w:rFonts w:ascii="Times New Roman" w:eastAsia="Times New Roman" w:hAnsi="Times New Roman" w:cs="Times New Roman"/>
          <w:sz w:val="28"/>
          <w:szCs w:val="28"/>
        </w:rPr>
        <w:t xml:space="preserve">ння і має бути максимально коротким і змістовним. У разі потреби слід застосовувати розширення файлів відповідно до цих Вимог. </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Першим компонентом імені файлу є код типу документа.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Другим є змінний компонент (у разі якщо застосовується). У цих Вимогах ві</w:t>
      </w:r>
      <w:r>
        <w:rPr>
          <w:rFonts w:ascii="Times New Roman" w:eastAsia="Times New Roman" w:hAnsi="Times New Roman" w:cs="Times New Roman"/>
          <w:sz w:val="28"/>
          <w:szCs w:val="28"/>
        </w:rPr>
        <w:t>дсутні рекомендації для змінних компонентів. Формат файлу вказується розширенням файлу. Імена файлів пишуться малими літерами відповідно до специфікації ICH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Приклади:</w:t>
      </w:r>
    </w:p>
    <w:p w:rsidR="00741111" w:rsidRDefault="007B7340">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cover.pdf;  </w:t>
      </w:r>
    </w:p>
    <w:p w:rsidR="00741111" w:rsidRDefault="007B7340">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form-annex-17.pdf.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m1/ua/responses/ рекомендується використовувати </w:t>
      </w:r>
      <w:r>
        <w:rPr>
          <w:rFonts w:ascii="Times New Roman" w:eastAsia="Times New Roman" w:hAnsi="Times New Roman" w:cs="Times New Roman"/>
          <w:sz w:val="28"/>
          <w:szCs w:val="28"/>
        </w:rPr>
        <w:t>назву responses[-&lt;var&gt;].pdf та змістовний заголовок leaf для чіткого представлення інформації під час розгляду.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Гілки, в складі реєстраційного досьє, ПОЗБ містять в назві слово «letter».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написанні назв файлів використовуються латинські літери.</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Для забезпечення можливості перегляду поточного стану розгляду інформації, наданої у відповідному місці досьє eCTD забезпечено використання листування. Структура eCTD формату забезпечує листування, яке безпосередньо стосується змісту досьє, що подані в </w:t>
      </w:r>
      <w:r>
        <w:rPr>
          <w:rFonts w:ascii="Times New Roman" w:eastAsia="Times New Roman" w:hAnsi="Times New Roman" w:cs="Times New Roman"/>
          <w:sz w:val="28"/>
          <w:szCs w:val="28"/>
        </w:rPr>
        <w:t xml:space="preserve">такому форматі, крім випадків запитів які направляються поза eCTD або консультацій з УФА. </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Універсальний унікальний ідентифікатор досьє eCTD, що вбудовуються відповідно до цієї специфікації, містять універсальний унікальний ідентифікатор (UUID), що поз</w:t>
      </w:r>
      <w:r>
        <w:rPr>
          <w:rFonts w:ascii="Times New Roman" w:eastAsia="Times New Roman" w:hAnsi="Times New Roman" w:cs="Times New Roman"/>
          <w:sz w:val="28"/>
          <w:szCs w:val="28"/>
        </w:rPr>
        <w:t>в’язує послідовність з досьє eCTD, до якого вона належить.</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UUID використовується для полегшення архівування послідовності з відповідним життєвим циклом eCTD, а також для автоматичного сортування вхідних документів eCTD до відповідного життєвого циклу eCTD.</w:t>
      </w:r>
      <w:r>
        <w:rPr>
          <w:rFonts w:ascii="Times New Roman" w:eastAsia="Times New Roman" w:hAnsi="Times New Roman" w:cs="Times New Roman"/>
          <w:sz w:val="28"/>
          <w:szCs w:val="28"/>
        </w:rPr>
        <w:t xml:space="preserve">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UUID для кожного життєвого циклу eCTD є унікальним, і генерується автоматично системою, тобто створюється за допомогою інструменту створення eCTD або, якщо це неможливо, за допомогою онлайн-генератора UUID.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Генерація UUID відбувається у відповідності до </w:t>
      </w:r>
      <w:r>
        <w:rPr>
          <w:rFonts w:ascii="Times New Roman" w:eastAsia="Times New Roman" w:hAnsi="Times New Roman" w:cs="Times New Roman"/>
          <w:sz w:val="28"/>
          <w:szCs w:val="28"/>
        </w:rPr>
        <w:t>ISO/IEC 11578:1996 та ITU-T Rec X.667 |ISO/IEC 9834-8:2005. Це шістнадцяткове число у формі xxxxxxxx-xxxx-xxxx-xxxx-xxxxxxxxxxxx, що містить 32 символи та 4 дефіси. «x» замінюється на число або на букву.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Немає обмежень щодо використання великих або малих л</w:t>
      </w:r>
      <w:r>
        <w:rPr>
          <w:rFonts w:ascii="Times New Roman" w:eastAsia="Times New Roman" w:hAnsi="Times New Roman" w:cs="Times New Roman"/>
          <w:sz w:val="28"/>
          <w:szCs w:val="28"/>
        </w:rPr>
        <w:t>ітер. Рекомендовано використовувати UUID версії 4. UUID версії 4 – універсальний унікальний ідентифікатор, який генерується за допомогою набору послідовності випадкових чисел, наприклад: «f0d11e14-f076-4639-b5d7-1a8b72a54597».</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Використовується формат 8-4-4</w:t>
      </w:r>
      <w:r>
        <w:rPr>
          <w:rFonts w:ascii="Times New Roman" w:eastAsia="Times New Roman" w:hAnsi="Times New Roman" w:cs="Times New Roman"/>
          <w:sz w:val="28"/>
          <w:szCs w:val="28"/>
        </w:rPr>
        <w:t>-4-12 символів.</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Ця структура гарантує унікальність для заявників і матеріалів реєстраційного досьє.</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UUID генерується вперше під час створення першої послідовності відповідно до цієї версії специфікації та надається в конверті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Усі наступні послідовнос</w:t>
      </w:r>
      <w:r>
        <w:rPr>
          <w:rFonts w:ascii="Times New Roman" w:eastAsia="Times New Roman" w:hAnsi="Times New Roman" w:cs="Times New Roman"/>
          <w:sz w:val="28"/>
          <w:szCs w:val="28"/>
        </w:rPr>
        <w:t>ті для того самого накопичувального досьє життєвого циклу ЛЗ міститимуть той самий UUID, що дозволяє автоматично ідентифікувати та розподілятися до відповідного досьє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передачі досьє (наприклад при проведені процедурі передачі прав власності на за</w:t>
      </w:r>
      <w:r>
        <w:rPr>
          <w:rFonts w:ascii="Times New Roman" w:eastAsia="Times New Roman" w:hAnsi="Times New Roman" w:cs="Times New Roman"/>
          <w:sz w:val="28"/>
          <w:szCs w:val="28"/>
        </w:rPr>
        <w:t>реєстрований лікарський засіб від затвердженого заявника (власника реєстрації) іншій юридичній/фізичній особі - новому власнику реєстрації (правонаступнику) відповідно до Порядку експертизи) UUID залишається незмінним. Під час цього процесу нумерація послі</w:t>
      </w:r>
      <w:r>
        <w:rPr>
          <w:rFonts w:ascii="Times New Roman" w:eastAsia="Times New Roman" w:hAnsi="Times New Roman" w:cs="Times New Roman"/>
          <w:sz w:val="28"/>
          <w:szCs w:val="28"/>
        </w:rPr>
        <w:t>довності має продовжуватися для цього  UUID, і її не слід починати з «0000».</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повного повторного завантаження створюється нове eCTD-досьє з новим UUID та початковою послідовністю 0000 за погодженням з УФА.</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Будь-яке досьє з власним життєвим циклом ЛЗ </w:t>
      </w:r>
      <w:r>
        <w:rPr>
          <w:rFonts w:ascii="Times New Roman" w:eastAsia="Times New Roman" w:hAnsi="Times New Roman" w:cs="Times New Roman"/>
          <w:sz w:val="28"/>
          <w:szCs w:val="28"/>
        </w:rPr>
        <w:t>має власний UUID.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технічної перевірки правильності UUID, УФА також може перевірити, чи не збігається UUID з іншим уже існуючим життєвим циклом eCTD ЛЗ у сховищі eCTD СЕУ.</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6. Усі PDF-файли, включені до eCTD (незалежно від модуля), є версіями «v1.4», </w:t>
      </w:r>
      <w:r>
        <w:rPr>
          <w:rFonts w:ascii="Times New Roman" w:eastAsia="Times New Roman" w:hAnsi="Times New Roman" w:cs="Times New Roman"/>
          <w:sz w:val="28"/>
          <w:szCs w:val="28"/>
        </w:rPr>
        <w:t>«v1.5», «v1.6» або «v1.</w:t>
      </w:r>
      <w:r>
        <w:rPr>
          <w:rFonts w:ascii="Times New Roman" w:eastAsia="Times New Roman" w:hAnsi="Times New Roman" w:cs="Times New Roman"/>
          <w:sz w:val="28"/>
          <w:szCs w:val="28"/>
          <w:highlight w:val="white"/>
        </w:rPr>
        <w:t>7», PDF/A-1 та PDF/A-2 (допускаються, але не є обов’язковими).</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завантаженням eCTD рекомендовано переконатись, що всі подання містять максимальну кількість вмісту, доступного для пошуку тексту, для полегшення оцінки вмісту eCTD.</w:t>
      </w:r>
      <w:r>
        <w:rPr>
          <w:rFonts w:ascii="Times New Roman" w:eastAsia="Times New Roman" w:hAnsi="Times New Roman" w:cs="Times New Roman"/>
          <w:sz w:val="28"/>
          <w:szCs w:val="28"/>
        </w:rPr>
        <w:t xml:space="preserve"> Таким чином, PDF-документи рекомендовано створювати з текстового джерела (наприклад, з формату docx). Якщо сканування неминуче, рекомендовано застосовувати оптичне розпізнавання символів (OCR). Одночасно є документи для яких не очікується, що сканований д</w:t>
      </w:r>
      <w:r>
        <w:rPr>
          <w:rFonts w:ascii="Times New Roman" w:eastAsia="Times New Roman" w:hAnsi="Times New Roman" w:cs="Times New Roman"/>
          <w:sz w:val="28"/>
          <w:szCs w:val="28"/>
        </w:rPr>
        <w:t>окумент буде включати OCR (наприклад: ліцензія на виробництво ЛЗ; сертифікат GMP; сертифікат аналізу; документ, написаний іноземною мовою з перекладом англійською мовою (переклад має бути доступним для пошуку тексту); посилання на літературу, джерелом яких</w:t>
      </w:r>
      <w:r>
        <w:rPr>
          <w:rFonts w:ascii="Times New Roman" w:eastAsia="Times New Roman" w:hAnsi="Times New Roman" w:cs="Times New Roman"/>
          <w:sz w:val="28"/>
          <w:szCs w:val="28"/>
        </w:rPr>
        <w:t xml:space="preserve"> виступають журнали, періодичні видання і книги (крім випадків, коли вони використовуються для підтримки основних тверджень, включених до досьє).</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Робочі документи, поза структурою eCTD, рекомендовано надавати окремим каналом лише на запит СЕУ, в тому ч</w:t>
      </w:r>
      <w:r>
        <w:rPr>
          <w:rFonts w:ascii="Times New Roman" w:eastAsia="Times New Roman" w:hAnsi="Times New Roman" w:cs="Times New Roman"/>
          <w:sz w:val="28"/>
          <w:szCs w:val="28"/>
        </w:rPr>
        <w:t>ислі інформаційні матеріали, що супроводжують лікарський засіб та матеріали Модулю 2.</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Документи-вміст, на які посилаються leaf-елементи, подаються у форматі PDF. XML, DTD, MOD, XSL та index-md5.txt є службовими файлами eCTD і розміщуються лише у визначених</w:t>
      </w:r>
      <w:r>
        <w:rPr>
          <w:rFonts w:ascii="Times New Roman" w:eastAsia="Times New Roman" w:hAnsi="Times New Roman" w:cs="Times New Roman"/>
          <w:sz w:val="28"/>
          <w:szCs w:val="28"/>
        </w:rPr>
        <w:t xml:space="preserve"> специфікацією місцях.</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41111">
      <w:pPr>
        <w:spacing w:after="0"/>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 вказані документи, якщо вони запитуються, не посилаються у магістральному файлі (backbone) eCTD; їх подають окремим каналом поза транспортним zip-файлом eCTD.</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Вимоги до окремого каналу та форматів робочих документів оприлюднює СЕУ.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найменування файлів застосовуються відповідно до цих Вимог та критеріїв валідації.</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Для розрізнення подання одного й того самого досьє протягом життєвого циклу ЛЗ використ</w:t>
      </w:r>
      <w:r>
        <w:rPr>
          <w:rFonts w:ascii="Times New Roman" w:eastAsia="Times New Roman" w:hAnsi="Times New Roman" w:cs="Times New Roman"/>
          <w:sz w:val="28"/>
          <w:szCs w:val="28"/>
        </w:rPr>
        <w:t xml:space="preserve">овуються номери послідовностей їх використання. Рекомендується, щоб номери послідовностей відповідали порядку подання послідовностей. Таблиця відстеження послідовностей включається у розділ 1.0 у кожному поданні для всіх процедур. За необхідності, можливо </w:t>
      </w:r>
      <w:r>
        <w:rPr>
          <w:rFonts w:ascii="Times New Roman" w:eastAsia="Times New Roman" w:hAnsi="Times New Roman" w:cs="Times New Roman"/>
          <w:sz w:val="28"/>
          <w:szCs w:val="28"/>
        </w:rPr>
        <w:t>пропустити наступний номер послідовності та вказавши причину пропуску послідовності у супровідному лист, вказану процедури рекомендовано попередньо узгодити з СЕУ.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Початкове подання у межах життєвого циклу eCTD зазвичай містить номер послідовності «0000». </w:t>
      </w:r>
      <w:r>
        <w:rPr>
          <w:rFonts w:ascii="Times New Roman" w:eastAsia="Times New Roman" w:hAnsi="Times New Roman" w:cs="Times New Roman"/>
          <w:sz w:val="28"/>
          <w:szCs w:val="28"/>
        </w:rPr>
        <w:t>У разі наявності обґрунтованих причин використання іншого номера, їх рекомендовано викласти в супровідному листі. Вказану процедуру рекомендовано попередньо узгодити з УФА.</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додаткова інформація надана у відповідь на зауваження або коли інформація в по</w:t>
      </w:r>
      <w:r>
        <w:rPr>
          <w:rFonts w:ascii="Times New Roman" w:eastAsia="Times New Roman" w:hAnsi="Times New Roman" w:cs="Times New Roman"/>
          <w:sz w:val="28"/>
          <w:szCs w:val="28"/>
        </w:rPr>
        <w:t xml:space="preserve">передньо поданій послідовності була будь-яким чином змінена, порядковий номер подання буде відповідно послідовно збільшено, наприклад: «0001»; «0002» і так далі.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випадку недійсного подання з технічних проблем, на запит або за погодженням з УФА, послідов</w:t>
      </w:r>
      <w:r>
        <w:rPr>
          <w:rFonts w:ascii="Times New Roman" w:eastAsia="Times New Roman" w:hAnsi="Times New Roman" w:cs="Times New Roman"/>
          <w:sz w:val="28"/>
          <w:szCs w:val="28"/>
        </w:rPr>
        <w:t>ність може бути замінена на іншу з тим самим номером (наприклад, початкова послідовність «0000» буде замінена на іншу послідовність «0000»). В такому випадку не включаються нові документи, варто вирішити технічні проблеми.</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Для ідентифікації послідовнос</w:t>
      </w:r>
      <w:r>
        <w:rPr>
          <w:rFonts w:ascii="Times New Roman" w:eastAsia="Times New Roman" w:hAnsi="Times New Roman" w:cs="Times New Roman"/>
          <w:sz w:val="28"/>
          <w:szCs w:val="28"/>
        </w:rPr>
        <w:t>тей, що належать до однієї «регуляторної дії» використовується елемент пов'язаної послідовності.</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Усі подання мають містити значення «пов’язаної послідовності». Якщо тип одиниці подання - «початковий» або «переформатування», тоді атрибут пов'язаної послідов</w:t>
      </w:r>
      <w:r>
        <w:rPr>
          <w:rFonts w:ascii="Times New Roman" w:eastAsia="Times New Roman" w:hAnsi="Times New Roman" w:cs="Times New Roman"/>
          <w:sz w:val="28"/>
          <w:szCs w:val="28"/>
        </w:rPr>
        <w:t>ності має значення, що відповідає поточній послідовності.</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тип одиниці подання не є «початковим» або «переформатуванням», тоді заповнюється запис для пов’язаної послідовності, включивши номер послідовності, яка розпочала регуляторну дію.</w:t>
      </w:r>
    </w:p>
    <w:p w:rsidR="00741111" w:rsidRDefault="007B7340">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Очікується, що буде лише одна пов'язана послідовність, але бувають випадки, коли слід надати більше однієї пов'язаної послідовності, наприклад, коли є два паралельні зміни (послідовність 0002 та послідовність 0003) і є послідовність (0004), яка оновлює мар</w:t>
      </w:r>
      <w:r>
        <w:rPr>
          <w:rFonts w:ascii="Times New Roman" w:eastAsia="Times New Roman" w:hAnsi="Times New Roman" w:cs="Times New Roman"/>
          <w:sz w:val="28"/>
          <w:szCs w:val="28"/>
        </w:rPr>
        <w:t xml:space="preserve">кування, включає обидві зміни. У цих випадках використовується кілька пов'язаних послідовностей, але якщо наступна послідовність стосується лише однієї з початкових регуляторних дій, то слід використовувати лише пов'язану послідовність для цієї конкретної </w:t>
      </w:r>
      <w:r>
        <w:rPr>
          <w:rFonts w:ascii="Times New Roman" w:eastAsia="Times New Roman" w:hAnsi="Times New Roman" w:cs="Times New Roman"/>
          <w:sz w:val="28"/>
          <w:szCs w:val="28"/>
        </w:rPr>
        <w:t>регуляторної діяльності.</w:t>
      </w:r>
      <w:r>
        <w:rPr>
          <w:rFonts w:ascii="Times New Roman" w:eastAsia="Times New Roman" w:hAnsi="Times New Roman" w:cs="Times New Roman"/>
          <w:sz w:val="24"/>
          <w:szCs w:val="24"/>
        </w:rPr>
        <w:t xml:space="preserve"> </w:t>
      </w:r>
    </w:p>
    <w:p w:rsidR="00741111" w:rsidRDefault="007B7340">
      <w:pPr>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пов’язані послідовності стосуються згрупованої регуляторної дії, у конверті зазначається submission/@mode="grouping", а submission/@type відповідає найвищому типу зміни у заяві.</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Атрибути операції життєвого циклу гілки, я</w:t>
      </w:r>
      <w:r>
        <w:rPr>
          <w:rFonts w:ascii="Times New Roman" w:eastAsia="Times New Roman" w:hAnsi="Times New Roman" w:cs="Times New Roman"/>
          <w:sz w:val="28"/>
          <w:szCs w:val="28"/>
        </w:rPr>
        <w:t xml:space="preserve">к зазначено у специфікації ICH eCTD, це «new» (новий), «append» (додавання), «replace» (заміна) та «delete» (видалення). Однак заявникам рекомендується уникати використання «append» (додавання) через потенційне збільшення складності життєвого циклу.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w:t>
      </w:r>
      <w:r>
        <w:rPr>
          <w:rFonts w:ascii="Times New Roman" w:eastAsia="Times New Roman" w:hAnsi="Times New Roman" w:cs="Times New Roman"/>
          <w:sz w:val="28"/>
          <w:szCs w:val="28"/>
        </w:rPr>
        <w:t xml:space="preserve">ції життєвого циклу, де гілка, на яку спрямований змінений файл, знаходиться в іншому розділі ЗТД, заборонені. Це стосується всіх модулів ЗТД.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елементи повторювані, як сам елемент, так і атрибути, що визначають різні позиції у змісті, повинні бути ідентичними під час зміни кінцевого елемента в попередній послідовності. Якщо дозволено розширення вузлів, елемент title розширення вузла повинен </w:t>
      </w:r>
      <w:r>
        <w:rPr>
          <w:rFonts w:ascii="Times New Roman" w:eastAsia="Times New Roman" w:hAnsi="Times New Roman" w:cs="Times New Roman"/>
          <w:sz w:val="28"/>
          <w:szCs w:val="28"/>
        </w:rPr>
        <w:t xml:space="preserve">бути ідентичним під час зміни кінцевого елемента в попередній послідовності. Однак, якщо в минулому були внесені невідповідності, рекомендується використовувати найновішу версію атрибута title </w:t>
      </w:r>
    </w:p>
    <w:p w:rsidR="00741111" w:rsidRDefault="007B734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заявник розміщує документ у неправильному розділі ЗТД і п</w:t>
      </w:r>
      <w:r>
        <w:rPr>
          <w:rFonts w:ascii="Times New Roman" w:eastAsia="Times New Roman" w:hAnsi="Times New Roman" w:cs="Times New Roman"/>
          <w:sz w:val="28"/>
          <w:szCs w:val="28"/>
        </w:rPr>
        <w:t>отребує виправлення (або на запит УФА  або тому, що він бажає виправити помилку), то спосіб зробити це полягає у створенні двох гілкових елементів у наступній послідовності. Перша гілка використовуватиме операцію «видалити», щоб видалити з поля зору неправ</w:t>
      </w:r>
      <w:r>
        <w:rPr>
          <w:rFonts w:ascii="Times New Roman" w:eastAsia="Times New Roman" w:hAnsi="Times New Roman" w:cs="Times New Roman"/>
          <w:sz w:val="28"/>
          <w:szCs w:val="28"/>
        </w:rPr>
        <w:t xml:space="preserve">ильно розміщений контент. Друга гілка зазвичай використовуватиме операцію «новий», щоб знайти контент у правильному розділі ЗТД. Файл не потрібно надсилати повторно, «нова» гілка може використовувати </w:t>
      </w:r>
      <w:r>
        <w:rPr>
          <w:rFonts w:ascii="Times New Roman" w:eastAsia="Times New Roman" w:hAnsi="Times New Roman" w:cs="Times New Roman"/>
          <w:sz w:val="28"/>
          <w:szCs w:val="28"/>
        </w:rPr>
        <w:lastRenderedPageBreak/>
        <w:t>атрибут xlink:href, щоб вказати на спочатку поданий доку</w:t>
      </w:r>
      <w:r>
        <w:rPr>
          <w:rFonts w:ascii="Times New Roman" w:eastAsia="Times New Roman" w:hAnsi="Times New Roman" w:cs="Times New Roman"/>
          <w:sz w:val="28"/>
          <w:szCs w:val="28"/>
        </w:rPr>
        <w:t>мент у попередній послідовності.</w:t>
      </w:r>
    </w:p>
    <w:p w:rsidR="00741111" w:rsidRDefault="007B7340">
      <w:pPr>
        <w:spacing w:after="0" w:line="276" w:lineRule="auto"/>
        <w:ind w:firstLine="720"/>
        <w:jc w:val="both"/>
        <w:rPr>
          <w:rFonts w:ascii="Times New Roman" w:eastAsia="Times New Roman" w:hAnsi="Times New Roman" w:cs="Times New Roman"/>
          <w:sz w:val="28"/>
          <w:szCs w:val="28"/>
        </w:rPr>
      </w:pPr>
      <w:sdt>
        <w:sdtPr>
          <w:tag w:val="goog_rdk_0"/>
          <w:id w:val="1778037460"/>
        </w:sdtPr>
        <w:sdtEndPr/>
        <w:sdtContent>
          <w:r>
            <w:rPr>
              <w:rFonts w:ascii="Gungsuh" w:eastAsia="Gungsuh" w:hAnsi="Gungsuh" w:cs="Gungsuh"/>
              <w:sz w:val="28"/>
              <w:szCs w:val="28"/>
            </w:rPr>
            <w:t>Під час переходу з UA M1 v1.2 на v1.3 старі файли не подаються повторно: у modified-file зазначається відносний URI до відповідного історичного ua-regional.xml та #leaf-ID. Виняток із правила тієї самої CTD-секції застосову</w:t>
          </w:r>
          <w:r>
            <w:rPr>
              <w:rFonts w:ascii="Gungsuh" w:eastAsia="Gungsuh" w:hAnsi="Gungsuh" w:cs="Gungsuh"/>
              <w:sz w:val="28"/>
              <w:szCs w:val="28"/>
            </w:rPr>
            <w:t>ється лише до пар секцій, прямо визначених в оприлюдненій таблиці переходу v1.2→v1.3.</w:t>
          </w:r>
        </w:sdtContent>
      </w:sdt>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Для навігації по електронному поданню використовуються закладки та гіпертекстові посилання.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Навігація по електронному поданню значно покращується завдяки викорис</w:t>
      </w:r>
      <w:r>
        <w:rPr>
          <w:rFonts w:ascii="Times New Roman" w:eastAsia="Times New Roman" w:hAnsi="Times New Roman" w:cs="Times New Roman"/>
          <w:sz w:val="28"/>
          <w:szCs w:val="28"/>
        </w:rPr>
        <w:t xml:space="preserve">танню закладок і гіпертекстових посилань.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Необґрунтовано часте використання гіперпосилань може спричинити проблеми в управлінні життєвим циклом ЛЗ, у зв'язку з великим обсягом посилань які мають бути опрацьовані.</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Технічна валідація подання у форматі </w:t>
      </w:r>
      <w:r>
        <w:rPr>
          <w:rFonts w:ascii="Times New Roman" w:eastAsia="Times New Roman" w:hAnsi="Times New Roman" w:cs="Times New Roman"/>
          <w:sz w:val="28"/>
          <w:szCs w:val="28"/>
        </w:rPr>
        <w:t>eCTD є окремою діяльністю порівняно з оцінкою інформації, що містить подання відповідно до критеріїв технічної валідації, за якими можна перевірити всі eCTD незалежно від типу подання.  Критерії мають стабільні номери і тип P/F (Pass/Fail - Відповідність/Н</w:t>
      </w:r>
      <w:r>
        <w:rPr>
          <w:rFonts w:ascii="Times New Roman" w:eastAsia="Times New Roman" w:hAnsi="Times New Roman" w:cs="Times New Roman"/>
          <w:sz w:val="28"/>
          <w:szCs w:val="28"/>
        </w:rPr>
        <w:t>евідповідність) (Відповідність/Невідповідність ) або BP (Best Practice - Найкраща практика )  відповідно до формату UA Region eCTD Validation Criteria. Невиконання P/F блокує технічне прийняття; BP відображається у звіті та не блокує прийняття. Позначка «Y</w:t>
      </w:r>
      <w:r>
        <w:rPr>
          <w:rFonts w:ascii="Times New Roman" w:eastAsia="Times New Roman" w:hAnsi="Times New Roman" w:cs="Times New Roman"/>
          <w:sz w:val="28"/>
          <w:szCs w:val="28"/>
        </w:rPr>
        <w:t>» означає, що для перевірки потрібні попередні послідовності. До першого технічного прийняття виправлений пакет подається з тим самим номером послідовності; прийнята послідовність є незмінною.</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Для забезпечення відповідності досьє у форматі eCTD Вимога</w:t>
      </w:r>
      <w:r>
        <w:rPr>
          <w:rFonts w:ascii="Times New Roman" w:eastAsia="Times New Roman" w:hAnsi="Times New Roman" w:cs="Times New Roman"/>
          <w:sz w:val="28"/>
          <w:szCs w:val="28"/>
        </w:rPr>
        <w:t>м до обсягу та змісту матеріалів реєстраційного досьє, затвердженого наказом МОЗ від ____________ № ________ (далі - Вимоги досьє), Вимогам до внесення змін до матеріалів реєстраційного досьє на лікарський засіб, затвердженого  наказом МОЗ від ____________</w:t>
      </w:r>
      <w:r>
        <w:rPr>
          <w:rFonts w:ascii="Times New Roman" w:eastAsia="Times New Roman" w:hAnsi="Times New Roman" w:cs="Times New Roman"/>
          <w:sz w:val="28"/>
          <w:szCs w:val="28"/>
        </w:rPr>
        <w:t xml:space="preserve"> № ________ (далі - Вимоги змін),  до кожного розділу, який не відповідає структурі, що наведена у додатках до Вимог досьє, Вимог змін, або якщо розділ відсутній у поданому досьє у супровідному листі в розділі 1.0 зазначають обгрунтування. Детальні обґрунт</w:t>
      </w:r>
      <w:r>
        <w:rPr>
          <w:rFonts w:ascii="Times New Roman" w:eastAsia="Times New Roman" w:hAnsi="Times New Roman" w:cs="Times New Roman"/>
          <w:sz w:val="28"/>
          <w:szCs w:val="28"/>
        </w:rPr>
        <w:t xml:space="preserve">ування відсутності інформації в окремих розділах </w:t>
      </w:r>
      <w:r>
        <w:rPr>
          <w:rFonts w:ascii="Times New Roman" w:eastAsia="Times New Roman" w:hAnsi="Times New Roman" w:cs="Times New Roman"/>
          <w:sz w:val="28"/>
          <w:szCs w:val="28"/>
        </w:rPr>
        <w:lastRenderedPageBreak/>
        <w:t>або відсутності певних розділів ЗТД містяться у резюме з якості та/або оглядах доклінічних/клінічних даних.</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слід уникати формування документів в яких відсутня певна інформація, а також зазначено «не</w:t>
      </w:r>
      <w:r>
        <w:rPr>
          <w:rFonts w:ascii="Times New Roman" w:eastAsia="Times New Roman" w:hAnsi="Times New Roman" w:cs="Times New Roman"/>
          <w:sz w:val="28"/>
          <w:szCs w:val="28"/>
        </w:rPr>
        <w:t xml:space="preserve"> надається», в структурі eCTD, оскільки це  створює життєвий цикл через неіснуючі документи, що призводить до ускладнення в опрацюванні eCTD.</w:t>
      </w:r>
    </w:p>
    <w:p w:rsidR="00741111" w:rsidRDefault="00741111">
      <w:pPr>
        <w:spacing w:after="0" w:line="276" w:lineRule="auto"/>
        <w:ind w:firstLine="567"/>
        <w:jc w:val="both"/>
        <w:rPr>
          <w:rFonts w:ascii="Times New Roman" w:eastAsia="Times New Roman" w:hAnsi="Times New Roman" w:cs="Times New Roman"/>
          <w:sz w:val="28"/>
          <w:szCs w:val="28"/>
          <w:highlight w:val="white"/>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 Подання eCTD відбувається з використанням засобів інформаційно-комунікаційної системи УФА.</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Відображення зовні</w:t>
      </w:r>
      <w:r>
        <w:rPr>
          <w:rFonts w:ascii="Times New Roman" w:eastAsia="Times New Roman" w:hAnsi="Times New Roman" w:cs="Times New Roman"/>
          <w:sz w:val="28"/>
          <w:szCs w:val="28"/>
          <w:highlight w:val="white"/>
        </w:rPr>
        <w:t xml:space="preserve">шнього інтерфейсу для подачі eCTD у засобі інформаційно-комунікаційної системи відбувається через кабінет заявника системи (далі - Кабінет заявника).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36"/>
          <w:szCs w:val="36"/>
        </w:rPr>
      </w:pPr>
      <w:r>
        <w:rPr>
          <w:rFonts w:ascii="Times New Roman" w:eastAsia="Times New Roman" w:hAnsi="Times New Roman" w:cs="Times New Roman"/>
          <w:sz w:val="28"/>
          <w:szCs w:val="28"/>
        </w:rPr>
        <w:t>Для групування, що охоплює кілька лікарських засобів, для кожного UUID формується окрема eCTD-послідовніс</w:t>
      </w:r>
      <w:r>
        <w:rPr>
          <w:rFonts w:ascii="Times New Roman" w:eastAsia="Times New Roman" w:hAnsi="Times New Roman" w:cs="Times New Roman"/>
          <w:sz w:val="28"/>
          <w:szCs w:val="28"/>
        </w:rPr>
        <w:t xml:space="preserve">ть у межах його життєвого циклу. У транспортному zip-файлі кожна послідовність розміщується в окремому каталозі &lt;UUID&gt;/&lt;sequence&gt;/… Поза </w:t>
      </w:r>
      <w:r>
        <w:rPr>
          <w:rFonts w:ascii="Times New Roman" w:eastAsia="Times New Roman" w:hAnsi="Times New Roman" w:cs="Times New Roman"/>
          <w:sz w:val="28"/>
          <w:szCs w:val="28"/>
          <w:highlight w:val="white"/>
        </w:rPr>
        <w:t xml:space="preserve">групуванням </w:t>
      </w:r>
      <w:r>
        <w:rPr>
          <w:rFonts w:ascii="Times New Roman" w:eastAsia="Times New Roman" w:hAnsi="Times New Roman" w:cs="Times New Roman"/>
          <w:sz w:val="28"/>
          <w:szCs w:val="28"/>
        </w:rPr>
        <w:t>один транспортний zip-файл містить одну eCTD-послідовність одного UUID.</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Ознайомитися з інструкцією користув</w:t>
      </w:r>
      <w:r>
        <w:rPr>
          <w:rFonts w:ascii="Times New Roman" w:eastAsia="Times New Roman" w:hAnsi="Times New Roman" w:cs="Times New Roman"/>
          <w:sz w:val="28"/>
          <w:szCs w:val="28"/>
        </w:rPr>
        <w:t>ача Кабінету заявника, керівництвом завантаження матеріалів реєстраційного досьє, а також з інформацією щодо підтримки користувача можна на офіційному вебсайті УФА.</w:t>
      </w:r>
    </w:p>
    <w:p w:rsidR="00741111" w:rsidRDefault="00741111">
      <w:pPr>
        <w:spacing w:after="0" w:line="276" w:lineRule="auto"/>
        <w:ind w:firstLine="567"/>
        <w:jc w:val="both"/>
        <w:rPr>
          <w:rFonts w:ascii="Times New Roman" w:eastAsia="Times New Roman" w:hAnsi="Times New Roman" w:cs="Times New Roman"/>
          <w:sz w:val="28"/>
          <w:szCs w:val="28"/>
          <w:u w:val="single"/>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Документи, для яких законодавством або цими Вимогами передбачено підпис, подаються з КЕП.</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Кваліфіковані електронні підписи накладаються на PDF-файли, що підлягають підписанню, з використанням електронних ключів кваліфікованих надавачів електронних довірчих послуг відповідно до вимог законодавства України. Важливо, накладання таких підписів на P</w:t>
      </w:r>
      <w:r>
        <w:rPr>
          <w:rFonts w:ascii="Times New Roman" w:eastAsia="Times New Roman" w:hAnsi="Times New Roman" w:cs="Times New Roman"/>
          <w:sz w:val="28"/>
          <w:szCs w:val="28"/>
        </w:rPr>
        <w:t>DF-файли слід виконувати за допомогою стандарту для контейнера «Вдосконалені електронні підписи для PDF (PAdES)», з метою уникнення зміни структури таких документів. Застосовується профіль PAdES Baseline B-T або вищий; під час приймання перевіряються ціліс</w:t>
      </w:r>
      <w:r>
        <w:rPr>
          <w:rFonts w:ascii="Times New Roman" w:eastAsia="Times New Roman" w:hAnsi="Times New Roman" w:cs="Times New Roman"/>
          <w:sz w:val="28"/>
          <w:szCs w:val="28"/>
        </w:rPr>
        <w:t>ність підпису, ланцюжок довіри, чинність і статус відкликання сертифіката, ПІБ та РНОКПП або інший передбачений законом ідентифікатор підписувача, юридична особа та код ЄДРПОУ, повноваження підписувача і кваліфікована електронна позначка часу.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розділах «</w:t>
      </w:r>
      <w:r>
        <w:rPr>
          <w:rFonts w:ascii="Times New Roman" w:eastAsia="Times New Roman" w:hAnsi="Times New Roman" w:cs="Times New Roman"/>
          <w:sz w:val="28"/>
          <w:szCs w:val="28"/>
        </w:rPr>
        <w:t>1.0» та «1.2» Модуля 1, містяться листи на які накладено КЕП.</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keepNext/>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16. Налаштування безпеки </w:t>
      </w:r>
    </w:p>
    <w:p w:rsidR="00741111" w:rsidRDefault="007B7340">
      <w:pPr>
        <w:spacing w:after="0" w:line="276" w:lineRule="auto"/>
        <w:ind w:firstLine="567"/>
        <w:jc w:val="both"/>
        <w:rPr>
          <w:rFonts w:ascii="Times New Roman" w:eastAsia="Times New Roman" w:hAnsi="Times New Roman" w:cs="Times New Roman"/>
          <w:sz w:val="28"/>
          <w:szCs w:val="28"/>
          <w:highlight w:val="red"/>
        </w:rPr>
      </w:pPr>
      <w:r>
        <w:rPr>
          <w:rFonts w:ascii="Times New Roman" w:eastAsia="Times New Roman" w:hAnsi="Times New Roman" w:cs="Times New Roman"/>
          <w:sz w:val="28"/>
          <w:szCs w:val="28"/>
        </w:rPr>
        <w:t>Застосування захисту на рівні подання або файлу заборонено. Якщо використовуються одноразові налаштування безпеки або захист паролем для електронних поданих матеріалів</w:t>
      </w:r>
      <w:r>
        <w:rPr>
          <w:rFonts w:ascii="Times New Roman" w:eastAsia="Times New Roman" w:hAnsi="Times New Roman" w:cs="Times New Roman"/>
          <w:sz w:val="28"/>
          <w:szCs w:val="28"/>
        </w:rPr>
        <w:t>, це може бути підставою для відхилення подання.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технічне використання та відповідно розгляд eCTD та/або поданих окремих документів в структурі eCTD унеможливлює використання паролів, сертифікатів, налаштування політики захисту, за винятком файлів</w:t>
      </w:r>
      <w:r>
        <w:rPr>
          <w:rFonts w:ascii="Times New Roman" w:eastAsia="Times New Roman" w:hAnsi="Times New Roman" w:cs="Times New Roman"/>
          <w:sz w:val="28"/>
          <w:szCs w:val="28"/>
        </w:rPr>
        <w:t xml:space="preserve"> у Модулях «1.0», «1.2», «3.3», «4.3» і «5.4». Це свідчить, що в налаштуваннях безпеки (наприклад в Adobe Acrobat) всі «обмеження» зазвичай мають бути «дозволені» під час перегляду преференцій документа &gt; параметрів безпеки (Document Preferences &gt; Security</w:t>
      </w:r>
      <w:r>
        <w:rPr>
          <w:rFonts w:ascii="Times New Roman" w:eastAsia="Times New Roman" w:hAnsi="Times New Roman" w:cs="Times New Roman"/>
          <w:sz w:val="28"/>
          <w:szCs w:val="28"/>
        </w:rPr>
        <w:t xml:space="preserve"> settings). Якщо з якихось причин це неможливо для деяких документів (наприклад для документів на які накладено кваліфікований електронний підпис), друк і копіювання вмісту доцільно дозволити для можливості подальшого його опрацювання.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Важливим елемент</w:t>
      </w:r>
      <w:r>
        <w:rPr>
          <w:rFonts w:ascii="Times New Roman" w:eastAsia="Times New Roman" w:hAnsi="Times New Roman" w:cs="Times New Roman"/>
          <w:sz w:val="28"/>
          <w:szCs w:val="28"/>
        </w:rPr>
        <w:t xml:space="preserve">ом подання eCTD є попередня (до подачі) перевірка файлів досьє на наявність будь-якого шкідливого програмного забезпечення (наприклад вірусного програмного забезпечення).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Перевірку рекомендовано виконувати за допомогою ліцензійних засобів противірусного з</w:t>
      </w:r>
      <w:r>
        <w:rPr>
          <w:rFonts w:ascii="Times New Roman" w:eastAsia="Times New Roman" w:hAnsi="Times New Roman" w:cs="Times New Roman"/>
          <w:sz w:val="28"/>
          <w:szCs w:val="28"/>
        </w:rPr>
        <w:t xml:space="preserve">абезпечення, оновлених сигнатур противірусної бази до останньої версії, на наявність шкідливого програмного забезпечення, зазначивши про це у супровідному листі.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метою уникнення ризиків шкідливого впливу, виявлення будь-якого файлу з шкідливим програмни</w:t>
      </w:r>
      <w:r>
        <w:rPr>
          <w:rFonts w:ascii="Times New Roman" w:eastAsia="Times New Roman" w:hAnsi="Times New Roman" w:cs="Times New Roman"/>
          <w:sz w:val="28"/>
          <w:szCs w:val="28"/>
        </w:rPr>
        <w:t xml:space="preserve">м </w:t>
      </w:r>
      <w:r>
        <w:rPr>
          <w:rFonts w:ascii="Times New Roman" w:eastAsia="Times New Roman" w:hAnsi="Times New Roman" w:cs="Times New Roman"/>
          <w:sz w:val="28"/>
          <w:szCs w:val="28"/>
          <w:highlight w:val="white"/>
        </w:rPr>
        <w:t>забезпеченням блокується засобами інформаційно-комунікаційної системи  та</w:t>
      </w:r>
      <w:r>
        <w:rPr>
          <w:rFonts w:ascii="Times New Roman" w:eastAsia="Times New Roman" w:hAnsi="Times New Roman" w:cs="Times New Roman"/>
          <w:sz w:val="28"/>
          <w:szCs w:val="28"/>
        </w:rPr>
        <w:t xml:space="preserve"> робить його неможливим для будь-якого перегляду УФА.</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left="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ІІІ. Базове подання (BASELINE) eCTD</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Для підтримки переформатування існуючого досьє для подання з будь-якого формату (наприк</w:t>
      </w:r>
      <w:r>
        <w:rPr>
          <w:rFonts w:ascii="Times New Roman" w:eastAsia="Times New Roman" w:hAnsi="Times New Roman" w:cs="Times New Roman"/>
          <w:sz w:val="28"/>
          <w:szCs w:val="28"/>
        </w:rPr>
        <w:t xml:space="preserve">лад паперового) до формату eCTD може бути підготовлено базове подання (baseline submission) eCTD без змін вмісту.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Базове подання (baseline submission) не підлягає експертизі, а в конверті слід використовувати тип одиниці подання «reformat» (переформатувати), такий тип одиниці подання завжди використовуватиметься разом з типом подання «none» (жоден). Після подання eCTD</w:t>
      </w:r>
      <w:r>
        <w:rPr>
          <w:rFonts w:ascii="Times New Roman" w:eastAsia="Times New Roman" w:hAnsi="Times New Roman" w:cs="Times New Roman"/>
          <w:sz w:val="28"/>
          <w:szCs w:val="28"/>
        </w:rPr>
        <w:t xml:space="preserve"> повернення до іншого формату відмінного від eCTD порушує життєвий цикл ЛЗ.</w:t>
      </w:r>
    </w:p>
    <w:p w:rsidR="00741111" w:rsidRDefault="00741111">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Базове подання (baseline submission) рекомендовано подавати до початку нової реєстраційної процедури (наприклад перереєстрація, внесення змін до матеріалів реєстраційного досьє</w:t>
      </w:r>
      <w:r>
        <w:rPr>
          <w:rFonts w:ascii="Times New Roman" w:eastAsia="Times New Roman" w:hAnsi="Times New Roman" w:cs="Times New Roman"/>
          <w:sz w:val="28"/>
          <w:szCs w:val="28"/>
        </w:rPr>
        <w:t xml:space="preserve">). Розділи, що складають базове подання, визначаються заявником, але будь-яка відсутність розділів не повинна вводити в оману. Рекомендовано надавати матеріали Модулю 3, які, як правило, найчастіше змінюються протягом життєвого циклу лікарського засобу. </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34"/>
          <w:szCs w:val="34"/>
        </w:rPr>
      </w:pPr>
      <w:r>
        <w:rPr>
          <w:rFonts w:ascii="Times New Roman" w:eastAsia="Times New Roman" w:hAnsi="Times New Roman" w:cs="Times New Roman"/>
          <w:sz w:val="28"/>
          <w:szCs w:val="28"/>
        </w:rPr>
        <w:t>3. Базове подання рекомендовано подавати як послідовність 0000, але в деяких обґрунтованих ситуаціях його також можна подавати на пізнішому етапі. Матеріали базового подання подаються окремою послідовністю і не включають заяви нової реєстраційної процедури</w:t>
      </w:r>
      <w:r>
        <w:rPr>
          <w:rFonts w:ascii="Times New Roman" w:eastAsia="Times New Roman" w:hAnsi="Times New Roman" w:cs="Times New Roman"/>
          <w:sz w:val="28"/>
          <w:szCs w:val="28"/>
        </w:rPr>
        <w:t xml:space="preserve">.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Базове подання можливо подати протягом життєвого циклу лікарського засобу.</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Можливе подання baseline submission декілька разів, але документи різних завантажень не повинні дублюватись чи змінюватись.</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4. Базо</w:t>
      </w:r>
      <w:r>
        <w:rPr>
          <w:rFonts w:ascii="Times New Roman" w:eastAsia="Times New Roman" w:hAnsi="Times New Roman" w:cs="Times New Roman"/>
          <w:sz w:val="28"/>
          <w:szCs w:val="28"/>
        </w:rPr>
        <w:t>ве подання складається з актуальних реєстрацій</w:t>
      </w:r>
      <w:r>
        <w:rPr>
          <w:rFonts w:ascii="Times New Roman" w:eastAsia="Times New Roman" w:hAnsi="Times New Roman" w:cs="Times New Roman"/>
          <w:sz w:val="28"/>
          <w:szCs w:val="28"/>
        </w:rPr>
        <w:t>них матеріалів на ЛЗ у форматі eCTD, що раніше перебували на розгляді, та на основі яких було прийняте рішення про державну реєстрацію, перереєстрацію, внесення змін.</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При формуванні базового подання (baseline submission) враховуються вимоги, що наведен</w:t>
      </w:r>
      <w:r>
        <w:rPr>
          <w:rFonts w:ascii="Times New Roman" w:eastAsia="Times New Roman" w:hAnsi="Times New Roman" w:cs="Times New Roman"/>
          <w:sz w:val="28"/>
          <w:szCs w:val="28"/>
        </w:rPr>
        <w:t>і в цих Вимогах, валідаційних критеріях відповідно до яких формується eCTD.</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Під час базового подання (baseline submission) підтверджується, що вся завантажена в eCTD інформація є відображенням чинних документів зі всіма затвердженими змінами, і не міст</w:t>
      </w:r>
      <w:r>
        <w:rPr>
          <w:rFonts w:ascii="Times New Roman" w:eastAsia="Times New Roman" w:hAnsi="Times New Roman" w:cs="Times New Roman"/>
          <w:sz w:val="28"/>
          <w:szCs w:val="28"/>
        </w:rPr>
        <w:t>ить нової або не затвердженої інформації, включеної в базову послідовність.</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при базовому подані слід пересвідчитись, про наступне:</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вся надана інформація є повторним поданням чинних документів і не містить нової або незатвердженої інформації, включеної в базову послідовність;</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форматування є єдиною зміною та не містить поправок до матеріалів реєстраційного досьє;</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будь-яка відсутність ін</w:t>
      </w:r>
      <w:r>
        <w:rPr>
          <w:rFonts w:ascii="Times New Roman" w:eastAsia="Times New Roman" w:hAnsi="Times New Roman" w:cs="Times New Roman"/>
          <w:sz w:val="28"/>
          <w:szCs w:val="28"/>
        </w:rPr>
        <w:t>формації в базовому поданні не призводить до введення в оману.</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Під час базового подання одне досьє eCTD (один UUID) може охоплювати всі сили дії (дозування) та лікарські форми під однією назвою; за вибором заявника окремі сили дії або лікарські форми м</w:t>
      </w:r>
      <w:r>
        <w:rPr>
          <w:rFonts w:ascii="Times New Roman" w:eastAsia="Times New Roman" w:hAnsi="Times New Roman" w:cs="Times New Roman"/>
          <w:sz w:val="28"/>
          <w:szCs w:val="28"/>
        </w:rPr>
        <w:t>ожуть вестися як окремі eCTD-досьє.</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Якщо виникає необхідність повторного базового подання у разі порушення життєвого циклу eCTD ЛЗ або з інших підстав, рекомендується провести консультації.      </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Базове подання, яке містить в собі всі чинні докумен</w:t>
      </w:r>
      <w:r>
        <w:rPr>
          <w:rFonts w:ascii="Times New Roman" w:eastAsia="Times New Roman" w:hAnsi="Times New Roman" w:cs="Times New Roman"/>
          <w:sz w:val="28"/>
          <w:szCs w:val="28"/>
        </w:rPr>
        <w:t xml:space="preserve">ти 2-5 Модулів досьє раніше зареєстрованого лікарського засобу, які були на розгляді, застосовується у разі необхідності подання змін, що потребують нової реєстрації (як нової послідовності до оригінального досье).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Бажано, щоб до базового подання були включені належної якості документи, але скановані зображення належної якості також будуть прийнятними у цих випадках, бажано з оптичним розпізнаванням символів (OCR) для забезпечення можливості пошук у тексті. Використа</w:t>
      </w:r>
      <w:r>
        <w:rPr>
          <w:rFonts w:ascii="Times New Roman" w:eastAsia="Times New Roman" w:hAnsi="Times New Roman" w:cs="Times New Roman"/>
          <w:sz w:val="28"/>
          <w:szCs w:val="28"/>
        </w:rPr>
        <w:t>ння (OCR) дає змогу виправляти всі помилки, які можуть з'являтися в розпізнаному тексті, та дає змогу ідентифікувати початковий та розпізнаний текст, при цьому є прийнятним відсутність гіперпосилання між модулями, якщо його створення є неможливим.</w:t>
      </w:r>
    </w:p>
    <w:p w:rsidR="00741111" w:rsidRDefault="00741111">
      <w:pPr>
        <w:spacing w:after="0" w:line="276" w:lineRule="auto"/>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ІV. Інф</w:t>
      </w:r>
      <w:r>
        <w:rPr>
          <w:rFonts w:ascii="Times New Roman" w:eastAsia="Times New Roman" w:hAnsi="Times New Roman" w:cs="Times New Roman"/>
          <w:b/>
          <w:bCs/>
          <w:sz w:val="28"/>
          <w:szCs w:val="28"/>
        </w:rPr>
        <w:t xml:space="preserve">ормація про модулі </w:t>
      </w:r>
    </w:p>
    <w:p w:rsidR="00741111" w:rsidRDefault="00741111">
      <w:pPr>
        <w:pBdr>
          <w:top w:val="nil"/>
          <w:left w:val="nil"/>
          <w:bottom w:val="nil"/>
          <w:right w:val="nil"/>
          <w:between w:val="nil"/>
        </w:pBdr>
        <w:spacing w:after="0" w:line="276" w:lineRule="auto"/>
        <w:ind w:left="720" w:hanging="436"/>
        <w:jc w:val="both"/>
        <w:rPr>
          <w:rFonts w:ascii="Times New Roman" w:eastAsia="Times New Roman" w:hAnsi="Times New Roman" w:cs="Times New Roman"/>
          <w:b/>
          <w:bCs/>
          <w:i/>
          <w:iCs/>
          <w:sz w:val="24"/>
          <w:szCs w:val="24"/>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ЗТД ICH визначає, що Модуль 1 повинен містити національну специфічну адміністративну інформацію та реєстраційну інформацію про ЛЗ.</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Документи, які необхідно надавати під час процедури державної реєстрації, перереєстрації та внесення змін до матеріалів реєстраційного досьє, щорічного перегляду, щорічної оцінки, ПОЗБ, приведення реєстраційних матеріалів лікарських засобів у відповідність</w:t>
      </w:r>
      <w:r>
        <w:rPr>
          <w:rFonts w:ascii="Times New Roman" w:eastAsia="Times New Roman" w:hAnsi="Times New Roman" w:cs="Times New Roman"/>
          <w:sz w:val="28"/>
          <w:szCs w:val="28"/>
        </w:rPr>
        <w:t xml:space="preserve"> із Законом, визначені Порядком експертизи, Порядком здійснення фармаконагляду та інших нормативно-правових актів.</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Слід зауважити, що у разі подальшого подання послідовностей протягом життєвого циклу ЛЗ, не всі вищезазначені типи документів потрібно включа</w:t>
      </w:r>
      <w:r>
        <w:rPr>
          <w:rFonts w:ascii="Times New Roman" w:eastAsia="Times New Roman" w:hAnsi="Times New Roman" w:cs="Times New Roman"/>
          <w:sz w:val="28"/>
          <w:szCs w:val="28"/>
        </w:rPr>
        <w:t>ти в реєстраційне досьє. Необхідно звертатись стосовно відповідних вимог визначених в Порядку експертизи, Порядку здійснення фармаконагляду та інших нормативно-правових актах у кожному конкретному випадку.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Модулів 2–5 документи-вміст подаються у формат</w:t>
      </w:r>
      <w:r>
        <w:rPr>
          <w:rFonts w:ascii="Times New Roman" w:eastAsia="Times New Roman" w:hAnsi="Times New Roman" w:cs="Times New Roman"/>
          <w:sz w:val="28"/>
          <w:szCs w:val="28"/>
        </w:rPr>
        <w:t>і PDF; інші формати файлів у eCTD не допускаються.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Якщо подання містить іншу інформацію, рекомендовано звернутися за консультацією в УФА перед подачею матеріалів.</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Архітектура Модуля 1 подібна до архітектури Модулів 2-5 eCTD, що містить структуру директ</w:t>
      </w:r>
      <w:r>
        <w:rPr>
          <w:rFonts w:ascii="Times New Roman" w:eastAsia="Times New Roman" w:hAnsi="Times New Roman" w:cs="Times New Roman"/>
          <w:sz w:val="28"/>
          <w:szCs w:val="28"/>
        </w:rPr>
        <w:t xml:space="preserve">орій та магістральний файл з гілками. </w:t>
      </w:r>
    </w:p>
    <w:p w:rsidR="00741111" w:rsidRDefault="007B7340">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Магістральним файлом є документ у форматі XML згідно з національним визн</w:t>
      </w:r>
      <w:r>
        <w:rPr>
          <w:rFonts w:ascii="Times New Roman" w:eastAsia="Times New Roman" w:hAnsi="Times New Roman" w:cs="Times New Roman"/>
          <w:sz w:val="28"/>
          <w:szCs w:val="28"/>
          <w:highlight w:val="white"/>
        </w:rPr>
        <w:t>аченням типу документа DTD для України. Екземпляр магістрального файлу (файл «ua-regional.xml») містить метадані для гілок, включаючи покажчики н</w:t>
      </w:r>
      <w:r>
        <w:rPr>
          <w:rFonts w:ascii="Times New Roman" w:eastAsia="Times New Roman" w:hAnsi="Times New Roman" w:cs="Times New Roman"/>
          <w:sz w:val="28"/>
          <w:szCs w:val="28"/>
          <w:highlight w:val="white"/>
        </w:rPr>
        <w:t>а файли в структурі директорій. Крім того, національне DTD для України визначає метадані на рівні подання у вигляді конверта. Кореневим елементом є «ua:ua-backbone», він містить два елементи: «ua-envelope» та «m1-ua».</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Національне DTD для України є модульни</w:t>
      </w:r>
      <w:r>
        <w:rPr>
          <w:rFonts w:ascii="Times New Roman" w:eastAsia="Times New Roman" w:hAnsi="Times New Roman" w:cs="Times New Roman"/>
          <w:sz w:val="28"/>
          <w:szCs w:val="28"/>
          <w:highlight w:val="white"/>
        </w:rPr>
        <w:t>м, тобто посила</w:t>
      </w:r>
      <w:r>
        <w:rPr>
          <w:rFonts w:ascii="Times New Roman" w:eastAsia="Times New Roman" w:hAnsi="Times New Roman" w:cs="Times New Roman"/>
          <w:sz w:val="28"/>
          <w:szCs w:val="28"/>
        </w:rPr>
        <w:t>ння на конверт і гілки здійснюються з основної частини DTD як на зовнішні сутності, що відповідно називаються «ua-envelope.mod» і «ua-leaf.mod». При цьому «гілка» для України ідентична елементу «гілка», описаному в DTD ICH eCTD; посилання зд</w:t>
      </w:r>
      <w:r>
        <w:rPr>
          <w:rFonts w:ascii="Times New Roman" w:eastAsia="Times New Roman" w:hAnsi="Times New Roman" w:cs="Times New Roman"/>
          <w:sz w:val="28"/>
          <w:szCs w:val="28"/>
        </w:rPr>
        <w:t>ійснюється на таблицю 6-8 Специфікації ICH для eCTD. Опис ua-leaf.mod наведені в додатку 2 до цих Вимог.</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Посилання на файли можна здійснювати між модулями (наприклад, від Модуля 1 на Модуль 2 або між послідовностями в межах одного досьє eCTD); однак слід з</w:t>
      </w:r>
      <w:r>
        <w:rPr>
          <w:rFonts w:ascii="Times New Roman" w:eastAsia="Times New Roman" w:hAnsi="Times New Roman" w:cs="Times New Roman"/>
          <w:sz w:val="28"/>
          <w:szCs w:val="28"/>
        </w:rPr>
        <w:t>вернути увагу на те, що відсутня можливість посилатися на файли в послідовностях в інших досьє eCTD. У разі посилання на файли між модулями або між послідовностями, посилання завжди має бути відносним, починаючи з розташування файлу у форматі XML. Наприкла</w:t>
      </w:r>
      <w:r>
        <w:rPr>
          <w:rFonts w:ascii="Times New Roman" w:eastAsia="Times New Roman" w:hAnsi="Times New Roman" w:cs="Times New Roman"/>
          <w:sz w:val="28"/>
          <w:szCs w:val="28"/>
        </w:rPr>
        <w:t>д, посилання з Модуля 1 Послідовності 0003 (наприклад 0003/m1/ua/ua-regional.xml) на файл, розташований у Модулі 2 Послідовності 0000 (наприклад файл «introduction.pdf» у папці 0000/m2/22-intro), буде закодовано у Модулі 1 для України як «../../../0000/m2/</w:t>
      </w:r>
      <w:r>
        <w:rPr>
          <w:rFonts w:ascii="Times New Roman" w:eastAsia="Times New Roman" w:hAnsi="Times New Roman" w:cs="Times New Roman"/>
          <w:sz w:val="28"/>
          <w:szCs w:val="28"/>
        </w:rPr>
        <w:t>22-intro/introduction.pdf».</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Ідентичні документи не слід подавати кілька разів, а натомість необхідно посилатися на них в тій самій послідовності або посилатися на вміст ідентичних документів, який був наданий у попередніх послідовностях.</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Повний опис націон</w:t>
      </w:r>
      <w:r>
        <w:rPr>
          <w:rFonts w:ascii="Times New Roman" w:eastAsia="Times New Roman" w:hAnsi="Times New Roman" w:cs="Times New Roman"/>
          <w:sz w:val="28"/>
          <w:szCs w:val="28"/>
        </w:rPr>
        <w:t>ального DTD для України наведено в додатку 3 до цих Вимог.</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Елемент «ua-envelope» призначений для використання для всіх типів подання (реєстрації, перереєстрації, внесення змін до досьє, щорічного перегляду, щорічного оцінювання, ПОЗБ, відкликання держа</w:t>
      </w:r>
      <w:r>
        <w:rPr>
          <w:rFonts w:ascii="Times New Roman" w:eastAsia="Times New Roman" w:hAnsi="Times New Roman" w:cs="Times New Roman"/>
          <w:sz w:val="28"/>
          <w:szCs w:val="28"/>
        </w:rPr>
        <w:t xml:space="preserve">вної реєстрації, приведення досьє до Закону) для конкретного лікарського засобу та в переважно </w:t>
      </w:r>
      <w:r>
        <w:rPr>
          <w:rFonts w:ascii="Times New Roman" w:eastAsia="Times New Roman" w:hAnsi="Times New Roman" w:cs="Times New Roman"/>
          <w:sz w:val="28"/>
          <w:szCs w:val="28"/>
        </w:rPr>
        <w:lastRenderedPageBreak/>
        <w:t>використовуватиметься для першої обробки на рівні компетентного органу. Конверт містить метадані на рівні досьє eCTD і послідовності.</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Атрибут submission/@mode є </w:t>
      </w:r>
      <w:r>
        <w:rPr>
          <w:rFonts w:ascii="Times New Roman" w:eastAsia="Times New Roman" w:hAnsi="Times New Roman" w:cs="Times New Roman"/>
          <w:sz w:val="28"/>
          <w:szCs w:val="28"/>
        </w:rPr>
        <w:t>обов’язковим: single — одна регуляторна дія; grouping — згрупована регуляторна дія.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 кожного елемента конверта наведено в додатку 1 до цих Вимог.</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 ua-envelope.mod наведено в додатку 4 до цих Вимог.</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Каталог метаданих на рівні гілки, включаючи по</w:t>
      </w:r>
      <w:r>
        <w:rPr>
          <w:rFonts w:ascii="Times New Roman" w:eastAsia="Times New Roman" w:hAnsi="Times New Roman" w:cs="Times New Roman"/>
          <w:sz w:val="28"/>
          <w:szCs w:val="28"/>
        </w:rPr>
        <w:t>кажчики на розташування файлів у структурі директорій забезпечується використанням XML-каталогу.</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Елемент «m1-ua» національного DTD для України базується на тому ж концептуальному підході, що й загальна частина DTD ICH eCTD.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DTD ICH eCTD, елемент «m1-ua» в</w:t>
      </w:r>
      <w:r>
        <w:rPr>
          <w:rFonts w:ascii="Times New Roman" w:eastAsia="Times New Roman" w:hAnsi="Times New Roman" w:cs="Times New Roman"/>
          <w:sz w:val="28"/>
          <w:szCs w:val="28"/>
        </w:rPr>
        <w:t>ідповідає структурі директорій (іноді може здаватися, що структура директорій є «надмірною», але це необхідно для того, щоб мати змогу використовувати однакову структуру файлів/директорій для всіх процедур). Каталоги коду країни та мови у m1/ua не використ</w:t>
      </w:r>
      <w:r>
        <w:rPr>
          <w:rFonts w:ascii="Times New Roman" w:eastAsia="Times New Roman" w:hAnsi="Times New Roman" w:cs="Times New Roman"/>
          <w:sz w:val="28"/>
          <w:szCs w:val="28"/>
        </w:rPr>
        <w:t>овуються.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Табличний огляд структури директорій з поясненням місця розміщення всіх файлів зазначається у додатку 5 до цих Вимог.</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Специфікація Модуля 1 для України передбачає структуру директорій і файлів, яка є  рекомендованою наведену у додатку 5 до цих Вимог.</w:t>
      </w:r>
    </w:p>
    <w:p w:rsidR="00741111" w:rsidRDefault="007B7340">
      <w:pPr>
        <w:spacing w:after="0" w:line="276" w:lineRule="auto"/>
        <w:ind w:firstLine="567"/>
        <w:jc w:val="both"/>
        <w:rPr>
          <w:rFonts w:ascii="Times New Roman" w:eastAsia="Times New Roman" w:hAnsi="Times New Roman" w:cs="Times New Roman"/>
          <w:sz w:val="28"/>
          <w:szCs w:val="28"/>
        </w:rPr>
      </w:pPr>
      <w:bookmarkStart w:id="0" w:name="_heading=h.plg57f6ob92e" w:colFirst="0" w:colLast="0"/>
      <w:bookmarkEnd w:id="0"/>
      <w:r>
        <w:rPr>
          <w:rFonts w:ascii="Times New Roman" w:eastAsia="Times New Roman" w:hAnsi="Times New Roman" w:cs="Times New Roman"/>
          <w:sz w:val="28"/>
          <w:szCs w:val="28"/>
        </w:rPr>
        <w:t>Для всіх процедур використовується однакова структура каталогу високого рівня.</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Під час життєвого циклу eCTD неможлив</w:t>
      </w:r>
      <w:r>
        <w:rPr>
          <w:rFonts w:ascii="Times New Roman" w:eastAsia="Times New Roman" w:hAnsi="Times New Roman" w:cs="Times New Roman"/>
          <w:sz w:val="28"/>
          <w:szCs w:val="28"/>
        </w:rPr>
        <w:t>о оновити атрибути магістрального файлу XML, такі як «виробник», а також не потрібно застосовувати обхідні шляхи, такі як видалення існуючих документів і їхнє повторне надсилання з новими атрибутами. Рекомендовано зберігати вперше створений запис і поклада</w:t>
      </w:r>
      <w:r>
        <w:rPr>
          <w:rFonts w:ascii="Times New Roman" w:eastAsia="Times New Roman" w:hAnsi="Times New Roman" w:cs="Times New Roman"/>
          <w:sz w:val="28"/>
          <w:szCs w:val="28"/>
        </w:rPr>
        <w:t>тися на зміст документа для пояснення поточних деталей.</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Розширення вузла (node extension).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розширень вузлів обмежується тими областями, де це критично. Непослідовне використання розширень вузла може призвести до ускладнення роботи під час перегляду подання.</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розширень вузлів в Україні відповідає такому:</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розширення вузла </w:t>
      </w:r>
      <w:r>
        <w:rPr>
          <w:rFonts w:ascii="Times New Roman" w:eastAsia="Times New Roman" w:hAnsi="Times New Roman" w:cs="Times New Roman"/>
          <w:sz w:val="28"/>
          <w:szCs w:val="28"/>
        </w:rPr>
        <w:t>не використовується там, де вже існують підзаголовки, визначені ICH (наприклад, показання, виробник, діюча речовина та лікарський засіб – усі вони вже є розширеннями вузла, що визначено ICH);</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розширення вузла можливе лише на найнижчому рівні структури eCTD</w:t>
      </w:r>
      <w:r>
        <w:rPr>
          <w:rFonts w:ascii="Times New Roman" w:eastAsia="Times New Roman" w:hAnsi="Times New Roman" w:cs="Times New Roman"/>
          <w:sz w:val="28"/>
          <w:szCs w:val="28"/>
        </w:rPr>
        <w:t xml:space="preserve"> (наприклад, розширення вузла можна використовувати на рівні 5.3.5.1, але не на рівні 5.3);</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розширення вузла в основному використовується для групування документів, які складаються з кількох елементів гілки (наприклад, клінічне дослідження (випробування), </w:t>
      </w:r>
      <w:r>
        <w:rPr>
          <w:rFonts w:ascii="Times New Roman" w:eastAsia="Times New Roman" w:hAnsi="Times New Roman" w:cs="Times New Roman"/>
          <w:sz w:val="28"/>
          <w:szCs w:val="28"/>
        </w:rPr>
        <w:t>що складається з окремих файлів синопсисів, основної частини і окремих додатків, які можна згрупувати разом під розширенням вузла з Ідентифікатором дослідження як атрибуту Найменування);</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вузла підтримується протягом усього життєвого циклу eCTD Л</w:t>
      </w:r>
      <w:r>
        <w:rPr>
          <w:rFonts w:ascii="Times New Roman" w:eastAsia="Times New Roman" w:hAnsi="Times New Roman" w:cs="Times New Roman"/>
          <w:sz w:val="28"/>
          <w:szCs w:val="28"/>
        </w:rPr>
        <w:t>З (наприклад, якщо розширення вузла використовується в послідовності 0000 для групування файлів для звіту про дослідження в Модулі 5.3.5.1, тоді будь-які файли, надіслані пізніше, також розміщені під розширенням вузла, навіть якщо подається лише один файл)</w:t>
      </w:r>
      <w:r>
        <w:rPr>
          <w:rFonts w:ascii="Times New Roman" w:eastAsia="Times New Roman" w:hAnsi="Times New Roman" w:cs="Times New Roman"/>
          <w:sz w:val="28"/>
          <w:szCs w:val="28"/>
        </w:rPr>
        <w:t>;</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вузла можуть бути вкладеними, оскільки це дозволено DTD для eCTD. Однак, як зазначається під маркером абзацу другого цього пункту, перше розширення вузла повинно бути на найнижчому рівні у структурі eCTD;</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вміст, пов’язаний з розширенням вузла, можна розмістити в окремій вкладеній папці подання (рекомендовано для досліджень у Модулі 5, де звіти про дослідження надаються як декілька файлів). Одночасно особливих вимог щодо додаткової підпапки немає. Наприклад,</w:t>
      </w:r>
      <w:r>
        <w:rPr>
          <w:rFonts w:ascii="Times New Roman" w:eastAsia="Times New Roman" w:hAnsi="Times New Roman" w:cs="Times New Roman"/>
          <w:sz w:val="28"/>
          <w:szCs w:val="28"/>
        </w:rPr>
        <w:t xml:space="preserve"> якщо розширення вузла використовуються для подальшого визначення «m1-responses», додаткові папки в «m1/ua/responses/» не рекомендуються, натомість для підтримки навігації змінна частина імені файлу може використовуватися, як зазначено у розділі V цих Вимо</w:t>
      </w:r>
      <w:r>
        <w:rPr>
          <w:rFonts w:ascii="Times New Roman" w:eastAsia="Times New Roman" w:hAnsi="Times New Roman" w:cs="Times New Roman"/>
          <w:sz w:val="28"/>
          <w:szCs w:val="28"/>
        </w:rPr>
        <w:t>г.</w:t>
      </w:r>
    </w:p>
    <w:p w:rsidR="00741111" w:rsidRDefault="00741111">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8. Актуальні контрольні суми (</w:t>
      </w:r>
      <w:r>
        <w:rPr>
          <w:rFonts w:ascii="Times New Roman" w:eastAsia="Times New Roman" w:hAnsi="Times New Roman" w:cs="Times New Roman"/>
          <w:color w:val="000000"/>
          <w:sz w:val="28"/>
          <w:szCs w:val="28"/>
        </w:rPr>
        <w:t>Checksum</w:t>
      </w:r>
      <w:r>
        <w:rPr>
          <w:rFonts w:ascii="Times New Roman" w:eastAsia="Times New Roman" w:hAnsi="Times New Roman" w:cs="Times New Roman"/>
          <w:sz w:val="28"/>
          <w:szCs w:val="28"/>
        </w:rPr>
        <w:t>) службових файлів розміщуються на офіційному вебсайті УФА.</w:t>
      </w: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У Кабінеті заявника, забезпечено можливість, з реєстраційними матеріалами завантажити супровідний лист (Cover letter), що містить атрибут операції док</w:t>
      </w:r>
      <w:r>
        <w:rPr>
          <w:rFonts w:ascii="Times New Roman" w:eastAsia="Times New Roman" w:hAnsi="Times New Roman" w:cs="Times New Roman"/>
          <w:sz w:val="28"/>
          <w:szCs w:val="28"/>
        </w:rPr>
        <w:t xml:space="preserve">умента «новий» (new), шаблон якого розміщений на офіційному сайті УФА.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Рекомендується додавати додатковий описовий текст до заголовка гілки, щоб допомогти ідентифікувати конкретні супровідні листи. Це допоможе ідентифікувати кожну гілку супровідного листа</w:t>
      </w:r>
      <w:r>
        <w:rPr>
          <w:rFonts w:ascii="Times New Roman" w:eastAsia="Times New Roman" w:hAnsi="Times New Roman" w:cs="Times New Roman"/>
          <w:sz w:val="28"/>
          <w:szCs w:val="28"/>
        </w:rPr>
        <w:t xml:space="preserve"> та до якого подання він входить, замість того, щоб називати супровідні листи однаково в кожній послідовності.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супровідний лист повинен бути накладений КЕП.</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Таблиця відстеження (tracking table) включається як додаток до супровідного листа для пода</w:t>
      </w:r>
      <w:r>
        <w:rPr>
          <w:rFonts w:ascii="Times New Roman" w:eastAsia="Times New Roman" w:hAnsi="Times New Roman" w:cs="Times New Roman"/>
          <w:sz w:val="28"/>
          <w:szCs w:val="28"/>
        </w:rPr>
        <w:t xml:space="preserve">ння в межах усіх процедур. Файл має назву </w:t>
      </w:r>
      <w:r>
        <w:rPr>
          <w:rFonts w:ascii="Times New Roman" w:eastAsia="Times New Roman" w:hAnsi="Times New Roman" w:cs="Times New Roman"/>
          <w:sz w:val="28"/>
          <w:szCs w:val="28"/>
          <w:highlight w:val="white"/>
        </w:rPr>
        <w:t xml:space="preserve">tracking[-&lt;var&gt;].pdf </w:t>
      </w:r>
      <w:r>
        <w:rPr>
          <w:rFonts w:ascii="Times New Roman" w:eastAsia="Times New Roman" w:hAnsi="Times New Roman" w:cs="Times New Roman"/>
          <w:sz w:val="28"/>
          <w:szCs w:val="28"/>
        </w:rPr>
        <w:t>(частина -var може бути змінена або відсутня) і розміщений у &lt;sequence&gt;/m1/ua/10-cover/.</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11.Заява подається в розділі 1.2 Модулю 1, містить атрибут операції документу «новий» (до заяви рекомен</w:t>
      </w:r>
      <w:r>
        <w:rPr>
          <w:rFonts w:ascii="Times New Roman" w:eastAsia="Times New Roman" w:hAnsi="Times New Roman" w:cs="Times New Roman"/>
          <w:sz w:val="28"/>
          <w:szCs w:val="28"/>
        </w:rPr>
        <w:t>довано застосовувати вимоги як в пункті 9 цього розділу), якщо тільки у заяві не було допущено помилки, та оновлена заява надається в новій послідовності, у цьому випадку атрибут операції має бути «замінити» («replace»). На заяву повинен бути накладений КЕ</w:t>
      </w:r>
      <w:r>
        <w:rPr>
          <w:rFonts w:ascii="Times New Roman" w:eastAsia="Times New Roman" w:hAnsi="Times New Roman" w:cs="Times New Roman"/>
          <w:sz w:val="28"/>
          <w:szCs w:val="28"/>
        </w:rPr>
        <w:t xml:space="preserve">П. </w:t>
      </w:r>
    </w:p>
    <w:p w:rsidR="00741111" w:rsidRDefault="007B7340">
      <w:pPr>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Файл заяви має назву form.pdf; за потреби додаткової ідентифікації допускається form-&lt;var&gt;.pdf. Кілька пунктів змін у групуванні наводяться в одній заяві.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36"/>
          <w:szCs w:val="36"/>
        </w:rPr>
      </w:pPr>
      <w:r>
        <w:rPr>
          <w:rFonts w:ascii="Times New Roman" w:eastAsia="Times New Roman" w:hAnsi="Times New Roman" w:cs="Times New Roman"/>
          <w:sz w:val="28"/>
          <w:szCs w:val="28"/>
        </w:rPr>
        <w:t>Додаткові документи, які не є частиною жодного розділу Модулів 2-5 або документу «Відповіді на за</w:t>
      </w:r>
      <w:r>
        <w:rPr>
          <w:rFonts w:ascii="Times New Roman" w:eastAsia="Times New Roman" w:hAnsi="Times New Roman" w:cs="Times New Roman"/>
          <w:sz w:val="28"/>
          <w:szCs w:val="28"/>
        </w:rPr>
        <w:t>уваження», розміщуються у розділі 1.2 Модулю 1, eCTD як окремі файли, а не як додані до самої заяви. Кожен додаток до заяви слід надавати як окреме вкладення у каталозі m1/ua/12-form, використовуючи змінну частину імені файлу та назву гілки для чіткого опи</w:t>
      </w:r>
      <w:r>
        <w:rPr>
          <w:rFonts w:ascii="Times New Roman" w:eastAsia="Times New Roman" w:hAnsi="Times New Roman" w:cs="Times New Roman"/>
          <w:sz w:val="28"/>
          <w:szCs w:val="28"/>
        </w:rPr>
        <w:t xml:space="preserve">су змісту документа. Наприклад, назва файлу: form-annex-proofpayment.pdf, назва гілки: «Україна, підтвердження оплати» </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36"/>
          <w:szCs w:val="36"/>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Інформаційні матеріали, що супроводжують лікарський засіб, надаються у форматі PDF-файлів у межах eCTD. Робочі файли подаються у файлі MS Word (з відстеженими змінами або без них, залежно від обставин) слід надавати в окремій папці XXXX-workingdocument</w:t>
      </w:r>
      <w:r>
        <w:rPr>
          <w:rFonts w:ascii="Times New Roman" w:eastAsia="Times New Roman" w:hAnsi="Times New Roman" w:cs="Times New Roman"/>
          <w:sz w:val="28"/>
          <w:szCs w:val="28"/>
        </w:rPr>
        <w:t>s в межах того ж подання, відповідно до правил подання workingdocumets.</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36"/>
          <w:szCs w:val="36"/>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36"/>
          <w:szCs w:val="36"/>
        </w:rPr>
      </w:pPr>
      <w:r>
        <w:rPr>
          <w:rFonts w:ascii="Times New Roman" w:eastAsia="Times New Roman" w:hAnsi="Times New Roman" w:cs="Times New Roman"/>
          <w:sz w:val="28"/>
          <w:szCs w:val="28"/>
        </w:rPr>
        <w:t>13</w:t>
      </w:r>
      <w:r>
        <w:rPr>
          <w:rFonts w:ascii="Times New Roman" w:eastAsia="Times New Roman" w:hAnsi="Times New Roman" w:cs="Times New Roman"/>
          <w:sz w:val="36"/>
          <w:szCs w:val="36"/>
        </w:rPr>
        <w:t xml:space="preserve">. </w:t>
      </w:r>
      <w:r>
        <w:rPr>
          <w:rFonts w:ascii="Times New Roman" w:eastAsia="Times New Roman" w:hAnsi="Times New Roman" w:cs="Times New Roman"/>
          <w:sz w:val="28"/>
          <w:szCs w:val="28"/>
        </w:rPr>
        <w:t>Подання електронної інформації у відповідь на перелік запитань від УФА повинно відповідати тим самим основним принципам, що й перше подання. Використовуються атрибути операції «n</w:t>
      </w:r>
      <w:r>
        <w:rPr>
          <w:rFonts w:ascii="Times New Roman" w:eastAsia="Times New Roman" w:hAnsi="Times New Roman" w:cs="Times New Roman"/>
          <w:sz w:val="28"/>
          <w:szCs w:val="28"/>
        </w:rPr>
        <w:t>ew», «replace» або «delete» відповідно</w:t>
      </w:r>
      <w:r>
        <w:rPr>
          <w:rFonts w:ascii="Times New Roman" w:eastAsia="Times New Roman" w:hAnsi="Times New Roman" w:cs="Times New Roman"/>
          <w:sz w:val="36"/>
          <w:szCs w:val="36"/>
        </w:rPr>
        <w:t xml:space="preserve"> (</w:t>
      </w:r>
      <w:r>
        <w:rPr>
          <w:rFonts w:ascii="Times New Roman" w:eastAsia="Times New Roman" w:hAnsi="Times New Roman" w:cs="Times New Roman"/>
          <w:sz w:val="28"/>
          <w:szCs w:val="28"/>
        </w:rPr>
        <w:t>Слід уникати «Append»</w:t>
      </w:r>
      <w:r>
        <w:rPr>
          <w:rFonts w:ascii="Times New Roman" w:eastAsia="Times New Roman" w:hAnsi="Times New Roman" w:cs="Times New Roman"/>
          <w:sz w:val="36"/>
          <w:szCs w:val="36"/>
        </w:rPr>
        <w:t>).</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Відповіді в форматі eCTD на зауваження до матеріалів реєстраційного досьє сформовані відповідно до Порядку експертизи, розміщуються під елементом m1-responses; за потреби окремі набори відпові</w:t>
      </w:r>
      <w:r>
        <w:rPr>
          <w:rFonts w:ascii="Times New Roman" w:eastAsia="Times New Roman" w:hAnsi="Times New Roman" w:cs="Times New Roman"/>
          <w:sz w:val="28"/>
          <w:szCs w:val="28"/>
        </w:rPr>
        <w:t xml:space="preserve">дей групуються розширеннями вузлів, назва яких визначає регуляторну дію (наприклад, Відповіді на запитання для заяви на реєстрацію, Відповіді на запитання для змін типу II 028 тощо). У першій гілці </w:t>
      </w:r>
      <w:r>
        <w:rPr>
          <w:rFonts w:ascii="Times New Roman" w:eastAsia="Times New Roman" w:hAnsi="Times New Roman" w:cs="Times New Roman"/>
          <w:sz w:val="28"/>
          <w:szCs w:val="28"/>
        </w:rPr>
        <w:lastRenderedPageBreak/>
        <w:t xml:space="preserve">відповідного розділу матеріалів реєстраційного досьє, яка </w:t>
      </w:r>
      <w:r>
        <w:rPr>
          <w:rFonts w:ascii="Times New Roman" w:eastAsia="Times New Roman" w:hAnsi="Times New Roman" w:cs="Times New Roman"/>
          <w:sz w:val="28"/>
          <w:szCs w:val="28"/>
        </w:rPr>
        <w:t xml:space="preserve">відображає певну регуляторну дію, рекомендується наявність копії повного переліку питань, отриманих від УФА.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30"/>
          <w:szCs w:val="30"/>
        </w:rPr>
      </w:pPr>
      <w:r>
        <w:rPr>
          <w:rFonts w:ascii="Times New Roman" w:eastAsia="Times New Roman" w:hAnsi="Times New Roman" w:cs="Times New Roman"/>
          <w:sz w:val="28"/>
          <w:szCs w:val="28"/>
        </w:rPr>
        <w:t>Відповіді розділяються на окремі файли для кожного основного розділу подання (наприклад: «Якість»; «Доклінічні»; «Клінічні»). Заголовки гілок використовують для ідентифікації певного набору відповідей. Якщо відповіді на декілька питань подаються в одному P</w:t>
      </w:r>
      <w:r>
        <w:rPr>
          <w:rFonts w:ascii="Times New Roman" w:eastAsia="Times New Roman" w:hAnsi="Times New Roman" w:cs="Times New Roman"/>
          <w:sz w:val="28"/>
          <w:szCs w:val="28"/>
        </w:rPr>
        <w:t>DF-файлі, використовують закладки для чіткого визначення кожної відповіді.</w:t>
      </w:r>
      <w:r>
        <w:rPr>
          <w:rFonts w:ascii="Times New Roman" w:eastAsia="Times New Roman" w:hAnsi="Times New Roman" w:cs="Times New Roman"/>
          <w:sz w:val="30"/>
          <w:szCs w:val="30"/>
        </w:rPr>
        <w:t xml:space="preserve"> </w:t>
      </w:r>
      <w:r>
        <w:rPr>
          <w:rFonts w:ascii="Times New Roman" w:eastAsia="Times New Roman" w:hAnsi="Times New Roman" w:cs="Times New Roman"/>
          <w:sz w:val="28"/>
          <w:szCs w:val="28"/>
        </w:rPr>
        <w:t>Можна надіслати відповідь на кожне питання в окремому файлі, але в такому випадку необхідно використовувати розширення вузлів, а назви гілок - для групування та ідентифікації відпов</w:t>
      </w:r>
      <w:r>
        <w:rPr>
          <w:rFonts w:ascii="Times New Roman" w:eastAsia="Times New Roman" w:hAnsi="Times New Roman" w:cs="Times New Roman"/>
          <w:sz w:val="28"/>
          <w:szCs w:val="28"/>
        </w:rPr>
        <w:t>ідей під розширенням вузла верхнього рівня.</w:t>
      </w:r>
      <w:r>
        <w:rPr>
          <w:rFonts w:ascii="Times New Roman" w:eastAsia="Times New Roman" w:hAnsi="Times New Roman" w:cs="Times New Roman"/>
          <w:sz w:val="32"/>
          <w:szCs w:val="32"/>
        </w:rPr>
        <w:t xml:space="preserve"> </w:t>
      </w:r>
    </w:p>
    <w:p w:rsidR="00741111" w:rsidRDefault="007B734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m1/ua/responses рекомендується використовувати змінну складову імені файлу та заголовка гілки, щоб чітко представити інформацію оцінювачу. Файли відповідей бажано називати так:</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responses-&lt;ідентифікатор типу р</w:t>
      </w:r>
      <w:r>
        <w:rPr>
          <w:rFonts w:ascii="Times New Roman" w:eastAsia="Times New Roman" w:hAnsi="Times New Roman" w:cs="Times New Roman"/>
          <w:sz w:val="28"/>
          <w:szCs w:val="28"/>
        </w:rPr>
        <w:t>егуляторної діяльності&gt;-&lt;ідентифікатор часової шкали&gt;-&lt;ідентифікатор вмісту&gt;.pdf , використовуючи компонент -var імені файлу для визначення вмісту.</w:t>
      </w:r>
    </w:p>
    <w:p w:rsidR="00741111" w:rsidRDefault="00741111">
      <w:pPr>
        <w:spacing w:after="0" w:line="256" w:lineRule="auto"/>
        <w:jc w:val="both"/>
        <w:rPr>
          <w:rFonts w:ascii="Times New Roman" w:eastAsia="Times New Roman" w:hAnsi="Times New Roman" w:cs="Times New Roman"/>
          <w:sz w:val="28"/>
          <w:szCs w:val="28"/>
        </w:rPr>
      </w:pPr>
    </w:p>
    <w:p w:rsidR="00741111" w:rsidRDefault="007B7340">
      <w:pPr>
        <w:spacing w:after="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Розділ “Додаткові дані” використовується лише для інформації, що вимагається відповідно до законодавств</w:t>
      </w:r>
      <w:r>
        <w:rPr>
          <w:rFonts w:ascii="Times New Roman" w:eastAsia="Times New Roman" w:hAnsi="Times New Roman" w:cs="Times New Roman"/>
          <w:sz w:val="28"/>
          <w:szCs w:val="28"/>
        </w:rPr>
        <w:t>а України, та після узгодження з УФА щодо розміщення такої інформації в даному розділі.</w:t>
      </w:r>
    </w:p>
    <w:p w:rsidR="00741111" w:rsidRDefault="00741111">
      <w:pPr>
        <w:spacing w:after="0" w:line="256" w:lineRule="auto"/>
        <w:ind w:firstLine="720"/>
        <w:jc w:val="both"/>
        <w:rPr>
          <w:rFonts w:ascii="Times New Roman" w:eastAsia="Times New Roman" w:hAnsi="Times New Roman" w:cs="Times New Roman"/>
          <w:sz w:val="28"/>
          <w:szCs w:val="28"/>
        </w:rPr>
      </w:pPr>
    </w:p>
    <w:p w:rsidR="00741111" w:rsidRDefault="007B7340">
      <w:pPr>
        <w:spacing w:after="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Модуль 2</w:t>
      </w:r>
    </w:p>
    <w:p w:rsidR="00741111" w:rsidRDefault="007B7340">
      <w:pPr>
        <w:spacing w:after="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розділі 2.3 Модуля 2 Загальний звіт про якість (QOS) можна подати або один файл (qos-var.pdf), або окремі файли для кожного розділу QOS з такими назвами</w:t>
      </w:r>
      <w:r>
        <w:rPr>
          <w:rFonts w:ascii="Times New Roman" w:eastAsia="Times New Roman" w:hAnsi="Times New Roman" w:cs="Times New Roman"/>
          <w:sz w:val="28"/>
          <w:szCs w:val="28"/>
        </w:rPr>
        <w:t>: introduction-var.pdf, drug-substance-var.pdf, drug-product-var.pdf, appendices-var.pdf та regional-information-var.pdf.</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Якщо заява містить діючу речовину, що охоплюється мастер-файлом діючої речовини (ASMF), Заявник подає  QOS у частині ASMF заявника я</w:t>
      </w:r>
      <w:r>
        <w:rPr>
          <w:rFonts w:ascii="Times New Roman" w:eastAsia="Times New Roman" w:hAnsi="Times New Roman" w:cs="Times New Roman"/>
          <w:sz w:val="28"/>
          <w:szCs w:val="28"/>
        </w:rPr>
        <w:t>к окремий файл у розділі 2.3 Модуля 2. Якщо ASMF більше одного, для кожного QOS має бути окремий файл. Заявник повинен забезпечити, щоб кожен QOS мав титульну сторінку з чітким зазначенням номера та дати версії.</w:t>
      </w:r>
    </w:p>
    <w:p w:rsidR="00741111" w:rsidRDefault="007B7340">
      <w:pPr>
        <w:spacing w:after="2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Якщо існуючий документ переглядається, слі</w:t>
      </w:r>
      <w:r>
        <w:rPr>
          <w:rFonts w:ascii="Times New Roman" w:eastAsia="Times New Roman" w:hAnsi="Times New Roman" w:cs="Times New Roman"/>
          <w:sz w:val="28"/>
          <w:szCs w:val="28"/>
        </w:rPr>
        <w:t>д використовувати атрибут операції життєвого циклу «replace». Якщо зміни вмісту впливають лише на один розділ цього документа, оновлення зазвичай подається як окремий зведений опис з атрибутом операції «new», оскільки це допоможе уточнити, що оцінювати в р</w:t>
      </w:r>
      <w:r>
        <w:rPr>
          <w:rFonts w:ascii="Times New Roman" w:eastAsia="Times New Roman" w:hAnsi="Times New Roman" w:cs="Times New Roman"/>
          <w:sz w:val="28"/>
          <w:szCs w:val="28"/>
        </w:rPr>
        <w:t>амках конкретного подання.</w:t>
      </w:r>
    </w:p>
    <w:p w:rsidR="00741111" w:rsidRDefault="007B7340">
      <w:pPr>
        <w:spacing w:after="2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16. Розділ  3.2.S Модуля 3.</w:t>
      </w:r>
    </w:p>
    <w:p w:rsidR="00741111" w:rsidRDefault="007B7340">
      <w:pPr>
        <w:spacing w:after="2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eastAsia="Times New Roman" w:hAnsi="Times New Roman" w:cs="Times New Roman"/>
          <w:sz w:val="28"/>
          <w:szCs w:val="28"/>
        </w:rPr>
        <w:t>Щодо документації виробника активної речовини, вона може бути представленою як ASMF або бути охопленою Сертифікатом придатності EDQM (CEP). Заявник надає документацію щодо активної речовини, яка є доречною в цих різних ситуаціях.</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Для біологічних/біотехно</w:t>
      </w:r>
      <w:r>
        <w:rPr>
          <w:rFonts w:ascii="Times New Roman" w:eastAsia="Times New Roman" w:hAnsi="Times New Roman" w:cs="Times New Roman"/>
          <w:sz w:val="28"/>
          <w:szCs w:val="28"/>
        </w:rPr>
        <w:t xml:space="preserve">логічних та лікарських засобів передової терапії, де вся документація щодо діючої речовини буде представлена як частина повного досьє, рекомендується створювати лише один модуль діючої речовини (розділ m32s), навіть якщо використовуються кілька виробників </w:t>
      </w:r>
      <w:r>
        <w:rPr>
          <w:rFonts w:ascii="Times New Roman" w:eastAsia="Times New Roman" w:hAnsi="Times New Roman" w:cs="Times New Roman"/>
          <w:sz w:val="28"/>
          <w:szCs w:val="28"/>
        </w:rPr>
        <w:t>діючих речовин. Якщо в комбінованому лікарському засобі є кілька різних діючих речовин, документація має бути представлена як один модуль діючої речовини (розділ m32s) на кожну діючу речовину.</w:t>
      </w:r>
    </w:p>
    <w:p w:rsidR="00741111" w:rsidRDefault="007B7340">
      <w:pPr>
        <w:spacing w:after="2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16.1. Щодо лікарських засобів хімічного походження:</w:t>
      </w:r>
    </w:p>
    <w:p w:rsidR="00741111" w:rsidRDefault="007B7340">
      <w:pPr>
        <w:spacing w:after="2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Документа</w:t>
      </w:r>
      <w:r>
        <w:rPr>
          <w:rFonts w:ascii="Times New Roman" w:eastAsia="Times New Roman" w:hAnsi="Times New Roman" w:cs="Times New Roman"/>
          <w:sz w:val="28"/>
          <w:szCs w:val="28"/>
        </w:rPr>
        <w:t>ція щодо діючої речовини лікарських засобів хімічного походження та лікарських засобів, на які поширюється дія ASMF, розрізняється на документацію виробника діючої речовини щодо діючої речовини та на документацію заявника щодо контролю діючої речовини (дал</w:t>
      </w:r>
      <w:r>
        <w:rPr>
          <w:rFonts w:ascii="Times New Roman" w:eastAsia="Times New Roman" w:hAnsi="Times New Roman" w:cs="Times New Roman"/>
          <w:sz w:val="28"/>
          <w:szCs w:val="28"/>
        </w:rPr>
        <w:t>і - документація заявника).</w:t>
      </w:r>
    </w:p>
    <w:p w:rsidR="00741111" w:rsidRDefault="007B7340">
      <w:pPr>
        <w:spacing w:after="2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41111" w:rsidRDefault="007B7340">
      <w:pPr>
        <w:spacing w:after="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Документація виробника діючої речовини охоплює процес виробництва діючої речовини та процес контролю  виробником діючої речовини речовини для забезпечення якості діючої речовини.</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Документація заявника охоплює процес контро</w:t>
      </w:r>
      <w:r>
        <w:rPr>
          <w:rFonts w:ascii="Times New Roman" w:eastAsia="Times New Roman" w:hAnsi="Times New Roman" w:cs="Times New Roman"/>
          <w:sz w:val="28"/>
          <w:szCs w:val="28"/>
        </w:rPr>
        <w:t>лю діючої речовини виробником(ами) готового лікарського засобу для забезпечення якості діючої речовини. Це застосовується лише тоді, коли діюча речовина та готовий лікарський засіб виробляються на різних виробничих дільницях.</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У досьє eCTD надається  доку</w:t>
      </w:r>
      <w:r>
        <w:rPr>
          <w:rFonts w:ascii="Times New Roman" w:eastAsia="Times New Roman" w:hAnsi="Times New Roman" w:cs="Times New Roman"/>
          <w:sz w:val="28"/>
          <w:szCs w:val="28"/>
        </w:rPr>
        <w:t>ментація виробника діючої речовини та документація заявника, якщо це доречно.</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Якщо заява містить діючу речовину, що охоплюється ASMF, Заявник надає свою частину ASMF у розділі 3.2.S Модуля 3. Заявник повинен забезпечити, щоб титульна сторінка частини зая</w:t>
      </w:r>
      <w:r>
        <w:rPr>
          <w:rFonts w:ascii="Times New Roman" w:eastAsia="Times New Roman" w:hAnsi="Times New Roman" w:cs="Times New Roman"/>
          <w:sz w:val="28"/>
          <w:szCs w:val="28"/>
        </w:rPr>
        <w:t>вника, із чітким зазначенням номера та дати версії, також була включена до eCTD-досьє лікарського засобу або як перша сторінка першого документа (тобто в номенклатурному документі), або як окремий файл, розміщений у підрозділі  3.2.S.1.1 підрозділу 3.2.S.1</w:t>
      </w:r>
      <w:r>
        <w:rPr>
          <w:rFonts w:ascii="Times New Roman" w:eastAsia="Times New Roman" w:hAnsi="Times New Roman" w:cs="Times New Roman"/>
          <w:sz w:val="28"/>
          <w:szCs w:val="28"/>
        </w:rPr>
        <w:t xml:space="preserve"> розділу 3.2.S Модуля 3 , під назвою nomenclature-cover-applicants-part.pdf.</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16.1.1. Документація виробника діючої речовини щодо діючої речовини.</w:t>
      </w:r>
    </w:p>
    <w:p w:rsidR="00741111" w:rsidRDefault="007B7340">
      <w:pPr>
        <w:spacing w:after="22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для однієї й тієї ж діючої речовини існує більше одного виробника і документація виробника діючої речови</w:t>
      </w:r>
      <w:r>
        <w:rPr>
          <w:rFonts w:ascii="Times New Roman" w:eastAsia="Times New Roman" w:hAnsi="Times New Roman" w:cs="Times New Roman"/>
          <w:sz w:val="28"/>
          <w:szCs w:val="28"/>
        </w:rPr>
        <w:t xml:space="preserve">ни представлена як ASMF слід створити один модуль діючої речовини (розділ m32s) для кожного ASMF, тобто кожна частина заявника повинна бути представлена у власному модулі діючої речовини. </w:t>
      </w:r>
      <w:r>
        <w:rPr>
          <w:rFonts w:ascii="Times New Roman" w:eastAsia="Times New Roman" w:hAnsi="Times New Roman" w:cs="Times New Roman"/>
          <w:sz w:val="28"/>
          <w:szCs w:val="28"/>
        </w:rPr>
        <w:lastRenderedPageBreak/>
        <w:t>Коли документація виробника діючої речовини є частиною повного досьє</w:t>
      </w:r>
      <w:r>
        <w:rPr>
          <w:rFonts w:ascii="Times New Roman" w:eastAsia="Times New Roman" w:hAnsi="Times New Roman" w:cs="Times New Roman"/>
          <w:sz w:val="28"/>
          <w:szCs w:val="28"/>
        </w:rPr>
        <w:t xml:space="preserve"> (тобто не надається як ASMF), один модуль лікарської речовини (розділ m32s) може бути створений для кожного виробника діючої речовини або один модуль діючої речовини (розділ m32s), що охоплює всіх виробників діючої речовини, залежно від того, чи є докумен</w:t>
      </w:r>
      <w:r>
        <w:rPr>
          <w:rFonts w:ascii="Times New Roman" w:eastAsia="Times New Roman" w:hAnsi="Times New Roman" w:cs="Times New Roman"/>
          <w:sz w:val="28"/>
          <w:szCs w:val="28"/>
        </w:rPr>
        <w:t>тація значною мірою схожою чи ні (і чи застосовується той самий шлях синтезу). Якщо діюча речовина охоплена CEP, кожен CEP слід розмістити в розділі 3.2 Модуля 3. Регіональна інформація (та в розділі  1.2 Модуля 1 як додаток до заяви про державну реєстраці</w:t>
      </w:r>
      <w:r>
        <w:rPr>
          <w:rFonts w:ascii="Times New Roman" w:eastAsia="Times New Roman" w:hAnsi="Times New Roman" w:cs="Times New Roman"/>
          <w:sz w:val="28"/>
          <w:szCs w:val="28"/>
        </w:rPr>
        <w:t>ю лікарського засобу). За потреби, для кожного виробника діючої речовини слід створити окремий m32s, де відповідні розділи папок 3.2.S.1 - 3.2.S.7 слід використовувати для будь-яких додаткових документів (наприклад, для інформації, що не охоплюється CEP).</w:t>
      </w:r>
    </w:p>
    <w:p w:rsidR="00741111" w:rsidRDefault="007B7340">
      <w:pPr>
        <w:spacing w:after="22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в комбінованому лікарському засобі є кілька діючих речовин слід створити окремий модуль діючої речовини (розділ m32s) для кожної діючої речовини та дотримуватися рекомендацій для кількох виробників діючих речовин, зазначених у цьому підпункті.</w:t>
      </w:r>
    </w:p>
    <w:p w:rsidR="00741111" w:rsidRDefault="007B7340">
      <w:pPr>
        <w:spacing w:after="22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16.1.2.</w:t>
      </w:r>
      <w:r>
        <w:rPr>
          <w:rFonts w:ascii="Times New Roman" w:eastAsia="Times New Roman" w:hAnsi="Times New Roman" w:cs="Times New Roman"/>
          <w:sz w:val="28"/>
          <w:szCs w:val="28"/>
        </w:rPr>
        <w:t xml:space="preserve"> Документація заявника щодо контролю діючої речовини</w:t>
      </w:r>
    </w:p>
    <w:p w:rsidR="00741111" w:rsidRDefault="007B7340">
      <w:pPr>
        <w:spacing w:after="22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Заявник несе відповідальність за забезпечення якості діючої речовини. Тому заявник повинен мати власний модуль діючої речовини (m32s), що охоплює контроль діючої речовини, що здійснюється виробником(ами)</w:t>
      </w:r>
      <w:r>
        <w:rPr>
          <w:rFonts w:ascii="Times New Roman" w:eastAsia="Times New Roman" w:hAnsi="Times New Roman" w:cs="Times New Roman"/>
          <w:sz w:val="28"/>
          <w:szCs w:val="28"/>
        </w:rPr>
        <w:t xml:space="preserve"> готового лікарського засобу, коли діюча речовина та готовий лікарський засіб виробляються на різних виробничих дільницях.</w:t>
      </w:r>
    </w:p>
    <w:p w:rsidR="00741111" w:rsidRDefault="007B7340">
      <w:pPr>
        <w:spacing w:after="22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для однієї й тієї ж діючої речовини існує більше одного виробника документація Заявника на кожну діючу речовину надається в  одн</w:t>
      </w:r>
      <w:r>
        <w:rPr>
          <w:rFonts w:ascii="Times New Roman" w:eastAsia="Times New Roman" w:hAnsi="Times New Roman" w:cs="Times New Roman"/>
          <w:sz w:val="28"/>
          <w:szCs w:val="28"/>
        </w:rPr>
        <w:t>ому модулі діючої речовини (m32s). Неприйнятно подавати документацію Заявника, розділену на різні модулі діючої речовини, навіть якщо є кілька різних виробників діючої речовини. Також неприйнятно надавати документацію Заявника як окремі модулі діючої речов</w:t>
      </w:r>
      <w:r>
        <w:rPr>
          <w:rFonts w:ascii="Times New Roman" w:eastAsia="Times New Roman" w:hAnsi="Times New Roman" w:cs="Times New Roman"/>
          <w:sz w:val="28"/>
          <w:szCs w:val="28"/>
        </w:rPr>
        <w:t>ини, навіть якщо є кілька різних виробників готового лікарського засобу.</w:t>
      </w:r>
    </w:p>
    <w:p w:rsidR="00741111" w:rsidRDefault="007B7340">
      <w:pPr>
        <w:spacing w:after="0" w:line="244"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в одному готовому лікарському засобі є кілька різних діючих речовин, документація заявника повинна бути представлена як один модуль діючої речовини (розділ m32s) на кожну діючу р</w:t>
      </w:r>
      <w:r>
        <w:rPr>
          <w:rFonts w:ascii="Times New Roman" w:eastAsia="Times New Roman" w:hAnsi="Times New Roman" w:cs="Times New Roman"/>
          <w:sz w:val="28"/>
          <w:szCs w:val="28"/>
        </w:rPr>
        <w:t>ечовину.</w:t>
      </w:r>
    </w:p>
    <w:p w:rsidR="00741111" w:rsidRDefault="007B7340">
      <w:pPr>
        <w:spacing w:after="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Деталі описані в додатку 6 до цих Вимог.</w:t>
      </w:r>
    </w:p>
    <w:p w:rsidR="00741111" w:rsidRDefault="00741111">
      <w:pPr>
        <w:spacing w:after="0" w:line="244" w:lineRule="auto"/>
        <w:ind w:firstLine="720"/>
        <w:jc w:val="both"/>
        <w:rPr>
          <w:rFonts w:ascii="Times New Roman" w:eastAsia="Times New Roman" w:hAnsi="Times New Roman" w:cs="Times New Roman"/>
          <w:sz w:val="28"/>
          <w:szCs w:val="28"/>
        </w:rPr>
      </w:pPr>
    </w:p>
    <w:p w:rsidR="00741111" w:rsidRDefault="007B7340">
      <w:pPr>
        <w:spacing w:after="0" w:line="244"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Розділ 3.2.P Модуля 3.</w:t>
      </w:r>
    </w:p>
    <w:p w:rsidR="00741111" w:rsidRDefault="007B7340">
      <w:pPr>
        <w:spacing w:after="0" w:line="244"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Цей модуль може повторюватися, і кожну лікарську форму (наприклад, таблетки, вкриті плівковою оболонкою, та капсули), що охоплюється досьє eCTD, завжди слід описувати в окремому </w:t>
      </w:r>
      <w:r>
        <w:rPr>
          <w:rFonts w:ascii="Times New Roman" w:eastAsia="Times New Roman" w:hAnsi="Times New Roman" w:cs="Times New Roman"/>
          <w:sz w:val="28"/>
          <w:szCs w:val="28"/>
        </w:rPr>
        <w:t>розділі m32p .</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Якщо заява містить кілька доз однієї лікарської форми, документацію, що охоплює всі дозування, рекомендується надавати в одному розділі m32p, незалежно від того, чи є документи конкретними для кожної дози, чи об'єднаними. Якщо деякі докуме</w:t>
      </w:r>
      <w:r>
        <w:rPr>
          <w:rFonts w:ascii="Times New Roman" w:eastAsia="Times New Roman" w:hAnsi="Times New Roman" w:cs="Times New Roman"/>
          <w:sz w:val="28"/>
          <w:szCs w:val="28"/>
        </w:rPr>
        <w:t>нти щодо конкретних доз різні, все одно рекомендується включити їх в один розділ m32p. Однак, якщо існують суттєві відмінності між виробництвом або контролем якості дози, може бути наявність окремого розділу модуля 3.2.P. Такий підхід бажано описати в супр</w:t>
      </w:r>
      <w:r>
        <w:rPr>
          <w:rFonts w:ascii="Times New Roman" w:eastAsia="Times New Roman" w:hAnsi="Times New Roman" w:cs="Times New Roman"/>
          <w:sz w:val="28"/>
          <w:szCs w:val="28"/>
        </w:rPr>
        <w:t>овідному листі.</w:t>
      </w:r>
    </w:p>
    <w:p w:rsidR="00741111" w:rsidRDefault="007B734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Надається лише один розділ m32p , навіть якщо є кілька виробників готового лікарського засобу. Неприйнятно надавати один розділ m32p для кожного виробника готового лікарського засобу для однієї й тієї ж лікарської форми. Опис виробничого </w:t>
      </w:r>
      <w:r>
        <w:rPr>
          <w:rFonts w:ascii="Times New Roman" w:eastAsia="Times New Roman" w:hAnsi="Times New Roman" w:cs="Times New Roman"/>
          <w:sz w:val="28"/>
          <w:szCs w:val="28"/>
        </w:rPr>
        <w:t xml:space="preserve">процесу слід надавати як один документ у розділі m32p (у модулі 3.2.P.3.3). </w:t>
      </w:r>
    </w:p>
    <w:p w:rsidR="00741111" w:rsidRDefault="007B7340">
      <w:pPr>
        <w:spacing w:after="0" w:line="25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Деталі описані в додатку 6 до цих Вимог.</w:t>
      </w:r>
    </w:p>
    <w:p w:rsidR="00741111" w:rsidRDefault="00741111">
      <w:pPr>
        <w:spacing w:after="0" w:line="244" w:lineRule="auto"/>
        <w:ind w:firstLine="720"/>
        <w:jc w:val="both"/>
        <w:rPr>
          <w:rFonts w:ascii="Times New Roman" w:eastAsia="Times New Roman" w:hAnsi="Times New Roman" w:cs="Times New Roman"/>
          <w:sz w:val="28"/>
          <w:szCs w:val="28"/>
        </w:rPr>
      </w:pPr>
    </w:p>
    <w:p w:rsidR="00741111" w:rsidRDefault="007B7340">
      <w:pPr>
        <w:spacing w:after="0" w:line="244"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Модуль 5</w:t>
      </w:r>
    </w:p>
    <w:p w:rsidR="00741111" w:rsidRDefault="007B7340">
      <w:pPr>
        <w:spacing w:after="0" w:line="244"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випадках, коли заява містить кілька терапевтичних показань, звіти слід організувати в окремому розділі m535 для кожного показання. У таких випадках, якщо дослідження клінічної ефективності стосується лише одного з показань, включених до заяви, його слід</w:t>
      </w:r>
      <w:r>
        <w:rPr>
          <w:rFonts w:ascii="Times New Roman" w:eastAsia="Times New Roman" w:hAnsi="Times New Roman" w:cs="Times New Roman"/>
          <w:sz w:val="28"/>
          <w:szCs w:val="28"/>
        </w:rPr>
        <w:t xml:space="preserve"> включити до відповідного розділу в m5 (наприклад, m5/53-clin-stud-rep/535-rep-effic-safety-stud/anxiety/5351-stud-rep-contr ). Якщо дослідження клінічної ефективності стосується кількох показань, звіт про дослідження слід включити до найбільш відповідного</w:t>
      </w:r>
      <w:r>
        <w:rPr>
          <w:rFonts w:ascii="Times New Roman" w:eastAsia="Times New Roman" w:hAnsi="Times New Roman" w:cs="Times New Roman"/>
          <w:sz w:val="28"/>
          <w:szCs w:val="28"/>
        </w:rPr>
        <w:t xml:space="preserve"> підрозділу m535 та за необхідності посилатися на нього в еквівалентному розділі під іншим показанням. У Модулі 2 слід подати окремий модуль «Короткий виклад клінічної ефективності» для кожного показання, хоча пов'язані показання можуть бути в одному докум</w:t>
      </w:r>
      <w:r>
        <w:rPr>
          <w:rFonts w:ascii="Times New Roman" w:eastAsia="Times New Roman" w:hAnsi="Times New Roman" w:cs="Times New Roman"/>
          <w:sz w:val="28"/>
          <w:szCs w:val="28"/>
        </w:rPr>
        <w:t xml:space="preserve">енті. Незалежно від обраного способу, важливо надати оцінювачу чіткі письмові вказівки, коли допоміжні дані/звіт про дослідження застосовні до кількох показань. </w:t>
      </w:r>
    </w:p>
    <w:p w:rsidR="00741111" w:rsidRDefault="007B7340">
      <w:pPr>
        <w:spacing w:after="0" w:line="244"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групування окремих файлів звітів клінічних досліджень  слід використовувати розширення вуз</w:t>
      </w:r>
      <w:r>
        <w:rPr>
          <w:rFonts w:ascii="Times New Roman" w:eastAsia="Times New Roman" w:hAnsi="Times New Roman" w:cs="Times New Roman"/>
          <w:sz w:val="28"/>
          <w:szCs w:val="28"/>
        </w:rPr>
        <w:t>лів. Для підтримки узгодженого вигляду життєвого циклу eCTD та змісту (через index.xml) заявникам рекомендується використовувати розширення вузлів для всіх звітів про клінічні дослідження, незалежно від рівня деталізації вмісту (тобто навіть звіти, які скл</w:t>
      </w:r>
      <w:r>
        <w:rPr>
          <w:rFonts w:ascii="Times New Roman" w:eastAsia="Times New Roman" w:hAnsi="Times New Roman" w:cs="Times New Roman"/>
          <w:sz w:val="28"/>
          <w:szCs w:val="28"/>
        </w:rPr>
        <w:t xml:space="preserve">адаються лише з одного документа, також повинні бути представлені в розширеннях вузлів). </w:t>
      </w:r>
    </w:p>
    <w:p w:rsidR="00741111" w:rsidRDefault="007B734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форми звітів про випадки (CRFs) та списки даних окремих пацієнтів подаються у форматі m537 (як додатки 16.3 та 16.4 у настановах ICH щодо звітів про клінічні дос</w:t>
      </w:r>
      <w:r>
        <w:rPr>
          <w:rFonts w:ascii="Times New Roman" w:eastAsia="Times New Roman" w:hAnsi="Times New Roman" w:cs="Times New Roman"/>
          <w:sz w:val="28"/>
          <w:szCs w:val="28"/>
        </w:rPr>
        <w:t>лідження E3), їх слід розміщувати в тому ж порядку, що й звіти про клінічні дослідження, що наведені у форматі m535, та індексувати за дослідженнями. Зверніть увагу, що закладки не потрібні, оскільки подальшої внутрішньої структури не буде.</w:t>
      </w:r>
    </w:p>
    <w:p w:rsidR="00741111" w:rsidRDefault="007B734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Прийнятно або включити копії синопсисів для кожного дослідження в підрозділ 2.7.6 розділу 2.7 Модуля 2 eCTD, або надати гіперпосилання на синопсиси, розташовані в Модулі 5, без надання копій у розділі 2.7.6 розділу 2.7 Модуля 2. В будь-якому випадку слід н</w:t>
      </w:r>
      <w:r>
        <w:rPr>
          <w:rFonts w:ascii="Times New Roman" w:eastAsia="Times New Roman" w:hAnsi="Times New Roman" w:cs="Times New Roman"/>
          <w:sz w:val="28"/>
          <w:szCs w:val="28"/>
        </w:rPr>
        <w:t>адати Перелік клінічних досліджень, який повинен містити гіперпосилання на першу сторінку кожного синопсису.</w:t>
      </w:r>
    </w:p>
    <w:p w:rsidR="00741111" w:rsidRDefault="007B734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компанії подають свій Основний інформаційний лист компанії (Company Core Data Sheet), рекомендується надати його в підрозділі 5.3.6 розділу 5.</w:t>
      </w:r>
      <w:r>
        <w:rPr>
          <w:rFonts w:ascii="Times New Roman" w:eastAsia="Times New Roman" w:hAnsi="Times New Roman" w:cs="Times New Roman"/>
          <w:sz w:val="28"/>
          <w:szCs w:val="28"/>
        </w:rPr>
        <w:t xml:space="preserve">3 Модуля 5 eCTD «Постмаркетинговий досвід». </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 Інструкція щодо подачі типів процедур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Рекомендованим початком життєвого циклу eCTD ЛЗ є початкова заява на державну реєстрацію її слід вказувати як послідовність «0000», у разі обґрунтованого початку з і</w:t>
      </w:r>
      <w:r>
        <w:rPr>
          <w:rFonts w:ascii="Times New Roman" w:eastAsia="Times New Roman" w:hAnsi="Times New Roman" w:cs="Times New Roman"/>
          <w:sz w:val="28"/>
          <w:szCs w:val="28"/>
        </w:rPr>
        <w:t>ншої послідовності чисел, таку процедуру рекомендовано проводити за попередньою консультацією з УФА. Усі включені документи мають атрибут дії «новий» і розміщуються у відповідних розділах відповідно до нормативно-правових документів.</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 подання - «реєстра</w:t>
      </w:r>
      <w:r>
        <w:rPr>
          <w:rFonts w:ascii="Times New Roman" w:eastAsia="Times New Roman" w:hAnsi="Times New Roman" w:cs="Times New Roman"/>
          <w:sz w:val="28"/>
          <w:szCs w:val="28"/>
        </w:rPr>
        <w:t>ція» («maa»).</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Перереєстрація може використовуватися як перший eCTD у життєвому циклі ЛЗ подібно до змін.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 подання - «перереєстрація» (renewal).</w:t>
      </w:r>
    </w:p>
    <w:p w:rsidR="00741111" w:rsidRDefault="00741111">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p>
    <w:p w:rsidR="00741111" w:rsidRDefault="00741111">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процедурі внесення змін до реєстраційних матеріалів протягом дії державної реєстрації, всі типи змін подаються в eCTD як нові послідовності.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 подання має відображати найвищий тип зміни у заяві.</w:t>
      </w:r>
    </w:p>
    <w:p w:rsidR="00741111" w:rsidRDefault="007B734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Подання заяв на зміни у рамках</w:t>
      </w:r>
      <w:r>
        <w:rPr>
          <w:rFonts w:ascii="Times New Roman" w:eastAsia="Times New Roman" w:hAnsi="Times New Roman" w:cs="Times New Roman"/>
          <w:sz w:val="28"/>
          <w:szCs w:val="28"/>
          <w:highlight w:val="white"/>
        </w:rPr>
        <w:t xml:space="preserve"> групування,</w:t>
      </w:r>
      <w:r>
        <w:rPr>
          <w:rFonts w:ascii="Times New Roman" w:eastAsia="Times New Roman" w:hAnsi="Times New Roman" w:cs="Times New Roman"/>
          <w:sz w:val="28"/>
          <w:szCs w:val="28"/>
        </w:rPr>
        <w:t xml:space="preserve"> що стосую</w:t>
      </w:r>
      <w:r>
        <w:rPr>
          <w:rFonts w:ascii="Times New Roman" w:eastAsia="Times New Roman" w:hAnsi="Times New Roman" w:cs="Times New Roman"/>
          <w:sz w:val="28"/>
          <w:szCs w:val="28"/>
        </w:rPr>
        <w:t>ться кількох лікарських засобів, рекомендується подавати разом в одному транспортному zip-файлі. Zip-файл повинен містити окремі каталоги &lt;UUID&gt;/&lt;sequence&gt;/... для кожного eCTD-досьє.</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Документи, пов’язані зі зміною, включають до відповідних розділів або ви</w:t>
      </w:r>
      <w:r>
        <w:rPr>
          <w:rFonts w:ascii="Times New Roman" w:eastAsia="Times New Roman" w:hAnsi="Times New Roman" w:cs="Times New Roman"/>
          <w:sz w:val="28"/>
          <w:szCs w:val="28"/>
        </w:rPr>
        <w:t xml:space="preserve">даляються, або замінюються за допомогою відповідного атрибута дії щодо документа. Якщо документи не можна зарахувати до певних місць розташування, визначених ЗТД, їх надають як додатки до заяви в розділі «m1.2». </w:t>
      </w: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Розміщення підтверджуючих документів в стру</w:t>
      </w:r>
      <w:r>
        <w:rPr>
          <w:rFonts w:ascii="Times New Roman" w:eastAsia="Times New Roman" w:hAnsi="Times New Roman" w:cs="Times New Roman"/>
          <w:sz w:val="28"/>
          <w:szCs w:val="28"/>
        </w:rPr>
        <w:t xml:space="preserve">ктурі eCTD, під час зміни власника реєстрації  це перелік місць розташування підтверджуючих документів в структурі eCTD у процесі зміни власника реєстрації (transfer-ma). </w:t>
      </w:r>
    </w:p>
    <w:tbl>
      <w:tblPr>
        <w:tblStyle w:val="affff6"/>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8"/>
        <w:gridCol w:w="8330"/>
      </w:tblGrid>
      <w:tr w:rsidR="00741111">
        <w:tc>
          <w:tcPr>
            <w:tcW w:w="1588" w:type="dxa"/>
          </w:tcPr>
          <w:p w:rsidR="00741111" w:rsidRDefault="007B7340">
            <w:pPr>
              <w:spacing w:line="276" w:lineRule="auto"/>
              <w:ind w:firstLine="15"/>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Модуль 1</w:t>
            </w:r>
          </w:p>
        </w:tc>
        <w:tc>
          <w:tcPr>
            <w:tcW w:w="8330" w:type="dxa"/>
          </w:tcPr>
          <w:p w:rsidR="00741111" w:rsidRDefault="007B7340">
            <w:pPr>
              <w:spacing w:line="276"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Назва українською</w:t>
            </w:r>
          </w:p>
        </w:tc>
      </w:tr>
      <w:tr w:rsidR="00741111">
        <w:tc>
          <w:tcPr>
            <w:tcW w:w="1588" w:type="dxa"/>
          </w:tcPr>
          <w:p w:rsidR="00741111" w:rsidRDefault="007B7340">
            <w:pPr>
              <w:spacing w:line="276" w:lineRule="auto"/>
              <w:ind w:firstLine="15"/>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8330" w:type="dxa"/>
          </w:tcPr>
          <w:p w:rsidR="00741111" w:rsidRDefault="007B7340">
            <w:pPr>
              <w:spacing w:line="276"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Супровідний лист</w:t>
            </w:r>
          </w:p>
        </w:tc>
      </w:tr>
      <w:tr w:rsidR="00741111">
        <w:tc>
          <w:tcPr>
            <w:tcW w:w="1588" w:type="dxa"/>
          </w:tcPr>
          <w:p w:rsidR="00741111" w:rsidRDefault="007B7340">
            <w:pPr>
              <w:spacing w:line="276" w:lineRule="auto"/>
              <w:ind w:firstLine="15"/>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документів</w:t>
            </w:r>
          </w:p>
        </w:tc>
        <w:tc>
          <w:tcPr>
            <w:tcW w:w="8330" w:type="dxa"/>
          </w:tcPr>
          <w:p w:rsidR="00741111" w:rsidRDefault="007B7340">
            <w:pPr>
              <w:spacing w:line="276"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Супровідний лист</w:t>
            </w:r>
          </w:p>
        </w:tc>
      </w:tr>
      <w:tr w:rsidR="00741111">
        <w:trPr>
          <w:trHeight w:val="329"/>
        </w:trPr>
        <w:tc>
          <w:tcPr>
            <w:tcW w:w="1588" w:type="dxa"/>
          </w:tcPr>
          <w:p w:rsidR="00741111" w:rsidRDefault="00741111">
            <w:pPr>
              <w:spacing w:line="276" w:lineRule="auto"/>
              <w:ind w:firstLine="15"/>
              <w:rPr>
                <w:rFonts w:ascii="Times New Roman" w:eastAsia="Times New Roman" w:hAnsi="Times New Roman" w:cs="Times New Roman"/>
                <w:sz w:val="28"/>
                <w:szCs w:val="28"/>
              </w:rPr>
            </w:pPr>
          </w:p>
        </w:tc>
        <w:tc>
          <w:tcPr>
            <w:tcW w:w="8330" w:type="dxa"/>
          </w:tcPr>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про те, що оновлене реєстраційне досьє на зареєстрований лікарський засіб, включаючи будь-які дані та документи, які належать до педіатричних зобов'язань, передані у повному обсязі від затвердженого власника реєстрації новому вл</w:t>
            </w:r>
            <w:r>
              <w:rPr>
                <w:rFonts w:ascii="Times New Roman" w:eastAsia="Times New Roman" w:hAnsi="Times New Roman" w:cs="Times New Roman"/>
                <w:sz w:val="28"/>
                <w:szCs w:val="28"/>
              </w:rPr>
              <w:t>аснику реєстрації</w:t>
            </w:r>
          </w:p>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у якому зазначено дату закінчення затвердженим та новим власниками реєстрації виконання усіх перехідних організаційних заходів та прийняття новим власником реєстрації усіх зобов'язань щодо цього лікарського засобу</w:t>
            </w:r>
          </w:p>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про діяль</w:t>
            </w:r>
            <w:r>
              <w:rPr>
                <w:rFonts w:ascii="Times New Roman" w:eastAsia="Times New Roman" w:hAnsi="Times New Roman" w:cs="Times New Roman"/>
                <w:sz w:val="28"/>
                <w:szCs w:val="28"/>
              </w:rPr>
              <w:t>ність затвердженого власника реєстрації протягом перехідного періоду</w:t>
            </w:r>
          </w:p>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Підтвердження реєстрації нового власника реєстрації (правонаступника) відповідно до законодавства країни походження нового власника реєстрації</w:t>
            </w:r>
          </w:p>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Заява про те, чи введений в обіг на територі</w:t>
            </w:r>
            <w:r>
              <w:rPr>
                <w:rFonts w:ascii="Times New Roman" w:eastAsia="Times New Roman" w:hAnsi="Times New Roman" w:cs="Times New Roman"/>
                <w:sz w:val="28"/>
                <w:szCs w:val="28"/>
              </w:rPr>
              <w:t>ї України зареєстрований лікарський засіб</w:t>
            </w:r>
          </w:p>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Лист від нового власника реєстрації щодо усіх гарантій та зобов'язань, які залишилися невиконаними.</w:t>
            </w:r>
          </w:p>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Заява про те, що до короткої характеристики, листок-вкладку та тексту маркування зареєстрованого лікарського засобу не вносилися жодні інші зміни, крім інформації щодо нового власника реєстрації та, якщо необхідно, інформації про представників</w:t>
            </w:r>
          </w:p>
        </w:tc>
      </w:tr>
      <w:tr w:rsidR="00741111">
        <w:tc>
          <w:tcPr>
            <w:tcW w:w="1588" w:type="dxa"/>
          </w:tcPr>
          <w:p w:rsidR="00741111" w:rsidRDefault="007B7340">
            <w:pPr>
              <w:spacing w:line="276" w:lineRule="auto"/>
              <w:ind w:firstLine="15"/>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8330" w:type="dxa"/>
          </w:tcPr>
          <w:p w:rsidR="00741111" w:rsidRDefault="007B7340">
            <w:pPr>
              <w:spacing w:line="276"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Маркув</w:t>
            </w:r>
            <w:r>
              <w:rPr>
                <w:rFonts w:ascii="Times New Roman" w:eastAsia="Times New Roman" w:hAnsi="Times New Roman" w:cs="Times New Roman"/>
                <w:sz w:val="28"/>
                <w:szCs w:val="28"/>
              </w:rPr>
              <w:t>ання</w:t>
            </w:r>
          </w:p>
        </w:tc>
      </w:tr>
      <w:tr w:rsidR="00741111">
        <w:tc>
          <w:tcPr>
            <w:tcW w:w="1588" w:type="dxa"/>
          </w:tcPr>
          <w:p w:rsidR="00741111" w:rsidRDefault="00741111">
            <w:pPr>
              <w:spacing w:line="276" w:lineRule="auto"/>
              <w:ind w:firstLine="15"/>
              <w:rPr>
                <w:rFonts w:ascii="Times New Roman" w:eastAsia="Times New Roman" w:hAnsi="Times New Roman" w:cs="Times New Roman"/>
                <w:sz w:val="28"/>
                <w:szCs w:val="28"/>
              </w:rPr>
            </w:pPr>
          </w:p>
        </w:tc>
        <w:tc>
          <w:tcPr>
            <w:tcW w:w="8330" w:type="dxa"/>
          </w:tcPr>
          <w:p w:rsidR="00741111" w:rsidRDefault="007B7340">
            <w:pPr>
              <w:shd w:val="clear" w:color="auto" w:fill="FFFFFF"/>
              <w:spacing w:after="12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Листок-вкладка</w:t>
            </w:r>
          </w:p>
        </w:tc>
      </w:tr>
      <w:tr w:rsidR="00741111">
        <w:tc>
          <w:tcPr>
            <w:tcW w:w="1588" w:type="dxa"/>
          </w:tcPr>
          <w:p w:rsidR="00741111" w:rsidRDefault="00741111">
            <w:pPr>
              <w:spacing w:line="276" w:lineRule="auto"/>
              <w:ind w:firstLine="15"/>
              <w:rPr>
                <w:rFonts w:ascii="Times New Roman" w:eastAsia="Times New Roman" w:hAnsi="Times New Roman" w:cs="Times New Roman"/>
                <w:sz w:val="28"/>
                <w:szCs w:val="28"/>
              </w:rPr>
            </w:pPr>
          </w:p>
        </w:tc>
        <w:tc>
          <w:tcPr>
            <w:tcW w:w="8330" w:type="dxa"/>
          </w:tcPr>
          <w:p w:rsidR="00741111" w:rsidRDefault="007B7340">
            <w:pPr>
              <w:spacing w:line="276"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Коротка характеристика лікарського засобу</w:t>
            </w:r>
          </w:p>
        </w:tc>
      </w:tr>
      <w:tr w:rsidR="00741111">
        <w:tc>
          <w:tcPr>
            <w:tcW w:w="1588" w:type="dxa"/>
          </w:tcPr>
          <w:p w:rsidR="00741111" w:rsidRDefault="007B7340">
            <w:pPr>
              <w:spacing w:line="276" w:lineRule="auto"/>
              <w:ind w:firstLine="15"/>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p>
        </w:tc>
        <w:tc>
          <w:tcPr>
            <w:tcW w:w="8330" w:type="dxa"/>
          </w:tcPr>
          <w:p w:rsidR="00741111" w:rsidRDefault="007B7340">
            <w:pPr>
              <w:spacing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фармаконагляду</w:t>
            </w:r>
          </w:p>
        </w:tc>
      </w:tr>
      <w:tr w:rsidR="00741111">
        <w:tc>
          <w:tcPr>
            <w:tcW w:w="1588" w:type="dxa"/>
          </w:tcPr>
          <w:p w:rsidR="00741111" w:rsidRDefault="007B7340">
            <w:pPr>
              <w:spacing w:line="276" w:lineRule="auto"/>
              <w:ind w:firstLine="15"/>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документів</w:t>
            </w:r>
          </w:p>
          <w:p w:rsidR="00741111" w:rsidRDefault="00741111">
            <w:pPr>
              <w:spacing w:line="276" w:lineRule="auto"/>
              <w:ind w:firstLine="15"/>
              <w:rPr>
                <w:rFonts w:ascii="Times New Roman" w:eastAsia="Times New Roman" w:hAnsi="Times New Roman" w:cs="Times New Roman"/>
                <w:sz w:val="28"/>
                <w:szCs w:val="28"/>
              </w:rPr>
            </w:pPr>
          </w:p>
        </w:tc>
        <w:tc>
          <w:tcPr>
            <w:tcW w:w="8330" w:type="dxa"/>
          </w:tcPr>
          <w:p w:rsidR="00741111" w:rsidRDefault="007B7340">
            <w:pPr>
              <w:shd w:val="clear" w:color="auto" w:fill="FFFFFF"/>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Документи, які підтверджують спроможність нового власника реєстрації (правонаступника) виконувати усі зобов'язання, що вимагаються від власника реєстрації відповідно до законодавства України у сфері обігу лікарських засобів</w:t>
            </w:r>
          </w:p>
        </w:tc>
      </w:tr>
    </w:tbl>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Додаткові рекомендації щодо под</w:t>
      </w:r>
      <w:r>
        <w:rPr>
          <w:rFonts w:ascii="Times New Roman" w:eastAsia="Times New Roman" w:hAnsi="Times New Roman" w:cs="Times New Roman"/>
          <w:sz w:val="28"/>
          <w:szCs w:val="28"/>
        </w:rPr>
        <w:t>ання паралельних змін наведені у додатку 7 до цих Вимог.</w:t>
      </w:r>
    </w:p>
    <w:p w:rsidR="00741111" w:rsidRDefault="00741111">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p>
    <w:p w:rsidR="00741111" w:rsidRDefault="00741111">
      <w:pPr>
        <w:spacing w:after="0" w:line="276" w:lineRule="auto"/>
        <w:ind w:firstLine="567"/>
        <w:jc w:val="both"/>
        <w:rPr>
          <w:rFonts w:ascii="Times New Roman" w:eastAsia="Times New Roman" w:hAnsi="Times New Roman" w:cs="Times New Roman"/>
          <w:sz w:val="28"/>
          <w:szCs w:val="28"/>
        </w:rPr>
      </w:pPr>
    </w:p>
    <w:p w:rsidR="00741111" w:rsidRDefault="007B7340">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Зміни, що потребують додаткової державної реєстрації можна подати в рамках існуючого eCTD, як нову послідовність (безперервна нумерація послідовності), або як нове eCTD з новим UUID (послідовність «0000»), якщо обрано окреме керування життєвим циклом ЛЗ</w:t>
      </w:r>
      <w:r>
        <w:rPr>
          <w:rFonts w:ascii="Times New Roman" w:eastAsia="Times New Roman" w:hAnsi="Times New Roman" w:cs="Times New Roman"/>
          <w:sz w:val="28"/>
          <w:szCs w:val="28"/>
        </w:rPr>
        <w:t>.</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що потребують додаткової державної реєстрації можна надати, як нову послідовність у оригінальному eCTD, подавши новий модуль 1, оновлений модуль 2 і новий або оновлений розділ «3.2.P». Якщо «m32p» об'єднано для всіх попередніх зареєстрованих дозув</w:t>
      </w:r>
      <w:r>
        <w:rPr>
          <w:rFonts w:ascii="Times New Roman" w:eastAsia="Times New Roman" w:hAnsi="Times New Roman" w:cs="Times New Roman"/>
          <w:sz w:val="28"/>
          <w:szCs w:val="28"/>
        </w:rPr>
        <w:t xml:space="preserve">ань/лікарських форм, слід надати оновлений розділ, замінивши існуючі документи, де необхідно. Якщо для опису розширення надається окремий «m32p» для додаткової сили/лікарської форми, тоді всі документи повинні мати атрибут операції «новий».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зміни, що </w:t>
      </w:r>
      <w:r>
        <w:rPr>
          <w:rFonts w:ascii="Times New Roman" w:eastAsia="Times New Roman" w:hAnsi="Times New Roman" w:cs="Times New Roman"/>
          <w:sz w:val="28"/>
          <w:szCs w:val="28"/>
        </w:rPr>
        <w:t xml:space="preserve">потребують додаткової державної реєстрації подають лише нові дані як нову послідовність у вже поданому eCTD. Тип подання має бути «extension».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Якщо для кожної сили дії або форми лікарського засобу використовуються окремі eCTD, повні дані щодо заявленої </w:t>
      </w:r>
      <w:r>
        <w:rPr>
          <w:rFonts w:ascii="Times New Roman" w:eastAsia="Times New Roman" w:hAnsi="Times New Roman" w:cs="Times New Roman"/>
          <w:sz w:val="28"/>
          <w:szCs w:val="28"/>
        </w:rPr>
        <w:t>зміни, що потребують додаткової державної реєстрації, мають бути включені до поданого eCTD, і том</w:t>
      </w:r>
      <w:r>
        <w:rPr>
          <w:rFonts w:ascii="Times New Roman" w:eastAsia="Times New Roman" w:hAnsi="Times New Roman" w:cs="Times New Roman"/>
          <w:sz w:val="28"/>
          <w:szCs w:val="28"/>
          <w:highlight w:val="white"/>
        </w:rPr>
        <w:t xml:space="preserve">у УФА </w:t>
      </w:r>
      <w:r>
        <w:rPr>
          <w:rFonts w:ascii="Times New Roman" w:eastAsia="Times New Roman" w:hAnsi="Times New Roman" w:cs="Times New Roman"/>
          <w:sz w:val="28"/>
          <w:szCs w:val="28"/>
        </w:rPr>
        <w:t xml:space="preserve">слід надати чітку інформацію про те, яка інформація нова порівняно з раніше поданими даними для лікарського засобу, щоб уникнути зайвої оцінки. </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Пері</w:t>
      </w:r>
      <w:r>
        <w:rPr>
          <w:rFonts w:ascii="Times New Roman" w:eastAsia="Times New Roman" w:hAnsi="Times New Roman" w:cs="Times New Roman"/>
          <w:sz w:val="28"/>
          <w:szCs w:val="28"/>
        </w:rPr>
        <w:t xml:space="preserve">одично оновлювані звіти з безпеки.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 Відповідно до пунктів 1, 4 глави 2 розділу V Порядку здійснення фармаконагляду усі періодично оновлювані звіти з безпеки лікарських засобів подаються в електронному вигляді. Для лікарських засобів, реєстраційне дось</w:t>
      </w:r>
      <w:r>
        <w:rPr>
          <w:rFonts w:ascii="Times New Roman" w:eastAsia="Times New Roman" w:hAnsi="Times New Roman" w:cs="Times New Roman"/>
          <w:sz w:val="28"/>
          <w:szCs w:val="28"/>
        </w:rPr>
        <w:t>є яких ведеться у форматі eCTD, подання ПОЗБ здійснюється через Кабінет заявника виключно у форматі eCTD. Подання у форматі, відмінному від eCTD, не допускається з метою забезпечення безперервності життєвого циклу досьє. Дана вимога застосовується як для н</w:t>
      </w:r>
      <w:r>
        <w:rPr>
          <w:rFonts w:ascii="Times New Roman" w:eastAsia="Times New Roman" w:hAnsi="Times New Roman" w:cs="Times New Roman"/>
          <w:sz w:val="28"/>
          <w:szCs w:val="28"/>
        </w:rPr>
        <w:t>аціональної процедури оцінки ПОЗБ, так і для процедури імплементації результатів єдиної оцінки ПОЗБ у Європейському Союзі. Для всіх документів, що подаються у межах процедури ПОЗБ, у конверті submission-description і в супровідному листі (cover letter) нео</w:t>
      </w:r>
      <w:r>
        <w:rPr>
          <w:rFonts w:ascii="Times New Roman" w:eastAsia="Times New Roman" w:hAnsi="Times New Roman" w:cs="Times New Roman"/>
          <w:sz w:val="28"/>
          <w:szCs w:val="28"/>
        </w:rPr>
        <w:t>бхідно зазначати номер відповідної процедури.</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ПОЗБ є частиною життєвого циклу лікарського засобу, його слід надавати як наступну відповідну послідовність у життєвому циклі eCTD лікарських засобів.</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 Відповідно до Порядку здійснення фармаконагля</w:t>
      </w:r>
      <w:r>
        <w:rPr>
          <w:rFonts w:ascii="Times New Roman" w:eastAsia="Times New Roman" w:hAnsi="Times New Roman" w:cs="Times New Roman"/>
          <w:sz w:val="28"/>
          <w:szCs w:val="28"/>
        </w:rPr>
        <w:t>ду досьє для подання ПОЗБ має містити:</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супровідний лист до ПОЗБ (Cover letter (1.0) - формат PDF), на який накладено КЕП керівника;</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ПОЗБ («PSUR-NAT» / «PSUSA-IMP»; оригінальний/референтний, генеричний лікарський засіб чи ін.; звичайне подання («PSUR-</w:t>
      </w:r>
      <w:r>
        <w:rPr>
          <w:rFonts w:ascii="Times New Roman" w:eastAsia="Times New Roman" w:hAnsi="Times New Roman" w:cs="Times New Roman"/>
          <w:sz w:val="28"/>
          <w:szCs w:val="28"/>
        </w:rPr>
        <w:t>NAT Single Submission»)/ згруповане подання («PSUR-NAT Grouped Submission») - формат eCTD);</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 разі подання ПОЗБ англійською мовою, переклад українською мовою ІІІ, IV, XVIII та XIX розділів. Переклад заявник має завантажити окремим каналом у форматі PDF;</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план(и) управління ризиками (розділ 1.8.2; рекомендована назва файлу riskmgtsystem[-&lt;var&gt;].pdf).</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документів для подання ПОЗБ відповідає Порядку здійснення фармаконагляду, враховуючи вимоги відповідних нормативно правових документів, а також відповідним рекомендаціям щодо подачі eCTD. Тип подання – «PSUR-NAT» / «PSUSA-IMP».</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 Окрему послідов</w:t>
      </w:r>
      <w:r>
        <w:rPr>
          <w:rFonts w:ascii="Times New Roman" w:eastAsia="Times New Roman" w:hAnsi="Times New Roman" w:cs="Times New Roman"/>
          <w:sz w:val="28"/>
          <w:szCs w:val="28"/>
        </w:rPr>
        <w:t>ність ПОЗБ eCTD слід подавати для кожного відповідного життєвого циклу eCTD, навіть якщо документ ПОЗБ стосується кількох лікарських засобів.</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один ПОЗБ підготовлено для кількох лікарських засобів, окреме подання (того самого документа ПОЗБ) слід робит</w:t>
      </w:r>
      <w:r>
        <w:rPr>
          <w:rFonts w:ascii="Times New Roman" w:eastAsia="Times New Roman" w:hAnsi="Times New Roman" w:cs="Times New Roman"/>
          <w:sz w:val="28"/>
          <w:szCs w:val="28"/>
        </w:rPr>
        <w:t>и для кожного відповідного лікарського засобу. У супровідному листі слід уточнити, що подана документація в кожній окремій послідовності eCTD є ідентичною у відповідних частинах. Для подання ПОЗБ відповідно до процедур «PSUSA-IMP» слід використовувати функ</w:t>
      </w:r>
      <w:r>
        <w:rPr>
          <w:rFonts w:ascii="Times New Roman" w:eastAsia="Times New Roman" w:hAnsi="Times New Roman" w:cs="Times New Roman"/>
          <w:sz w:val="28"/>
          <w:szCs w:val="28"/>
        </w:rPr>
        <w:t>цію згрупованого подання в Кабінеті заявника. Не можна створювати окремі послідовності eCTD, що групують кілька лікарських засобів.</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ПОЗБ охоплює декілька лікарських засобів від одного власника реєстрації, усі лікарські засоби слід перерахувати в супро</w:t>
      </w:r>
      <w:r>
        <w:rPr>
          <w:rFonts w:ascii="Times New Roman" w:eastAsia="Times New Roman" w:hAnsi="Times New Roman" w:cs="Times New Roman"/>
          <w:sz w:val="28"/>
          <w:szCs w:val="28"/>
        </w:rPr>
        <w:t>відному листі.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5.4. Подання ПОЗБ має бути включено до eCTD як новий документ у m536, а також як новий або замінюючи документ у m25, якщо необхідно. Найменування елемента гілки в m536 має вказувати номер ПОЗБ та охоплений період. Супроводжуючі документи маю</w:t>
      </w:r>
      <w:r>
        <w:rPr>
          <w:rFonts w:ascii="Times New Roman" w:eastAsia="Times New Roman" w:hAnsi="Times New Roman" w:cs="Times New Roman"/>
          <w:sz w:val="28"/>
          <w:szCs w:val="28"/>
        </w:rPr>
        <w:t>ть бути включені в m1. Подання ПОЗБ може бути першою послідовністю (sequence 0000) у життєвому циклі eCTD для ЛЗ, якщо eCTD‑досьє раніше не формувалося.</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 подання (submission type) - «PSUR-NAT», використовується для подання ПОЗБ, які не розглядаються в п</w:t>
      </w:r>
      <w:r>
        <w:rPr>
          <w:rFonts w:ascii="Times New Roman" w:eastAsia="Times New Roman" w:hAnsi="Times New Roman" w:cs="Times New Roman"/>
          <w:sz w:val="28"/>
          <w:szCs w:val="28"/>
        </w:rPr>
        <w:t>роцедурі єдиної оцінки ЕМА (за межами переліку активних речовин, визначених для єдиної оцінки ЕМА) та є частиною національної процедури Оцінки періодично оновлюваних звітів з безпеки.</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Тип подання (submission type) - «PSUSA-IMP», використовується для поданн</w:t>
      </w:r>
      <w:r>
        <w:rPr>
          <w:rFonts w:ascii="Times New Roman" w:eastAsia="Times New Roman" w:hAnsi="Times New Roman" w:cs="Times New Roman"/>
          <w:sz w:val="28"/>
          <w:szCs w:val="28"/>
        </w:rPr>
        <w:t>я ПОЗБ, які розглядаються в процедурі єдиної оцінки ЕМА (PSUSA) (номер процедури є обов’язковим метаданим конверта). Наявне рішення EMA за відповідним PSUSA, заявник додає окремим каналом.</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5.5. Подані документи підлягають перевірці на відповідність відомос</w:t>
      </w:r>
      <w:r>
        <w:rPr>
          <w:rFonts w:ascii="Times New Roman" w:eastAsia="Times New Roman" w:hAnsi="Times New Roman" w:cs="Times New Roman"/>
          <w:sz w:val="28"/>
          <w:szCs w:val="28"/>
        </w:rPr>
        <w:t>тям, зазначеним у супровідному листі.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виявлення неповного комплекту документів, некоректного подання або супровідного листа, документи повертаються заявнику на доопрацювання.</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5.6. Отриманий ПОЗБ підлягає попередній експертизі: адміністративна відпов</w:t>
      </w:r>
      <w:r>
        <w:rPr>
          <w:rFonts w:ascii="Times New Roman" w:eastAsia="Times New Roman" w:hAnsi="Times New Roman" w:cs="Times New Roman"/>
          <w:sz w:val="28"/>
          <w:szCs w:val="28"/>
        </w:rPr>
        <w:t>ідність (відомості про лікарський засіб, міжнародну непатентовану назву, інформацію про заявника, звітний період), перевірка повноти досьє (структура, наявність перекладу), перевірка розділу ПОЗБ «Висновок» щодо можливих змін у співвідношенні користь/ризик</w:t>
      </w:r>
      <w:r>
        <w:rPr>
          <w:rFonts w:ascii="Times New Roman" w:eastAsia="Times New Roman" w:hAnsi="Times New Roman" w:cs="Times New Roman"/>
          <w:sz w:val="28"/>
          <w:szCs w:val="28"/>
        </w:rPr>
        <w:t>.</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разі виявлення недоліків, з метою їх подальшого усунення, зауваження завантажуються до кабінету заявника.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 У разі необхідності оновлення ПУР, яка виникла при підготовці ПОЗБ, заявник має право подати оновлений ПУР, позначивши це відповідною відміт</w:t>
      </w:r>
      <w:r>
        <w:rPr>
          <w:rFonts w:ascii="Times New Roman" w:eastAsia="Times New Roman" w:hAnsi="Times New Roman" w:cs="Times New Roman"/>
          <w:sz w:val="28"/>
          <w:szCs w:val="28"/>
        </w:rPr>
        <w:t>кою у Кабінеті заявника.</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Оновлений ПУР завантажується до реєстраційного досьє лікарського засобу у розділ, передбачений для ПУР (модуль 1).</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5.8. За результатами оцінки ПОЗБ сформоване Заключення (Висновок) відображається в кабінеті заявника.</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 Заключення</w:t>
      </w:r>
      <w:r>
        <w:rPr>
          <w:rFonts w:ascii="Times New Roman" w:eastAsia="Times New Roman" w:hAnsi="Times New Roman" w:cs="Times New Roman"/>
          <w:sz w:val="28"/>
          <w:szCs w:val="28"/>
        </w:rPr>
        <w:t xml:space="preserve"> (Висновку) визначається як «попередній» або «остаточний».</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Власник реєстрації, після отримання попереднього Заключення (Висновку), надає пояснення/коментарі у разі наявності, які завантажує через кабінет заявника у встановлені строки.</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оцінк</w:t>
      </w:r>
      <w:r>
        <w:rPr>
          <w:rFonts w:ascii="Times New Roman" w:eastAsia="Times New Roman" w:hAnsi="Times New Roman" w:cs="Times New Roman"/>
          <w:sz w:val="28"/>
          <w:szCs w:val="28"/>
        </w:rPr>
        <w:t>и отриманих пояснень/коментарів або після закінчення строку їх подання, затверджується остаточне Заключення (Висновок) оцінки ПОЗБ.</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Власники реєстрацій, що подали ПОЗБ на лікарські засоби з однаковим АФІ, отримують Заключення (Висновок) через кабінет заявн</w:t>
      </w:r>
      <w:r>
        <w:rPr>
          <w:rFonts w:ascii="Times New Roman" w:eastAsia="Times New Roman" w:hAnsi="Times New Roman" w:cs="Times New Roman"/>
          <w:sz w:val="28"/>
          <w:szCs w:val="28"/>
        </w:rPr>
        <w:t>ика.</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підставі остаточного Заключення (Висновку) за результатами оцінки ухвалюється рішення УФА. Прийняте рішення завантажується до кабінету заявника власникам реєстрацій, які подали ПОЗБ щодо лікарського засобу та оприлюднюється на вебсайті.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5.9. За про</w:t>
      </w:r>
      <w:r>
        <w:rPr>
          <w:rFonts w:ascii="Times New Roman" w:eastAsia="Times New Roman" w:hAnsi="Times New Roman" w:cs="Times New Roman"/>
          <w:sz w:val="28"/>
          <w:szCs w:val="28"/>
        </w:rPr>
        <w:t>цедурою PSUFU  (PSUR-NAT follow‑up submission) УФА може оновлювати, доповнювати або розширювати остаточні рекомендації за результатами проведеної оцінки.</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Для забезпечення актуальності документів реєстраційних матеріалів, які завантажені у Кабінеті заявника, у разі прийняття рішення відповідно до вимог Порядку експертизи щодо відмови  процедури внесення змін до реєстраційних матеріалів, державної перереєс</w:t>
      </w:r>
      <w:r>
        <w:rPr>
          <w:rFonts w:ascii="Times New Roman" w:eastAsia="Times New Roman" w:hAnsi="Times New Roman" w:cs="Times New Roman"/>
          <w:sz w:val="28"/>
          <w:szCs w:val="28"/>
        </w:rPr>
        <w:t>трації, відновлюється статус реєстраційного досьє в форматі eCTD до відхиленої зміни, яка завантажується одразу після прийняття відповідного рішення.</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Документи, які більше не є актуальними, видаляють, а документи, зміст яких потребує коригування відповідно</w:t>
      </w:r>
      <w:r>
        <w:rPr>
          <w:rFonts w:ascii="Times New Roman" w:eastAsia="Times New Roman" w:hAnsi="Times New Roman" w:cs="Times New Roman"/>
          <w:sz w:val="28"/>
          <w:szCs w:val="28"/>
        </w:rPr>
        <w:t xml:space="preserve"> до прийнятого рішення, замінюють. Під час оновлення документів у форматі eCTD слід врахувати, що певна адміністративна інформація (супровідний лист, заява, таблиця відстеження) та деяка наукова або нормативна інформація (наприклад звіт про клінічне дослід</w:t>
      </w:r>
      <w:r>
        <w:rPr>
          <w:rFonts w:ascii="Times New Roman" w:eastAsia="Times New Roman" w:hAnsi="Times New Roman" w:cs="Times New Roman"/>
          <w:sz w:val="28"/>
          <w:szCs w:val="28"/>
        </w:rPr>
        <w:t>ження для не рекомендованого нового показання) зберігаються в поточному вигляді, для відстеження інформації, яка була у відхиленій процедурі.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Тип одиниці подання має бути «consolidating». Неможливо видалити послідовність з життєвого циклу, щоб врахувати відкликання або відхилення.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Послідовність консолідації є частиною реєстраційної процедури, тому вона повинна мати значення «related-sequence», </w:t>
      </w:r>
      <w:r>
        <w:rPr>
          <w:rFonts w:ascii="Times New Roman" w:eastAsia="Times New Roman" w:hAnsi="Times New Roman" w:cs="Times New Roman"/>
          <w:sz w:val="28"/>
          <w:szCs w:val="28"/>
        </w:rPr>
        <w:t>яке відповідає порядковому номеру початкової послідовності процедури.</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Узгодження матеріалів досьє у разі вилучення сили дії, лікарської форми або повне відкликання лікарського засобу.</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Використовують тип подання «відкликання» (withdrawal) або відповідну</w:t>
      </w:r>
      <w:r>
        <w:rPr>
          <w:rFonts w:ascii="Times New Roman" w:eastAsia="Times New Roman" w:hAnsi="Times New Roman" w:cs="Times New Roman"/>
          <w:sz w:val="28"/>
          <w:szCs w:val="28"/>
        </w:rPr>
        <w:t xml:space="preserve"> категорію змін, залежно від нормативної процедури.</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процедура щодо вилучення містить не всі сили дії та/або лікарські форми, охоплені тим самим eCTD, послідовність відображається із атрибутом дії «видалити» для документів, які більше не актуальні. Крі</w:t>
      </w:r>
      <w:r>
        <w:rPr>
          <w:rFonts w:ascii="Times New Roman" w:eastAsia="Times New Roman" w:hAnsi="Times New Roman" w:cs="Times New Roman"/>
          <w:sz w:val="28"/>
          <w:szCs w:val="28"/>
        </w:rPr>
        <w:t>м того вона також може включати оновлені документи з атрибутом дії «замінити» для документів, які охоплювали кілька інших сил дії та/або лікарських форм, і які тепер необхідно переглянути, щоб виключити вилучені сили дії та/або лікарські форми з документа.</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Повне відкликання лікарського засобу (всіх лікарських форм і сил дії) в eCTD, відображається як нова послідовність, включаючи супровідний лист із запитом на відкликання. Атрибут дії «видалити» не використовують для документів. </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Подання щодо повного відкли</w:t>
      </w:r>
      <w:r>
        <w:rPr>
          <w:rFonts w:ascii="Times New Roman" w:eastAsia="Times New Roman" w:hAnsi="Times New Roman" w:cs="Times New Roman"/>
          <w:sz w:val="28"/>
          <w:szCs w:val="28"/>
        </w:rPr>
        <w:t>кання лікарського засобу рекомендовано попередньо узгодити з УФА.</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 При поданні заяви та матеріалів реєстраційного досьє на лікарський засіб за інформованою згодою власник реєстрації лікарського засобу, зареєстрованого в Україні, надає згоду на те, що за</w:t>
      </w:r>
      <w:r>
        <w:rPr>
          <w:rFonts w:ascii="Times New Roman" w:eastAsia="Times New Roman" w:hAnsi="Times New Roman" w:cs="Times New Roman"/>
          <w:sz w:val="28"/>
          <w:szCs w:val="28"/>
        </w:rPr>
        <w:t>явник може посилатися на всі три модулі, що містять фармацевтичні, доклінічні та клінічні дані лікарського засобу, зареєстрованого в Україні. Неможливо використовувати заяву на реєстрацію лікарського засобу за інформованою згодою з наданням власних даних м</w:t>
      </w:r>
      <w:r>
        <w:rPr>
          <w:rFonts w:ascii="Times New Roman" w:eastAsia="Times New Roman" w:hAnsi="Times New Roman" w:cs="Times New Roman"/>
          <w:sz w:val="28"/>
          <w:szCs w:val="28"/>
        </w:rPr>
        <w:t>одуля 3, якщо згода була надана лише для модулів 4 та 5. У випадку, якщо інші модулі, крім модуля 1, подаються відповідно до Порядку експертизи, ці інші модулі ідентичними досьє лікарського засобу, зареєстрованого в Україні.</w:t>
      </w:r>
    </w:p>
    <w:p w:rsidR="00741111" w:rsidRDefault="007B73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Модуль 1 подає заявник, включ</w:t>
      </w:r>
      <w:r>
        <w:rPr>
          <w:rFonts w:ascii="Times New Roman" w:eastAsia="Times New Roman" w:hAnsi="Times New Roman" w:cs="Times New Roman"/>
          <w:sz w:val="28"/>
          <w:szCs w:val="28"/>
        </w:rPr>
        <w:t>аючи лист-згоду на Модулі 3-5, якщо це застосовується.</w:t>
      </w:r>
    </w:p>
    <w:p w:rsidR="00741111" w:rsidRDefault="0074111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741111" w:rsidRDefault="00741111">
      <w:pPr>
        <w:pBdr>
          <w:top w:val="nil"/>
          <w:left w:val="nil"/>
          <w:bottom w:val="nil"/>
          <w:right w:val="nil"/>
          <w:between w:val="nil"/>
        </w:pBdr>
        <w:spacing w:after="0" w:line="240" w:lineRule="auto"/>
        <w:rPr>
          <w:rFonts w:ascii="Times New Roman" w:eastAsia="Times New Roman" w:hAnsi="Times New Roman" w:cs="Times New Roman"/>
          <w:b/>
          <w:bCs/>
          <w:sz w:val="28"/>
          <w:szCs w:val="28"/>
        </w:rPr>
      </w:pPr>
    </w:p>
    <w:p w:rsidR="00741111" w:rsidRDefault="00741111">
      <w:pPr>
        <w:rPr>
          <w:rFonts w:ascii="Times New Roman" w:eastAsia="Times New Roman" w:hAnsi="Times New Roman" w:cs="Times New Roman"/>
          <w:b/>
          <w:bCs/>
          <w:sz w:val="24"/>
          <w:szCs w:val="24"/>
        </w:rPr>
      </w:pPr>
      <w:bookmarkStart w:id="1" w:name="_heading=h.gjdgxs" w:colFirst="0" w:colLast="0"/>
      <w:bookmarkStart w:id="2" w:name="_GoBack"/>
      <w:bookmarkEnd w:id="1"/>
      <w:bookmarkEnd w:id="2"/>
    </w:p>
    <w:sectPr w:rsidR="00741111">
      <w:headerReference w:type="default" r:id="rId8"/>
      <w:pgSz w:w="12240" w:h="15840"/>
      <w:pgMar w:top="993" w:right="567" w:bottom="85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340" w:rsidRDefault="007B7340">
      <w:pPr>
        <w:spacing w:after="0" w:line="240" w:lineRule="auto"/>
      </w:pPr>
      <w:r>
        <w:separator/>
      </w:r>
    </w:p>
  </w:endnote>
  <w:endnote w:type="continuationSeparator" w:id="0">
    <w:p w:rsidR="007B7340" w:rsidRDefault="007B7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embedRegular r:id="rId1" w:fontKey="{B6F8CEEA-BA71-4BFB-B4FD-0268ED3EC510}"/>
    <w:embedBold r:id="rId2" w:fontKey="{EAE6FC90-5D7B-4E1B-BF70-204D16A26055}"/>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3" w:fontKey="{973C16E0-4707-411C-ADB2-C0C710E851ED}"/>
  </w:font>
  <w:font w:name="Georgia">
    <w:panose1 w:val="02040502050405020303"/>
    <w:charset w:val="CC"/>
    <w:family w:val="roman"/>
    <w:pitch w:val="variable"/>
    <w:sig w:usb0="00000287" w:usb1="00000000" w:usb2="00000000" w:usb3="00000000" w:csb0="0000009F" w:csb1="00000000"/>
    <w:embedItalic r:id="rId4" w:fontKey="{EA3E7DCE-2474-4D6F-8386-DE77FE680760}"/>
  </w:font>
  <w:font w:name="Gungsuh">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embedRegular r:id="rId5" w:fontKey="{95E63048-D866-4650-9AED-BD8CFC6A4C89}"/>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340" w:rsidRDefault="007B7340">
      <w:pPr>
        <w:spacing w:after="0" w:line="240" w:lineRule="auto"/>
      </w:pPr>
      <w:r>
        <w:separator/>
      </w:r>
    </w:p>
  </w:footnote>
  <w:footnote w:type="continuationSeparator" w:id="0">
    <w:p w:rsidR="007B7340" w:rsidRDefault="007B7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11" w:rsidRDefault="007B7340">
    <w:pPr>
      <w:pBdr>
        <w:top w:val="nil"/>
        <w:left w:val="nil"/>
        <w:bottom w:val="nil"/>
        <w:right w:val="nil"/>
        <w:between w:val="nil"/>
      </w:pBdr>
      <w:tabs>
        <w:tab w:val="center" w:pos="4844"/>
        <w:tab w:val="right" w:pos="9689"/>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sidR="00556798">
      <w:rPr>
        <w:rFonts w:ascii="Times New Roman" w:eastAsia="Times New Roman" w:hAnsi="Times New Roman" w:cs="Times New Roman"/>
        <w:color w:val="000000"/>
        <w:sz w:val="28"/>
        <w:szCs w:val="28"/>
      </w:rPr>
      <w:fldChar w:fldCharType="separate"/>
    </w:r>
    <w:r w:rsidR="00556798">
      <w:rPr>
        <w:rFonts w:ascii="Times New Roman" w:eastAsia="Times New Roman" w:hAnsi="Times New Roman" w:cs="Times New Roman"/>
        <w:noProof/>
        <w:color w:val="000000"/>
        <w:sz w:val="28"/>
        <w:szCs w:val="28"/>
      </w:rPr>
      <w:t>25</w:t>
    </w:r>
    <w:r>
      <w:rPr>
        <w:rFonts w:ascii="Times New Roman" w:eastAsia="Times New Roman" w:hAnsi="Times New Roman" w:cs="Times New Roman"/>
        <w:color w:val="000000"/>
        <w:sz w:val="28"/>
        <w:szCs w:val="28"/>
      </w:rPr>
      <w:fldChar w:fldCharType="end"/>
    </w:r>
  </w:p>
  <w:p w:rsidR="00741111" w:rsidRDefault="00741111">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AE0A9E"/>
    <w:multiLevelType w:val="multilevel"/>
    <w:tmpl w:val="115C6B96"/>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111"/>
    <w:rsid w:val="00556798"/>
    <w:rsid w:val="00741111"/>
    <w:rsid w:val="007B73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3A1FC1-9FD0-45AF-8762-ED03FFE6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a4">
    <w:basedOn w:val="TableNormal3"/>
    <w:pPr>
      <w:spacing w:after="0" w:line="240" w:lineRule="auto"/>
    </w:pPr>
    <w:tblPr>
      <w:tblStyleRowBandSize w:val="1"/>
      <w:tblStyleColBandSize w:val="1"/>
      <w:tblCellMar>
        <w:left w:w="115" w:type="dxa"/>
        <w:right w:w="115" w:type="dxa"/>
      </w:tblCellMar>
    </w:tblPr>
  </w:style>
  <w:style w:type="table" w:customStyle="1" w:styleId="a5">
    <w:basedOn w:val="TableNormal3"/>
    <w:pPr>
      <w:spacing w:after="0" w:line="240" w:lineRule="auto"/>
    </w:pPr>
    <w:tblPr>
      <w:tblStyleRowBandSize w:val="1"/>
      <w:tblStyleColBandSize w:val="1"/>
      <w:tblCellMar>
        <w:left w:w="115" w:type="dxa"/>
        <w:right w:w="115" w:type="dxa"/>
      </w:tblCellMar>
    </w:tblPr>
  </w:style>
  <w:style w:type="table" w:customStyle="1" w:styleId="a6">
    <w:basedOn w:val="TableNormal3"/>
    <w:pPr>
      <w:spacing w:after="0" w:line="240" w:lineRule="auto"/>
    </w:pPr>
    <w:tblPr>
      <w:tblStyleRowBandSize w:val="1"/>
      <w:tblStyleColBandSize w:val="1"/>
      <w:tblCellMar>
        <w:left w:w="115" w:type="dxa"/>
        <w:right w:w="115" w:type="dxa"/>
      </w:tblCellMar>
    </w:tblPr>
  </w:style>
  <w:style w:type="table" w:customStyle="1" w:styleId="a7">
    <w:basedOn w:val="TableNormal3"/>
    <w:pPr>
      <w:spacing w:after="0" w:line="240" w:lineRule="auto"/>
    </w:pPr>
    <w:tblPr>
      <w:tblStyleRowBandSize w:val="1"/>
      <w:tblStyleColBandSize w:val="1"/>
      <w:tblCellMar>
        <w:left w:w="115" w:type="dxa"/>
        <w:right w:w="115" w:type="dxa"/>
      </w:tblCellMar>
    </w:tblPr>
  </w:style>
  <w:style w:type="table" w:customStyle="1" w:styleId="a8">
    <w:basedOn w:val="TableNormal3"/>
    <w:pPr>
      <w:spacing w:after="0" w:line="240" w:lineRule="auto"/>
    </w:pPr>
    <w:tblPr>
      <w:tblStyleRowBandSize w:val="1"/>
      <w:tblStyleColBandSize w:val="1"/>
      <w:tblCellMar>
        <w:left w:w="115" w:type="dxa"/>
        <w:right w:w="115" w:type="dxa"/>
      </w:tblCellMar>
    </w:tblPr>
  </w:style>
  <w:style w:type="table" w:customStyle="1" w:styleId="a9">
    <w:basedOn w:val="TableNormal3"/>
    <w:pPr>
      <w:spacing w:after="0" w:line="240" w:lineRule="auto"/>
    </w:pPr>
    <w:tblPr>
      <w:tblStyleRowBandSize w:val="1"/>
      <w:tblStyleColBandSize w:val="1"/>
      <w:tblCellMar>
        <w:left w:w="115" w:type="dxa"/>
        <w:right w:w="115" w:type="dxa"/>
      </w:tblCellMar>
    </w:tblPr>
  </w:style>
  <w:style w:type="table" w:customStyle="1" w:styleId="aa">
    <w:basedOn w:val="TableNormal3"/>
    <w:pPr>
      <w:spacing w:after="0" w:line="240" w:lineRule="auto"/>
    </w:pPr>
    <w:tblPr>
      <w:tblStyleRowBandSize w:val="1"/>
      <w:tblStyleColBandSize w:val="1"/>
      <w:tblCellMar>
        <w:left w:w="115" w:type="dxa"/>
        <w:right w:w="115" w:type="dxa"/>
      </w:tblCellMar>
    </w:tblPr>
  </w:style>
  <w:style w:type="table" w:customStyle="1" w:styleId="ab">
    <w:basedOn w:val="TableNormal3"/>
    <w:pPr>
      <w:spacing w:after="0" w:line="240" w:lineRule="auto"/>
    </w:pPr>
    <w:tblPr>
      <w:tblStyleRowBandSize w:val="1"/>
      <w:tblStyleColBandSize w:val="1"/>
      <w:tblCellMar>
        <w:left w:w="115" w:type="dxa"/>
        <w:right w:w="115" w:type="dxa"/>
      </w:tblCellMar>
    </w:tblPr>
  </w:style>
  <w:style w:type="table" w:customStyle="1" w:styleId="ac">
    <w:basedOn w:val="TableNormal3"/>
    <w:pPr>
      <w:spacing w:after="0" w:line="240" w:lineRule="auto"/>
    </w:pPr>
    <w:tblPr>
      <w:tblStyleRowBandSize w:val="1"/>
      <w:tblStyleColBandSize w:val="1"/>
      <w:tblCellMar>
        <w:left w:w="115" w:type="dxa"/>
        <w:right w:w="115" w:type="dxa"/>
      </w:tblCellMar>
    </w:tblPr>
  </w:style>
  <w:style w:type="table" w:customStyle="1" w:styleId="ad">
    <w:basedOn w:val="TableNormal3"/>
    <w:pPr>
      <w:spacing w:after="0" w:line="240" w:lineRule="auto"/>
    </w:pPr>
    <w:tblPr>
      <w:tblStyleRowBandSize w:val="1"/>
      <w:tblStyleColBandSize w:val="1"/>
      <w:tblCellMar>
        <w:left w:w="115" w:type="dxa"/>
        <w:right w:w="115" w:type="dxa"/>
      </w:tblCellMar>
    </w:tblPr>
  </w:style>
  <w:style w:type="table" w:customStyle="1" w:styleId="ae">
    <w:basedOn w:val="TableNormal3"/>
    <w:pPr>
      <w:spacing w:after="0" w:line="240" w:lineRule="auto"/>
    </w:pPr>
    <w:tblPr>
      <w:tblStyleRowBandSize w:val="1"/>
      <w:tblStyleColBandSize w:val="1"/>
      <w:tblCellMar>
        <w:left w:w="115" w:type="dxa"/>
        <w:right w:w="115" w:type="dxa"/>
      </w:tblCellMar>
    </w:tblPr>
  </w:style>
  <w:style w:type="table" w:customStyle="1" w:styleId="af">
    <w:basedOn w:val="TableNormal3"/>
    <w:pPr>
      <w:spacing w:after="0" w:line="240" w:lineRule="auto"/>
    </w:pPr>
    <w:tblPr>
      <w:tblStyleRowBandSize w:val="1"/>
      <w:tblStyleColBandSize w:val="1"/>
      <w:tblCellMar>
        <w:left w:w="115" w:type="dxa"/>
        <w:right w:w="115" w:type="dxa"/>
      </w:tblCellMar>
    </w:tblPr>
  </w:style>
  <w:style w:type="table" w:customStyle="1" w:styleId="af0">
    <w:basedOn w:val="TableNormal3"/>
    <w:pPr>
      <w:spacing w:after="0" w:line="240" w:lineRule="auto"/>
    </w:pPr>
    <w:tblPr>
      <w:tblStyleRowBandSize w:val="1"/>
      <w:tblStyleColBandSize w:val="1"/>
      <w:tblCellMar>
        <w:left w:w="115" w:type="dxa"/>
        <w:right w:w="115" w:type="dxa"/>
      </w:tblCellMar>
    </w:tblPr>
  </w:style>
  <w:style w:type="table" w:customStyle="1" w:styleId="af1">
    <w:basedOn w:val="TableNormal3"/>
    <w:pPr>
      <w:spacing w:after="0" w:line="240" w:lineRule="auto"/>
    </w:pPr>
    <w:tblPr>
      <w:tblStyleRowBandSize w:val="1"/>
      <w:tblStyleColBandSize w:val="1"/>
      <w:tblCellMar>
        <w:left w:w="115" w:type="dxa"/>
        <w:right w:w="115" w:type="dxa"/>
      </w:tblCellMar>
    </w:tblPr>
  </w:style>
  <w:style w:type="table" w:customStyle="1" w:styleId="af2">
    <w:basedOn w:val="TableNormal3"/>
    <w:pPr>
      <w:spacing w:after="0" w:line="240" w:lineRule="auto"/>
    </w:pPr>
    <w:tblPr>
      <w:tblStyleRowBandSize w:val="1"/>
      <w:tblStyleColBandSize w:val="1"/>
      <w:tblCellMar>
        <w:left w:w="115" w:type="dxa"/>
        <w:right w:w="115" w:type="dxa"/>
      </w:tblCellMar>
    </w:tblPr>
  </w:style>
  <w:style w:type="table" w:customStyle="1" w:styleId="af3">
    <w:basedOn w:val="TableNormal3"/>
    <w:pPr>
      <w:spacing w:after="0" w:line="240" w:lineRule="auto"/>
    </w:pPr>
    <w:tblPr>
      <w:tblStyleRowBandSize w:val="1"/>
      <w:tblStyleColBandSize w:val="1"/>
      <w:tblCellMar>
        <w:left w:w="115" w:type="dxa"/>
        <w:right w:w="115" w:type="dxa"/>
      </w:tblCellMar>
    </w:tblPr>
  </w:style>
  <w:style w:type="table" w:customStyle="1" w:styleId="af4">
    <w:basedOn w:val="TableNormal3"/>
    <w:pPr>
      <w:spacing w:after="0" w:line="240" w:lineRule="auto"/>
    </w:pPr>
    <w:tblPr>
      <w:tblStyleRowBandSize w:val="1"/>
      <w:tblStyleColBandSize w:val="1"/>
      <w:tblCellMar>
        <w:left w:w="115" w:type="dxa"/>
        <w:right w:w="115" w:type="dxa"/>
      </w:tblCellMar>
    </w:tblPr>
  </w:style>
  <w:style w:type="table" w:customStyle="1" w:styleId="af5">
    <w:basedOn w:val="TableNormal3"/>
    <w:pPr>
      <w:spacing w:after="0" w:line="240" w:lineRule="auto"/>
    </w:pPr>
    <w:tblPr>
      <w:tblStyleRowBandSize w:val="1"/>
      <w:tblStyleColBandSize w:val="1"/>
      <w:tblCellMar>
        <w:left w:w="115" w:type="dxa"/>
        <w:right w:w="115" w:type="dxa"/>
      </w:tblCellMar>
    </w:tblPr>
  </w:style>
  <w:style w:type="table" w:customStyle="1" w:styleId="af6">
    <w:basedOn w:val="TableNormal3"/>
    <w:pPr>
      <w:spacing w:after="0" w:line="240" w:lineRule="auto"/>
    </w:pPr>
    <w:tblPr>
      <w:tblStyleRowBandSize w:val="1"/>
      <w:tblStyleColBandSize w:val="1"/>
      <w:tblCellMar>
        <w:left w:w="115" w:type="dxa"/>
        <w:right w:w="115" w:type="dxa"/>
      </w:tblCellMar>
    </w:tblPr>
  </w:style>
  <w:style w:type="table" w:customStyle="1" w:styleId="af7">
    <w:basedOn w:val="TableNormal3"/>
    <w:pPr>
      <w:spacing w:after="0" w:line="240" w:lineRule="auto"/>
    </w:pPr>
    <w:tblPr>
      <w:tblStyleRowBandSize w:val="1"/>
      <w:tblStyleColBandSize w:val="1"/>
      <w:tblCellMar>
        <w:left w:w="115" w:type="dxa"/>
        <w:right w:w="115" w:type="dxa"/>
      </w:tblCellMar>
    </w:tblPr>
  </w:style>
  <w:style w:type="table" w:customStyle="1" w:styleId="af8">
    <w:basedOn w:val="TableNormal3"/>
    <w:pPr>
      <w:spacing w:after="0" w:line="240" w:lineRule="auto"/>
    </w:pPr>
    <w:tblPr>
      <w:tblStyleRowBandSize w:val="1"/>
      <w:tblStyleColBandSize w:val="1"/>
      <w:tblCellMar>
        <w:left w:w="115" w:type="dxa"/>
        <w:right w:w="115" w:type="dxa"/>
      </w:tblCellMar>
    </w:tblPr>
  </w:style>
  <w:style w:type="table" w:customStyle="1" w:styleId="af9">
    <w:basedOn w:val="TableNormal3"/>
    <w:pPr>
      <w:spacing w:after="0" w:line="240" w:lineRule="auto"/>
    </w:pPr>
    <w:tblPr>
      <w:tblStyleRowBandSize w:val="1"/>
      <w:tblStyleColBandSize w:val="1"/>
      <w:tblCellMar>
        <w:left w:w="115" w:type="dxa"/>
        <w:right w:w="115" w:type="dxa"/>
      </w:tblCellMar>
    </w:tblPr>
  </w:style>
  <w:style w:type="paragraph" w:styleId="afa">
    <w:name w:val="Balloon Text"/>
    <w:link w:val="afb"/>
    <w:uiPriority w:val="99"/>
    <w:semiHidden/>
    <w:unhideWhenUsed/>
    <w:rsid w:val="004276CB"/>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4276CB"/>
    <w:rPr>
      <w:rFonts w:ascii="Segoe UI" w:hAnsi="Segoe UI" w:cs="Segoe UI"/>
      <w:sz w:val="18"/>
      <w:szCs w:val="18"/>
    </w:rPr>
  </w:style>
  <w:style w:type="paragraph" w:styleId="afc">
    <w:name w:val="header"/>
    <w:link w:val="afd"/>
    <w:uiPriority w:val="99"/>
    <w:unhideWhenUsed/>
    <w:rsid w:val="00AE2D37"/>
    <w:pPr>
      <w:tabs>
        <w:tab w:val="center" w:pos="4844"/>
        <w:tab w:val="right" w:pos="9689"/>
      </w:tabs>
      <w:spacing w:after="0" w:line="240" w:lineRule="auto"/>
    </w:pPr>
  </w:style>
  <w:style w:type="character" w:customStyle="1" w:styleId="afd">
    <w:name w:val="Верхний колонтитул Знак"/>
    <w:basedOn w:val="a0"/>
    <w:link w:val="afc"/>
    <w:uiPriority w:val="99"/>
    <w:rsid w:val="00AE2D37"/>
  </w:style>
  <w:style w:type="paragraph" w:styleId="afe">
    <w:name w:val="footer"/>
    <w:link w:val="aff"/>
    <w:uiPriority w:val="99"/>
    <w:unhideWhenUsed/>
    <w:rsid w:val="00AE2D37"/>
    <w:pPr>
      <w:tabs>
        <w:tab w:val="center" w:pos="4844"/>
        <w:tab w:val="right" w:pos="9689"/>
      </w:tabs>
      <w:spacing w:after="0" w:line="240" w:lineRule="auto"/>
    </w:pPr>
  </w:style>
  <w:style w:type="character" w:customStyle="1" w:styleId="aff">
    <w:name w:val="Нижний колонтитул Знак"/>
    <w:basedOn w:val="a0"/>
    <w:link w:val="afe"/>
    <w:uiPriority w:val="99"/>
    <w:rsid w:val="00AE2D37"/>
  </w:style>
  <w:style w:type="paragraph" w:styleId="30">
    <w:name w:val="Body Text Indent 3"/>
    <w:link w:val="31"/>
    <w:unhideWhenUsed/>
    <w:rsid w:val="00A7337C"/>
    <w:pPr>
      <w:spacing w:after="120" w:line="240" w:lineRule="auto"/>
      <w:ind w:left="283"/>
    </w:pPr>
    <w:rPr>
      <w:rFonts w:ascii="Times New Roman" w:hAnsi="Times New Roman" w:cs="Times New Roman"/>
      <w:sz w:val="16"/>
      <w:szCs w:val="16"/>
      <w:lang w:val="ru-RU" w:eastAsia="ru-RU"/>
    </w:rPr>
  </w:style>
  <w:style w:type="character" w:customStyle="1" w:styleId="31">
    <w:name w:val="Основной текст с отступом 3 Знак"/>
    <w:basedOn w:val="a0"/>
    <w:link w:val="30"/>
    <w:rsid w:val="00A7337C"/>
    <w:rPr>
      <w:rFonts w:ascii="Times New Roman" w:hAnsi="Times New Roman" w:cs="Times New Roman"/>
      <w:sz w:val="16"/>
      <w:szCs w:val="16"/>
      <w:lang w:val="ru-RU" w:eastAsia="ru-RU"/>
    </w:rPr>
  </w:style>
  <w:style w:type="paragraph" w:styleId="aff0">
    <w:name w:val="List Paragraph"/>
    <w:uiPriority w:val="34"/>
    <w:qFormat/>
    <w:rsid w:val="006D1C1F"/>
    <w:pPr>
      <w:ind w:left="720"/>
      <w:contextualSpacing/>
    </w:pPr>
  </w:style>
  <w:style w:type="character" w:styleId="aff1">
    <w:name w:val="annotation reference"/>
    <w:basedOn w:val="a0"/>
    <w:uiPriority w:val="99"/>
    <w:semiHidden/>
    <w:unhideWhenUsed/>
    <w:rsid w:val="006D1C1F"/>
    <w:rPr>
      <w:sz w:val="16"/>
      <w:szCs w:val="16"/>
    </w:rPr>
  </w:style>
  <w:style w:type="paragraph" w:styleId="aff2">
    <w:name w:val="annotation text"/>
    <w:link w:val="aff3"/>
    <w:uiPriority w:val="99"/>
    <w:semiHidden/>
    <w:unhideWhenUsed/>
    <w:rsid w:val="006D1C1F"/>
    <w:pPr>
      <w:spacing w:line="240" w:lineRule="auto"/>
    </w:pPr>
    <w:rPr>
      <w:sz w:val="20"/>
      <w:szCs w:val="20"/>
    </w:rPr>
  </w:style>
  <w:style w:type="character" w:customStyle="1" w:styleId="aff3">
    <w:name w:val="Текст примечания Знак"/>
    <w:basedOn w:val="a0"/>
    <w:link w:val="aff2"/>
    <w:uiPriority w:val="99"/>
    <w:semiHidden/>
    <w:rsid w:val="006D1C1F"/>
    <w:rPr>
      <w:sz w:val="20"/>
      <w:szCs w:val="20"/>
    </w:rPr>
  </w:style>
  <w:style w:type="paragraph" w:styleId="aff4">
    <w:name w:val="annotation subject"/>
    <w:basedOn w:val="aff2"/>
    <w:next w:val="aff2"/>
    <w:link w:val="aff5"/>
    <w:uiPriority w:val="99"/>
    <w:semiHidden/>
    <w:unhideWhenUsed/>
    <w:rsid w:val="006D1C1F"/>
    <w:rPr>
      <w:b/>
      <w:bCs/>
    </w:rPr>
  </w:style>
  <w:style w:type="character" w:customStyle="1" w:styleId="aff5">
    <w:name w:val="Тема примечания Знак"/>
    <w:basedOn w:val="aff3"/>
    <w:link w:val="aff4"/>
    <w:uiPriority w:val="99"/>
    <w:semiHidden/>
    <w:rsid w:val="006D1C1F"/>
    <w:rPr>
      <w:b/>
      <w:bCs/>
      <w:sz w:val="20"/>
      <w:szCs w:val="20"/>
    </w:rPr>
  </w:style>
  <w:style w:type="numbering" w:customStyle="1" w:styleId="10">
    <w:name w:val="Текущий список1"/>
    <w:uiPriority w:val="99"/>
    <w:rsid w:val="00C1660C"/>
  </w:style>
  <w:style w:type="character" w:styleId="aff6">
    <w:name w:val="Hyperlink"/>
    <w:basedOn w:val="a0"/>
    <w:uiPriority w:val="99"/>
    <w:unhideWhenUsed/>
    <w:rsid w:val="00375DB6"/>
    <w:rPr>
      <w:color w:val="0000FF" w:themeColor="hyperlink"/>
      <w:u w:val="single"/>
    </w:rPr>
  </w:style>
  <w:style w:type="table" w:customStyle="1" w:styleId="11">
    <w:name w:val="Сетка таблицы1"/>
    <w:basedOn w:val="a1"/>
    <w:next w:val="aff7"/>
    <w:uiPriority w:val="39"/>
    <w:rsid w:val="00F11915"/>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7">
    <w:name w:val="Table Grid"/>
    <w:basedOn w:val="a1"/>
    <w:uiPriority w:val="39"/>
    <w:rsid w:val="00F1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8">
    <w:basedOn w:val="TableNormal2"/>
    <w:pPr>
      <w:spacing w:after="0" w:line="240" w:lineRule="auto"/>
    </w:pPr>
    <w:tblPr>
      <w:tblStyleRowBandSize w:val="1"/>
      <w:tblStyleColBandSize w:val="1"/>
      <w:tblCellMar>
        <w:left w:w="115" w:type="dxa"/>
        <w:right w:w="115" w:type="dxa"/>
      </w:tblCellMar>
    </w:tblPr>
  </w:style>
  <w:style w:type="table" w:customStyle="1" w:styleId="aff9">
    <w:basedOn w:val="TableNormal2"/>
    <w:pPr>
      <w:spacing w:after="0" w:line="240" w:lineRule="auto"/>
    </w:pPr>
    <w:tblPr>
      <w:tblStyleRowBandSize w:val="1"/>
      <w:tblStyleColBandSize w:val="1"/>
      <w:tblCellMar>
        <w:left w:w="115" w:type="dxa"/>
        <w:right w:w="115" w:type="dxa"/>
      </w:tblCellMar>
    </w:tblPr>
  </w:style>
  <w:style w:type="table" w:customStyle="1" w:styleId="affa">
    <w:basedOn w:val="TableNormal2"/>
    <w:pPr>
      <w:spacing w:after="0" w:line="240" w:lineRule="auto"/>
    </w:pPr>
    <w:tblPr>
      <w:tblStyleRowBandSize w:val="1"/>
      <w:tblStyleColBandSize w:val="1"/>
      <w:tblCellMar>
        <w:left w:w="108" w:type="dxa"/>
        <w:right w:w="108" w:type="dxa"/>
      </w:tblCellMar>
    </w:tblPr>
  </w:style>
  <w:style w:type="table" w:customStyle="1" w:styleId="affb">
    <w:basedOn w:val="TableNormal2"/>
    <w:pPr>
      <w:spacing w:after="0" w:line="240" w:lineRule="auto"/>
    </w:pPr>
    <w:tblPr>
      <w:tblStyleRowBandSize w:val="1"/>
      <w:tblStyleColBandSize w:val="1"/>
      <w:tblCellMar>
        <w:left w:w="115" w:type="dxa"/>
        <w:right w:w="115" w:type="dxa"/>
      </w:tblCellMar>
    </w:tblPr>
  </w:style>
  <w:style w:type="table" w:customStyle="1" w:styleId="affc">
    <w:basedOn w:val="TableNormal2"/>
    <w:pPr>
      <w:spacing w:after="0" w:line="240" w:lineRule="auto"/>
    </w:pPr>
    <w:tblPr>
      <w:tblStyleRowBandSize w:val="1"/>
      <w:tblStyleColBandSize w:val="1"/>
      <w:tblCellMar>
        <w:left w:w="115" w:type="dxa"/>
        <w:right w:w="115" w:type="dxa"/>
      </w:tblCellMar>
    </w:tblPr>
  </w:style>
  <w:style w:type="table" w:customStyle="1" w:styleId="affd">
    <w:basedOn w:val="TableNormal2"/>
    <w:pPr>
      <w:spacing w:after="0" w:line="240" w:lineRule="auto"/>
    </w:pPr>
    <w:tblPr>
      <w:tblStyleRowBandSize w:val="1"/>
      <w:tblStyleColBandSize w:val="1"/>
      <w:tblCellMar>
        <w:left w:w="115" w:type="dxa"/>
        <w:right w:w="115" w:type="dxa"/>
      </w:tblCellMar>
    </w:tblPr>
  </w:style>
  <w:style w:type="table" w:customStyle="1" w:styleId="affe">
    <w:basedOn w:val="TableNormal2"/>
    <w:pPr>
      <w:spacing w:after="0" w:line="240" w:lineRule="auto"/>
    </w:pPr>
    <w:tblPr>
      <w:tblStyleRowBandSize w:val="1"/>
      <w:tblStyleColBandSize w:val="1"/>
      <w:tblCellMar>
        <w:left w:w="115" w:type="dxa"/>
        <w:right w:w="115" w:type="dxa"/>
      </w:tblCellMar>
    </w:tblPr>
  </w:style>
  <w:style w:type="paragraph" w:styleId="afff">
    <w:name w:val="Normal (Web)"/>
    <w:uiPriority w:val="99"/>
    <w:semiHidden/>
    <w:unhideWhenUsed/>
    <w:rsid w:val="009B45E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a0"/>
    <w:rsid w:val="009B45EE"/>
  </w:style>
  <w:style w:type="paragraph" w:styleId="afff0">
    <w:name w:val="Revision"/>
    <w:hidden/>
    <w:uiPriority w:val="99"/>
    <w:semiHidden/>
    <w:rsid w:val="0042246D"/>
    <w:pPr>
      <w:spacing w:after="0" w:line="240" w:lineRule="auto"/>
    </w:pPr>
  </w:style>
  <w:style w:type="table" w:customStyle="1" w:styleId="afff1">
    <w:basedOn w:val="TableNormal10"/>
    <w:pPr>
      <w:spacing w:after="0" w:line="240" w:lineRule="auto"/>
    </w:pPr>
    <w:tblPr>
      <w:tblStyleRowBandSize w:val="1"/>
      <w:tblStyleColBandSize w:val="1"/>
      <w:tblCellMar>
        <w:left w:w="115" w:type="dxa"/>
        <w:right w:w="115" w:type="dxa"/>
      </w:tblCellMar>
    </w:tblPr>
  </w:style>
  <w:style w:type="table" w:customStyle="1" w:styleId="afff2">
    <w:basedOn w:val="TableNormal10"/>
    <w:pPr>
      <w:spacing w:after="0" w:line="240" w:lineRule="auto"/>
    </w:pPr>
    <w:tblPr>
      <w:tblStyleRowBandSize w:val="1"/>
      <w:tblStyleColBandSize w:val="1"/>
      <w:tblCellMar>
        <w:left w:w="115" w:type="dxa"/>
        <w:right w:w="115" w:type="dxa"/>
      </w:tblCellMar>
    </w:tblPr>
  </w:style>
  <w:style w:type="table" w:customStyle="1" w:styleId="afff3">
    <w:basedOn w:val="TableNormal10"/>
    <w:pPr>
      <w:spacing w:after="0" w:line="240" w:lineRule="auto"/>
    </w:pPr>
    <w:tblPr>
      <w:tblStyleRowBandSize w:val="1"/>
      <w:tblStyleColBandSize w:val="1"/>
      <w:tblCellMar>
        <w:left w:w="108" w:type="dxa"/>
        <w:right w:w="108" w:type="dxa"/>
      </w:tblCellMar>
    </w:tblPr>
  </w:style>
  <w:style w:type="table" w:customStyle="1" w:styleId="afff4">
    <w:basedOn w:val="TableNormal10"/>
    <w:pPr>
      <w:spacing w:after="0" w:line="240" w:lineRule="auto"/>
    </w:pPr>
    <w:tblPr>
      <w:tblStyleRowBandSize w:val="1"/>
      <w:tblStyleColBandSize w:val="1"/>
      <w:tblCellMar>
        <w:left w:w="115" w:type="dxa"/>
        <w:right w:w="115" w:type="dxa"/>
      </w:tblCellMar>
    </w:tblPr>
  </w:style>
  <w:style w:type="table" w:customStyle="1" w:styleId="afff5">
    <w:basedOn w:val="TableNormal10"/>
    <w:pPr>
      <w:spacing w:after="0" w:line="240" w:lineRule="auto"/>
    </w:pPr>
    <w:tblPr>
      <w:tblStyleRowBandSize w:val="1"/>
      <w:tblStyleColBandSize w:val="1"/>
      <w:tblCellMar>
        <w:left w:w="115" w:type="dxa"/>
        <w:right w:w="115" w:type="dxa"/>
      </w:tblCellMar>
    </w:tblPr>
  </w:style>
  <w:style w:type="table" w:customStyle="1" w:styleId="afff6">
    <w:basedOn w:val="TableNormal10"/>
    <w:pPr>
      <w:spacing w:after="0" w:line="240" w:lineRule="auto"/>
    </w:pPr>
    <w:tblPr>
      <w:tblStyleRowBandSize w:val="1"/>
      <w:tblStyleColBandSize w:val="1"/>
      <w:tblCellMar>
        <w:left w:w="115" w:type="dxa"/>
        <w:right w:w="115" w:type="dxa"/>
      </w:tblCellMar>
    </w:tblPr>
  </w:style>
  <w:style w:type="table" w:customStyle="1" w:styleId="afff7">
    <w:basedOn w:val="TableNormal10"/>
    <w:pPr>
      <w:spacing w:after="0" w:line="240" w:lineRule="auto"/>
    </w:pPr>
    <w:tblPr>
      <w:tblStyleRowBandSize w:val="1"/>
      <w:tblStyleColBandSize w:val="1"/>
      <w:tblCellMar>
        <w:left w:w="115" w:type="dxa"/>
        <w:right w:w="115" w:type="dxa"/>
      </w:tblCellMar>
    </w:tblPr>
  </w:style>
  <w:style w:type="table" w:customStyle="1" w:styleId="afff8">
    <w:basedOn w:val="a1"/>
    <w:pPr>
      <w:spacing w:after="0" w:line="240" w:lineRule="auto"/>
    </w:pPr>
    <w:tblPr>
      <w:tblStyleRowBandSize w:val="1"/>
      <w:tblStyleColBandSize w:val="1"/>
      <w:tblCellMar>
        <w:left w:w="115" w:type="dxa"/>
        <w:right w:w="115" w:type="dxa"/>
      </w:tblCellMar>
    </w:tblPr>
  </w:style>
  <w:style w:type="table" w:customStyle="1" w:styleId="afff9">
    <w:basedOn w:val="a1"/>
    <w:pPr>
      <w:spacing w:after="0" w:line="240" w:lineRule="auto"/>
    </w:pPr>
    <w:tblPr>
      <w:tblStyleRowBandSize w:val="1"/>
      <w:tblStyleColBandSize w:val="1"/>
      <w:tblCellMar>
        <w:left w:w="115" w:type="dxa"/>
        <w:right w:w="115" w:type="dxa"/>
      </w:tblCellMar>
    </w:tblPr>
  </w:style>
  <w:style w:type="table" w:customStyle="1" w:styleId="afffa">
    <w:basedOn w:val="a1"/>
    <w:pPr>
      <w:spacing w:after="0" w:line="240" w:lineRule="auto"/>
    </w:pPr>
    <w:tblPr>
      <w:tblStyleRowBandSize w:val="1"/>
      <w:tblStyleColBandSize w:val="1"/>
    </w:tblPr>
  </w:style>
  <w:style w:type="table" w:customStyle="1" w:styleId="afffb">
    <w:basedOn w:val="a1"/>
    <w:pPr>
      <w:spacing w:after="0" w:line="240" w:lineRule="auto"/>
    </w:pPr>
    <w:tblPr>
      <w:tblStyleRowBandSize w:val="1"/>
      <w:tblStyleColBandSize w:val="1"/>
      <w:tblCellMar>
        <w:left w:w="115" w:type="dxa"/>
        <w:right w:w="115" w:type="dxa"/>
      </w:tblCellMar>
    </w:tblPr>
  </w:style>
  <w:style w:type="table" w:customStyle="1" w:styleId="afffc">
    <w:basedOn w:val="a1"/>
    <w:pPr>
      <w:spacing w:after="0" w:line="240" w:lineRule="auto"/>
    </w:pPr>
    <w:tblPr>
      <w:tblStyleRowBandSize w:val="1"/>
      <w:tblStyleColBandSize w:val="1"/>
      <w:tblCellMar>
        <w:left w:w="115" w:type="dxa"/>
        <w:right w:w="115" w:type="dxa"/>
      </w:tblCellMar>
    </w:tblPr>
  </w:style>
  <w:style w:type="table" w:customStyle="1" w:styleId="afffd">
    <w:basedOn w:val="a1"/>
    <w:pPr>
      <w:spacing w:after="0" w:line="240" w:lineRule="auto"/>
    </w:pPr>
    <w:tblPr>
      <w:tblStyleRowBandSize w:val="1"/>
      <w:tblStyleColBandSize w:val="1"/>
      <w:tblCellMar>
        <w:left w:w="115" w:type="dxa"/>
        <w:right w:w="115" w:type="dxa"/>
      </w:tblCellMar>
    </w:tblPr>
  </w:style>
  <w:style w:type="table" w:customStyle="1" w:styleId="afffe">
    <w:basedOn w:val="a1"/>
    <w:pPr>
      <w:spacing w:after="0" w:line="240" w:lineRule="auto"/>
    </w:pPr>
    <w:tblPr>
      <w:tblStyleRowBandSize w:val="1"/>
      <w:tblStyleColBandSize w:val="1"/>
      <w:tblCellMar>
        <w:left w:w="115" w:type="dxa"/>
        <w:right w:w="115" w:type="dxa"/>
      </w:tblCellMar>
    </w:tblPr>
  </w:style>
  <w:style w:type="paragraph" w:styleId="affff">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fff0">
    <w:basedOn w:val="a1"/>
    <w:pPr>
      <w:spacing w:after="0" w:line="240" w:lineRule="auto"/>
    </w:pPr>
    <w:tblPr>
      <w:tblStyleRowBandSize w:val="1"/>
      <w:tblStyleColBandSize w:val="1"/>
      <w:tblCellMar>
        <w:left w:w="115" w:type="dxa"/>
        <w:right w:w="115" w:type="dxa"/>
      </w:tblCellMar>
    </w:tblPr>
  </w:style>
  <w:style w:type="table" w:customStyle="1" w:styleId="affff1">
    <w:basedOn w:val="a1"/>
    <w:pPr>
      <w:spacing w:after="0" w:line="240" w:lineRule="auto"/>
    </w:pPr>
    <w:tblPr>
      <w:tblStyleRowBandSize w:val="1"/>
      <w:tblStyleColBandSize w:val="1"/>
      <w:tblCellMar>
        <w:left w:w="115" w:type="dxa"/>
        <w:right w:w="115" w:type="dxa"/>
      </w:tblCellMar>
    </w:tblPr>
  </w:style>
  <w:style w:type="table" w:customStyle="1" w:styleId="affff2">
    <w:basedOn w:val="a1"/>
    <w:pPr>
      <w:spacing w:after="0" w:line="240" w:lineRule="auto"/>
    </w:pPr>
    <w:tblPr>
      <w:tblStyleRowBandSize w:val="1"/>
      <w:tblStyleColBandSize w:val="1"/>
    </w:tblPr>
  </w:style>
  <w:style w:type="table" w:customStyle="1" w:styleId="affff3">
    <w:basedOn w:val="a1"/>
    <w:pPr>
      <w:spacing w:after="0" w:line="240" w:lineRule="auto"/>
    </w:pPr>
    <w:tblPr>
      <w:tblStyleRowBandSize w:val="1"/>
      <w:tblStyleColBandSize w:val="1"/>
      <w:tblCellMar>
        <w:left w:w="115" w:type="dxa"/>
        <w:right w:w="115" w:type="dxa"/>
      </w:tblCellMar>
    </w:tblPr>
  </w:style>
  <w:style w:type="table" w:customStyle="1" w:styleId="affff4">
    <w:basedOn w:val="a1"/>
    <w:pPr>
      <w:spacing w:after="0" w:line="240" w:lineRule="auto"/>
    </w:pPr>
    <w:tblPr>
      <w:tblStyleRowBandSize w:val="1"/>
      <w:tblStyleColBandSize w:val="1"/>
      <w:tblCellMar>
        <w:left w:w="115" w:type="dxa"/>
        <w:right w:w="115" w:type="dxa"/>
      </w:tblCellMar>
    </w:tblPr>
  </w:style>
  <w:style w:type="table" w:customStyle="1" w:styleId="affff5">
    <w:basedOn w:val="a1"/>
    <w:pPr>
      <w:spacing w:after="0" w:line="240" w:lineRule="auto"/>
    </w:pPr>
    <w:tblPr>
      <w:tblStyleRowBandSize w:val="1"/>
      <w:tblStyleColBandSize w:val="1"/>
      <w:tblCellMar>
        <w:left w:w="115" w:type="dxa"/>
        <w:right w:w="115" w:type="dxa"/>
      </w:tblCellMar>
    </w:tblPr>
  </w:style>
  <w:style w:type="table" w:customStyle="1" w:styleId="affff6">
    <w:basedOn w:val="a1"/>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6li4HHTBx7iIPhuNykSLhflWlA==">CgMxLjAaJQoBMBIgCh4IB0IaCg9UaW1lcyBOZXcgUm9tYW4SB0d1bmdzdWgyDmgucGxnNTdmNm9iOTJlMghoLmdqZGd4czgAciExQVZiQ0JmSGtUZzJ5azlUZ2U2T2RoNy1ScVFKS21GOWo=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38228</Words>
  <Characters>21790</Characters>
  <Application>Microsoft Office Word</Application>
  <DocSecurity>0</DocSecurity>
  <Lines>181</Lines>
  <Paragraphs>119</Paragraphs>
  <ScaleCrop>false</ScaleCrop>
  <Company/>
  <LinksUpToDate>false</LinksUpToDate>
  <CharactersWithSpaces>59899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Солод Андрій Григорович</dc:creator>
  <cp:lastModifiedBy>Анісімов Володимир Вікторович</cp:lastModifiedBy>
  <cp:revision>2</cp:revision>
  <dcterms:created xsi:type="dcterms:W3CDTF">2024-06-05T07:28:00Z</dcterms:created>
  <dcterms:modified xsi:type="dcterms:W3CDTF">2026-09-11T12:05:00Z</dcterms:modified>
</cp:coreProperties>
</file>