
<file path=[Content_Types].xml><?xml version="1.0" encoding="utf-8"?>
<Types xmlns="http://schemas.openxmlformats.org/package/2006/content-types">
  <Override PartName="/_rels/.rels" ContentType="application/vnd.openxmlformats-package.relationships+xml"/>
  <Override PartName="/word/header8.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header5.xml" ContentType="application/vnd.openxmlformats-officedocument.wordprocessingml.header+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_rels/document.xml.rels" ContentType="application/vnd.openxmlformats-package.relationships+xml"/>
  <Override PartName="/word/header7.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rPr>
      </w:pPr>
      <w:r>
        <w:rPr>
          <w:lang w:val="ru-RU" w:eastAsia="ru-RU"/>
        </w:rPr>
        <w:drawing>
          <wp:inline distT="0" distB="0" distL="0" distR="0">
            <wp:extent cx="389255" cy="58674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68" t="-49" r="-68" b="-49"/>
                    <a:stretch>
                      <a:fillRect/>
                    </a:stretch>
                  </pic:blipFill>
                  <pic:spPr bwMode="auto">
                    <a:xfrm>
                      <a:off x="0" y="0"/>
                      <a:ext cx="389255" cy="586740"/>
                    </a:xfrm>
                    <a:prstGeom prst="rect">
                      <a:avLst/>
                    </a:prstGeom>
                  </pic:spPr>
                </pic:pic>
              </a:graphicData>
            </a:graphic>
          </wp:inline>
        </w:drawing>
      </w:r>
    </w:p>
    <w:p>
      <w:pPr>
        <w:pStyle w:val="Normal"/>
        <w:jc w:val="center"/>
        <w:rPr>
          <w:b/>
          <w:b/>
          <w:sz w:val="16"/>
          <w:szCs w:val="16"/>
        </w:rPr>
      </w:pPr>
      <w:r>
        <w:rPr>
          <w:b/>
          <w:sz w:val="16"/>
          <w:szCs w:val="16"/>
        </w:rPr>
      </w:r>
    </w:p>
    <w:p>
      <w:pPr>
        <w:pStyle w:val="Heading1"/>
        <w:numPr>
          <w:ilvl w:val="0"/>
          <w:numId w:val="1"/>
        </w:numPr>
        <w:jc w:val="center"/>
        <w:rPr>
          <w:rFonts w:eastAsia="Calibri"/>
          <w:sz w:val="28"/>
          <w:szCs w:val="28"/>
        </w:rPr>
      </w:pPr>
      <w:r>
        <w:rPr>
          <w:rFonts w:eastAsia="Calibri"/>
          <w:sz w:val="28"/>
          <w:szCs w:val="28"/>
        </w:rPr>
        <w:t>МІНІСТЕРСТВО ОХОРОНИ ЗДОРОВ’Я УКРАЇНИ</w:t>
      </w:r>
    </w:p>
    <w:p>
      <w:pPr>
        <w:pStyle w:val="Normal"/>
        <w:jc w:val="center"/>
        <w:rPr>
          <w:rFonts w:eastAsia="Calibri"/>
          <w:b/>
          <w:b/>
          <w:sz w:val="16"/>
          <w:szCs w:val="16"/>
        </w:rPr>
      </w:pPr>
      <w:r>
        <w:rPr>
          <w:rFonts w:eastAsia="Calibri"/>
          <w:b/>
          <w:sz w:val="16"/>
          <w:szCs w:val="16"/>
        </w:rPr>
      </w:r>
    </w:p>
    <w:p>
      <w:pPr>
        <w:pStyle w:val="Heading3"/>
        <w:numPr>
          <w:ilvl w:val="2"/>
          <w:numId w:val="1"/>
        </w:numPr>
        <w:spacing w:before="0" w:after="0"/>
        <w:jc w:val="center"/>
        <w:rPr>
          <w:rFonts w:ascii="Times New Roman" w:hAnsi="Times New Roman" w:eastAsia="Calibri" w:cs="Times New Roman"/>
          <w:sz w:val="30"/>
          <w:szCs w:val="30"/>
          <w:lang w:val="uk-UA"/>
        </w:rPr>
      </w:pPr>
      <w:r>
        <w:rPr>
          <w:rFonts w:eastAsia="Calibri" w:cs="Times New Roman" w:ascii="Times New Roman" w:hAnsi="Times New Roman"/>
          <w:sz w:val="30"/>
          <w:szCs w:val="30"/>
        </w:rPr>
        <w:t>Н А К А З</w:t>
      </w:r>
    </w:p>
    <w:p>
      <w:pPr>
        <w:pStyle w:val="Normal"/>
        <w:rPr>
          <w:rFonts w:ascii="Times New Roman" w:hAnsi="Times New Roman" w:eastAsia="Calibri" w:cs="Times New Roman"/>
          <w:sz w:val="30"/>
          <w:szCs w:val="30"/>
          <w:lang w:val="uk-UA"/>
        </w:rPr>
      </w:pPr>
      <w:r>
        <w:rPr>
          <w:rFonts w:eastAsia="Calibri" w:cs="Times New Roman"/>
          <w:sz w:val="30"/>
          <w:szCs w:val="30"/>
          <w:lang w:val="uk-UA"/>
        </w:rPr>
      </w:r>
    </w:p>
    <w:tbl>
      <w:tblPr>
        <w:tblW w:w="10103" w:type="dxa"/>
        <w:jc w:val="left"/>
        <w:tblInd w:w="-72" w:type="dxa"/>
        <w:tblBorders/>
        <w:tblCellMar>
          <w:top w:w="0" w:type="dxa"/>
          <w:left w:w="108" w:type="dxa"/>
          <w:bottom w:w="0" w:type="dxa"/>
          <w:right w:w="108" w:type="dxa"/>
        </w:tblCellMar>
      </w:tblPr>
      <w:tblGrid>
        <w:gridCol w:w="3271"/>
        <w:gridCol w:w="3005"/>
        <w:gridCol w:w="3827"/>
      </w:tblGrid>
      <w:tr>
        <w:trPr>
          <w:trHeight w:val="361" w:hRule="atLeast"/>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31 липня 2026 року</w:t>
            </w:r>
          </w:p>
          <w:p>
            <w:pPr>
              <w:pStyle w:val="Normal"/>
              <w:rPr>
                <w:rFonts w:eastAsia="Times New Roman"/>
                <w:sz w:val="28"/>
                <w:szCs w:val="28"/>
              </w:rPr>
            </w:pPr>
            <w:r>
              <w:rPr>
                <w:rFonts w:eastAsia="Times New Roman"/>
                <w:sz w:val="28"/>
                <w:szCs w:val="28"/>
              </w:rPr>
              <w:t xml:space="preserve"> </w:t>
            </w:r>
          </w:p>
        </w:tc>
        <w:tc>
          <w:tcPr>
            <w:tcW w:w="3005" w:type="dxa"/>
            <w:tcBorders/>
            <w:shd w:fill="auto" w:val="clear"/>
          </w:tcPr>
          <w:p>
            <w:pPr>
              <w:pStyle w:val="Normal"/>
              <w:jc w:val="center"/>
              <w:rPr>
                <w:sz w:val="24"/>
                <w:szCs w:val="24"/>
              </w:rPr>
            </w:pPr>
            <w:r>
              <w:rPr>
                <w:rFonts w:eastAsia="Times New Roman"/>
                <w:sz w:val="24"/>
                <w:szCs w:val="24"/>
              </w:rPr>
              <w:t xml:space="preserve">               </w:t>
            </w:r>
            <w:r>
              <w:rPr>
                <w:sz w:val="24"/>
                <w:szCs w:val="24"/>
              </w:rPr>
              <w:t>Київ</w:t>
            </w:r>
          </w:p>
        </w:tc>
        <w:tc>
          <w:tcPr>
            <w:tcW w:w="3827"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 xml:space="preserve">1058                                    </w:t>
            </w:r>
            <w:r>
              <w:rPr>
                <w:sz w:val="28"/>
                <w:szCs w:val="28"/>
              </w:rPr>
              <w:t xml:space="preserve">                            </w:t>
            </w:r>
          </w:p>
        </w:tc>
      </w:tr>
    </w:tbl>
    <w:p>
      <w:pPr>
        <w:pStyle w:val="HTML1"/>
        <w:jc w:val="both"/>
        <w:rPr>
          <w:rFonts w:ascii="Times New Roman" w:hAnsi="Times New Roman" w:cs="Times New Roman"/>
          <w:sz w:val="16"/>
          <w:szCs w:val="16"/>
          <w:lang w:val="uk-UA"/>
        </w:rPr>
      </w:pPr>
      <w:r>
        <w:rPr>
          <w:rFonts w:cs="Times New Roman" w:ascii="Times New Roman" w:hAnsi="Times New Roman"/>
          <w:b/>
          <w:sz w:val="28"/>
          <w:szCs w:val="28"/>
          <w:lang w:val="uk-UA"/>
        </w:rPr>
        <w:t>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HTML1"/>
        <w:jc w:val="both"/>
        <w:rPr>
          <w:rFonts w:ascii="Times New Roman" w:hAnsi="Times New Roman" w:cs="Times New Roman"/>
          <w:sz w:val="16"/>
          <w:szCs w:val="16"/>
          <w:lang w:val="uk-UA"/>
        </w:rPr>
      </w:pPr>
      <w:r>
        <w:rPr>
          <w:rFonts w:cs="Times New Roman" w:ascii="Times New Roman" w:hAnsi="Times New Roman"/>
          <w:sz w:val="16"/>
          <w:szCs w:val="16"/>
          <w:lang w:val="uk-UA"/>
        </w:rPr>
      </w:r>
    </w:p>
    <w:p>
      <w:pPr>
        <w:pStyle w:val="HTML1"/>
        <w:ind w:firstLine="720"/>
        <w:jc w:val="both"/>
        <w:rPr/>
      </w:pPr>
      <w:r>
        <w:rPr>
          <w:rFonts w:cs="Times New Roman" w:ascii="Times New Roman" w:hAnsi="Times New Roman"/>
          <w:sz w:val="28"/>
          <w:szCs w:val="28"/>
          <w:lang w:val="uk-UA"/>
        </w:rPr>
        <w:t xml:space="preserve">Відповідно до статті 9 Закону України «Про лікарські засоби», </w:t>
        <w:br/>
        <w:t>пунктів 5, 26, 31, 33, 39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пунктів 5, 8 розділу ІІ, пункту 12 розділу ІІІ Порядку розгляду реєстраційних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 лікарських засобів, що за централізованою процедурою зареєстровані компетентним органом Європейського Союзу, затвердженого наказом Міністерства охорони здоров'я України від 17 листопада 2016 року № 1245, зареєстрованого в Міністерстві юстиції України 14 грудня 2016 року за № 1619/29749, на підставі складених державним підприємством «Державний експертний центр Міністерства охорони здоров’я України» висновків щодо експертної оцінки співвідношення користь/ризик лікарського засобу, що пропонується до державної перереєстрації, та про результати розгляду матеріалів про внесення змін до реєстраційних матеріалів лікарських засобів, які зареєстровані компетентним органом та застосовуються на території цієї країни чи держав – членів Європейського Союзу,</w:t>
      </w:r>
    </w:p>
    <w:p>
      <w:pPr>
        <w:pStyle w:val="HTML1"/>
        <w:ind w:firstLine="720"/>
        <w:jc w:val="both"/>
        <w:rPr>
          <w:rFonts w:ascii="Times New Roman" w:hAnsi="Times New Roman" w:cs="Times New Roman"/>
          <w:sz w:val="16"/>
          <w:szCs w:val="16"/>
          <w:lang w:val="uk-UA"/>
        </w:rPr>
      </w:pPr>
      <w:r>
        <w:rPr>
          <w:rFonts w:cs="Times New Roman" w:ascii="Times New Roman" w:hAnsi="Times New Roman"/>
          <w:sz w:val="16"/>
          <w:szCs w:val="16"/>
          <w:lang w:val="uk-UA"/>
        </w:rPr>
      </w:r>
    </w:p>
    <w:p>
      <w:pPr>
        <w:pStyle w:val="32"/>
        <w:spacing w:before="0" w:after="0"/>
        <w:ind w:left="0" w:hanging="0"/>
        <w:rPr>
          <w:b/>
          <w:b/>
          <w:bCs/>
          <w:sz w:val="28"/>
          <w:szCs w:val="28"/>
          <w:lang w:val="uk-UA"/>
        </w:rPr>
      </w:pPr>
      <w:r>
        <w:rPr>
          <w:b/>
          <w:bCs/>
          <w:sz w:val="28"/>
          <w:szCs w:val="28"/>
          <w:lang w:val="uk-UA"/>
        </w:rPr>
        <w:t>НАКАЗУЮ:</w:t>
      </w:r>
    </w:p>
    <w:p>
      <w:pPr>
        <w:pStyle w:val="32"/>
        <w:spacing w:before="0" w:after="0"/>
        <w:ind w:left="0" w:hanging="0"/>
        <w:rPr>
          <w:b/>
          <w:b/>
          <w:bCs/>
          <w:sz w:val="28"/>
          <w:szCs w:val="28"/>
          <w:lang w:val="uk-UA"/>
        </w:rPr>
      </w:pPr>
      <w:r>
        <w:rPr>
          <w:b/>
          <w:bCs/>
          <w:sz w:val="28"/>
          <w:szCs w:val="28"/>
          <w:lang w:val="uk-UA"/>
        </w:rPr>
      </w:r>
    </w:p>
    <w:p>
      <w:pPr>
        <w:pStyle w:val="Normal"/>
        <w:numPr>
          <w:ilvl w:val="0"/>
          <w:numId w:val="5"/>
        </w:numPr>
        <w:tabs>
          <w:tab w:val="left" w:pos="1134" w:leader="none"/>
        </w:tabs>
        <w:ind w:left="0" w:firstLine="709"/>
        <w:jc w:val="both"/>
        <w:rPr/>
      </w:pPr>
      <w:r>
        <w:rPr>
          <w:sz w:val="28"/>
          <w:szCs w:val="28"/>
          <w:lang w:val="uk-UA"/>
        </w:rPr>
        <w:t>Перереєструвати лікарські засоби (медичні імунобіологічні препарати),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та внести їх до Державного реєстру лікарських засобів згідно з додатком 1.</w:t>
      </w:r>
    </w:p>
    <w:p>
      <w:pPr>
        <w:pStyle w:val="Normal"/>
        <w:tabs>
          <w:tab w:val="left" w:pos="1134" w:leader="none"/>
        </w:tabs>
        <w:ind w:firstLine="709"/>
        <w:jc w:val="both"/>
        <w:rPr>
          <w:sz w:val="28"/>
          <w:szCs w:val="28"/>
          <w:lang w:val="uk-UA"/>
        </w:rPr>
      </w:pPr>
      <w:r>
        <w:rPr>
          <w:sz w:val="28"/>
          <w:szCs w:val="28"/>
          <w:lang w:val="uk-UA"/>
        </w:rPr>
      </w:r>
    </w:p>
    <w:p>
      <w:pPr>
        <w:pStyle w:val="Normal"/>
        <w:numPr>
          <w:ilvl w:val="0"/>
          <w:numId w:val="5"/>
        </w:numPr>
        <w:tabs>
          <w:tab w:val="left" w:pos="993" w:leader="none"/>
          <w:tab w:val="left" w:pos="1134" w:leader="none"/>
        </w:tabs>
        <w:ind w:left="0" w:firstLine="709"/>
        <w:jc w:val="both"/>
        <w:rPr>
          <w:sz w:val="28"/>
          <w:szCs w:val="28"/>
          <w:lang w:val="uk-UA"/>
        </w:rPr>
      </w:pPr>
      <w:r>
        <w:rPr>
          <w:rFonts w:eastAsia="Times New Roman"/>
          <w:sz w:val="28"/>
          <w:szCs w:val="28"/>
          <w:lang w:val="uk-UA"/>
        </w:rPr>
        <w:t xml:space="preserve"> </w:t>
      </w:r>
      <w:r>
        <w:rPr>
          <w:sz w:val="28"/>
          <w:szCs w:val="28"/>
          <w:lang w:val="uk-UA"/>
        </w:rPr>
        <w:t xml:space="preserve">Внести зміни до реєстраційних матеріалів на </w:t>
      </w:r>
      <w:r>
        <w:rPr>
          <w:sz w:val="28"/>
          <w:szCs w:val="28"/>
          <w:lang w:val="uk-UA" w:eastAsia="ru-RU"/>
        </w:rPr>
        <w:t xml:space="preserve">лікарські засоби </w:t>
      </w:r>
      <w:r>
        <w:rPr>
          <w:sz w:val="28"/>
          <w:szCs w:val="28"/>
          <w:lang w:val="uk-UA"/>
        </w:rPr>
        <w:t>(медичні імунобіологічні препарати), які зареєстровані компетентними органами Сполучених Штатів Америки, Великої Британії, Швейцарської Конфедерації, Японії, Австралії, Канади, лікарські засоби, що за централізованою процедурою зареєстровані компетентним органом Європейського Союзу, та до Державного реєстру лікарських засобів згідно з додатком 2.</w:t>
      </w:r>
    </w:p>
    <w:p>
      <w:pPr>
        <w:pStyle w:val="Style13"/>
        <w:tabs>
          <w:tab w:val="left" w:pos="1134" w:leader="none"/>
        </w:tabs>
        <w:ind w:left="0" w:firstLine="709"/>
        <w:jc w:val="both"/>
        <w:rPr>
          <w:sz w:val="28"/>
          <w:szCs w:val="28"/>
          <w:lang w:val="uk-UA"/>
        </w:rPr>
      </w:pPr>
      <w:r>
        <w:rPr>
          <w:sz w:val="28"/>
          <w:szCs w:val="28"/>
          <w:lang w:val="uk-UA"/>
        </w:rPr>
      </w:r>
    </w:p>
    <w:p>
      <w:pPr>
        <w:pStyle w:val="Normal"/>
        <w:numPr>
          <w:ilvl w:val="0"/>
          <w:numId w:val="5"/>
        </w:numPr>
        <w:tabs>
          <w:tab w:val="left" w:pos="993" w:leader="none"/>
          <w:tab w:val="left" w:pos="1134" w:leader="none"/>
        </w:tabs>
        <w:ind w:left="0" w:firstLine="709"/>
        <w:jc w:val="both"/>
        <w:rPr/>
      </w:pPr>
      <w:r>
        <w:rPr>
          <w:sz w:val="28"/>
          <w:szCs w:val="28"/>
          <w:lang w:val="uk-UA"/>
        </w:rPr>
        <w:t xml:space="preserve">Відмовити у внесенні змін до реєстраційних матеріалів на </w:t>
      </w:r>
      <w:r>
        <w:rPr>
          <w:sz w:val="28"/>
          <w:szCs w:val="28"/>
          <w:lang w:val="uk-UA" w:eastAsia="ru-RU"/>
        </w:rPr>
        <w:t xml:space="preserve">лікарські засоби </w:t>
      </w:r>
      <w:r>
        <w:rPr>
          <w:sz w:val="28"/>
          <w:szCs w:val="28"/>
          <w:lang w:val="uk-UA"/>
        </w:rPr>
        <w:t>(медичні імунобіологічні препарати),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та до Державного реєстру лікарських засобів згідно з додатком 3.</w:t>
      </w:r>
    </w:p>
    <w:p>
      <w:pPr>
        <w:pStyle w:val="Style13"/>
        <w:tabs>
          <w:tab w:val="left" w:pos="1134" w:leader="none"/>
        </w:tabs>
        <w:ind w:left="0" w:firstLine="709"/>
        <w:jc w:val="both"/>
        <w:rPr>
          <w:sz w:val="28"/>
          <w:szCs w:val="28"/>
          <w:lang w:val="uk-UA"/>
        </w:rPr>
      </w:pPr>
      <w:r>
        <w:rPr>
          <w:sz w:val="28"/>
          <w:szCs w:val="28"/>
          <w:lang w:val="uk-UA"/>
        </w:rPr>
      </w:r>
    </w:p>
    <w:p>
      <w:pPr>
        <w:pStyle w:val="Normal"/>
        <w:numPr>
          <w:ilvl w:val="0"/>
          <w:numId w:val="5"/>
        </w:numPr>
        <w:tabs>
          <w:tab w:val="left" w:pos="709" w:leader="none"/>
          <w:tab w:val="left" w:pos="993" w:leader="none"/>
          <w:tab w:val="left" w:pos="1080" w:leader="none"/>
          <w:tab w:val="left" w:pos="1134" w:leader="none"/>
        </w:tabs>
        <w:ind w:left="0" w:firstLine="709"/>
        <w:jc w:val="both"/>
        <w:rPr/>
      </w:pPr>
      <w:r>
        <w:rPr>
          <w:sz w:val="28"/>
          <w:szCs w:val="28"/>
          <w:lang w:val="uk-UA"/>
        </w:rPr>
        <w:t>Фармацевтичному управлінню (Людмилі Ярко) забезпечити оприлюднення цього наказу на офіційному вебсайті Міністерства охорони здоров’я України.</w:t>
      </w:r>
    </w:p>
    <w:p>
      <w:pPr>
        <w:pStyle w:val="Normal"/>
        <w:tabs>
          <w:tab w:val="left" w:pos="1134" w:leader="none"/>
        </w:tabs>
        <w:ind w:firstLine="709"/>
        <w:jc w:val="both"/>
        <w:rPr>
          <w:sz w:val="16"/>
          <w:szCs w:val="16"/>
          <w:lang w:val="uk-UA"/>
        </w:rPr>
      </w:pPr>
      <w:r>
        <w:rPr>
          <w:sz w:val="16"/>
          <w:szCs w:val="16"/>
          <w:lang w:val="uk-UA"/>
        </w:rPr>
      </w:r>
    </w:p>
    <w:p>
      <w:pPr>
        <w:pStyle w:val="Normal"/>
        <w:tabs>
          <w:tab w:val="left" w:pos="1134" w:leader="none"/>
        </w:tabs>
        <w:ind w:firstLine="709"/>
        <w:jc w:val="both"/>
        <w:rPr>
          <w:sz w:val="16"/>
          <w:szCs w:val="16"/>
          <w:lang w:val="uk-UA"/>
        </w:rPr>
      </w:pPr>
      <w:r>
        <w:rPr>
          <w:sz w:val="16"/>
          <w:szCs w:val="16"/>
          <w:lang w:val="uk-UA"/>
        </w:rPr>
      </w:r>
    </w:p>
    <w:p>
      <w:pPr>
        <w:pStyle w:val="Normal"/>
        <w:numPr>
          <w:ilvl w:val="0"/>
          <w:numId w:val="5"/>
        </w:numPr>
        <w:tabs>
          <w:tab w:val="left" w:pos="720" w:leader="none"/>
          <w:tab w:val="left" w:pos="1134" w:leader="none"/>
        </w:tabs>
        <w:ind w:left="0" w:firstLine="709"/>
        <w:jc w:val="both"/>
        <w:rPr>
          <w:sz w:val="28"/>
          <w:szCs w:val="28"/>
          <w:lang w:val="uk-UA"/>
        </w:rPr>
      </w:pPr>
      <w:r>
        <w:rPr>
          <w:sz w:val="28"/>
          <w:szCs w:val="28"/>
          <w:lang w:val="uk-UA"/>
        </w:rPr>
        <w:t>Контроль за виконанням цього наказу покласти на заступника Міністра Євгенія Гончара.</w:t>
      </w:r>
    </w:p>
    <w:p>
      <w:pPr>
        <w:pStyle w:val="Normal"/>
        <w:tabs>
          <w:tab w:val="left" w:pos="567" w:leader="none"/>
        </w:tabs>
        <w:jc w:val="both"/>
        <w:rPr>
          <w:sz w:val="28"/>
          <w:szCs w:val="28"/>
          <w:lang w:val="uk-UA"/>
        </w:rPr>
      </w:pPr>
      <w:r>
        <w:rPr>
          <w:sz w:val="28"/>
          <w:szCs w:val="28"/>
          <w:lang w:val="uk-UA"/>
        </w:rPr>
      </w:r>
    </w:p>
    <w:p>
      <w:pPr>
        <w:pStyle w:val="Normal"/>
        <w:tabs>
          <w:tab w:val="left" w:pos="720" w:leader="none"/>
        </w:tabs>
        <w:ind w:firstLine="709"/>
        <w:jc w:val="both"/>
        <w:rPr>
          <w:sz w:val="28"/>
          <w:szCs w:val="28"/>
          <w:lang w:val="uk-UA"/>
        </w:rPr>
      </w:pPr>
      <w:r>
        <w:rPr>
          <w:sz w:val="28"/>
          <w:szCs w:val="28"/>
          <w:lang w:val="uk-UA"/>
        </w:rPr>
      </w:r>
    </w:p>
    <w:p>
      <w:pPr>
        <w:pStyle w:val="Normal"/>
        <w:tabs>
          <w:tab w:val="left" w:pos="720" w:leader="none"/>
        </w:tabs>
        <w:ind w:firstLine="709"/>
        <w:jc w:val="both"/>
        <w:rPr>
          <w:sz w:val="28"/>
          <w:szCs w:val="28"/>
          <w:lang w:val="uk-UA"/>
        </w:rPr>
      </w:pPr>
      <w:r>
        <w:rPr>
          <w:sz w:val="28"/>
          <w:szCs w:val="28"/>
          <w:lang w:val="uk-UA"/>
        </w:rPr>
      </w:r>
    </w:p>
    <w:p>
      <w:pPr>
        <w:sectPr>
          <w:headerReference w:type="default" r:id="rId3"/>
          <w:headerReference w:type="first" r:id="rId4"/>
          <w:type w:val="nextPage"/>
          <w:pgSz w:w="11906" w:h="16838"/>
          <w:pgMar w:left="1418" w:right="567" w:header="709" w:top="899" w:footer="0" w:bottom="1560" w:gutter="0"/>
          <w:pgNumType w:fmt="decimal"/>
          <w:formProt w:val="false"/>
          <w:titlePg/>
          <w:textDirection w:val="lrTb"/>
          <w:docGrid w:type="default" w:linePitch="360" w:charSpace="0"/>
        </w:sectPr>
        <w:pStyle w:val="Normal"/>
        <w:rPr>
          <w:b/>
          <w:b/>
          <w:sz w:val="28"/>
          <w:szCs w:val="28"/>
          <w:lang w:val="uk-UA"/>
        </w:rPr>
      </w:pPr>
      <w:r>
        <w:rPr>
          <w:b/>
          <w:sz w:val="28"/>
          <w:szCs w:val="28"/>
          <w:lang w:val="uk-UA"/>
        </w:rPr>
        <w:t xml:space="preserve">Міністр                                                                                               Віктор ЛЯШКО     </w:t>
      </w:r>
    </w:p>
    <w:p>
      <w:pPr>
        <w:pStyle w:val="Heading4"/>
        <w:numPr>
          <w:ilvl w:val="3"/>
          <w:numId w:val="1"/>
        </w:numPr>
        <w:tabs>
          <w:tab w:val="left" w:pos="12600" w:leader="none"/>
        </w:tabs>
        <w:rPr>
          <w:rFonts w:cs="Arial"/>
        </w:rPr>
      </w:pPr>
      <w:r>
        <w:rPr>
          <w:rFonts w:eastAsia="Times New Roman" w:cs="Times New Roman"/>
          <w:sz w:val="18"/>
          <w:szCs w:val="18"/>
        </w:rPr>
        <w:t xml:space="preserve">                                                                                                                                                                                                       </w:t>
      </w:r>
      <w:r>
        <mc:AlternateContent>
          <mc:Choice Requires="wps">
            <w:drawing>
              <wp:anchor behindDoc="0" distT="0" distB="0" distL="114300" distR="114300" simplePos="0" locked="0" layoutInCell="1" allowOverlap="1" relativeHeight="3">
                <wp:simplePos x="0" y="0"/>
                <wp:positionH relativeFrom="page">
                  <wp:posOffset>7898130</wp:posOffset>
                </wp:positionH>
                <wp:positionV relativeFrom="paragraph">
                  <wp:posOffset>-131445</wp:posOffset>
                </wp:positionV>
                <wp:extent cx="2430145" cy="1314450"/>
                <wp:effectExtent l="0" t="0" r="0" b="0"/>
                <wp:wrapSquare wrapText="bothSides"/>
                <wp:docPr id="2" name="Frame1"/>
                <a:graphic xmlns:a="http://schemas.openxmlformats.org/drawingml/2006/main">
                  <a:graphicData uri="http://schemas.microsoft.com/office/word/2010/wordprocessingShape">
                    <wps:wsp>
                      <wps:cNvSpPr txBox="1"/>
                      <wps:spPr>
                        <a:xfrm>
                          <a:off x="0" y="0"/>
                          <a:ext cx="2430145" cy="1314450"/>
                        </a:xfrm>
                        <a:prstGeom prst="rect"/>
                        <a:solidFill>
                          <a:srgbClr val="FFFFFF">
                            <a:alpha val="0"/>
                          </a:srgbClr>
                        </a:solidFill>
                      </wps:spPr>
                      <wps:txb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lang w:val="uk-UA"/>
                                    </w:rPr>
                                  </w:pPr>
                                  <w:bookmarkStart w:id="0" w:name="_Hlk64454507"/>
                                  <w:bookmarkEnd w:id="0"/>
                                  <w:r>
                                    <w:rPr>
                                      <w:b w:val="false"/>
                                      <w:sz w:val="18"/>
                                      <w:szCs w:val="18"/>
                                      <w:lang w:val="uk-UA"/>
                                    </w:rPr>
                                    <w:t xml:space="preserve">Додаток 1 </w:t>
                                  </w:r>
                                </w:p>
                                <w:p>
                                  <w:pPr>
                                    <w:pStyle w:val="Heading4"/>
                                    <w:numPr>
                                      <w:ilvl w:val="3"/>
                                      <w:numId w:val="1"/>
                                    </w:numPr>
                                    <w:tabs>
                                      <w:tab w:val="left" w:pos="12600" w:leader="none"/>
                                    </w:tabs>
                                    <w:spacing w:before="0" w:after="0"/>
                                    <w:jc w:val="both"/>
                                    <w:rPr>
                                      <w:b w:val="false"/>
                                      <w:b w:val="false"/>
                                      <w:sz w:val="18"/>
                                      <w:szCs w:val="18"/>
                                      <w:lang w:val="uk-UA"/>
                                    </w:rPr>
                                  </w:pPr>
                                  <w:r>
                                    <w:rPr>
                                      <w:b w:val="false"/>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1"/>
                                    <w:jc w:val="both"/>
                                    <w:rPr>
                                      <w:rFonts w:cs="Calibri"/>
                                      <w:u w:val="single"/>
                                    </w:rPr>
                                  </w:pPr>
                                  <w:r>
                                    <w:rPr>
                                      <w:sz w:val="18"/>
                                      <w:szCs w:val="18"/>
                                      <w:u w:val="single"/>
                                    </w:rPr>
                                    <w:t>від 31 липня 2026 року № 1058</w:t>
                                  </w:r>
                                </w:p>
                              </w:tc>
                            </w:tr>
                          </w:tbl>
                        </w:txbxContent>
                      </wps:txbx>
                      <wps:bodyPr anchor="t">
                        <a:noAutofit/>
                      </wps:bodyPr>
                    </wps:wsp>
                  </a:graphicData>
                </a:graphic>
              </wp:anchor>
            </w:drawing>
          </mc:Choice>
          <mc:Fallback>
            <w:pict>
              <v:rect fillcolor="#FFFFFF" style="position:absolute;rotation:0;width:191.35pt;height:103.5pt;mso-wrap-distance-left:9pt;mso-wrap-distance-right:9pt;margin-top:-10.35pt;mso-position-vertical-relative:text;margin-left:621.9pt;mso-position-horizontal-relative:page">
                <v:fill opacity="0f"/>
                <v:textbo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lang w:val="uk-UA"/>
                              </w:rPr>
                            </w:pPr>
                            <w:bookmarkStart w:id="1" w:name="_Hlk64454507"/>
                            <w:bookmarkEnd w:id="1"/>
                            <w:r>
                              <w:rPr>
                                <w:b w:val="false"/>
                                <w:sz w:val="18"/>
                                <w:szCs w:val="18"/>
                                <w:lang w:val="uk-UA"/>
                              </w:rPr>
                              <w:t xml:space="preserve">Додаток 1 </w:t>
                            </w:r>
                          </w:p>
                          <w:p>
                            <w:pPr>
                              <w:pStyle w:val="Heading4"/>
                              <w:numPr>
                                <w:ilvl w:val="3"/>
                                <w:numId w:val="1"/>
                              </w:numPr>
                              <w:tabs>
                                <w:tab w:val="left" w:pos="12600" w:leader="none"/>
                              </w:tabs>
                              <w:spacing w:before="0" w:after="0"/>
                              <w:jc w:val="both"/>
                              <w:rPr>
                                <w:b w:val="false"/>
                                <w:b w:val="false"/>
                                <w:sz w:val="18"/>
                                <w:szCs w:val="18"/>
                                <w:lang w:val="uk-UA"/>
                              </w:rPr>
                            </w:pPr>
                            <w:r>
                              <w:rPr>
                                <w:b w:val="false"/>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1"/>
                              <w:jc w:val="both"/>
                              <w:rPr>
                                <w:rFonts w:cs="Calibri"/>
                                <w:u w:val="single"/>
                              </w:rPr>
                            </w:pPr>
                            <w:r>
                              <w:rPr>
                                <w:sz w:val="18"/>
                                <w:szCs w:val="18"/>
                                <w:u w:val="single"/>
                              </w:rPr>
                              <w:t>від 31 липня 2026 року № 1058</w:t>
                            </w:r>
                          </w:p>
                        </w:tc>
                      </w:tr>
                    </w:tbl>
                  </w:txbxContent>
                </v:textbox>
                <w10:wrap type="square"/>
              </v:rect>
            </w:pict>
          </mc:Fallback>
        </mc:AlternateContent>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b w:val="false"/>
          <w:b w:val="false"/>
          <w:sz w:val="18"/>
          <w:szCs w:val="18"/>
        </w:rPr>
      </w:pPr>
      <w:r>
        <w:rPr>
          <w:rFonts w:eastAsia="Times New Roman" w:cs="Times New Roman"/>
          <w:sz w:val="18"/>
          <w:szCs w:val="18"/>
        </w:rPr>
        <w:t xml:space="preserve">    </w:t>
      </w:r>
    </w:p>
    <w:p>
      <w:pPr>
        <w:pStyle w:val="Heading2"/>
        <w:numPr>
          <w:ilvl w:val="1"/>
          <w:numId w:val="1"/>
        </w:numPr>
        <w:tabs>
          <w:tab w:val="left" w:pos="12600" w:leader="none"/>
        </w:tabs>
        <w:jc w:val="center"/>
        <w:rPr>
          <w:rFonts w:cs="Arial"/>
          <w:b w:val="false"/>
          <w:b w:val="false"/>
          <w:sz w:val="18"/>
          <w:szCs w:val="18"/>
        </w:rPr>
      </w:pPr>
      <w:r>
        <w:rPr>
          <w:rFonts w:cs="Arial"/>
          <w:b w:val="false"/>
          <w:sz w:val="18"/>
          <w:szCs w:val="18"/>
        </w:rPr>
      </w:r>
    </w:p>
    <w:p>
      <w:pPr>
        <w:pStyle w:val="Heading2"/>
        <w:numPr>
          <w:ilvl w:val="1"/>
          <w:numId w:val="1"/>
        </w:numPr>
        <w:tabs>
          <w:tab w:val="left" w:pos="12600" w:leader="none"/>
        </w:tabs>
        <w:spacing w:before="0" w:after="0"/>
        <w:jc w:val="center"/>
        <w:rPr>
          <w:rFonts w:ascii="Times New Roman" w:hAnsi="Times New Roman" w:cs="Times New Roman"/>
          <w:i w:val="false"/>
          <w:i w:val="false"/>
        </w:rPr>
      </w:pPr>
      <w:r>
        <w:rPr>
          <w:rFonts w:cs="Times New Roman" w:ascii="Times New Roman" w:hAnsi="Times New Roman"/>
          <w:i w:val="false"/>
        </w:rPr>
      </w:r>
    </w:p>
    <w:p>
      <w:pPr>
        <w:pStyle w:val="Heading2"/>
        <w:numPr>
          <w:ilvl w:val="1"/>
          <w:numId w:val="1"/>
        </w:numPr>
        <w:tabs>
          <w:tab w:val="left" w:pos="12600" w:leader="none"/>
        </w:tabs>
        <w:spacing w:before="0" w:after="0"/>
        <w:jc w:val="center"/>
        <w:rPr>
          <w:rFonts w:ascii="Times New Roman" w:hAnsi="Times New Roman" w:cs="Times New Roman"/>
          <w:i w:val="false"/>
          <w:i w:val="false"/>
          <w:caps/>
        </w:rPr>
      </w:pPr>
      <w:r>
        <w:rPr>
          <w:rFonts w:cs="Times New Roman" w:ascii="Times New Roman" w:hAnsi="Times New Roman"/>
          <w:i w:val="false"/>
        </w:rPr>
        <w:t>ПЕРЕЛІК</w:t>
      </w:r>
    </w:p>
    <w:p>
      <w:pPr>
        <w:pStyle w:val="Heading4"/>
        <w:numPr>
          <w:ilvl w:val="3"/>
          <w:numId w:val="1"/>
        </w:numPr>
        <w:tabs>
          <w:tab w:val="left" w:pos="12600" w:leader="none"/>
        </w:tabs>
        <w:spacing w:before="0" w:after="0"/>
        <w:rPr>
          <w:caps/>
        </w:rPr>
      </w:pPr>
      <w:r>
        <w:rPr>
          <w:caps/>
        </w:rPr>
        <w:t>перереєстрованих ЛІКАРСЬКИХ ЗАСОБІВ (медичних імунобіологічних препаратів),</w:t>
      </w:r>
    </w:p>
    <w:p>
      <w:pPr>
        <w:pStyle w:val="Normal1"/>
        <w:jc w:val="center"/>
        <w:rPr/>
      </w:pPr>
      <w:r>
        <w:rPr>
          <w:b/>
          <w:caps/>
          <w:sz w:val="28"/>
          <w:szCs w:val="28"/>
        </w:rPr>
        <w:t>які вносяться до державного реєстру лікарських засобів</w:t>
      </w:r>
      <w:r>
        <w:rPr>
          <w:b/>
          <w:sz w:val="28"/>
          <w:szCs w:val="28"/>
        </w:rPr>
        <w:t>,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pPr>
        <w:pStyle w:val="Normal1"/>
        <w:jc w:val="center"/>
        <w:rPr>
          <w:b/>
          <w:b/>
          <w:sz w:val="28"/>
          <w:szCs w:val="28"/>
        </w:rPr>
      </w:pPr>
      <w:r>
        <w:rPr>
          <w:b/>
          <w:sz w:val="28"/>
          <w:szCs w:val="28"/>
        </w:rPr>
      </w:r>
    </w:p>
    <w:tbl>
      <w:tblPr>
        <w:tblW w:w="15887" w:type="dxa"/>
        <w:jc w:val="left"/>
        <w:tblInd w:w="-89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135"/>
        <w:gridCol w:w="1134"/>
        <w:gridCol w:w="1559"/>
        <w:gridCol w:w="850"/>
        <w:gridCol w:w="1418"/>
        <w:gridCol w:w="851"/>
        <w:gridCol w:w="851"/>
        <w:gridCol w:w="1275"/>
        <w:gridCol w:w="1135"/>
        <w:gridCol w:w="1558"/>
        <w:gridCol w:w="993"/>
        <w:gridCol w:w="992"/>
        <w:gridCol w:w="1569"/>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27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5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i/>
                <w:i/>
                <w:sz w:val="16"/>
                <w:szCs w:val="16"/>
              </w:rPr>
            </w:pPr>
            <w:r>
              <w:rPr>
                <w:rFonts w:cs="Arial" w:ascii="Arial" w:hAnsi="Arial"/>
                <w:b/>
                <w:i/>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АЛЬТРЕНО</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highlight w:val="white"/>
              </w:rPr>
            </w:pPr>
            <w:r>
              <w:rPr>
                <w:rFonts w:cs="Arial" w:ascii="Arial" w:hAnsi="Arial"/>
                <w:color w:val="000000"/>
                <w:sz w:val="16"/>
                <w:szCs w:val="16"/>
              </w:rPr>
              <w:t>Tretinoin</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shd w:fill="F8F8F8" w:val="clear"/>
              </w:rPr>
            </w:pPr>
            <w:r>
              <w:rPr>
                <w:rFonts w:cs="Arial" w:ascii="Arial" w:hAnsi="Arial"/>
                <w:color w:val="000000"/>
                <w:sz w:val="16"/>
                <w:szCs w:val="16"/>
              </w:rPr>
              <w:t>третиноїн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color w:val="000000"/>
                <w:sz w:val="16"/>
                <w:szCs w:val="16"/>
              </w:rPr>
            </w:pPr>
            <w:r>
              <w:rPr>
                <w:rFonts w:cs="Arial" w:ascii="Arial" w:hAnsi="Arial"/>
                <w:color w:val="000000"/>
                <w:sz w:val="16"/>
                <w:szCs w:val="16"/>
              </w:rPr>
              <w:t>D10AD01</w:t>
            </w:r>
          </w:p>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color w:val="000000"/>
                <w:sz w:val="16"/>
                <w:szCs w:val="16"/>
                <w:shd w:fill="F8F8F8" w:val="clear"/>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лосьйон, 0,05 %; по 45 г у тубі; по 1 тубі в картонній коробці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"БАУШ ХЕЛС УКРАЇНА"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тестування вихідної сировини, пакування, маркування, випуск серії та дослідження стабільності: </w:t>
              <w:br/>
              <w:t xml:space="preserve">Бауш Хелс Компаніс Інк., Канада </w:t>
              <w:br/>
              <w:br/>
              <w:t xml:space="preserve">Альтернативна дільниця, на якій проводяться тестування вихідної сировини, випуск серії та дослідження стабільності (випуск серій, вироблених тільки для клінічних досліджень): </w:t>
              <w:br/>
              <w:t xml:space="preserve">Бауш Хелс Америкас Інк., Сполучені Штати Америки </w:t>
              <w:br/>
              <w:br/>
              <w:t>Альтернативна дільниця, на якій проводяться мікробіологічні дослідження:</w:t>
              <w:br/>
              <w:t xml:space="preserve">Пасифік БіоЛабс, Сполучені Штати Америки </w:t>
              <w:br/>
              <w:br/>
              <w:t>Дільниця, на якій проводяться випробування розміру крапель емульсії та розміру часток:</w:t>
              <w:br/>
              <w:t xml:space="preserve">Партикал Текнолоджи Лабс, Сполучені Штати Америки </w:t>
              <w:br/>
              <w:br/>
              <w:t>Альтернативні дільниці, на яких проводяться випробування допоміжних речовин:</w:t>
              <w:br/>
              <w:t>Елемент Матіріалс Текнолоджи Канада Інк., Канада</w:t>
              <w:br/>
              <w:br/>
              <w:t>ЕсДжіЕс Канада Інк., Канада</w:t>
              <w:br/>
              <w:br/>
              <w:t>ЕсДжіЕс Канада Інк., Канада</w:t>
              <w:br/>
              <w:br/>
              <w:t>Неофарм Лабс Інк., Канада</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Канада</w:t>
            </w:r>
            <w:r>
              <w:rPr>
                <w:rFonts w:cs="Arial" w:ascii="Arial" w:hAnsi="Arial"/>
                <w:color w:val="000000"/>
                <w:sz w:val="16"/>
                <w:szCs w:val="16"/>
                <w:lang w:val="en-US"/>
              </w:rPr>
              <w:t>/</w:t>
            </w:r>
            <w:r>
              <w:rPr>
                <w:rFonts w:cs="Arial" w:ascii="Arial" w:hAnsi="Arial"/>
                <w:color w:val="000000"/>
                <w:sz w:val="16"/>
                <w:szCs w:val="16"/>
              </w:rPr>
              <w:t xml:space="preserve"> Сполучені Штати Америки</w:t>
            </w:r>
          </w:p>
        </w:tc>
        <w:tc>
          <w:tcPr>
            <w:tcW w:w="155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 xml:space="preserve">Оновлено інформацію в інструкції для медичного застосування лікарського засобу в розділах "Склад" (зазначення назви діючої речовини українською мовою), "Фармакотерапевтична група. Код АТХ" (редаговано текст розділу без фактичної зміни коду АТХ), "Показання" (редагування тексту та уточнення інформації), "Особливості застосування", "Застосування у період вагітності або годування груддю" (редагування тексту та уточнення інформації), "Спосіб застосування та дози" (редагування тексту та уточнення інформації), "Побічні реакції" відповідно до матеріалів реєстраційного досьє. </w:t>
              <w:br/>
              <w:t>Резюме плану управління ризиками версія 2.0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ind w:left="-185" w:firstLine="145"/>
              <w:jc w:val="center"/>
              <w:rPr>
                <w:rFonts w:ascii="Arial" w:hAnsi="Arial" w:cs="Arial"/>
                <w:i/>
                <w:i/>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UA/18447/01/01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ВІЗУЛТА</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shd w:fill="F8F8F8" w:val="clear"/>
              </w:rPr>
              <w:t>Latanoprostene bunod</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shd w:fill="F8F8F8" w:val="clear"/>
              </w:rPr>
            </w:pPr>
            <w:r>
              <w:rPr>
                <w:rFonts w:cs="Arial" w:ascii="Arial" w:hAnsi="Arial"/>
                <w:color w:val="000000"/>
                <w:sz w:val="16"/>
                <w:szCs w:val="16"/>
                <w:shd w:fill="F8F8F8" w:val="clear"/>
              </w:rPr>
              <w:t>латанопростен бунод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rPr>
              <w:t>S01E E06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краплі очні, розчин, 0,024 %; по 5 мл у пляшці з крапельницею, по 1 пляшці з крапельницею у картонній коробці; по 2,5 мл у пляшці з крапельницею, по 1 пляшці з крапельницею у картонній коробці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пакування, маркування, міжопераційний контроль, аналітичний, мікробіологічний контроль лікарського засобу та ексципієнтів, дослідження стабільності. Відповідальний за випуск серії ЛЗ:</w:t>
              <w:br/>
              <w:t>Бауш енд Ломб Інкорпорейтед, Сполучені Штати Америки;</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Альтернативна дільниця, на якій проводиться аналітичний, мікробіологічний контроль та дослідження стабільності:</w:t>
              <w:br/>
              <w:t>Бауш енд Ломб Інкорпорейтед, Сполучені Штати Америки;</w:t>
              <w:br/>
              <w:t>Стерилізація компонентів упаковки:</w:t>
              <w:br/>
              <w:t>Ісомедікс Оперейшинз, Інк., Сполучені Штати Америки</w:t>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Америки</w:t>
            </w:r>
          </w:p>
        </w:tc>
        <w:tc>
          <w:tcPr>
            <w:tcW w:w="155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Перереєстрація на необмежений термін.</w:t>
              <w:br/>
              <w:t>Оновлено інформацію в інструкції для медичного застосування лікарського засобу у розділах "Особливості застосування" та "Побічні реакції".</w:t>
              <w:br/>
              <w:t>Резюме плану управління ризиками версія 2.2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85" w:firstLine="145"/>
              <w:jc w:val="center"/>
              <w:rPr>
                <w:rFonts w:ascii="Arial" w:hAnsi="Arial" w:cs="Arial"/>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UA/18307/01/01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ЛОТЕП</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shd w:fill="F8F8F8" w:val="clear"/>
              </w:rPr>
            </w:pPr>
            <w:r>
              <w:rPr>
                <w:rFonts w:cs="Arial" w:ascii="Arial" w:hAnsi="Arial"/>
                <w:color w:val="000000"/>
                <w:sz w:val="16"/>
                <w:szCs w:val="16"/>
              </w:rPr>
              <w:t>лотепреднолу етабонат та тобраміцин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color w:val="000000"/>
                <w:sz w:val="16"/>
                <w:szCs w:val="16"/>
              </w:rPr>
            </w:pPr>
            <w:r>
              <w:rPr>
                <w:rFonts w:cs="Arial" w:ascii="Arial" w:hAnsi="Arial"/>
                <w:color w:val="000000"/>
                <w:sz w:val="16"/>
                <w:szCs w:val="16"/>
              </w:rPr>
              <w:t>S01CA</w:t>
            </w:r>
          </w:p>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color w:val="000000"/>
                <w:sz w:val="16"/>
                <w:szCs w:val="16"/>
                <w:shd w:fill="F8F8F8" w:val="clear"/>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краплі очні, суспензія, 0,5%/0,3%; по 5 мл у пляшці з крапельницею, по 1 пляшці з крапельницею у картонній коробці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пакування, маркування, міжопераційний контроль, аналітичний, мікробіологічний контроль лікарського засобу та ексципієнтів, дослідження стабільності. Відповідальний за випуск серії ЛЗ:</w:t>
              <w:br/>
              <w:t>Бауш енд Ломб Інкорпорейтед, Сполучені Штати Америки</w:t>
              <w:br/>
              <w:br/>
              <w:t>Альтернативна дільниця, на якій проводяться аналітичний, мікробіологічний контроль та дослідження стабільності:</w:t>
              <w:br/>
              <w:t>Бауш енд Ломб Інкорпорейтед, Сполучені Штати Америки</w:t>
              <w:br/>
              <w:br/>
              <w:t>Стерилізація компонентів упаковки:</w:t>
              <w:br/>
              <w:t>Ісомедікс Оперейшинз, Інк., Сполучені Штати Америки</w:t>
              <w:b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Америки</w:t>
            </w:r>
          </w:p>
        </w:tc>
        <w:tc>
          <w:tcPr>
            <w:tcW w:w="155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 xml:space="preserve">Оновлено інформацію в інструкції для медичного застосування лікарського засобу в розділах "Фармакотерапевтична група. Код АТХ" (редаговано текст розділу без фактичної зміни коду АТХ), "Фармакологічні властивості" (редагування тексту та уточнення інформації), "Показання" (редагування тексту), "Особливості застосування", "Застосування у період вагітності або годування груддю" (редагування тексту та уточнення інформації), "Спосіб застосування та дози", "Діти" (редагування тексту та уточнення інформації), "Побічні реакції" відповідно до матеріалів реєстраційного досьє. </w:t>
              <w:br/>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ind w:left="-185" w:firstLine="145"/>
              <w:jc w:val="center"/>
              <w:rPr>
                <w:rFonts w:ascii="Arial" w:hAnsi="Arial" w:cs="Arial"/>
                <w:i/>
                <w:i/>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UA/18426/01/01</w:t>
            </w:r>
          </w:p>
        </w:tc>
      </w:tr>
    </w:tbl>
    <w:p>
      <w:pPr>
        <w:pStyle w:val="Normal"/>
        <w:ind w:left="567" w:right="20" w:hanging="0"/>
        <w:rPr>
          <w:b/>
          <w:b/>
          <w:bCs/>
          <w:sz w:val="28"/>
          <w:szCs w:val="28"/>
        </w:rPr>
      </w:pPr>
      <w:r>
        <w:rPr>
          <w:b/>
          <w:bCs/>
          <w:sz w:val="28"/>
          <w:szCs w:val="28"/>
        </w:rPr>
      </w:r>
    </w:p>
    <w:p>
      <w:pPr>
        <w:pStyle w:val="Normal"/>
        <w:rPr>
          <w:rFonts w:ascii="Arial" w:hAnsi="Arial" w:cs="Arial"/>
          <w:sz w:val="18"/>
          <w:szCs w:val="18"/>
        </w:rPr>
      </w:pPr>
      <w:r>
        <w:rPr>
          <w:rFonts w:eastAsia="Arial" w:cs="Arial" w:ascii="Arial" w:hAnsi="Arial"/>
        </w:rPr>
        <w:t xml:space="preserve">          </w:t>
      </w:r>
      <w:r>
        <w:rPr>
          <w:rFonts w:cs="Arial" w:ascii="Arial" w:hAnsi="Arial"/>
        </w:rPr>
        <w:t>*</w:t>
      </w:r>
      <w:r>
        <w:rPr>
          <w:rFonts w:cs="Arial" w:ascii="Arial" w:hAnsi="Arial"/>
          <w:sz w:val="28"/>
          <w:szCs w:val="28"/>
        </w:rPr>
        <w:t xml:space="preserve"> </w:t>
      </w:r>
      <w:r>
        <w:rPr>
          <w:rFonts w:cs="Arial" w:ascii="Arial" w:hAnsi="Arial"/>
          <w:i/>
          <w:sz w:val="18"/>
          <w:szCs w:val="18"/>
        </w:rPr>
        <w:t>відповідно до інформації офіційного сайту Центру ВООЗ по співпраці в методології статистичних досліджень (</w:t>
      </w:r>
      <w:hyperlink r:id="rId5">
        <w:r>
          <w:rPr>
            <w:rStyle w:val="InternetLink"/>
            <w:rFonts w:cs="Arial" w:ascii="Arial" w:hAnsi="Arial"/>
            <w:i/>
            <w:sz w:val="18"/>
            <w:szCs w:val="18"/>
          </w:rPr>
          <w:t>https://www.whocc.no/atc_ddd_index/</w:t>
        </w:r>
      </w:hyperlink>
      <w:r>
        <w:rPr>
          <w:rStyle w:val="InternetLink"/>
          <w:rFonts w:cs="Arial" w:ascii="Arial" w:hAnsi="Arial"/>
          <w:i/>
          <w:sz w:val="18"/>
          <w:szCs w:val="18"/>
        </w:rPr>
        <w:t>)</w:t>
      </w:r>
    </w:p>
    <w:p>
      <w:pPr>
        <w:pStyle w:val="Normal"/>
        <w:ind w:left="567" w:right="20" w:hanging="0"/>
        <w:rPr>
          <w:rFonts w:ascii="Arial" w:hAnsi="Arial" w:cs="Arial"/>
          <w:b/>
          <w:b/>
          <w:bCs/>
          <w:sz w:val="28"/>
          <w:szCs w:val="28"/>
        </w:rPr>
      </w:pPr>
      <w:r>
        <w:rPr>
          <w:rFonts w:cs="Arial" w:ascii="Arial" w:hAnsi="Arial"/>
          <w:b/>
          <w:bCs/>
          <w:sz w:val="28"/>
          <w:szCs w:val="28"/>
        </w:rPr>
      </w:r>
    </w:p>
    <w:p>
      <w:pPr>
        <w:pStyle w:val="Normal"/>
        <w:ind w:left="567" w:right="20" w:hanging="0"/>
        <w:rPr>
          <w:b/>
          <w:b/>
          <w:bCs/>
          <w:sz w:val="28"/>
          <w:szCs w:val="28"/>
        </w:rPr>
      </w:pPr>
      <w:r>
        <w:rPr>
          <w:b/>
          <w:bCs/>
          <w:sz w:val="28"/>
          <w:szCs w:val="28"/>
        </w:rPr>
      </w:r>
    </w:p>
    <w:p>
      <w:pPr>
        <w:pStyle w:val="Normal"/>
        <w:ind w:left="567" w:right="20" w:hanging="0"/>
        <w:rPr/>
      </w:pPr>
      <w:r>
        <w:rPr>
          <w:b/>
          <w:bCs/>
          <w:sz w:val="28"/>
          <w:szCs w:val="28"/>
        </w:rPr>
        <w:t xml:space="preserve">В.о. начальника </w:t>
      </w:r>
    </w:p>
    <w:p>
      <w:pPr>
        <w:sectPr>
          <w:headerReference w:type="default" r:id="rId6"/>
          <w:headerReference w:type="first" r:id="rId7"/>
          <w:type w:val="nextPage"/>
          <w:pgSz w:orient="landscape" w:w="16838" w:h="11906"/>
          <w:pgMar w:left="1560" w:right="899" w:header="709" w:top="1418" w:footer="0" w:bottom="567" w:gutter="0"/>
          <w:pgNumType w:fmt="decimal"/>
          <w:formProt w:val="false"/>
          <w:titlePg/>
          <w:textDirection w:val="lrTb"/>
          <w:docGrid w:type="default" w:linePitch="360" w:charSpace="0"/>
        </w:sectPr>
        <w:pStyle w:val="Normal"/>
        <w:ind w:left="567" w:right="20" w:hanging="0"/>
        <w:rPr/>
      </w:pPr>
      <w:r>
        <w:rPr>
          <w:rStyle w:val="Cs7864ebcf1"/>
          <w:sz w:val="28"/>
          <w:szCs w:val="28"/>
        </w:rPr>
        <w:t>Фармацевтичного управління                                                                                                         Людмила ЯРКО</w:t>
      </w:r>
      <w:r>
        <w:rPr>
          <w:rStyle w:val="Cs7864ebcf1"/>
          <w:rFonts w:cs="Arial" w:ascii="Arial" w:hAnsi="Arial"/>
          <w:sz w:val="28"/>
          <w:szCs w:val="28"/>
        </w:rPr>
        <w:t xml:space="preserve">                        </w:t>
      </w:r>
    </w:p>
    <w:p>
      <w:pPr>
        <w:pStyle w:val="Normal"/>
        <w:rPr>
          <w:rStyle w:val="Cs7864ebcf1"/>
          <w:rFonts w:ascii="Arial" w:hAnsi="Arial" w:cs="Arial"/>
          <w:b/>
          <w:b/>
          <w:sz w:val="28"/>
          <w:szCs w:val="28"/>
          <w:lang w:val="uk-UA"/>
        </w:rPr>
      </w:pPr>
      <w:r>
        <w:rPr/>
      </w:r>
    </w:p>
    <w:p>
      <w:pPr>
        <w:pStyle w:val="Heading4"/>
        <w:numPr>
          <w:ilvl w:val="3"/>
          <w:numId w:val="1"/>
        </w:numPr>
        <w:tabs>
          <w:tab w:val="left" w:pos="12600" w:leader="none"/>
        </w:tabs>
        <w:rPr>
          <w:rFonts w:cs="Arial"/>
        </w:rPr>
      </w:pPr>
      <w:r>
        <w:rPr>
          <w:rFonts w:eastAsia="Times New Roman" w:cs="Times New Roman"/>
          <w:sz w:val="18"/>
          <w:szCs w:val="18"/>
        </w:rPr>
        <w:t xml:space="preserve">                                                                                                                                                                                                      </w:t>
      </w:r>
      <w:r>
        <mc:AlternateContent>
          <mc:Choice Requires="wps">
            <w:drawing>
              <wp:anchor behindDoc="0" distT="0" distB="0" distL="114300" distR="114300" simplePos="0" locked="0" layoutInCell="1" allowOverlap="1" relativeHeight="4">
                <wp:simplePos x="0" y="0"/>
                <wp:positionH relativeFrom="page">
                  <wp:posOffset>7898130</wp:posOffset>
                </wp:positionH>
                <wp:positionV relativeFrom="paragraph">
                  <wp:posOffset>-131445</wp:posOffset>
                </wp:positionV>
                <wp:extent cx="2430145" cy="1314450"/>
                <wp:effectExtent l="0" t="0" r="0" b="0"/>
                <wp:wrapSquare wrapText="bothSides"/>
                <wp:docPr id="3" name="Frame2"/>
                <a:graphic xmlns:a="http://schemas.openxmlformats.org/drawingml/2006/main">
                  <a:graphicData uri="http://schemas.microsoft.com/office/word/2010/wordprocessingShape">
                    <wps:wsp>
                      <wps:cNvSpPr txBox="1"/>
                      <wps:spPr>
                        <a:xfrm>
                          <a:off x="0" y="0"/>
                          <a:ext cx="2430145" cy="1314450"/>
                        </a:xfrm>
                        <a:prstGeom prst="rect"/>
                        <a:solidFill>
                          <a:srgbClr val="FFFFFF">
                            <a:alpha val="0"/>
                          </a:srgbClr>
                        </a:solidFill>
                      </wps:spPr>
                      <wps:txb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rPr>
                                  </w:pPr>
                                  <w:r>
                                    <w:rPr>
                                      <w:b w:val="false"/>
                                      <w:sz w:val="18"/>
                                      <w:szCs w:val="18"/>
                                    </w:rPr>
                                    <w:t xml:space="preserve">Додаток 2 </w:t>
                                  </w:r>
                                </w:p>
                                <w:p>
                                  <w:pPr>
                                    <w:pStyle w:val="Normal"/>
                                    <w:jc w:val="both"/>
                                    <w:rPr/>
                                  </w:pPr>
                                  <w:r>
                                    <w:rPr>
                                      <w:sz w:val="18"/>
                                      <w:szCs w:val="18"/>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
                                    <w:jc w:val="both"/>
                                    <w:rPr>
                                      <w:rFonts w:cs="Calibri"/>
                                      <w:u w:val="single"/>
                                    </w:rPr>
                                  </w:pPr>
                                  <w:r>
                                    <w:rPr>
                                      <w:sz w:val="18"/>
                                      <w:szCs w:val="18"/>
                                      <w:u w:val="single"/>
                                    </w:rPr>
                                    <w:t>від 31 липня 2026 року № 1058</w:t>
                                  </w:r>
                                </w:p>
                              </w:tc>
                            </w:tr>
                          </w:tbl>
                        </w:txbxContent>
                      </wps:txbx>
                      <wps:bodyPr anchor="t">
                        <a:noAutofit/>
                      </wps:bodyPr>
                    </wps:wsp>
                  </a:graphicData>
                </a:graphic>
              </wp:anchor>
            </w:drawing>
          </mc:Choice>
          <mc:Fallback>
            <w:pict>
              <v:rect fillcolor="#FFFFFF" style="position:absolute;rotation:0;width:191.35pt;height:103.5pt;mso-wrap-distance-left:9pt;mso-wrap-distance-right:9pt;margin-top:-10.35pt;mso-position-vertical-relative:text;margin-left:621.9pt;mso-position-horizontal-relative:page">
                <v:fill opacity="0f"/>
                <v:textbo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rPr>
                            </w:pPr>
                            <w:r>
                              <w:rPr>
                                <w:b w:val="false"/>
                                <w:sz w:val="18"/>
                                <w:szCs w:val="18"/>
                              </w:rPr>
                              <w:t xml:space="preserve">Додаток 2 </w:t>
                            </w:r>
                          </w:p>
                          <w:p>
                            <w:pPr>
                              <w:pStyle w:val="Normal"/>
                              <w:jc w:val="both"/>
                              <w:rPr/>
                            </w:pPr>
                            <w:r>
                              <w:rPr>
                                <w:sz w:val="18"/>
                                <w:szCs w:val="18"/>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
                              <w:jc w:val="both"/>
                              <w:rPr>
                                <w:rFonts w:cs="Calibri"/>
                                <w:u w:val="single"/>
                              </w:rPr>
                            </w:pPr>
                            <w:r>
                              <w:rPr>
                                <w:sz w:val="18"/>
                                <w:szCs w:val="18"/>
                                <w:u w:val="single"/>
                              </w:rPr>
                              <w:t>від 31 липня 2026 року № 1058</w:t>
                            </w:r>
                          </w:p>
                        </w:tc>
                      </w:tr>
                    </w:tbl>
                  </w:txbxContent>
                </v:textbox>
                <w10:wrap type="square"/>
              </v:rect>
            </w:pict>
          </mc:Fallback>
        </mc:AlternateContent>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2"/>
        <w:numPr>
          <w:ilvl w:val="1"/>
          <w:numId w:val="1"/>
        </w:numPr>
        <w:tabs>
          <w:tab w:val="left" w:pos="12600" w:leader="none"/>
        </w:tabs>
        <w:spacing w:before="0" w:after="0"/>
        <w:jc w:val="center"/>
        <w:rPr>
          <w:rFonts w:ascii="Times New Roman" w:hAnsi="Times New Roman" w:cs="Times New Roman"/>
          <w:i w:val="false"/>
          <w:i w:val="false"/>
          <w:caps/>
        </w:rPr>
      </w:pPr>
      <w:r>
        <w:rPr>
          <w:rFonts w:cs="Times New Roman" w:ascii="Times New Roman" w:hAnsi="Times New Roman"/>
          <w:i w:val="false"/>
        </w:rPr>
        <w:t>ПЕРЕЛІК</w:t>
      </w:r>
    </w:p>
    <w:p>
      <w:pPr>
        <w:pStyle w:val="Normal1"/>
        <w:ind w:left="284" w:hanging="0"/>
        <w:jc w:val="center"/>
        <w:rPr/>
      </w:pPr>
      <w:r>
        <w:rPr>
          <w:b/>
          <w:caps/>
          <w:sz w:val="28"/>
          <w:szCs w:val="28"/>
        </w:rPr>
        <w:t xml:space="preserve">ЛІКАРСЬКИХ ЗАСОБІВ (МЕДИЧНИХ ІМУНОБІОЛОГІЧНИХ ПРЕПАРАТІВ), </w:t>
      </w:r>
      <w:r>
        <w:rPr>
          <w:b/>
          <w:sz w:val="28"/>
          <w:szCs w:val="28"/>
        </w:rPr>
        <w:t xml:space="preserve">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Pr>
          <w:b/>
          <w:caps/>
          <w:sz w:val="28"/>
          <w:szCs w:val="28"/>
        </w:rPr>
        <w:t>ЩОДО ЯКИХ БУЛИ ВНЕСЕНІ ЗМІНИ ДО РЕЄСТРАЦІЙНИХ МАТЕРІАЛІВ, ЯКІ ВНОСЯТЬСЯ ДО ДЕРЖАВНОГО РЕЄСТРУ ЛІКАРСЬКИХ ЗАСОБІВ</w:t>
      </w:r>
    </w:p>
    <w:p>
      <w:pPr>
        <w:pStyle w:val="Normal1"/>
        <w:ind w:left="284" w:hanging="0"/>
        <w:jc w:val="center"/>
        <w:rPr>
          <w:b/>
          <w:b/>
          <w:caps/>
          <w:sz w:val="28"/>
          <w:szCs w:val="28"/>
        </w:rPr>
      </w:pPr>
      <w:r>
        <w:rPr>
          <w:b/>
          <w:caps/>
          <w:sz w:val="28"/>
          <w:szCs w:val="28"/>
        </w:rPr>
      </w:r>
    </w:p>
    <w:tbl>
      <w:tblPr>
        <w:tblW w:w="15887" w:type="dxa"/>
        <w:jc w:val="left"/>
        <w:tblInd w:w="-89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135"/>
        <w:gridCol w:w="1134"/>
        <w:gridCol w:w="1134"/>
        <w:gridCol w:w="851"/>
        <w:gridCol w:w="1417"/>
        <w:gridCol w:w="1134"/>
        <w:gridCol w:w="992"/>
        <w:gridCol w:w="1418"/>
        <w:gridCol w:w="1134"/>
        <w:gridCol w:w="2126"/>
        <w:gridCol w:w="1134"/>
        <w:gridCol w:w="1711"/>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41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212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i/>
                <w:i/>
                <w:sz w:val="16"/>
                <w:szCs w:val="16"/>
              </w:rPr>
            </w:pPr>
            <w:r>
              <w:rPr>
                <w:rFonts w:cs="Arial" w:ascii="Arial" w:hAnsi="Arial"/>
                <w:b/>
                <w:i/>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ВІЗУЛТА</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shd w:fill="F8F8F8" w:val="clear"/>
              </w:rPr>
              <w:t>Latanoprostene bunod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shd w:fill="F8F8F8" w:val="clear"/>
              </w:rPr>
              <w:t>латанопростен бунод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S01E E06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краплі очні, розчин, 0,024 %; по 5 мл у пляшці з крапельницею, по 1 пляшці з крапельницею у картонній коробці; по 2,5 мл у пляшці з крапельницею, по 1 пляшці з крапельницею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pPr>
            <w:r>
              <w:rPr>
                <w:rFonts w:cs="Arial" w:ascii="Arial" w:hAnsi="Arial"/>
                <w:color w:val="000000"/>
                <w:sz w:val="16"/>
                <w:szCs w:val="16"/>
              </w:rPr>
              <w:t xml:space="preserve">Виробництво лікарського засобу, пакування, маркування, міжопераційний контроль, аналітичний, мікробіологічний контроль лікарського засобу та ексципієнтів, дослідження стабільності. </w:t>
            </w:r>
            <w:r>
              <w:rPr>
                <w:rFonts w:cs="Arial" w:ascii="Arial" w:hAnsi="Arial"/>
                <w:color w:val="000000"/>
                <w:sz w:val="16"/>
                <w:szCs w:val="16"/>
                <w:lang w:val="ru-RU"/>
              </w:rPr>
              <w:t>Відповідальний за випуск серії ЛЗ:</w:t>
              <w:br/>
              <w:t>Бауш енд Ломб Інкорпорейтед, Сполучені Штати Америки;</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Альтернативна дільниця, на якій проводиться аналітичний, мікробіологічний контроль та дослідження стабільності:</w:t>
              <w:br/>
              <w:t>Бауш енд Ломб Інкорпорейтед, Сполучені Штати Америки;</w:t>
              <w:br/>
              <w:t>Стерилізація компонентів упаковки:</w:t>
              <w:br/>
              <w:t>Ісомедікс Оперейшинз, Інк., Сполучені Штати Америки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Америки</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Cs/>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ВІЗУЛТА™ (VYZULTA™). ЗАПРОПОНОВАНО: ВІЗУЛТА (VYZULTA™). Зміни І типу - Зміни щодо безпеки/ефективності та фармаконагляду (інші зміни) - Зміни внесені в текст маркування вторинної (пункти 8, 12, 13, 17) та первинної (пункти 3, 4) упаковок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UA/18307/01/01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НІНЛАРО®</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ixazomib</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lang w:val="ru-RU"/>
              </w:rPr>
              <w:t>іксазоміб (у вигляді іксазомібу цитрату)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L01XG03</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капсули тверді по 2,3 мг; по 3 капсули у блістерній стрічці; по 1 блістерній стрічці в упаковці-футлярі, по 1 упаковці-футляру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Такеда Фарма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Німеччина/ Велика Британія/ Ірландія/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Cs/>
                <w:color w:val="000000"/>
                <w:sz w:val="16"/>
                <w:szCs w:val="16"/>
              </w:rPr>
            </w:pPr>
            <w:r>
              <w:rPr>
                <w:rFonts w:cs="Arial" w:ascii="Arial" w:hAnsi="Arial"/>
                <w:color w:val="000000"/>
                <w:sz w:val="16"/>
                <w:szCs w:val="16"/>
              </w:rPr>
              <w:t>Зміни І типу - Зміни щодо безпеки/ефективності та фармаконагляду (інші зміни) (В. (х) ІА) (згідно наказу МОЗ від 17.11.2016 № 1245): Зміни внесено у текст маркування вторинної та проміжної (п. 17. ІНШЕ)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UA/20483/01/01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НІНЛАРО®</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ixazomib</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lang w:val="ru-RU"/>
              </w:rPr>
              <w:t>іксазоміб (у вигляді іксазомібу цитрату)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L01XG03</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капсули тверді по 3 мг; по 3 капсули у блістерній стрічці; по 1 блістерній стрічці в упаковці-футлярі, по 1 упаковці-футляру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Такеда Фарма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Німеччина/ Велика Британія/ Ірландія/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Зміни І типу - Зміни щодо безпеки/ефективності та фармаконагляду (інші зміни) (В. (х) ІА) (згідно наказу МОЗ від 17.11.2016 № 1245): Зміни внесено у текст маркування вторинної та проміжної (п. 17. ІНШЕ)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UA/20483/01/02</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НІНЛАРО®</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ixazomib</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lang w:val="ru-RU"/>
              </w:rPr>
              <w:t>іксазоміб (у вигляді іксазомібу цитрату)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L01XG03</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капсули тверді по 4 мг; по 3 капсули у блістерній стрічці; по 1 блістерній стрічці в упаковці-футлярі, по 1 упаковці-футляру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Такеда Фарма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Німеччина/ Велика Британія/ Ірландія/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Зміни І типу - Зміни щодо безпеки/ефективності та фармаконагляду (інші зміни) (В. (х) ІА) (згідно наказу МОЗ від 17.11.2016 № 1245): Зміни внесено у текст маркування вторинної та проміжної (п. 17. ІНШЕ)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pacing w:lineRule="auto" w:line="276"/>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UA/20483/01/03</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ПАКСЛОВІД</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Nirmatrelvir and ritonavir</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 xml:space="preserve">нірматрелвір, ритонавір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J05AE30</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 та таблетки, вкриті плівковою оболонкою, по 100 мг; по 4 таблетки, вкриті плівковою оболонкою, по 150 мг та по 2 таблетки, вкриті плівковою оболонкою, по 100 мг у блістері, по 5 блістерів у картонній коробці; по 6 таблеток, вкритих плівковою оболонкою, по 150 мг та по 5 таблеток, вкритих плівковою оболонкою, по 100 мг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i/>
                <w:sz w:val="16"/>
                <w:szCs w:val="16"/>
              </w:rPr>
              <w:t>таблетки нірматрелвір:</w:t>
            </w:r>
            <w:r>
              <w:rPr>
                <w:rFonts w:cs="Arial" w:ascii="Arial" w:hAnsi="Arial"/>
                <w:sz w:val="16"/>
                <w:szCs w:val="16"/>
              </w:rPr>
              <w:br/>
              <w:t>виробництво, первинне пакування, вторинне пакування, реліз/тестування контролю якості серії, маркування, випуск серії, стабільність:</w:t>
              <w:br/>
              <w:t>Пфайзер Менюфекчуринг Дойчленд ГмбХ, Німеччина;</w:t>
              <w:br/>
              <w:t>виробництво, первинне пакування, вторинне пакування, реліз/тестування контролю якості серії, маркування, випуск серії, стабільність:</w:t>
              <w:br/>
              <w:t>Пфайзер Ірландія Фармасьютікалз, Ірландія;</w:t>
              <w:br/>
              <w:t>виробництво, первинне пакування, вторинне пакування, випуск/тестування контролю якості серії, маркування, випуск серії, стабільність:</w:t>
              <w:br/>
              <w:t>Пфайзер Італія С.р.л., Італія;</w:t>
              <w:br/>
              <w:t>тестування стабільності:</w:t>
              <w:br/>
              <w:t>Пфайзер Інк., США;</w:t>
              <w:br/>
            </w:r>
            <w:r>
              <w:rPr>
                <w:rFonts w:cs="Arial" w:ascii="Arial" w:hAnsi="Arial"/>
                <w:i/>
                <w:sz w:val="16"/>
                <w:szCs w:val="16"/>
              </w:rPr>
              <w:t>таблетки ритонавір:</w:t>
            </w:r>
            <w:r>
              <w:rPr>
                <w:rFonts w:cs="Arial" w:ascii="Arial" w:hAnsi="Arial"/>
                <w:sz w:val="16"/>
                <w:szCs w:val="16"/>
              </w:rPr>
              <w:br/>
              <w:t>виробництво in bulk, тестування і випуск in bulk:</w:t>
              <w:br/>
              <w:t>Хетеро Лабс Лімітед, Індія;</w:t>
              <w:br/>
              <w:t>премікс ритонавіру:</w:t>
              <w:br/>
              <w:t>Хетеро Драгс Лімітед, Індія;</w:t>
              <w:br/>
              <w:t>первинне пакування, вторинне пакування, маркування, випуск/тестування контролю якості, випуск серії, стабільність:</w:t>
              <w:br/>
              <w:t>Пфайзер Менюфекчуринг Дойчленд ГмбХ, Німеччина;</w:t>
              <w:br/>
              <w:t>первинне пакування, вторинне пакування, маркування, випуск/тестування контролю якості, випуск серії, стабільність:</w:t>
              <w:br/>
              <w:t>Пфайзер Італія С.р.л., Італія;</w:t>
              <w:br/>
              <w:t>первинне пакування, вторинне пакування, маркування, випуск серії:</w:t>
              <w:br/>
              <w:t>Пфайзер Ірландія Фармасьютікалз, Ірландія;</w:t>
              <w:br/>
              <w:t>тестування і випуск in bulk:</w:t>
              <w:br/>
              <w:t>Фармадокс Хелскеар Лтд., Мальта;</w:t>
              <w:br/>
              <w:t>тестування і стабільність:</w:t>
              <w:br/>
              <w:t>Пфайзер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Німеччина/</w:t>
            </w:r>
          </w:p>
          <w:p>
            <w:pPr>
              <w:pStyle w:val="Normal1"/>
              <w:tabs>
                <w:tab w:val="left" w:pos="12600" w:leader="none"/>
              </w:tabs>
              <w:jc w:val="center"/>
              <w:rPr>
                <w:rFonts w:ascii="Arial" w:hAnsi="Arial" w:cs="Arial"/>
                <w:sz w:val="16"/>
                <w:szCs w:val="16"/>
              </w:rPr>
            </w:pPr>
            <w:r>
              <w:rPr>
                <w:rFonts w:cs="Arial" w:ascii="Arial" w:hAnsi="Arial"/>
                <w:sz w:val="16"/>
                <w:szCs w:val="16"/>
              </w:rPr>
              <w:t>Ірландія/</w:t>
            </w:r>
          </w:p>
          <w:p>
            <w:pPr>
              <w:pStyle w:val="Normal1"/>
              <w:tabs>
                <w:tab w:val="left" w:pos="12600" w:leader="none"/>
              </w:tabs>
              <w:jc w:val="center"/>
              <w:rPr>
                <w:rFonts w:ascii="Arial" w:hAnsi="Arial" w:cs="Arial"/>
                <w:sz w:val="16"/>
                <w:szCs w:val="16"/>
              </w:rPr>
            </w:pPr>
            <w:r>
              <w:rPr>
                <w:rFonts w:cs="Arial" w:ascii="Arial" w:hAnsi="Arial"/>
                <w:sz w:val="16"/>
                <w:szCs w:val="16"/>
              </w:rPr>
              <w:t>Італія/</w:t>
            </w:r>
          </w:p>
          <w:p>
            <w:pPr>
              <w:pStyle w:val="Normal1"/>
              <w:tabs>
                <w:tab w:val="left" w:pos="12600" w:leader="none"/>
              </w:tabs>
              <w:jc w:val="center"/>
              <w:rPr>
                <w:rFonts w:ascii="Arial" w:hAnsi="Arial" w:cs="Arial"/>
                <w:sz w:val="16"/>
                <w:szCs w:val="16"/>
              </w:rPr>
            </w:pPr>
            <w:r>
              <w:rPr>
                <w:rFonts w:cs="Arial" w:ascii="Arial" w:hAnsi="Arial"/>
                <w:sz w:val="16"/>
                <w:szCs w:val="16"/>
              </w:rPr>
              <w:t>США/</w:t>
            </w:r>
          </w:p>
          <w:p>
            <w:pPr>
              <w:pStyle w:val="Normal1"/>
              <w:tabs>
                <w:tab w:val="left" w:pos="12600" w:leader="none"/>
              </w:tabs>
              <w:jc w:val="center"/>
              <w:rPr>
                <w:rFonts w:ascii="Arial" w:hAnsi="Arial" w:cs="Arial"/>
                <w:sz w:val="16"/>
                <w:szCs w:val="16"/>
              </w:rPr>
            </w:pPr>
            <w:r>
              <w:rPr>
                <w:rFonts w:cs="Arial" w:ascii="Arial" w:hAnsi="Arial"/>
                <w:sz w:val="16"/>
                <w:szCs w:val="16"/>
              </w:rPr>
              <w:t>Індія/</w:t>
            </w:r>
          </w:p>
          <w:p>
            <w:pPr>
              <w:pStyle w:val="Normal1"/>
              <w:tabs>
                <w:tab w:val="left" w:pos="12600" w:leader="none"/>
              </w:tabs>
              <w:jc w:val="center"/>
              <w:rPr>
                <w:rFonts w:ascii="Arial" w:hAnsi="Arial" w:cs="Arial"/>
                <w:color w:val="000000"/>
                <w:sz w:val="16"/>
                <w:szCs w:val="16"/>
              </w:rPr>
            </w:pPr>
            <w:r>
              <w:rPr>
                <w:rFonts w:cs="Arial" w:ascii="Arial" w:hAnsi="Arial"/>
                <w:sz w:val="16"/>
                <w:szCs w:val="16"/>
                <w:lang w:val="ru-RU"/>
              </w:rPr>
              <w:t>Мальта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Тype IB A.4. - Administrative change - Change in the name and/or address of: a manufacturer (including where relevant quality control testing sites); or an ASMF holder; or a supplier of the active substance, starting material, reagent or intermediate used in the manufacture of the active substance (where specified in the technical dossier) where no Ph. Eur. Certificate of Suitability is part of the approved dossier; or a manufacturer of a novel excipient (where specified in the technical dossier) - To update the address of the site responsible for supplying the starting material PF- 04349713-01, Laurus Labs Limited, Unit-3 (VSP3), from “Laurus Labs Limited, Unit-3 (VSP3), Plot No.18, Jawaharlal Nehru Pharma City, Parawada, Visakhapatnam-531021, Andhra Pradesh, India” to “Laurus Labs Limited, Unit-3 (VSP3), Plot No.18, Jawaharlal Nehru Pharma City, Parawada, Anakapalli-531021, Andhra Pradesh, India”. There is no change in the location of the site.</w:t>
              <w:br/>
              <w:t>Тype IB A.4. - Administrative change - Change in the name and/or address of: a manufacturer (including where relevant quality control testing sites); or an ASMF holder; or a supplier of the active substance, starting material, reagent or intermediate used in the manufacture of the active substance (where specified in the technical dossier) where no Ph. Eur. Certificate of Suitability is part of the approved dossier; or a manufacturer of a novel excipient (where specified in the technical dossier) - To update the address of the site responsible for supplying the starting material PF- 07328614-01, Laurus Labs Limited, Unit-4 (VSP4), from “Laurus Labs Limited, Unit-4 (VSP4) Plot No.25, 25A-25K, APSEZ De-Notified Area, Lalamkoduru Village, Rambilli Mandal Visakhapatnam - 531011, Andhra Pradesh, India” to “Laurus Labs Limited, Unit-4 (VSP4), Plot No. 25, 25A-25K, APSEZ De-Notified Area, Lalamkoduru Village, Rambilli Mandal, Anakapalli-531011, Andhra Pradesh, India”. There is no change in the location of the site.</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UA/20163/01/01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РЕКСАЛТІ</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spacing w:lineRule="auto" w:line="276"/>
              <w:rPr>
                <w:rFonts w:ascii="Arial" w:hAnsi="Arial" w:cs="Arial"/>
                <w:color w:val="000000"/>
                <w:sz w:val="16"/>
                <w:szCs w:val="16"/>
              </w:rPr>
            </w:pPr>
            <w:r>
              <w:rPr>
                <w:rFonts w:cs="Arial" w:ascii="Arial" w:hAnsi="Arial"/>
                <w:color w:val="000000"/>
                <w:sz w:val="16"/>
                <w:szCs w:val="16"/>
              </w:rPr>
              <w:t>Brexpiprazole</w:t>
            </w:r>
          </w:p>
          <w:p>
            <w:pPr>
              <w:pStyle w:val="Normal1"/>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брекспіпразол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rPr>
            </w:pPr>
            <w:r>
              <w:rPr>
                <w:rFonts w:cs="Arial" w:ascii="Arial" w:hAnsi="Arial"/>
                <w:color w:val="000000"/>
                <w:sz w:val="16"/>
                <w:szCs w:val="16"/>
              </w:rPr>
              <w:t>N05AX16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lang w:val="ru-RU"/>
              </w:rPr>
              <w:t>таблетки, вкриті плівковою оболонкою, по 0,25 мг, по 14 таблеток у блістерах,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Х. Лундбек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виробництво, випробування контролю якості та випуск нерозфасованого лікарського засобу: Оцука Фармасьютікал Ко., Лтд. Токушіма фекторі, Япон</w:t>
            </w:r>
            <w:r>
              <w:rPr>
                <w:rFonts w:cs="Arial" w:ascii="Arial" w:hAnsi="Arial"/>
                <w:color w:val="000000"/>
                <w:sz w:val="16"/>
                <w:szCs w:val="16"/>
              </w:rPr>
              <w:t>i</w:t>
            </w:r>
            <w:r>
              <w:rPr>
                <w:rFonts w:cs="Arial" w:ascii="Arial" w:hAnsi="Arial"/>
                <w:color w:val="000000"/>
                <w:sz w:val="16"/>
                <w:szCs w:val="16"/>
                <w:lang w:val="ru-RU"/>
              </w:rPr>
              <w:t>я; виробництво, випробування контролю якості та випуск нерозфасованого лікарського засобу: Оцука Фармасьютікал Ко., Лтд. Секонд Токушіма фекторі, Япон</w:t>
            </w:r>
            <w:r>
              <w:rPr>
                <w:rFonts w:cs="Arial" w:ascii="Arial" w:hAnsi="Arial"/>
                <w:color w:val="000000"/>
                <w:sz w:val="16"/>
                <w:szCs w:val="16"/>
              </w:rPr>
              <w:t>i</w:t>
            </w:r>
            <w:r>
              <w:rPr>
                <w:rFonts w:cs="Arial" w:ascii="Arial" w:hAnsi="Arial"/>
                <w:color w:val="000000"/>
                <w:sz w:val="16"/>
                <w:szCs w:val="16"/>
                <w:lang w:val="ru-RU"/>
              </w:rPr>
              <w:t>я; випробування контролю якості: Еурофінс Біофарма Продакт Тестінг Денмарк А/С, Данія;</w:t>
              <w:br/>
              <w:t>первинне та вторинне пакування, контроль якості та випробування стабільності, випуск серії готового лікарського засобу:</w:t>
              <w:br/>
              <w:t>Х. Лундбек А/С, Дан</w:t>
            </w:r>
            <w:r>
              <w:rPr>
                <w:rFonts w:cs="Arial" w:ascii="Arial" w:hAnsi="Arial"/>
                <w:color w:val="000000"/>
                <w:sz w:val="16"/>
                <w:szCs w:val="16"/>
              </w:rPr>
              <w:t>i</w:t>
            </w:r>
            <w:r>
              <w:rPr>
                <w:rFonts w:cs="Arial" w:ascii="Arial" w:hAnsi="Arial"/>
                <w:color w:val="000000"/>
                <w:sz w:val="16"/>
                <w:szCs w:val="16"/>
                <w:lang w:val="ru-RU"/>
              </w:rPr>
              <w:t>я; первинне та вторинне пакування, контроль якості, випуск серії готового лікарського засобу: Елаяфарм,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Японiя/ Данія/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(згідно наказу МОЗ від 17.11.2016 № 1245)Зміна контактної особи заявника, відповідальної за фармаконагляд в Україні. </w:t>
            </w:r>
            <w:r>
              <w:rPr>
                <w:rFonts w:cs="Arial" w:ascii="Arial" w:hAnsi="Arial"/>
                <w:color w:val="000000"/>
                <w:sz w:val="16"/>
                <w:szCs w:val="16"/>
                <w:lang w:val="ru-RU"/>
              </w:rPr>
              <w:t>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UA/19347/01/01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РЕКСАЛТІ</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spacing w:lineRule="auto" w:line="276"/>
              <w:rPr>
                <w:rFonts w:ascii="Arial" w:hAnsi="Arial" w:cs="Arial"/>
                <w:color w:val="000000"/>
                <w:sz w:val="16"/>
                <w:szCs w:val="16"/>
              </w:rPr>
            </w:pPr>
            <w:r>
              <w:rPr>
                <w:rFonts w:cs="Arial" w:ascii="Arial" w:hAnsi="Arial"/>
                <w:color w:val="000000"/>
                <w:sz w:val="16"/>
                <w:szCs w:val="16"/>
              </w:rPr>
              <w:t>Brexpiprazole</w:t>
            </w:r>
          </w:p>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shd w:fill="F8F8F8" w:val="clear"/>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брекспіпразол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N05AX16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lang w:val="ru-RU"/>
              </w:rPr>
              <w:t>таблетки, вкриті плівковою оболонкою, по 0,5 мг, по 14 таблеток у блістерах,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Х. Лундбек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виробництво, випробування контролю якості та випуск нерозфасованого лікарського засобу: Оцука Фармасьютікал Ко., Лтд. Токушіма фекторі, Япон</w:t>
            </w:r>
            <w:r>
              <w:rPr>
                <w:rFonts w:cs="Arial" w:ascii="Arial" w:hAnsi="Arial"/>
                <w:color w:val="000000"/>
                <w:sz w:val="16"/>
                <w:szCs w:val="16"/>
              </w:rPr>
              <w:t>i</w:t>
            </w:r>
            <w:r>
              <w:rPr>
                <w:rFonts w:cs="Arial" w:ascii="Arial" w:hAnsi="Arial"/>
                <w:color w:val="000000"/>
                <w:sz w:val="16"/>
                <w:szCs w:val="16"/>
                <w:lang w:val="ru-RU"/>
              </w:rPr>
              <w:t>я; виробництво, випробування контролю якості та випуск нерозфасованого лікарського засобу: Оцука Фармасьютікал Ко., Лтд. Секонд Токушіма фекторі, Япон</w:t>
            </w:r>
            <w:r>
              <w:rPr>
                <w:rFonts w:cs="Arial" w:ascii="Arial" w:hAnsi="Arial"/>
                <w:color w:val="000000"/>
                <w:sz w:val="16"/>
                <w:szCs w:val="16"/>
              </w:rPr>
              <w:t>i</w:t>
            </w:r>
            <w:r>
              <w:rPr>
                <w:rFonts w:cs="Arial" w:ascii="Arial" w:hAnsi="Arial"/>
                <w:color w:val="000000"/>
                <w:sz w:val="16"/>
                <w:szCs w:val="16"/>
                <w:lang w:val="ru-RU"/>
              </w:rPr>
              <w:t>я; випробування контролю якості: Еурофінс Біофарма Продакт Тестінг Денмарк А/С, Данія;</w:t>
              <w:br/>
              <w:t>первинне та вторинне пакування, контроль якості та випробування стабільності, випуск серії готового лікарського засобу:</w:t>
              <w:br/>
              <w:t>Х. Лундбек А/С, Дан</w:t>
            </w:r>
            <w:r>
              <w:rPr>
                <w:rFonts w:cs="Arial" w:ascii="Arial" w:hAnsi="Arial"/>
                <w:color w:val="000000"/>
                <w:sz w:val="16"/>
                <w:szCs w:val="16"/>
              </w:rPr>
              <w:t>i</w:t>
            </w:r>
            <w:r>
              <w:rPr>
                <w:rFonts w:cs="Arial" w:ascii="Arial" w:hAnsi="Arial"/>
                <w:color w:val="000000"/>
                <w:sz w:val="16"/>
                <w:szCs w:val="16"/>
                <w:lang w:val="ru-RU"/>
              </w:rPr>
              <w:t>я; первинне та вторинне пакування, контроль якості, випуск серії готового лікарського засобу: Елаяфарм,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Японiя/ Данія/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(згідно наказу МОЗ від 17.11.2016 № 1245)Зміна контактної особи заявника, відповідальної за фармаконагляд в Україні. </w:t>
            </w:r>
            <w:r>
              <w:rPr>
                <w:rFonts w:cs="Arial" w:ascii="Arial" w:hAnsi="Arial"/>
                <w:color w:val="000000"/>
                <w:sz w:val="16"/>
                <w:szCs w:val="16"/>
                <w:lang w:val="ru-RU"/>
              </w:rPr>
              <w:t>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UA/19347/01/02</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РЕКСАЛТІ</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spacing w:lineRule="auto" w:line="276"/>
              <w:rPr>
                <w:rFonts w:ascii="Arial" w:hAnsi="Arial" w:cs="Arial"/>
                <w:color w:val="000000"/>
                <w:sz w:val="16"/>
                <w:szCs w:val="16"/>
              </w:rPr>
            </w:pPr>
            <w:r>
              <w:rPr>
                <w:rFonts w:cs="Arial" w:ascii="Arial" w:hAnsi="Arial"/>
                <w:color w:val="000000"/>
                <w:sz w:val="16"/>
                <w:szCs w:val="16"/>
              </w:rPr>
              <w:t>Brexpiprazole</w:t>
            </w:r>
          </w:p>
          <w:p>
            <w:pPr>
              <w:pStyle w:val="Normal1"/>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rPr>
              <w:t>брекспіпразол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N05AX16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lang w:val="ru-RU"/>
              </w:rPr>
              <w:t>таблетки, вкриті плівковою оболонкою, по 1 мг по 10 таблеток у блістері, по 1 блістеру в картонній коробці або по 14 таблеток у блістерах,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Х. Лундбек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виробництво, випробування контролю якості та випуск нерозфасованого лікарського засобу: Оцука Фармасьютікал Ко., Лтд. Токушіма фекторі, Япон</w:t>
            </w:r>
            <w:r>
              <w:rPr>
                <w:rFonts w:cs="Arial" w:ascii="Arial" w:hAnsi="Arial"/>
                <w:color w:val="000000"/>
                <w:sz w:val="16"/>
                <w:szCs w:val="16"/>
              </w:rPr>
              <w:t>i</w:t>
            </w:r>
            <w:r>
              <w:rPr>
                <w:rFonts w:cs="Arial" w:ascii="Arial" w:hAnsi="Arial"/>
                <w:color w:val="000000"/>
                <w:sz w:val="16"/>
                <w:szCs w:val="16"/>
                <w:lang w:val="ru-RU"/>
              </w:rPr>
              <w:t>я; виробництво, випробування контролю якості та випуск нерозфасованого лікарського засобу: Оцука Фармасьютікал Ко., Лтд. Секонд Токушіма фекторі, Япон</w:t>
            </w:r>
            <w:r>
              <w:rPr>
                <w:rFonts w:cs="Arial" w:ascii="Arial" w:hAnsi="Arial"/>
                <w:color w:val="000000"/>
                <w:sz w:val="16"/>
                <w:szCs w:val="16"/>
              </w:rPr>
              <w:t>i</w:t>
            </w:r>
            <w:r>
              <w:rPr>
                <w:rFonts w:cs="Arial" w:ascii="Arial" w:hAnsi="Arial"/>
                <w:color w:val="000000"/>
                <w:sz w:val="16"/>
                <w:szCs w:val="16"/>
                <w:lang w:val="ru-RU"/>
              </w:rPr>
              <w:t>я; випробування контролю якості: Еурофінс Біофарма Продакт Тестінг Денмарк А/С, Данія;</w:t>
              <w:br/>
              <w:t>первинне та вторинне пакування, контроль якості та випробування стабільності, випуск серії готового лікарського засобу:</w:t>
              <w:br/>
              <w:t>Х. Лундбек А/С, Дан</w:t>
            </w:r>
            <w:r>
              <w:rPr>
                <w:rFonts w:cs="Arial" w:ascii="Arial" w:hAnsi="Arial"/>
                <w:color w:val="000000"/>
                <w:sz w:val="16"/>
                <w:szCs w:val="16"/>
              </w:rPr>
              <w:t>i</w:t>
            </w:r>
            <w:r>
              <w:rPr>
                <w:rFonts w:cs="Arial" w:ascii="Arial" w:hAnsi="Arial"/>
                <w:color w:val="000000"/>
                <w:sz w:val="16"/>
                <w:szCs w:val="16"/>
                <w:lang w:val="ru-RU"/>
              </w:rPr>
              <w:t>я; первинне та вторинне пакування, контроль якості, випуск серії готового лікарського засобу: Елаяфарм,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Японiя/ Данія/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(згідно наказу МОЗ від 17.11.2016 № 1245)Зміна контактної особи заявника, відповідальної за фармаконагляд в Україні. </w:t>
            </w:r>
            <w:r>
              <w:rPr>
                <w:rFonts w:cs="Arial" w:ascii="Arial" w:hAnsi="Arial"/>
                <w:color w:val="000000"/>
                <w:sz w:val="16"/>
                <w:szCs w:val="16"/>
                <w:lang w:val="ru-RU"/>
              </w:rPr>
              <w:t>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UA/19347/01/03</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РЕКСАЛТІ</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spacing w:lineRule="auto" w:line="276"/>
              <w:rPr>
                <w:rFonts w:ascii="Arial" w:hAnsi="Arial" w:cs="Arial"/>
                <w:color w:val="000000"/>
                <w:sz w:val="16"/>
                <w:szCs w:val="16"/>
              </w:rPr>
            </w:pPr>
            <w:r>
              <w:rPr>
                <w:rFonts w:cs="Arial" w:ascii="Arial" w:hAnsi="Arial"/>
                <w:color w:val="000000"/>
                <w:sz w:val="16"/>
                <w:szCs w:val="16"/>
              </w:rPr>
              <w:t>Brexpiprazole</w:t>
            </w:r>
          </w:p>
          <w:p>
            <w:pPr>
              <w:pStyle w:val="Normal1"/>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rPr>
              <w:t>брекспіпразол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N05AX16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2 мг, по 14 таблеток у блістерах,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Х. Лундбек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виробництво, випробування контролю якості та випуск нерозфасованого лікарського засобу: Оцука Фармасьютікал Ко., Лтд. Токушіма фекторі, Япон</w:t>
            </w:r>
            <w:r>
              <w:rPr>
                <w:rFonts w:cs="Arial" w:ascii="Arial" w:hAnsi="Arial"/>
                <w:color w:val="000000"/>
                <w:sz w:val="16"/>
                <w:szCs w:val="16"/>
              </w:rPr>
              <w:t>i</w:t>
            </w:r>
            <w:r>
              <w:rPr>
                <w:rFonts w:cs="Arial" w:ascii="Arial" w:hAnsi="Arial"/>
                <w:color w:val="000000"/>
                <w:sz w:val="16"/>
                <w:szCs w:val="16"/>
                <w:lang w:val="ru-RU"/>
              </w:rPr>
              <w:t>я; виробництво, випробування контролю якості та випуск нерозфасованого лікарського засобу: Оцука Фармасьютікал Ко., Лтд. Секонд Токушіма фекторі, Япон</w:t>
            </w:r>
            <w:r>
              <w:rPr>
                <w:rFonts w:cs="Arial" w:ascii="Arial" w:hAnsi="Arial"/>
                <w:color w:val="000000"/>
                <w:sz w:val="16"/>
                <w:szCs w:val="16"/>
              </w:rPr>
              <w:t>i</w:t>
            </w:r>
            <w:r>
              <w:rPr>
                <w:rFonts w:cs="Arial" w:ascii="Arial" w:hAnsi="Arial"/>
                <w:color w:val="000000"/>
                <w:sz w:val="16"/>
                <w:szCs w:val="16"/>
                <w:lang w:val="ru-RU"/>
              </w:rPr>
              <w:t>я; випробування контролю якості: Еурофінс Біофарма Продакт Тестінг Денмарк А/С, Данія;</w:t>
              <w:br/>
              <w:t>первинне та вторинне пакування, контроль якості та випробування стабільності, випуск серії готового лікарського засобу:</w:t>
              <w:br/>
              <w:t>Х. Лундбек А/С, Дан</w:t>
            </w:r>
            <w:r>
              <w:rPr>
                <w:rFonts w:cs="Arial" w:ascii="Arial" w:hAnsi="Arial"/>
                <w:color w:val="000000"/>
                <w:sz w:val="16"/>
                <w:szCs w:val="16"/>
              </w:rPr>
              <w:t>i</w:t>
            </w:r>
            <w:r>
              <w:rPr>
                <w:rFonts w:cs="Arial" w:ascii="Arial" w:hAnsi="Arial"/>
                <w:color w:val="000000"/>
                <w:sz w:val="16"/>
                <w:szCs w:val="16"/>
                <w:lang w:val="ru-RU"/>
              </w:rPr>
              <w:t>я; первинне та вторинне пакування, контроль якості, випуск серії готового лікарського засобу: Елаяфарм,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Японiя/ Данія/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(згідно наказу МОЗ від 17.11.2016 № 1245)Зміна контактної особи заявника, відповідальної за фармаконагляд в Україні. </w:t>
            </w:r>
            <w:r>
              <w:rPr>
                <w:rFonts w:cs="Arial" w:ascii="Arial" w:hAnsi="Arial"/>
                <w:color w:val="000000"/>
                <w:sz w:val="16"/>
                <w:szCs w:val="16"/>
                <w:lang w:val="ru-RU"/>
              </w:rPr>
              <w:t>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UA/19347/01/04</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РЕКСАЛТІ</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spacing w:lineRule="auto" w:line="276"/>
              <w:rPr>
                <w:rFonts w:ascii="Arial" w:hAnsi="Arial" w:cs="Arial"/>
                <w:color w:val="000000"/>
                <w:sz w:val="16"/>
                <w:szCs w:val="16"/>
              </w:rPr>
            </w:pPr>
            <w:r>
              <w:rPr>
                <w:rFonts w:cs="Arial" w:ascii="Arial" w:hAnsi="Arial"/>
                <w:color w:val="000000"/>
                <w:sz w:val="16"/>
                <w:szCs w:val="16"/>
              </w:rPr>
              <w:t>Brexpiprazole</w:t>
            </w:r>
          </w:p>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shd w:fill="F8F8F8" w:val="clear"/>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брекспіпразол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N05AX16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3 мг, по 14 таблеток у блістерах,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Х. Лундбек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виробництво, випробування контролю якості та випуск нерозфасованого лікарського засобу: Оцука Фармасьютікал Ко., Лтд. Токушіма фекторі, Япон</w:t>
            </w:r>
            <w:r>
              <w:rPr>
                <w:rFonts w:cs="Arial" w:ascii="Arial" w:hAnsi="Arial"/>
                <w:color w:val="000000"/>
                <w:sz w:val="16"/>
                <w:szCs w:val="16"/>
              </w:rPr>
              <w:t>i</w:t>
            </w:r>
            <w:r>
              <w:rPr>
                <w:rFonts w:cs="Arial" w:ascii="Arial" w:hAnsi="Arial"/>
                <w:color w:val="000000"/>
                <w:sz w:val="16"/>
                <w:szCs w:val="16"/>
                <w:lang w:val="ru-RU"/>
              </w:rPr>
              <w:t>я; виробництво, випробування контролю якості та випуск нерозфасованого лікарського засобу: Оцука Фармасьютікал Ко., Лтд. Секонд Токушіма фекторі, Япон</w:t>
            </w:r>
            <w:r>
              <w:rPr>
                <w:rFonts w:cs="Arial" w:ascii="Arial" w:hAnsi="Arial"/>
                <w:color w:val="000000"/>
                <w:sz w:val="16"/>
                <w:szCs w:val="16"/>
              </w:rPr>
              <w:t>i</w:t>
            </w:r>
            <w:r>
              <w:rPr>
                <w:rFonts w:cs="Arial" w:ascii="Arial" w:hAnsi="Arial"/>
                <w:color w:val="000000"/>
                <w:sz w:val="16"/>
                <w:szCs w:val="16"/>
                <w:lang w:val="ru-RU"/>
              </w:rPr>
              <w:t>я; випробування контролю якості: Еурофінс Біофарма Продакт Тестінг Денмарк А/С, Данія;</w:t>
              <w:br/>
              <w:t>первинне та вторинне пакування, контроль якості та випробування стабільності, випуск серії готового лікарського засобу:</w:t>
              <w:br/>
              <w:t>Х. Лундбек А/С, Дан</w:t>
            </w:r>
            <w:r>
              <w:rPr>
                <w:rFonts w:cs="Arial" w:ascii="Arial" w:hAnsi="Arial"/>
                <w:color w:val="000000"/>
                <w:sz w:val="16"/>
                <w:szCs w:val="16"/>
              </w:rPr>
              <w:t>i</w:t>
            </w:r>
            <w:r>
              <w:rPr>
                <w:rFonts w:cs="Arial" w:ascii="Arial" w:hAnsi="Arial"/>
                <w:color w:val="000000"/>
                <w:sz w:val="16"/>
                <w:szCs w:val="16"/>
                <w:lang w:val="ru-RU"/>
              </w:rPr>
              <w:t>я; первинне та вторинне пакування, контроль якості, випуск серії готового лікарського засобу: Елаяфарм, Франція</w:t>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Японiя/ Данія/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(згідно наказу МОЗ від 17.11.2016 № 1245)Зміна контактної особи заявника, відповідальної за фармаконагляд в Україні. </w:t>
            </w:r>
            <w:r>
              <w:rPr>
                <w:rFonts w:cs="Arial" w:ascii="Arial" w:hAnsi="Arial"/>
                <w:color w:val="000000"/>
                <w:sz w:val="16"/>
                <w:szCs w:val="16"/>
                <w:lang w:val="ru-RU"/>
              </w:rPr>
              <w:t>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UA/19347/01/05</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4"/>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РЕКСАЛТІ</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pacing w:lineRule="auto" w:line="276"/>
              <w:rPr>
                <w:rFonts w:ascii="Arial" w:hAnsi="Arial" w:cs="Arial"/>
                <w:color w:val="000000"/>
                <w:sz w:val="16"/>
                <w:szCs w:val="16"/>
              </w:rPr>
            </w:pPr>
            <w:r>
              <w:rPr>
                <w:rFonts w:cs="Arial" w:ascii="Arial" w:hAnsi="Arial"/>
                <w:color w:val="000000"/>
                <w:sz w:val="16"/>
                <w:szCs w:val="16"/>
              </w:rPr>
              <w:t>Brexpiprazole</w:t>
            </w:r>
          </w:p>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shd w:fill="F8F8F8" w:val="clear"/>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брекспіпразол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shd w:fill="F8F8F8" w:val="clear"/>
              </w:rPr>
            </w:pPr>
            <w:r>
              <w:rPr>
                <w:rFonts w:cs="Arial" w:ascii="Arial" w:hAnsi="Arial"/>
                <w:color w:val="000000"/>
                <w:sz w:val="16"/>
                <w:szCs w:val="16"/>
              </w:rPr>
              <w:t>N05AX16</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4 мг, по 14 таблеток у блістерах,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Х. Лундбек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виробництво, випробування контролю якості та випуск нерозфасованого лікарського засобу: Оцука Фармасьютікал Ко., Лтд. Токушіма фекторі, Япон</w:t>
            </w:r>
            <w:r>
              <w:rPr>
                <w:rFonts w:cs="Arial" w:ascii="Arial" w:hAnsi="Arial"/>
                <w:color w:val="000000"/>
                <w:sz w:val="16"/>
                <w:szCs w:val="16"/>
              </w:rPr>
              <w:t>i</w:t>
            </w:r>
            <w:r>
              <w:rPr>
                <w:rFonts w:cs="Arial" w:ascii="Arial" w:hAnsi="Arial"/>
                <w:color w:val="000000"/>
                <w:sz w:val="16"/>
                <w:szCs w:val="16"/>
                <w:lang w:val="ru-RU"/>
              </w:rPr>
              <w:t>я; виробництво, випробування контролю якості та випуск нерозфасованого лікарського засобу: Оцука Фармасьютікал Ко., Лтд. Секонд Токушіма фекторі, Япон</w:t>
            </w:r>
            <w:r>
              <w:rPr>
                <w:rFonts w:cs="Arial" w:ascii="Arial" w:hAnsi="Arial"/>
                <w:color w:val="000000"/>
                <w:sz w:val="16"/>
                <w:szCs w:val="16"/>
              </w:rPr>
              <w:t>i</w:t>
            </w:r>
            <w:r>
              <w:rPr>
                <w:rFonts w:cs="Arial" w:ascii="Arial" w:hAnsi="Arial"/>
                <w:color w:val="000000"/>
                <w:sz w:val="16"/>
                <w:szCs w:val="16"/>
                <w:lang w:val="ru-RU"/>
              </w:rPr>
              <w:t>я; випробування контролю якості: Еурофінс Біофарма Продакт Тестінг Денмарк А/С, Данія;</w:t>
              <w:br/>
              <w:t>первинне та вторинне пакування, контроль якості та випробування стабільності, випуск серії готового лікарського засобу:</w:t>
              <w:br/>
              <w:t>Х. Лундбек А/С, Дан</w:t>
            </w:r>
            <w:r>
              <w:rPr>
                <w:rFonts w:cs="Arial" w:ascii="Arial" w:hAnsi="Arial"/>
                <w:color w:val="000000"/>
                <w:sz w:val="16"/>
                <w:szCs w:val="16"/>
              </w:rPr>
              <w:t>i</w:t>
            </w:r>
            <w:r>
              <w:rPr>
                <w:rFonts w:cs="Arial" w:ascii="Arial" w:hAnsi="Arial"/>
                <w:color w:val="000000"/>
                <w:sz w:val="16"/>
                <w:szCs w:val="16"/>
                <w:lang w:val="ru-RU"/>
              </w:rPr>
              <w:t>я; первинне та вторинне пакування, контроль якості, випуск серії готового лікарського засобу: Елаяфарм,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Японiя/ Данія/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(згідно наказу МОЗ від 17.11.2016 № 1245)Зміна контактної особи заявника, відповідальної за фармаконагляд в Україні. </w:t>
            </w:r>
            <w:r>
              <w:rPr>
                <w:rFonts w:cs="Arial" w:ascii="Arial" w:hAnsi="Arial"/>
                <w:color w:val="000000"/>
                <w:sz w:val="16"/>
                <w:szCs w:val="16"/>
                <w:lang w:val="ru-RU"/>
              </w:rPr>
              <w:t>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jc w:val="center"/>
              <w:rPr>
                <w:rFonts w:ascii="Arial" w:hAnsi="Arial" w:cs="Arial"/>
                <w:i/>
                <w:i/>
                <w:sz w:val="16"/>
                <w:szCs w:val="16"/>
              </w:rPr>
            </w:pPr>
            <w:r>
              <w:rPr>
                <w:rFonts w:cs="Arial" w:ascii="Arial" w:hAnsi="Arial"/>
                <w:i/>
                <w:sz w:val="16"/>
                <w:szCs w:val="16"/>
              </w:rPr>
              <w:t>за 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UA/19347/01/06</w:t>
            </w:r>
          </w:p>
        </w:tc>
      </w:tr>
    </w:tbl>
    <w:p>
      <w:pPr>
        <w:pStyle w:val="11"/>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8"/>
          <w:szCs w:val="18"/>
        </w:rPr>
        <w:t>відповідно до інформації офіційного сайту Центру ВООЗ по співпраці в методології статистичних досліджень (</w:t>
      </w:r>
      <w:hyperlink r:id="rId8">
        <w:r>
          <w:rPr>
            <w:rStyle w:val="InternetLink"/>
            <w:rFonts w:cs="Arial" w:ascii="Arial" w:hAnsi="Arial"/>
            <w:i/>
            <w:sz w:val="18"/>
            <w:szCs w:val="18"/>
          </w:rPr>
          <w:t>https://www.whocc.no/atc_ddd_index/</w:t>
        </w:r>
      </w:hyperlink>
      <w:r>
        <w:rPr>
          <w:rStyle w:val="InternetLink"/>
          <w:rFonts w:cs="Arial" w:ascii="Arial" w:hAnsi="Arial"/>
          <w:i/>
          <w:sz w:val="18"/>
          <w:szCs w:val="18"/>
        </w:rPr>
        <w:t>)</w:t>
      </w:r>
    </w:p>
    <w:p>
      <w:pPr>
        <w:pStyle w:val="Normal1"/>
        <w:jc w:val="center"/>
        <w:rPr>
          <w:rFonts w:ascii="Arial" w:hAnsi="Arial" w:cs="Arial"/>
          <w:lang w:val="ru-RU"/>
        </w:rPr>
      </w:pPr>
      <w:r>
        <w:rPr>
          <w:rFonts w:cs="Arial" w:ascii="Arial" w:hAnsi="Arial"/>
          <w:lang w:val="ru-RU"/>
        </w:rPr>
      </w:r>
    </w:p>
    <w:p>
      <w:pPr>
        <w:pStyle w:val="Normal1"/>
        <w:jc w:val="center"/>
        <w:rPr>
          <w:lang w:val="ru-RU"/>
        </w:rPr>
      </w:pPr>
      <w:r>
        <w:rPr>
          <w:lang w:val="ru-RU"/>
        </w:rPr>
      </w:r>
    </w:p>
    <w:p>
      <w:pPr>
        <w:pStyle w:val="Normal"/>
        <w:ind w:left="540" w:hanging="0"/>
        <w:rPr>
          <w:b/>
          <w:b/>
          <w:sz w:val="28"/>
          <w:szCs w:val="28"/>
        </w:rPr>
      </w:pPr>
      <w:r>
        <w:rPr>
          <w:b/>
          <w:sz w:val="28"/>
          <w:szCs w:val="28"/>
        </w:rPr>
        <w:t>В.о. начальника</w:t>
      </w:r>
    </w:p>
    <w:p>
      <w:pPr>
        <w:sectPr>
          <w:headerReference w:type="default" r:id="rId9"/>
          <w:headerReference w:type="first" r:id="rId10"/>
          <w:type w:val="nextPage"/>
          <w:pgSz w:orient="landscape" w:w="16838" w:h="11906"/>
          <w:pgMar w:left="1560" w:right="899" w:header="709" w:top="1418" w:footer="0" w:bottom="567" w:gutter="0"/>
          <w:pgNumType w:fmt="decimal"/>
          <w:formProt w:val="false"/>
          <w:titlePg/>
          <w:textDirection w:val="lrTb"/>
          <w:docGrid w:type="default" w:linePitch="360" w:charSpace="0"/>
        </w:sectPr>
        <w:pStyle w:val="Normal"/>
        <w:ind w:left="540" w:hanging="0"/>
        <w:rPr>
          <w:b/>
          <w:b/>
          <w:sz w:val="22"/>
          <w:szCs w:val="22"/>
        </w:rPr>
      </w:pPr>
      <w:r>
        <w:rPr>
          <w:b/>
          <w:sz w:val="28"/>
          <w:szCs w:val="28"/>
        </w:rPr>
        <w:t>Фармацевтичного управління                                                                                                           Людмила ЯРКО</w:t>
        <w:tab/>
        <w:t xml:space="preserve">        </w:t>
        <w:tab/>
        <w:tab/>
        <w:t xml:space="preserve">          </w:t>
        <w:tab/>
        <w:tab/>
      </w:r>
    </w:p>
    <w:p>
      <w:pPr>
        <w:pStyle w:val="Normal"/>
        <w:rPr/>
      </w:pPr>
      <w:r>
        <w:rPr/>
      </w:r>
      <w:r>
        <mc:AlternateContent>
          <mc:Choice Requires="wps">
            <w:drawing>
              <wp:anchor behindDoc="0" distT="0" distB="0" distL="114300" distR="0" simplePos="0" locked="0" layoutInCell="1" allowOverlap="1" relativeHeight="5">
                <wp:simplePos x="0" y="0"/>
                <wp:positionH relativeFrom="margin">
                  <wp:align>right</wp:align>
                </wp:positionH>
                <wp:positionV relativeFrom="paragraph">
                  <wp:posOffset>-212090</wp:posOffset>
                </wp:positionV>
                <wp:extent cx="2430145" cy="1314450"/>
                <wp:effectExtent l="0" t="0" r="0" b="0"/>
                <wp:wrapSquare wrapText="bothSides"/>
                <wp:docPr id="4" name="Frame3"/>
                <a:graphic xmlns:a="http://schemas.openxmlformats.org/drawingml/2006/main">
                  <a:graphicData uri="http://schemas.microsoft.com/office/word/2010/wordprocessingShape">
                    <wps:wsp>
                      <wps:cNvSpPr txBox="1"/>
                      <wps:spPr>
                        <a:xfrm>
                          <a:off x="0" y="0"/>
                          <a:ext cx="2430145" cy="1314450"/>
                        </a:xfrm>
                        <a:prstGeom prst="rect"/>
                        <a:solidFill>
                          <a:srgbClr val="FFFFFF">
                            <a:alpha val="0"/>
                          </a:srgbClr>
                        </a:solidFill>
                      </wps:spPr>
                      <wps:txb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lang w:val="uk-UA"/>
                                    </w:rPr>
                                  </w:pPr>
                                  <w:r>
                                    <w:rPr>
                                      <w:b w:val="false"/>
                                      <w:sz w:val="18"/>
                                      <w:szCs w:val="18"/>
                                      <w:lang w:val="uk-UA"/>
                                    </w:rPr>
                                    <w:t xml:space="preserve">Додаток 3 </w:t>
                                  </w:r>
                                </w:p>
                                <w:p>
                                  <w:pPr>
                                    <w:pStyle w:val="Normal"/>
                                    <w:jc w:val="both"/>
                                    <w:rPr>
                                      <w:sz w:val="18"/>
                                      <w:szCs w:val="18"/>
                                      <w:lang w:val="uk-UA"/>
                                    </w:rPr>
                                  </w:pPr>
                                  <w:r>
                                    <w:rPr>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
                                    <w:jc w:val="both"/>
                                    <w:rPr>
                                      <w:rFonts w:cs="Calibri"/>
                                      <w:u w:val="single"/>
                                    </w:rPr>
                                  </w:pPr>
                                  <w:r>
                                    <w:rPr>
                                      <w:sz w:val="18"/>
                                      <w:szCs w:val="18"/>
                                      <w:u w:val="single"/>
                                    </w:rPr>
                                    <w:t>від 31 липня 2026 року № 1058</w:t>
                                  </w:r>
                                </w:p>
                              </w:tc>
                            </w:tr>
                          </w:tbl>
                        </w:txbxContent>
                      </wps:txbx>
                      <wps:bodyPr anchor="t">
                        <a:noAutofit/>
                      </wps:bodyPr>
                    </wps:wsp>
                  </a:graphicData>
                </a:graphic>
              </wp:anchor>
            </w:drawing>
          </mc:Choice>
          <mc:Fallback>
            <w:pict>
              <v:rect fillcolor="#FFFFFF" style="position:absolute;rotation:0;width:191.35pt;height:103.5pt;mso-wrap-distance-left:9pt;mso-wrap-distance-right:0pt;margin-top:-16.7pt;mso-position-vertical-relative:text;margin-left:527.6pt;mso-position-horizontal:right;mso-position-horizontal-relative:margin">
                <v:fill opacity="0f"/>
                <v:textbo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lang w:val="uk-UA"/>
                              </w:rPr>
                            </w:pPr>
                            <w:r>
                              <w:rPr>
                                <w:b w:val="false"/>
                                <w:sz w:val="18"/>
                                <w:szCs w:val="18"/>
                                <w:lang w:val="uk-UA"/>
                              </w:rPr>
                              <w:t xml:space="preserve">Додаток 3 </w:t>
                            </w:r>
                          </w:p>
                          <w:p>
                            <w:pPr>
                              <w:pStyle w:val="Normal"/>
                              <w:jc w:val="both"/>
                              <w:rPr>
                                <w:sz w:val="18"/>
                                <w:szCs w:val="18"/>
                                <w:lang w:val="uk-UA"/>
                              </w:rPr>
                            </w:pPr>
                            <w:r>
                              <w:rPr>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
                              <w:jc w:val="both"/>
                              <w:rPr>
                                <w:rFonts w:cs="Calibri"/>
                                <w:u w:val="single"/>
                              </w:rPr>
                            </w:pPr>
                            <w:r>
                              <w:rPr>
                                <w:sz w:val="18"/>
                                <w:szCs w:val="18"/>
                                <w:u w:val="single"/>
                              </w:rPr>
                              <w:t>від 31 липня 2026 року № 1058</w:t>
                            </w:r>
                          </w:p>
                        </w:tc>
                      </w:tr>
                    </w:tbl>
                  </w:txbxContent>
                </v:textbox>
                <w10:wrap type="square"/>
              </v:rect>
            </w:pict>
          </mc:Fallback>
        </mc:AlternateContent>
      </w:r>
    </w:p>
    <w:p>
      <w:pPr>
        <w:pStyle w:val="Heading4"/>
        <w:numPr>
          <w:ilvl w:val="3"/>
          <w:numId w:val="1"/>
        </w:numPr>
        <w:tabs>
          <w:tab w:val="left" w:pos="12600" w:leader="none"/>
        </w:tabs>
        <w:rPr>
          <w:rFonts w:cs="Arial"/>
        </w:rPr>
      </w:pPr>
      <w:r>
        <w:rPr>
          <w:rFonts w:eastAsia="Times New Roman" w:cs="Times New Roman"/>
          <w:sz w:val="18"/>
          <w:szCs w:val="18"/>
        </w:rPr>
        <w:t xml:space="preserve">                                                                                                                                                                                                       </w:t>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2"/>
        <w:numPr>
          <w:ilvl w:val="1"/>
          <w:numId w:val="1"/>
        </w:numPr>
        <w:tabs>
          <w:tab w:val="left" w:pos="12600" w:leader="none"/>
        </w:tabs>
        <w:spacing w:before="0" w:after="0"/>
        <w:jc w:val="center"/>
        <w:rPr>
          <w:rFonts w:ascii="Times New Roman" w:hAnsi="Times New Roman" w:cs="Times New Roman"/>
          <w:i w:val="false"/>
          <w:i w:val="false"/>
          <w:caps/>
        </w:rPr>
      </w:pPr>
      <w:r>
        <w:rPr>
          <w:rFonts w:cs="Times New Roman" w:ascii="Times New Roman" w:hAnsi="Times New Roman"/>
          <w:i w:val="false"/>
        </w:rPr>
        <w:t>ПЕРЕЛІК</w:t>
      </w:r>
    </w:p>
    <w:p>
      <w:pPr>
        <w:pStyle w:val="Normal1"/>
        <w:jc w:val="center"/>
        <w:rPr/>
      </w:pPr>
      <w:r>
        <w:rPr>
          <w:b/>
          <w:caps/>
          <w:sz w:val="28"/>
          <w:szCs w:val="28"/>
        </w:rPr>
        <w:t xml:space="preserve">ЛІКАРСЬКИХ ЗАСОБІВ (МЕДИЧНИХ ІМУНОБІОЛОГІЧНИХ ПРЕПАРАТІВ), </w:t>
      </w:r>
      <w:r>
        <w:rPr>
          <w:b/>
          <w:sz w:val="28"/>
          <w:szCs w:val="28"/>
        </w:rPr>
        <w:t xml:space="preserve">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Pr>
          <w:b/>
          <w:caps/>
          <w:sz w:val="28"/>
          <w:szCs w:val="28"/>
        </w:rPr>
        <w:t xml:space="preserve">ЯКИм відмовлено у затвердженні ЗМІН ДО РЕЄСТРАЦІЙНИХ МАТЕРІАЛІВ та ВНесенні ДО ДЕРЖАВНОГО РЕЄСТРУ ЛІКАРСЬКИХ ЗАСОБІВ </w:t>
      </w:r>
    </w:p>
    <w:p>
      <w:pPr>
        <w:pStyle w:val="Normal1"/>
        <w:jc w:val="center"/>
        <w:rPr>
          <w:b/>
          <w:b/>
          <w:caps/>
          <w:sz w:val="28"/>
          <w:szCs w:val="28"/>
        </w:rPr>
      </w:pPr>
      <w:r>
        <w:rPr>
          <w:b/>
          <w:caps/>
          <w:sz w:val="28"/>
          <w:szCs w:val="28"/>
        </w:rPr>
      </w:r>
    </w:p>
    <w:tbl>
      <w:tblPr>
        <w:tblW w:w="15745" w:type="dxa"/>
        <w:jc w:val="left"/>
        <w:tblInd w:w="-74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560"/>
        <w:gridCol w:w="1276"/>
        <w:gridCol w:w="1134"/>
        <w:gridCol w:w="850"/>
        <w:gridCol w:w="1701"/>
        <w:gridCol w:w="850"/>
        <w:gridCol w:w="850"/>
        <w:gridCol w:w="1561"/>
        <w:gridCol w:w="1134"/>
        <w:gridCol w:w="1559"/>
        <w:gridCol w:w="992"/>
        <w:gridCol w:w="1711"/>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27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85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6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pacing w:before="0" w:after="0"/>
              <w:contextualSpacing/>
              <w:rPr>
                <w:rFonts w:ascii="Arial" w:hAnsi="Arial" w:cs="Arial"/>
                <w:b/>
                <w:b/>
                <w:sz w:val="16"/>
                <w:szCs w:val="16"/>
                <w:lang w:val="uk-UA"/>
              </w:rPr>
            </w:pPr>
            <w:r>
              <w:rPr>
                <w:rFonts w:cs="Arial" w:ascii="Arial" w:hAnsi="Arial"/>
                <w:b/>
                <w:sz w:val="16"/>
                <w:szCs w:val="16"/>
                <w:lang w:val="uk-UA"/>
              </w:rPr>
              <w:t>1.</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ТАМОКСИФЕН САНДОЗ®</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tamoxifen</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rPr>
            </w:pPr>
            <w:r>
              <w:rPr>
                <w:rFonts w:cs="Arial" w:ascii="Arial" w:hAnsi="Arial"/>
                <w:color w:val="000000"/>
                <w:sz w:val="16"/>
                <w:szCs w:val="16"/>
              </w:rPr>
              <w:t>тамоксифен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pacing w:lineRule="auto" w:line="276"/>
              <w:rPr>
                <w:rFonts w:ascii="Arial" w:hAnsi="Arial" w:cs="Arial"/>
                <w:color w:val="000000"/>
                <w:sz w:val="16"/>
                <w:szCs w:val="16"/>
              </w:rPr>
            </w:pPr>
            <w:r>
              <w:rPr>
                <w:rFonts w:cs="Arial" w:ascii="Arial" w:hAnsi="Arial"/>
                <w:color w:val="000000"/>
                <w:sz w:val="16"/>
                <w:szCs w:val="16"/>
              </w:rPr>
              <w:t>L02BA01</w:t>
            </w:r>
          </w:p>
          <w:p>
            <w:pPr>
              <w:pStyle w:val="Normal1"/>
              <w:tabs>
                <w:tab w:val="left" w:pos="12600" w:leader="none"/>
              </w:tabs>
              <w:ind w:left="-108" w:hanging="0"/>
              <w:rPr>
                <w:rFonts w:ascii="Arial" w:hAnsi="Arial" w:cs="Arial"/>
                <w:color w:val="000000"/>
                <w:sz w:val="16"/>
                <w:szCs w:val="16"/>
              </w:rPr>
            </w:pPr>
            <w:r>
              <w:rPr>
                <w:rFonts w:cs="Arial" w:ascii="Arial" w:hAnsi="Arial"/>
                <w:color w:val="000000"/>
                <w:sz w:val="16"/>
                <w:szCs w:val="16"/>
              </w:rPr>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 xml:space="preserve">таблетки, вкриті плівковою оболонкою 20 мг, по 10 таблеток, вкритих плівковою оболонкою у блістері; по 3 або по 10 блістерів в картонній коробці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Салютас Фарма ГмбХ, Німеччина; вторинне пакування: Салютас Фарма ГмбХ, Німеччина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5" w:right="-108" w:hanging="0"/>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Зміни І та ІІ типу,Безпека, ІБ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ind w:left="-40" w:hanging="0"/>
              <w:jc w:val="center"/>
              <w:rPr>
                <w:rFonts w:ascii="Arial" w:hAnsi="Arial" w:cs="Arial"/>
                <w:i/>
                <w:i/>
                <w:sz w:val="16"/>
                <w:szCs w:val="16"/>
              </w:rPr>
            </w:pPr>
            <w:r>
              <w:rPr>
                <w:rFonts w:cs="Arial" w:ascii="Arial" w:hAnsi="Arial"/>
                <w:i/>
                <w:sz w:val="16"/>
                <w:szCs w:val="16"/>
              </w:rPr>
              <w:t>рецептом</w:t>
            </w:r>
          </w:p>
        </w:tc>
        <w:tc>
          <w:tcPr>
            <w:tcW w:w="17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UA/19585/01/01</w:t>
            </w:r>
          </w:p>
        </w:tc>
      </w:tr>
    </w:tbl>
    <w:p>
      <w:pPr>
        <w:pStyle w:val="Normal1"/>
        <w:ind w:left="284" w:hanging="0"/>
        <w:jc w:val="center"/>
        <w:rPr>
          <w:b/>
          <w:b/>
          <w:caps/>
          <w:sz w:val="28"/>
          <w:szCs w:val="28"/>
        </w:rPr>
      </w:pPr>
      <w:r>
        <w:rPr>
          <w:b/>
          <w:caps/>
          <w:sz w:val="28"/>
          <w:szCs w:val="28"/>
        </w:rPr>
      </w:r>
    </w:p>
    <w:p>
      <w:pPr>
        <w:pStyle w:val="Normal"/>
        <w:rPr>
          <w:rFonts w:ascii="Arial" w:hAnsi="Arial" w:cs="Arial"/>
          <w:sz w:val="18"/>
          <w:szCs w:val="18"/>
        </w:rPr>
      </w:pPr>
      <w:r>
        <w:rPr>
          <w:rFonts w:cs="Arial" w:ascii="Arial" w:hAnsi="Arial"/>
        </w:rPr>
        <w:t>*</w:t>
      </w:r>
      <w:r>
        <w:rPr>
          <w:rFonts w:cs="Arial" w:ascii="Arial" w:hAnsi="Arial"/>
          <w:sz w:val="28"/>
          <w:szCs w:val="28"/>
        </w:rPr>
        <w:t xml:space="preserve"> </w:t>
      </w:r>
      <w:r>
        <w:rPr>
          <w:rFonts w:cs="Arial" w:ascii="Arial" w:hAnsi="Arial"/>
          <w:i/>
          <w:sz w:val="18"/>
          <w:szCs w:val="18"/>
        </w:rPr>
        <w:t>відповідно до інформації офіційного сайту Центру ВООЗ по співпраці в методології статистичних досліджень (</w:t>
      </w:r>
      <w:hyperlink r:id="rId11">
        <w:r>
          <w:rPr>
            <w:rStyle w:val="InternetLink"/>
            <w:rFonts w:cs="Arial" w:ascii="Arial" w:hAnsi="Arial"/>
            <w:i/>
            <w:sz w:val="18"/>
            <w:szCs w:val="18"/>
          </w:rPr>
          <w:t>https://www.whocc.no/atc_ddd_index/</w:t>
        </w:r>
      </w:hyperlink>
      <w:r>
        <w:rPr>
          <w:rStyle w:val="InternetLink"/>
          <w:rFonts w:cs="Arial" w:ascii="Arial" w:hAnsi="Arial"/>
          <w:i/>
          <w:sz w:val="18"/>
          <w:szCs w:val="18"/>
        </w:rPr>
        <w:t>)</w:t>
      </w:r>
    </w:p>
    <w:p>
      <w:pPr>
        <w:pStyle w:val="Normal1"/>
        <w:jc w:val="center"/>
        <w:rPr>
          <w:rFonts w:ascii="Arial" w:hAnsi="Arial" w:cs="Arial"/>
          <w:sz w:val="18"/>
          <w:szCs w:val="18"/>
          <w:lang w:val="ru-RU"/>
        </w:rPr>
      </w:pPr>
      <w:r>
        <w:rPr>
          <w:rFonts w:cs="Arial" w:ascii="Arial" w:hAnsi="Arial"/>
          <w:sz w:val="18"/>
          <w:szCs w:val="18"/>
          <w:lang w:val="ru-RU"/>
        </w:rPr>
      </w:r>
    </w:p>
    <w:p>
      <w:pPr>
        <w:pStyle w:val="Normal"/>
        <w:ind w:right="20" w:hanging="0"/>
        <w:rPr>
          <w:b/>
          <w:b/>
          <w:bCs/>
          <w:sz w:val="28"/>
          <w:szCs w:val="28"/>
        </w:rPr>
      </w:pPr>
      <w:r>
        <w:rPr>
          <w:rFonts w:eastAsia="Times New Roman"/>
          <w:b/>
          <w:bCs/>
          <w:sz w:val="28"/>
          <w:szCs w:val="28"/>
        </w:rPr>
        <w:t xml:space="preserve">       </w:t>
      </w:r>
      <w:r>
        <w:rPr>
          <w:b/>
          <w:bCs/>
          <w:sz w:val="28"/>
          <w:szCs w:val="28"/>
        </w:rPr>
        <w:t xml:space="preserve">В.о. начальника </w:t>
      </w:r>
    </w:p>
    <w:p>
      <w:pPr>
        <w:pStyle w:val="Normal"/>
        <w:ind w:right="20" w:hanging="0"/>
        <w:rPr/>
      </w:pPr>
      <w:r>
        <w:rPr>
          <w:rStyle w:val="Cs7864ebcf1"/>
          <w:rFonts w:eastAsia="Times New Roman"/>
          <w:sz w:val="28"/>
          <w:szCs w:val="28"/>
        </w:rPr>
        <w:t xml:space="preserve">       </w:t>
      </w:r>
      <w:r>
        <w:rPr>
          <w:rStyle w:val="Cs7864ebcf1"/>
          <w:sz w:val="28"/>
          <w:szCs w:val="28"/>
        </w:rPr>
        <w:t>Фармацевтичного управління                                                                                                             Людмила ЯРКО</w:t>
      </w:r>
    </w:p>
    <w:p>
      <w:pPr>
        <w:pStyle w:val="Normal"/>
        <w:rPr/>
      </w:pPr>
      <w:r>
        <w:rPr>
          <w:rFonts w:eastAsia="Times New Roman"/>
          <w:b/>
          <w:sz w:val="28"/>
          <w:szCs w:val="28"/>
          <w:lang w:val="uk-UA"/>
        </w:rPr>
        <w:t xml:space="preserve">                                                                                          </w:t>
      </w:r>
    </w:p>
    <w:sectPr>
      <w:headerReference w:type="default" r:id="rId12"/>
      <w:headerReference w:type="first" r:id="rId13"/>
      <w:type w:val="nextPage"/>
      <w:pgSz w:orient="landscape" w:w="16838" w:h="11906"/>
      <w:pgMar w:left="1560" w:right="899" w:header="709" w:top="1418" w:footer="0" w:bottom="56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Calibri Light">
    <w:charset w:val="cc"/>
    <w:family w:val="swiss"/>
    <w:pitch w:val="variable"/>
  </w:font>
  <w:font w:name="Arial">
    <w:charset w:val="cc"/>
    <w:family w:val="swiss"/>
    <w:pitch w:val="variable"/>
  </w:font>
  <w:font w:name="Courier New">
    <w:charset w:val="cc"/>
    <w:family w:val="modern"/>
    <w:pitch w:val="default"/>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2</w:t>
    </w:r>
    <w: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8</w:t>
    </w:r>
    <w:r>
      <w:fldChar w:fldCharType="end"/>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23</w:t>
    </w:r>
    <w:r>
      <w:fldChar w:fldCharType="end"/>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0</w:t>
    </w:r>
    <w:r>
      <w:fldChar w:fldCharType="end"/>
    </w:r>
  </w:p>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440" w:hanging="360"/>
      </w:pPr>
      <w:rPr>
        <w:sz w:val="28"/>
        <w:szCs w:val="28"/>
        <w:lang w:val="uk-UA"/>
      </w:rPr>
    </w:lvl>
  </w:abstractNum>
  <w:abstractNum w:abstractNumId="3">
    <w:lvl w:ilvl="0">
      <w:start w:val="1"/>
      <w:numFmt w:val="decimal"/>
      <w:lvlText w:val="%1."/>
      <w:lvlJc w:val="left"/>
      <w:pPr>
        <w:ind w:left="360" w:hanging="360"/>
      </w:pPr>
      <w:rPr/>
    </w:lvl>
  </w:abstractNum>
  <w:abstractNum w:abstractNumId="4">
    <w:lvl w:ilvl="0">
      <w:start w:val="1"/>
      <w:numFmt w:val="decimal"/>
      <w:lvlText w:val="%1."/>
      <w:lvlJc w:val="left"/>
      <w:pPr>
        <w:ind w:left="360" w:hanging="360"/>
      </w:pPr>
      <w:rPr/>
    </w:lvl>
  </w:abstractNum>
  <w:abstractNum w:abstractNumId="5">
    <w:lvl w:ilvl="0">
      <w:start w:val="1"/>
      <w:numFmt w:val="decimal"/>
      <w:lvlText w:val="%1."/>
      <w:lvlJc w:val="left"/>
      <w:pPr>
        <w:ind w:left="1440" w:hanging="360"/>
      </w:pPr>
      <w:rPr>
        <w:sz w:val="28"/>
        <w:szCs w:val="28"/>
        <w:lang w:val="uk-UA"/>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6"/>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1z0">
    <w:name w:val="WW8Num1z0"/>
    <w:qFormat/>
    <w:rPr>
      <w:sz w:val="28"/>
      <w:szCs w:val="28"/>
      <w:lang w:val="uk-UA"/>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Style10">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1">
    <w:name w:val="Верхний колонтитул Знак"/>
    <w:qFormat/>
    <w:rPr>
      <w:rFonts w:ascii="Times New Roman" w:hAnsi="Times New Roman" w:cs="Times New Roman"/>
      <w:lang w:val="ru-RU"/>
    </w:rPr>
  </w:style>
  <w:style w:type="character" w:styleId="Style12">
    <w:name w:val="Нижний колонтитул Знак"/>
    <w:qFormat/>
    <w:rPr>
      <w:rFonts w:ascii="Times New Roman" w:hAnsi="Times New Roman" w:cs="Times New Roman"/>
      <w:lang w:val="ru-RU"/>
    </w:rPr>
  </w:style>
  <w:style w:type="character" w:styleId="PageNumber">
    <w:name w:val="Page Number"/>
    <w:basedOn w:val="Style10"/>
    <w:rPr/>
  </w:style>
  <w:style w:type="character" w:styleId="2">
    <w:name w:val="Заголовок 2 Знак"/>
    <w:qFormat/>
    <w:rPr>
      <w:rFonts w:ascii="Calibri Light" w:hAnsi="Calibri Light" w:eastAsia="Times New Roman" w:cs="Times New Roman"/>
      <w:b/>
      <w:bCs/>
      <w:i/>
      <w:iCs/>
      <w:sz w:val="28"/>
      <w:szCs w:val="28"/>
      <w:lang w:val="ru-RU"/>
    </w:rPr>
  </w:style>
  <w:style w:type="character" w:styleId="Cs7864ebcf1">
    <w:name w:val="cs7864ebcf1"/>
    <w:qFormat/>
    <w:rPr>
      <w:rFonts w:ascii="Times New Roman" w:hAnsi="Times New Roman" w:cs="Times New Roman"/>
      <w:b/>
      <w:bCs/>
      <w:i w:val="false"/>
      <w:iCs w:val="false"/>
      <w:color w:val="000000"/>
      <w:sz w:val="26"/>
      <w:szCs w:val="26"/>
    </w:rPr>
  </w:style>
  <w:style w:type="character" w:styleId="InternetLink">
    <w:name w:val="Internet Link"/>
    <w:rPr>
      <w:color w:val="0000FF"/>
      <w:u w:val="single"/>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1"/>
      <w:szCs w:val="21"/>
    </w:rPr>
  </w:style>
  <w:style w:type="paragraph" w:styleId="32">
    <w:name w:val="Основной текст с отступом 3"/>
    <w:basedOn w:val="Normal"/>
    <w:qFormat/>
    <w:pPr>
      <w:spacing w:before="0" w:after="120"/>
      <w:ind w:left="283" w:hanging="0"/>
    </w:pPr>
    <w:rPr>
      <w:sz w:val="16"/>
      <w:szCs w:val="16"/>
    </w:rPr>
  </w:style>
  <w:style w:type="paragraph" w:styleId="Header">
    <w:name w:val="Header"/>
    <w:basedOn w:val="Normal"/>
    <w:pPr>
      <w:tabs>
        <w:tab w:val="center" w:pos="4819" w:leader="none"/>
        <w:tab w:val="right" w:pos="9639" w:leader="none"/>
      </w:tabs>
    </w:pPr>
    <w:rPr/>
  </w:style>
  <w:style w:type="paragraph" w:styleId="Footer">
    <w:name w:val="Footer"/>
    <w:basedOn w:val="Normal"/>
    <w:pPr>
      <w:tabs>
        <w:tab w:val="center" w:pos="4819" w:leader="none"/>
        <w:tab w:val="right" w:pos="9639" w:leader="none"/>
      </w:tabs>
    </w:pPr>
    <w:rPr/>
  </w:style>
  <w:style w:type="paragraph" w:styleId="Style13">
    <w:name w:val="Абзац списка"/>
    <w:basedOn w:val="Normal"/>
    <w:qFormat/>
    <w:pPr>
      <w:ind w:left="708" w:hanging="0"/>
    </w:pPr>
    <w:rPr/>
  </w:style>
  <w:style w:type="paragraph" w:styleId="Normal1">
    <w:name w:val="LO-Normal"/>
    <w:basedOn w:val="Normal"/>
    <w:qFormat/>
    <w:pPr/>
    <w:rPr>
      <w:rFonts w:eastAsia="Times New Roman"/>
      <w:sz w:val="24"/>
      <w:szCs w:val="24"/>
      <w:lang w:val="uk-UA"/>
    </w:rPr>
  </w:style>
  <w:style w:type="paragraph" w:styleId="11">
    <w:name w:val="Обычный1"/>
    <w:basedOn w:val="Normal"/>
    <w:qFormat/>
    <w:pPr/>
    <w:rPr>
      <w:rFonts w:eastAsia="Times New Roman"/>
      <w:sz w:val="24"/>
      <w:szCs w:val="24"/>
      <w:lang w:val="uk-U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yperlink" Target="https://www.whocc.no/atc_ddd_index/" TargetMode="Externa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yperlink" Target="https://www.whocc.no/atc_ddd_index/" TargetMode="Externa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yperlink" Target="https://www.whocc.no/atc_ddd_index/" TargetMode="Externa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2026-08-03T11:08:00Z</dcterms:created>
  <dc:creator>Valentina</dc:creator>
  <dc:description/>
  <dc:language>ru-RU</dc:language>
  <cp:lastModifiedBy>Кунцевич Олена Іванівна</cp:lastModifiedBy>
  <cp:lastPrinted>2025-05-20T11:44:00Z</cp:lastPrinted>
  <dcterms:modified xsi:type="dcterms:W3CDTF">2026-08-03T11:15:00Z</dcterms:modified>
  <cp:revision>9</cp:revision>
  <dc:subject/>
  <dc:title> </dc:title>
</cp:coreProperties>
</file>