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rPr>
      </w:pPr>
      <w:r>
        <w:rPr>
          <w:lang w:val="en-US" w:eastAsia="en-US"/>
        </w:rPr>
        <w:drawing>
          <wp:inline distT="0" distB="0" distL="0" distR="0">
            <wp:extent cx="389255" cy="58674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69" t="-49" r="-69" b="-49"/>
                    <a:stretch>
                      <a:fillRect/>
                    </a:stretch>
                  </pic:blipFill>
                  <pic:spPr bwMode="auto">
                    <a:xfrm>
                      <a:off x="0" y="0"/>
                      <a:ext cx="389255" cy="586740"/>
                    </a:xfrm>
                    <a:prstGeom prst="rect">
                      <a:avLst/>
                    </a:prstGeom>
                    <a:noFill/>
                  </pic:spPr>
                </pic:pic>
              </a:graphicData>
            </a:graphic>
          </wp:inline>
        </w:drawing>
      </w:r>
    </w:p>
    <w:p>
      <w:pPr>
        <w:pStyle w:val="Normal"/>
        <w:jc w:val="center"/>
        <w:rPr>
          <w:b/>
          <w:sz w:val="16"/>
          <w:szCs w:val="16"/>
        </w:rPr>
      </w:pPr>
      <w:r>
        <w:rPr>
          <w:b/>
          <w:sz w:val="16"/>
          <w:szCs w:val="16"/>
        </w:rPr>
      </w:r>
    </w:p>
    <w:p>
      <w:pPr>
        <w:pStyle w:val="Heading1"/>
        <w:ind w:hanging="0" w:left="0"/>
        <w:jc w:val="center"/>
        <w:rPr>
          <w:rFonts w:eastAsia="Calibri"/>
          <w:sz w:val="28"/>
          <w:szCs w:val="28"/>
        </w:rPr>
      </w:pPr>
      <w:r>
        <w:rPr>
          <w:rFonts w:eastAsia="Calibri"/>
          <w:sz w:val="28"/>
          <w:szCs w:val="28"/>
        </w:rPr>
        <w:t>МІНІСТЕРСТВО ОХОРОНИ ЗДОРОВ’Я УКРАЇНИ</w:t>
      </w:r>
    </w:p>
    <w:p>
      <w:pPr>
        <w:pStyle w:val="Normal"/>
        <w:jc w:val="center"/>
        <w:rPr>
          <w:rFonts w:eastAsia="Calibri"/>
          <w:b/>
          <w:sz w:val="16"/>
          <w:szCs w:val="16"/>
        </w:rPr>
      </w:pPr>
      <w:r>
        <w:rPr>
          <w:rFonts w:eastAsia="Calibri"/>
          <w:b/>
          <w:sz w:val="16"/>
          <w:szCs w:val="16"/>
        </w:rPr>
      </w:r>
    </w:p>
    <w:p>
      <w:pPr>
        <w:pStyle w:val="Heading3"/>
        <w:spacing w:before="0" w:after="0"/>
        <w:ind w:hanging="0" w:left="0"/>
        <w:jc w:val="center"/>
        <w:rPr>
          <w:rFonts w:ascii="Times New Roman" w:hAnsi="Times New Roman" w:eastAsia="Calibri" w:cs="Times New Roman"/>
          <w:sz w:val="30"/>
          <w:szCs w:val="30"/>
        </w:rPr>
      </w:pPr>
      <w:r>
        <w:rPr>
          <w:rFonts w:eastAsia="Calibri" w:cs="Times New Roman" w:ascii="Times New Roman" w:hAnsi="Times New Roman"/>
          <w:sz w:val="30"/>
          <w:szCs w:val="30"/>
        </w:rPr>
        <w:t>Н А К А З</w:t>
      </w:r>
    </w:p>
    <w:p>
      <w:pPr>
        <w:pStyle w:val="Normal"/>
        <w:jc w:val="center"/>
        <w:rPr>
          <w:sz w:val="24"/>
          <w:szCs w:val="24"/>
          <w:lang w:val="uk-UA"/>
        </w:rPr>
      </w:pPr>
      <w:r>
        <w:rPr>
          <w:sz w:val="24"/>
          <w:szCs w:val="24"/>
        </w:rPr>
        <w:t>Київ</w:t>
      </w:r>
    </w:p>
    <w:p>
      <w:pPr>
        <w:pStyle w:val="Normal"/>
        <w:ind w:firstLine="851" w:left="-851" w:right="-766"/>
        <w:jc w:val="both"/>
        <w:rPr>
          <w:sz w:val="28"/>
          <w:szCs w:val="28"/>
          <w:lang w:val="uk-UA"/>
        </w:rPr>
      </w:pPr>
      <w:r>
        <w:rPr>
          <w:sz w:val="28"/>
          <w:szCs w:val="28"/>
          <w:lang w:val="uk-UA"/>
        </w:rPr>
        <w:t>28 жовтня 2026 року                                                                                             № 1670</w:t>
      </w:r>
    </w:p>
    <w:p>
      <w:pPr>
        <w:pStyle w:val="Normal"/>
        <w:ind w:firstLine="851" w:left="-851" w:right="-766"/>
        <w:jc w:val="both"/>
        <w:rPr>
          <w:sz w:val="28"/>
          <w:szCs w:val="28"/>
          <w:lang w:val="uk-UA"/>
        </w:rPr>
      </w:pPr>
      <w:r>
        <w:rPr>
          <w:sz w:val="28"/>
          <w:szCs w:val="28"/>
          <w:lang w:val="uk-UA"/>
        </w:rPr>
      </w:r>
    </w:p>
    <w:p>
      <w:pPr>
        <w:pStyle w:val="HTML1"/>
        <w:jc w:val="both"/>
        <w:rPr/>
      </w:pPr>
      <w:r>
        <w:rPr>
          <w:rFonts w:cs="Times New Roman" w:ascii="Times New Roman" w:hAnsi="Times New Roman"/>
          <w:b/>
          <w:color w:val="000000"/>
          <w:sz w:val="28"/>
          <w:szCs w:val="28"/>
          <w:lang w:val="uk-UA"/>
        </w:rPr>
        <w:t>Про державну реєстрацію лікарського засобу, який закуповується особою, уповноваженою на здійснення закупівель у сфері охорони здоров’я, та подається на реєстрацію після визначення переможця закупівлі</w:t>
      </w:r>
    </w:p>
    <w:p>
      <w:pPr>
        <w:pStyle w:val="HTML1"/>
        <w:ind w:firstLine="720" w:right="0"/>
        <w:jc w:val="both"/>
        <w:rPr>
          <w:rFonts w:ascii="Times New Roman" w:hAnsi="Times New Roman" w:cs="Times New Roman"/>
          <w:b/>
          <w:color w:val="000000"/>
          <w:sz w:val="28"/>
          <w:szCs w:val="28"/>
          <w:lang w:val="uk-UA"/>
        </w:rPr>
      </w:pPr>
      <w:r>
        <w:rPr>
          <w:rFonts w:cs="Times New Roman" w:ascii="Times New Roman" w:hAnsi="Times New Roman"/>
          <w:b/>
          <w:color w:val="000000"/>
          <w:sz w:val="28"/>
          <w:szCs w:val="28"/>
          <w:lang w:val="uk-UA"/>
        </w:rPr>
      </w:r>
    </w:p>
    <w:p>
      <w:pPr>
        <w:pStyle w:val="HTML1"/>
        <w:ind w:firstLine="720" w:right="0"/>
        <w:jc w:val="both"/>
        <w:rPr>
          <w:rFonts w:ascii="Times New Roman" w:hAnsi="Times New Roman" w:cs="Times New Roman"/>
          <w:sz w:val="28"/>
          <w:szCs w:val="28"/>
          <w:lang w:val="uk-UA"/>
        </w:rPr>
      </w:pPr>
      <w:r>
        <w:rPr>
          <w:rFonts w:cs="Times New Roman" w:ascii="Times New Roman" w:hAnsi="Times New Roman"/>
          <w:sz w:val="28"/>
          <w:szCs w:val="28"/>
          <w:lang w:val="uk-UA"/>
        </w:rPr>
        <w:t>Відповідно до частини дванадцятої статті 9</w:t>
      </w:r>
      <w:r>
        <w:rPr>
          <w:rFonts w:cs="Times New Roman" w:ascii="Times New Roman" w:hAnsi="Times New Roman"/>
          <w:sz w:val="28"/>
          <w:szCs w:val="28"/>
          <w:vertAlign w:val="superscript"/>
          <w:lang w:val="uk-UA"/>
        </w:rPr>
        <w:t>1</w:t>
      </w:r>
      <w:r>
        <w:rPr>
          <w:rFonts w:cs="Times New Roman" w:ascii="Times New Roman" w:hAnsi="Times New Roman"/>
          <w:sz w:val="28"/>
          <w:szCs w:val="28"/>
          <w:lang w:val="uk-UA"/>
        </w:rPr>
        <w:t xml:space="preserve"> Закону України «Про лікарські засоби», абзацу двадцять п’ятого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пункту 4 розділу І та підпункту 1 пункту 2 розділу ІІІ Порядку проведення перевірки реєстраційних матеріалів на їх автентичність на лікарський засіб, який подається на державну реєстрацію з метою його закупівлі особою, уповноваженою на здійснення закупівель у сфері охорони здоров'я, або спеціалізованою організацією, затвердженого наказом Міністерства охорони здоров'я України від 15 червня 2020 року № 1391, зареєстрованого в Міністерстві юстиції України     14 липня 2020 року за № 659/34942, на підставі результатів перевірки реєстраційних матеріалів на їх автентичність, доданих до заяви про державну реєстрацію лікарського засобу, який закуповується особою, уповноваженою на здійснення закупівель у сфері охорони здоров’я, або лікарського засобу, який підлягає закупівлі спеціалізованою організацією, від 17 вересня 2026 року         № 24806, проведених державним підприємством «Державний експертний центр Міністерства охорони здоров’я України», висновку за результатами перевірки реєстраційних матеріалів на їх автентичність на лікарський засіб, який подається на державну реєстрацію з метою його закупівлі особою, уповноваженою на здійснення закупівель у сфері охорони здоров'я, або спеціалізованою організацією, від 19 жовтня 2026 року, що надійшов до Міністерства охорони здоров'я України листом державного підприємства «Державний експертний центр Міністерства охорони здоров’я України» від 20 жовтня 2026 року              № 4487/22.2-26,</w:t>
      </w:r>
    </w:p>
    <w:p>
      <w:pPr>
        <w:pStyle w:val="32"/>
        <w:spacing w:before="0" w:after="0"/>
        <w:ind w:left="0" w:right="0"/>
        <w:rPr>
          <w:rFonts w:ascii="Times New Roman" w:hAnsi="Times New Roman" w:cs="Times New Roman"/>
          <w:b/>
          <w:bCs/>
          <w:sz w:val="28"/>
          <w:szCs w:val="28"/>
          <w:lang w:val="uk-UA"/>
        </w:rPr>
      </w:pPr>
      <w:r>
        <w:rPr>
          <w:rFonts w:cs="Times New Roman"/>
          <w:b/>
          <w:bCs/>
          <w:sz w:val="28"/>
          <w:szCs w:val="28"/>
          <w:lang w:val="uk-UA"/>
        </w:rPr>
      </w:r>
    </w:p>
    <w:p>
      <w:pPr>
        <w:pStyle w:val="32"/>
        <w:spacing w:before="0" w:after="0"/>
        <w:ind w:left="0" w:right="0"/>
        <w:rPr>
          <w:b/>
          <w:bCs/>
          <w:sz w:val="28"/>
          <w:szCs w:val="28"/>
          <w:lang w:val="uk-UA"/>
        </w:rPr>
      </w:pPr>
      <w:r>
        <w:rPr>
          <w:b/>
          <w:bCs/>
          <w:sz w:val="28"/>
          <w:szCs w:val="28"/>
          <w:lang w:val="uk-UA"/>
        </w:rPr>
        <w:t>НАКАЗУЮ:</w:t>
      </w:r>
    </w:p>
    <w:p>
      <w:pPr>
        <w:pStyle w:val="32"/>
        <w:spacing w:before="0" w:after="0"/>
        <w:ind w:left="0" w:right="0"/>
        <w:rPr>
          <w:b/>
          <w:bCs/>
          <w:sz w:val="28"/>
          <w:szCs w:val="28"/>
          <w:lang w:val="uk-UA"/>
        </w:rPr>
      </w:pPr>
      <w:r>
        <w:rPr>
          <w:b/>
          <w:bCs/>
          <w:sz w:val="28"/>
          <w:szCs w:val="28"/>
          <w:lang w:val="uk-UA"/>
        </w:rPr>
      </w:r>
    </w:p>
    <w:p>
      <w:pPr>
        <w:pStyle w:val="Normal"/>
        <w:numPr>
          <w:ilvl w:val="0"/>
          <w:numId w:val="2"/>
        </w:numPr>
        <w:tabs>
          <w:tab w:val="clear" w:pos="708"/>
          <w:tab w:val="left" w:pos="851" w:leader="none"/>
        </w:tabs>
        <w:ind w:firstLine="567" w:left="0" w:right="0"/>
        <w:jc w:val="both"/>
        <w:rPr>
          <w:sz w:val="28"/>
          <w:szCs w:val="28"/>
          <w:lang w:val="uk-UA"/>
        </w:rPr>
      </w:pPr>
      <w:r>
        <w:rPr>
          <w:sz w:val="28"/>
          <w:szCs w:val="28"/>
          <w:lang w:val="uk-UA"/>
        </w:rPr>
        <w:t xml:space="preserve">Зареєструвати </w:t>
      </w:r>
      <w:r>
        <w:rPr>
          <w:sz w:val="28"/>
          <w:szCs w:val="28"/>
          <w:lang w:val="uk-UA" w:eastAsia="en-US"/>
        </w:rPr>
        <w:t xml:space="preserve">лікарський засіб, який закуповується особою, уповноваженою на здійснення закупівель у сфері охорони здоров’я, та подається на державну реєстрацію після визначення переможця процедури закупівлі, </w:t>
      </w:r>
      <w:r>
        <w:rPr>
          <w:sz w:val="28"/>
          <w:szCs w:val="28"/>
          <w:lang w:val="uk-UA"/>
        </w:rPr>
        <w:t>та внести до Державного реєстру лікарських засобів згідно з додатком.</w:t>
      </w:r>
    </w:p>
    <w:p>
      <w:pPr>
        <w:pStyle w:val="Normal"/>
        <w:tabs>
          <w:tab w:val="clear" w:pos="708"/>
          <w:tab w:val="left" w:pos="851" w:leader="none"/>
        </w:tabs>
        <w:ind w:left="567" w:right="0"/>
        <w:jc w:val="both"/>
        <w:rPr>
          <w:sz w:val="28"/>
          <w:szCs w:val="28"/>
          <w:lang w:val="uk-UA"/>
        </w:rPr>
      </w:pPr>
      <w:r>
        <w:rPr>
          <w:sz w:val="28"/>
          <w:szCs w:val="28"/>
          <w:lang w:val="uk-UA"/>
        </w:rPr>
      </w:r>
    </w:p>
    <w:p>
      <w:pPr>
        <w:pStyle w:val="Normal"/>
        <w:numPr>
          <w:ilvl w:val="0"/>
          <w:numId w:val="2"/>
        </w:numPr>
        <w:tabs>
          <w:tab w:val="clear" w:pos="708"/>
          <w:tab w:val="left" w:pos="720" w:leader="none"/>
          <w:tab w:val="left" w:pos="851" w:leader="none"/>
          <w:tab w:val="left" w:pos="993" w:leader="none"/>
        </w:tabs>
        <w:ind w:firstLine="567" w:left="0" w:right="0"/>
        <w:jc w:val="both"/>
        <w:rPr>
          <w:sz w:val="28"/>
          <w:szCs w:val="28"/>
          <w:lang w:val="uk-UA"/>
        </w:rPr>
      </w:pPr>
      <w:r>
        <w:rPr>
          <w:rFonts w:eastAsia="Times New Roman"/>
          <w:sz w:val="28"/>
          <w:szCs w:val="28"/>
          <w:lang w:val="uk-UA"/>
        </w:rPr>
        <w:t xml:space="preserve"> </w:t>
      </w:r>
      <w:r>
        <w:rPr>
          <w:sz w:val="28"/>
          <w:szCs w:val="28"/>
          <w:lang w:val="uk-UA"/>
        </w:rPr>
        <w:t>Фармацевтичному управлінню (Олександру Гріценку) забезпечити оприлюднення цього наказу на офіційному вебсайті Міністерства охорони здоров’я України.</w:t>
      </w:r>
    </w:p>
    <w:p>
      <w:pPr>
        <w:pStyle w:val="Normal"/>
        <w:tabs>
          <w:tab w:val="clear" w:pos="708"/>
          <w:tab w:val="left" w:pos="851" w:leader="none"/>
        </w:tabs>
        <w:ind w:firstLine="567" w:right="0"/>
        <w:jc w:val="both"/>
        <w:rPr>
          <w:sz w:val="28"/>
          <w:szCs w:val="28"/>
          <w:lang w:val="uk-UA"/>
        </w:rPr>
      </w:pPr>
      <w:r>
        <w:rPr>
          <w:sz w:val="28"/>
          <w:szCs w:val="28"/>
          <w:lang w:val="uk-UA"/>
        </w:rPr>
      </w:r>
    </w:p>
    <w:p>
      <w:pPr>
        <w:pStyle w:val="32"/>
        <w:numPr>
          <w:ilvl w:val="0"/>
          <w:numId w:val="2"/>
        </w:numPr>
        <w:tabs>
          <w:tab w:val="clear" w:pos="708"/>
          <w:tab w:val="left" w:pos="0" w:leader="none"/>
          <w:tab w:val="left" w:pos="851" w:leader="none"/>
        </w:tabs>
        <w:spacing w:before="0" w:after="0"/>
        <w:ind w:firstLine="567" w:left="0" w:right="0"/>
        <w:jc w:val="both"/>
        <w:rPr>
          <w:sz w:val="28"/>
          <w:szCs w:val="28"/>
          <w:lang w:val="uk-UA"/>
        </w:rPr>
      </w:pPr>
      <w:r>
        <w:rPr>
          <w:sz w:val="28"/>
          <w:szCs w:val="28"/>
          <w:lang w:val="uk-UA"/>
        </w:rPr>
        <w:t>Контроль за виконанням цього наказу покласти на заступника Міністра Євгенія Гончара.</w:t>
      </w:r>
    </w:p>
    <w:p>
      <w:pPr>
        <w:pStyle w:val="32"/>
        <w:tabs>
          <w:tab w:val="clear" w:pos="708"/>
          <w:tab w:val="left" w:pos="0" w:leader="none"/>
          <w:tab w:val="left" w:pos="851" w:leader="none"/>
        </w:tabs>
        <w:spacing w:before="0" w:after="0"/>
        <w:ind w:firstLine="567" w:left="0" w:right="0"/>
        <w:rPr>
          <w:sz w:val="28"/>
          <w:szCs w:val="28"/>
          <w:lang w:val="uk-UA"/>
        </w:rPr>
      </w:pPr>
      <w:r>
        <w:rPr>
          <w:sz w:val="28"/>
          <w:szCs w:val="28"/>
          <w:lang w:val="uk-UA"/>
        </w:rPr>
      </w:r>
    </w:p>
    <w:p>
      <w:pPr>
        <w:pStyle w:val="32"/>
        <w:tabs>
          <w:tab w:val="clear" w:pos="708"/>
          <w:tab w:val="left" w:pos="0" w:leader="none"/>
          <w:tab w:val="left" w:pos="1134" w:leader="none"/>
        </w:tabs>
        <w:spacing w:before="0" w:after="0"/>
        <w:ind w:left="709" w:right="0"/>
        <w:rPr>
          <w:sz w:val="28"/>
          <w:szCs w:val="28"/>
          <w:lang w:val="uk-UA"/>
        </w:rPr>
      </w:pPr>
      <w:r>
        <w:rPr>
          <w:sz w:val="28"/>
          <w:szCs w:val="28"/>
          <w:lang w:val="uk-UA"/>
        </w:rPr>
      </w:r>
    </w:p>
    <w:p>
      <w:pPr>
        <w:pStyle w:val="32"/>
        <w:tabs>
          <w:tab w:val="clear" w:pos="708"/>
          <w:tab w:val="left" w:pos="0" w:leader="none"/>
          <w:tab w:val="left" w:pos="1134" w:leader="none"/>
        </w:tabs>
        <w:spacing w:before="0" w:after="0"/>
        <w:ind w:left="709" w:right="0"/>
        <w:rPr>
          <w:sz w:val="28"/>
          <w:szCs w:val="28"/>
          <w:lang w:val="uk-UA"/>
        </w:rPr>
      </w:pPr>
      <w:r>
        <w:rPr>
          <w:sz w:val="28"/>
          <w:szCs w:val="28"/>
          <w:lang w:val="uk-UA"/>
        </w:rPr>
      </w:r>
    </w:p>
    <w:p>
      <w:pPr>
        <w:sectPr>
          <w:headerReference w:type="default" r:id="rId3"/>
          <w:headerReference w:type="first" r:id="rId4"/>
          <w:type w:val="nextPage"/>
          <w:pgSz w:w="11906" w:h="16838"/>
          <w:pgMar w:left="1560" w:right="567" w:gutter="0" w:header="709" w:top="765" w:footer="0" w:bottom="1560"/>
          <w:pgNumType w:fmt="decimal"/>
          <w:formProt w:val="false"/>
          <w:titlePg/>
          <w:textDirection w:val="lrTb"/>
          <w:docGrid w:type="default" w:linePitch="360" w:charSpace="0"/>
        </w:sectPr>
        <w:pStyle w:val="Normal"/>
        <w:rPr>
          <w:b/>
          <w:sz w:val="28"/>
          <w:szCs w:val="28"/>
          <w:lang w:val="uk-UA"/>
        </w:rPr>
      </w:pPr>
      <w:r>
        <w:rPr>
          <w:b/>
          <w:sz w:val="28"/>
          <w:szCs w:val="28"/>
          <w:lang w:val="uk-UA"/>
        </w:rPr>
        <w:t xml:space="preserve">Міністр                                                                                             </w:t>
      </w:r>
      <w:bookmarkStart w:id="0" w:name="n4"/>
      <w:bookmarkEnd w:id="0"/>
      <w:r>
        <w:rPr>
          <w:b/>
          <w:sz w:val="28"/>
          <w:szCs w:val="28"/>
          <w:lang w:val="uk-UA"/>
        </w:rPr>
        <w:t>Віктор ЛЯШКО</w:t>
      </w:r>
    </w:p>
    <w:tbl>
      <w:tblPr>
        <w:tblW w:w="3906" w:type="dxa"/>
        <w:jc w:val="left"/>
        <w:tblInd w:w="11448" w:type="dxa"/>
        <w:tblLayout w:type="fixed"/>
        <w:tblCellMar>
          <w:top w:w="0" w:type="dxa"/>
          <w:left w:w="108" w:type="dxa"/>
          <w:bottom w:w="0" w:type="dxa"/>
          <w:right w:w="108" w:type="dxa"/>
        </w:tblCellMar>
      </w:tblPr>
      <w:tblGrid>
        <w:gridCol w:w="3906"/>
      </w:tblGrid>
      <w:tr>
        <w:trPr/>
        <w:tc>
          <w:tcPr>
            <w:tcW w:w="3906" w:type="dxa"/>
            <w:tcBorders/>
          </w:tcPr>
          <w:p>
            <w:pPr>
              <w:pStyle w:val="Heading4"/>
              <w:tabs>
                <w:tab w:val="clear" w:pos="708"/>
                <w:tab w:val="left" w:pos="12600" w:leader="none"/>
              </w:tabs>
              <w:spacing w:before="0" w:after="0"/>
              <w:ind w:hanging="0" w:left="0"/>
              <w:rPr>
                <w:sz w:val="18"/>
                <w:szCs w:val="18"/>
                <w:lang w:val="uk-UA"/>
              </w:rPr>
            </w:pPr>
            <w:r>
              <w:rPr>
                <w:sz w:val="18"/>
                <w:szCs w:val="18"/>
                <w:lang w:val="uk-UA"/>
              </w:rPr>
              <w:t xml:space="preserve">Додаток </w:t>
            </w:r>
          </w:p>
          <w:p>
            <w:pPr>
              <w:pStyle w:val="Heading4"/>
              <w:tabs>
                <w:tab w:val="clear" w:pos="708"/>
                <w:tab w:val="left" w:pos="12600" w:leader="none"/>
              </w:tabs>
              <w:spacing w:before="0" w:after="0"/>
              <w:ind w:hanging="0" w:left="0"/>
              <w:rPr>
                <w:sz w:val="18"/>
                <w:szCs w:val="18"/>
                <w:lang w:val="uk-UA"/>
              </w:rPr>
            </w:pPr>
            <w:r>
              <w:rPr>
                <w:sz w:val="18"/>
                <w:szCs w:val="18"/>
                <w:lang w:val="uk-UA"/>
              </w:rPr>
              <w:t>до наказу Міністерства охорони</w:t>
            </w:r>
          </w:p>
          <w:p>
            <w:pPr>
              <w:pStyle w:val="Heading4"/>
              <w:tabs>
                <w:tab w:val="clear" w:pos="708"/>
                <w:tab w:val="left" w:pos="12600" w:leader="none"/>
              </w:tabs>
              <w:spacing w:before="0" w:after="0"/>
              <w:ind w:hanging="0" w:left="0"/>
              <w:rPr>
                <w:sz w:val="18"/>
                <w:szCs w:val="18"/>
                <w:lang w:val="uk-UA"/>
              </w:rPr>
            </w:pPr>
            <w:r>
              <w:rPr>
                <w:sz w:val="18"/>
                <w:szCs w:val="18"/>
                <w:lang w:val="uk-UA"/>
              </w:rPr>
              <w:t>здоров’я України «Про державну реєстрацію лікарського засобу, який закуповується особою, уповноваженою на здійснення закупівель у сфері охорони здоров’я, та подається на реєстрацію після визначення переможця закупівлі»</w:t>
            </w:r>
          </w:p>
          <w:p>
            <w:pPr>
              <w:pStyle w:val="Heading4"/>
              <w:tabs>
                <w:tab w:val="clear" w:pos="708"/>
                <w:tab w:val="left" w:pos="12600" w:leader="none"/>
              </w:tabs>
              <w:spacing w:before="0" w:after="0"/>
              <w:ind w:hanging="0" w:left="0"/>
              <w:rPr>
                <w:rFonts w:cs="Arial"/>
                <w:sz w:val="18"/>
                <w:szCs w:val="18"/>
                <w:u w:val="single"/>
              </w:rPr>
            </w:pPr>
            <w:r>
              <w:rPr>
                <w:bCs w:val="false"/>
                <w:iCs/>
                <w:sz w:val="18"/>
                <w:szCs w:val="18"/>
                <w:u w:val="single"/>
              </w:rPr>
              <w:t xml:space="preserve">від 28 жовтня 2026 року  № 1670 </w:t>
            </w:r>
          </w:p>
        </w:tc>
      </w:tr>
    </w:tbl>
    <w:p>
      <w:pPr>
        <w:pStyle w:val="Heading4"/>
        <w:tabs>
          <w:tab w:val="clear" w:pos="708"/>
          <w:tab w:val="left" w:pos="12600" w:leader="none"/>
        </w:tabs>
        <w:spacing w:before="0" w:after="0"/>
        <w:ind w:hanging="0" w:left="0"/>
        <w:jc w:val="center"/>
        <w:rPr/>
      </w:pPr>
      <w:r>
        <w:rPr/>
      </w:r>
    </w:p>
    <w:p>
      <w:pPr>
        <w:pStyle w:val="Heading4"/>
        <w:tabs>
          <w:tab w:val="clear" w:pos="708"/>
          <w:tab w:val="left" w:pos="12600" w:leader="none"/>
        </w:tabs>
        <w:spacing w:before="0" w:after="0"/>
        <w:ind w:hanging="0" w:left="0"/>
        <w:jc w:val="center"/>
        <w:rPr>
          <w:caps/>
        </w:rPr>
      </w:pPr>
      <w:r>
        <w:rPr/>
        <w:t>ПЕРЕЛІК</w:t>
      </w:r>
    </w:p>
    <w:p>
      <w:pPr>
        <w:pStyle w:val="Heading4"/>
        <w:tabs>
          <w:tab w:val="clear" w:pos="708"/>
          <w:tab w:val="left" w:pos="12600" w:leader="none"/>
        </w:tabs>
        <w:spacing w:before="0" w:after="0"/>
        <w:ind w:hanging="0" w:left="0"/>
        <w:jc w:val="center"/>
        <w:rPr>
          <w:caps/>
        </w:rPr>
      </w:pPr>
      <w:r>
        <w:rPr>
          <w:caps/>
        </w:rPr>
        <w:t>зареєстрованих ЛІКАРСЬКИХ ЗАСОБІВ, які вносяться до державного реєстру лікарських засобів З МЕТОЮ ЇХ закупівлі особою, уповноваженою на здійснення закупівель у сфері охорони здоров'я, ТА були ПОДАні НА ДЕРЖАВНУ РЕЄСТРАЦІЮ ПІСЛЯ ВИЗНАЧЕННЯ ПЕРЕМОЖЦЯ ПРОЦЕДУРИ ЗАКУПІВЛІ</w:t>
      </w:r>
    </w:p>
    <w:p>
      <w:pPr>
        <w:pStyle w:val="Normal1"/>
        <w:jc w:val="center"/>
        <w:rPr>
          <w:rFonts w:ascii="Arial" w:hAnsi="Arial" w:cs="Arial"/>
          <w:caps/>
          <w:sz w:val="16"/>
          <w:szCs w:val="16"/>
        </w:rPr>
      </w:pPr>
      <w:r>
        <w:rPr>
          <w:rFonts w:cs="Arial" w:ascii="Arial" w:hAnsi="Arial"/>
          <w:caps/>
          <w:sz w:val="16"/>
          <w:szCs w:val="16"/>
        </w:rPr>
      </w:r>
    </w:p>
    <w:tbl>
      <w:tblPr>
        <w:tblpPr w:vertAnchor="text" w:horzAnchor="text" w:leftFromText="181" w:rightFromText="181" w:tblpX="-373" w:tblpY="1"/>
        <w:tblOverlap w:val="never"/>
        <w:tblW w:w="16159" w:type="dxa"/>
        <w:jc w:val="left"/>
        <w:tblInd w:w="108" w:type="dxa"/>
        <w:tblLayout w:type="fixed"/>
        <w:tblCellMar>
          <w:top w:w="0" w:type="dxa"/>
          <w:left w:w="108" w:type="dxa"/>
          <w:bottom w:w="0" w:type="dxa"/>
          <w:right w:w="108" w:type="dxa"/>
        </w:tblCellMar>
      </w:tblPr>
      <w:tblGrid>
        <w:gridCol w:w="601"/>
        <w:gridCol w:w="1668"/>
        <w:gridCol w:w="851"/>
        <w:gridCol w:w="1276"/>
        <w:gridCol w:w="708"/>
        <w:gridCol w:w="2268"/>
        <w:gridCol w:w="993"/>
        <w:gridCol w:w="850"/>
        <w:gridCol w:w="1134"/>
        <w:gridCol w:w="850"/>
        <w:gridCol w:w="1559"/>
        <w:gridCol w:w="991"/>
        <w:gridCol w:w="992"/>
        <w:gridCol w:w="1418"/>
      </w:tblGrid>
      <w:tr>
        <w:trPr/>
        <w:tc>
          <w:tcPr>
            <w:tcW w:w="601"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668"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лікарського засобу</w:t>
            </w:r>
          </w:p>
        </w:tc>
        <w:tc>
          <w:tcPr>
            <w:tcW w:w="851"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Міжнародна непатентована назва*</w:t>
            </w:r>
          </w:p>
        </w:tc>
        <w:tc>
          <w:tcPr>
            <w:tcW w:w="1276"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діючої речовини</w:t>
            </w:r>
          </w:p>
        </w:tc>
        <w:tc>
          <w:tcPr>
            <w:tcW w:w="708"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Код АТХ</w:t>
            </w:r>
          </w:p>
        </w:tc>
        <w:tc>
          <w:tcPr>
            <w:tcW w:w="2268"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Форма випуску (лікарська форма, упаковка)</w:t>
            </w:r>
          </w:p>
        </w:tc>
        <w:tc>
          <w:tcPr>
            <w:tcW w:w="993"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w:t>
            </w:r>
          </w:p>
        </w:tc>
        <w:tc>
          <w:tcPr>
            <w:tcW w:w="1134"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w:t>
            </w:r>
          </w:p>
        </w:tc>
        <w:tc>
          <w:tcPr>
            <w:tcW w:w="1559"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Реєстраційна процедура</w:t>
            </w:r>
          </w:p>
        </w:tc>
        <w:tc>
          <w:tcPr>
            <w:tcW w:w="991"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Умови відпуску</w:t>
            </w:r>
          </w:p>
        </w:tc>
        <w:tc>
          <w:tcPr>
            <w:tcW w:w="992"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Рекламування</w:t>
            </w:r>
          </w:p>
        </w:tc>
        <w:tc>
          <w:tcPr>
            <w:tcW w:w="1418"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Номер реєстраційного посвідчення</w:t>
            </w:r>
          </w:p>
        </w:tc>
      </w:tr>
      <w:tr>
        <w:trPr/>
        <w:tc>
          <w:tcPr>
            <w:tcW w:w="601"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Arial" w:hAnsi="Arial" w:cs="Arial"/>
                <w:b/>
                <w:i/>
                <w:i/>
                <w:sz w:val="16"/>
                <w:szCs w:val="16"/>
                <w:lang w:eastAsia="en-US"/>
              </w:rPr>
            </w:pPr>
            <w:r>
              <w:rPr>
                <w:rFonts w:cs="Arial" w:ascii="Arial" w:hAnsi="Arial"/>
                <w:b/>
                <w:i/>
                <w:sz w:val="16"/>
                <w:szCs w:val="16"/>
                <w:lang w:eastAsia="en-US"/>
              </w:rPr>
            </w:r>
          </w:p>
        </w:tc>
        <w:tc>
          <w:tcPr>
            <w:tcW w:w="166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b/>
                <w:i/>
                <w:i/>
                <w:color w:val="000000"/>
                <w:sz w:val="16"/>
                <w:szCs w:val="16"/>
                <w:lang w:eastAsia="en-US"/>
              </w:rPr>
            </w:pPr>
            <w:r>
              <w:rPr>
                <w:rFonts w:cs="Arial" w:ascii="Arial" w:hAnsi="Arial"/>
                <w:b/>
                <w:i/>
                <w:color w:val="000000"/>
                <w:sz w:val="16"/>
                <w:szCs w:val="16"/>
                <w:lang w:eastAsia="en-US"/>
              </w:rPr>
            </w:r>
          </w:p>
        </w:tc>
        <w:tc>
          <w:tcPr>
            <w:tcW w:w="85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55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9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99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sz w:val="16"/>
                <w:szCs w:val="16"/>
              </w:rPr>
            </w:pPr>
            <w:r>
              <w:rPr>
                <w:rFonts w:cs="Arial" w:ascii="Arial" w:hAnsi="Arial"/>
                <w:sz w:val="16"/>
                <w:szCs w:val="16"/>
              </w:rPr>
            </w:r>
          </w:p>
        </w:tc>
      </w:tr>
      <w:tr>
        <w:trPr/>
        <w:tc>
          <w:tcPr>
            <w:tcW w:w="601"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sz w:val="16"/>
                <w:szCs w:val="16"/>
                <w:lang w:eastAsia="en-US"/>
              </w:rPr>
            </w:pPr>
            <w:r>
              <w:rPr>
                <w:rFonts w:cs="Arial" w:ascii="Arial" w:hAnsi="Arial"/>
                <w:b/>
                <w:sz w:val="16"/>
                <w:szCs w:val="16"/>
                <w:lang w:eastAsia="en-US"/>
              </w:rPr>
              <w:t>1.</w:t>
            </w:r>
          </w:p>
        </w:tc>
        <w:tc>
          <w:tcPr>
            <w:tcW w:w="166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НІЛОТИНІБ КАПСУЛИ 200 МГ</w:t>
            </w:r>
          </w:p>
        </w:tc>
        <w:tc>
          <w:tcPr>
            <w:tcW w:w="85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nilotinib</w:t>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нілотинібу гідрохлориду сесквігідрат</w:t>
            </w:r>
          </w:p>
        </w:tc>
        <w:tc>
          <w:tcPr>
            <w:tcW w:w="70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L01EA03</w:t>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200 мг по 28 капсул у блістері типу "гаманець", по одному блістеру типу "гаманець", вкладають в індивідуальну пачку; по 4 індивідуальні пачки разом із 4 інструкціями для медичного застосування поміщають у зовнішню картонну коробку</w:t>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МСН ЛАБОРАТОРІС ПРАЙВІТ ЛІМІТЕД</w:t>
              <w:br/>
            </w:r>
          </w:p>
        </w:tc>
        <w:tc>
          <w:tcPr>
            <w:tcW w:w="85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МСН Лабораторіс Прайвіт Лімітед</w:t>
              <w:br/>
            </w:r>
          </w:p>
        </w:tc>
        <w:tc>
          <w:tcPr>
            <w:tcW w:w="85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реєстрація до введення в дію Закону України від 28 липня 2022 року № 2469-IX «Про лікарські засоби»</w:t>
            </w:r>
          </w:p>
        </w:tc>
        <w:tc>
          <w:tcPr>
            <w:tcW w:w="991" w:type="dxa"/>
            <w:tcBorders>
              <w:top w:val="single" w:sz="4" w:space="0" w:color="000000"/>
              <w:left w:val="single" w:sz="4" w:space="0" w:color="000000"/>
              <w:bottom w:val="single" w:sz="4" w:space="0" w:color="000000"/>
              <w:right w:val="single" w:sz="4" w:space="0" w:color="000000"/>
            </w:tcBorders>
          </w:tcPr>
          <w:p>
            <w:pPr>
              <w:pStyle w:val="Normal1"/>
              <w:tabs>
                <w:tab w:val="clear" w:pos="708"/>
                <w:tab w:val="left" w:pos="12600" w:leader="none"/>
              </w:tabs>
              <w:spacing w:lineRule="auto" w:line="276"/>
              <w:jc w:val="center"/>
              <w:rPr>
                <w:rFonts w:ascii="Arial" w:hAnsi="Arial" w:cs="Arial"/>
                <w:i/>
                <w:i/>
                <w:sz w:val="16"/>
                <w:szCs w:val="16"/>
              </w:rPr>
            </w:pPr>
            <w:r>
              <w:rPr>
                <w:rFonts w:cs="Arial" w:ascii="Arial" w:hAnsi="Arial"/>
                <w:i/>
                <w:sz w:val="16"/>
                <w:szCs w:val="16"/>
              </w:rPr>
              <w:t xml:space="preserve">за </w:t>
            </w:r>
          </w:p>
          <w:p>
            <w:pPr>
              <w:pStyle w:val="Normal"/>
              <w:tabs>
                <w:tab w:val="clear" w:pos="708"/>
                <w:tab w:val="left" w:pos="12600" w:leader="none"/>
              </w:tabs>
              <w:ind w:right="-107"/>
              <w:jc w:val="center"/>
              <w:rPr>
                <w:rFonts w:ascii="Arial" w:hAnsi="Arial" w:cs="Arial"/>
                <w:b/>
                <w:i/>
                <w:i/>
                <w:color w:val="000000"/>
                <w:sz w:val="16"/>
                <w:szCs w:val="16"/>
              </w:rPr>
            </w:pPr>
            <w:r>
              <w:rPr>
                <w:rFonts w:cs="Arial" w:ascii="Arial" w:hAnsi="Arial"/>
                <w:i/>
                <w:sz w:val="16"/>
                <w:szCs w:val="16"/>
              </w:rPr>
              <w:t>рецептом</w:t>
            </w:r>
          </w:p>
        </w:tc>
        <w:tc>
          <w:tcPr>
            <w:tcW w:w="99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bCs/>
                <w:sz w:val="16"/>
                <w:szCs w:val="16"/>
              </w:rPr>
            </w:pPr>
            <w:r>
              <w:rPr>
                <w:rFonts w:cs="Arial" w:ascii="Arial" w:hAnsi="Arial"/>
                <w:bCs/>
                <w:color w:val="000000"/>
                <w:sz w:val="16"/>
                <w:szCs w:val="16"/>
              </w:rPr>
              <w:t>UA/21497/01/0</w:t>
            </w:r>
            <w:r>
              <w:rPr>
                <w:rFonts w:cs="Arial" w:ascii="Arial" w:hAnsi="Arial"/>
                <w:bCs/>
                <w:color w:val="000000"/>
                <w:sz w:val="16"/>
                <w:szCs w:val="16"/>
                <w:lang w:val="en-US"/>
              </w:rPr>
              <w:t>1</w:t>
            </w:r>
          </w:p>
        </w:tc>
      </w:tr>
    </w:tbl>
    <w:p>
      <w:pPr>
        <w:pStyle w:val="Normal1"/>
        <w:rPr>
          <w:sz w:val="16"/>
          <w:szCs w:val="16"/>
        </w:rPr>
      </w:pPr>
      <w:r>
        <w:rPr>
          <w:sz w:val="16"/>
          <w:szCs w:val="16"/>
        </w:rPr>
      </w:r>
    </w:p>
    <w:p>
      <w:pPr>
        <w:pStyle w:val="Normal1"/>
        <w:rPr>
          <w:sz w:val="16"/>
          <w:szCs w:val="16"/>
        </w:rPr>
      </w:pPr>
      <w:r>
        <w:rPr>
          <w:sz w:val="16"/>
          <w:szCs w:val="16"/>
        </w:rPr>
      </w:r>
    </w:p>
    <w:p>
      <w:pPr>
        <w:pStyle w:val="Normal"/>
        <w:ind w:left="284" w:right="0"/>
        <w:rPr/>
      </w:pPr>
      <w:r>
        <w:rPr>
          <w:b/>
          <w:sz w:val="28"/>
          <w:szCs w:val="28"/>
        </w:rPr>
        <w:t xml:space="preserve">Начальник </w:t>
      </w:r>
    </w:p>
    <w:p>
      <w:pPr>
        <w:pStyle w:val="Normal"/>
        <w:ind w:left="284" w:right="0"/>
        <w:rPr>
          <w:b/>
          <w:sz w:val="22"/>
          <w:szCs w:val="22"/>
        </w:rPr>
      </w:pPr>
      <w:r>
        <w:rPr>
          <w:b/>
          <w:sz w:val="28"/>
          <w:szCs w:val="28"/>
        </w:rPr>
        <w:t xml:space="preserve">Фармацевтичного управління    </w:t>
        <w:tab/>
        <w:tab/>
        <w:t xml:space="preserve">       </w:t>
        <w:tab/>
        <w:tab/>
        <w:t xml:space="preserve">                                                              Олександр ГРІЦЕНКО</w:t>
      </w:r>
    </w:p>
    <w:p>
      <w:pPr>
        <w:pStyle w:val="Normal"/>
        <w:rPr>
          <w:b/>
          <w:sz w:val="28"/>
          <w:szCs w:val="28"/>
          <w:lang w:val="uk-UA"/>
        </w:rPr>
      </w:pPr>
      <w:r>
        <w:rPr>
          <w:b/>
          <w:sz w:val="28"/>
          <w:szCs w:val="28"/>
          <w:lang w:val="uk-UA"/>
        </w:rPr>
      </w:r>
    </w:p>
    <w:sectPr>
      <w:headerReference w:type="default" r:id="rId5"/>
      <w:headerReference w:type="first" r:id="rId6"/>
      <w:type w:val="nextPage"/>
      <w:pgSz w:orient="landscape" w:w="16838" w:h="11906"/>
      <w:pgMar w:left="850" w:right="850" w:gutter="0" w:header="708" w:top="764" w:footer="0" w:bottom="42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Arial">
    <w:charset w:val="cc"/>
    <w:family w:val="swiss"/>
    <w:pitch w:val="variable"/>
  </w:font>
  <w:font w:name="Courier New">
    <w:charset w:val="cc"/>
    <w:family w:val="modern"/>
    <w:pitch w:val="default"/>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p>
    <w:pPr>
      <w:pStyle w:val="Header"/>
      <w:rPr>
        <w:lang w:val="uk-UA"/>
      </w:rPr>
    </w:pPr>
    <w:r>
      <w:rPr>
        <w:lang w:val="uk-UA"/>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819"/>
        <w:tab w:val="clear" w:pos="9639"/>
        <w:tab w:val="left" w:pos="4110" w:leader="none"/>
      </w:tabs>
      <w:rPr/>
    </w:pPr>
    <w:r>
      <w:rPr/>
      <w:tab/>
    </w:r>
    <w:r>
      <w:rPr>
        <w:lang w:val="uk-UA"/>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enter" w:pos="4819" w:leader="none"/>
        <w:tab w:val="center" w:pos="7569" w:leader="none"/>
        <w:tab w:val="right" w:pos="9639" w:leader="none"/>
        <w:tab w:val="left" w:pos="11715" w:leader="none"/>
      </w:tabs>
      <w:rPr/>
    </w:pPr>
    <w:r>
      <w:rPr/>
      <w:tab/>
      <w:tab/>
    </w:r>
    <w:r>
      <w:rPr/>
      <w:fldChar w:fldCharType="begin"/>
    </w:r>
    <w:r>
      <w:rPr/>
      <w:instrText xml:space="preserve"> PAGE </w:instrText>
    </w:r>
    <w:r>
      <w:rPr/>
      <w:fldChar w:fldCharType="separate"/>
    </w:r>
    <w:r>
      <w:rPr/>
      <w:t>0</w:t>
    </w:r>
    <w:r>
      <w:rPr/>
      <w:fldChar w:fldCharType="end"/>
    </w:r>
    <w:r>
      <w:rPr/>
      <w:tab/>
      <w:tab/>
      <w:t xml:space="preserve">                Продовження додатка </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819"/>
        <w:tab w:val="clear" w:pos="9639"/>
        <w:tab w:val="left" w:pos="4110" w:leader="none"/>
      </w:tabs>
      <w:rPr/>
    </w:pPr>
    <w:r>
      <w:rPr/>
      <w:tab/>
    </w:r>
    <w:r>
      <w:rPr>
        <w:lang w:val="uk-UA"/>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1211" w:hanging="360"/>
      </w:pPr>
      <w:rPr/>
    </w:lvl>
  </w:abstractNum>
  <w:num w:numId="1">
    <w:abstractNumId w:val="1"/>
  </w:num>
  <w:num w:numId="2">
    <w:abstractNumId w:val="2"/>
  </w:num>
</w:numbering>
</file>

<file path=word/settings.xml><?xml version="1.0" encoding="utf-8"?>
<w:settings xmlns:w="http://schemas.openxmlformats.org/wordprocessingml/2006/main">
  <w:zoom w:percent="108"/>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Calibri"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jc w:val="both"/>
      <w:outlineLvl w:val="0"/>
    </w:pPr>
    <w:rPr>
      <w:rFonts w:eastAsia="Times New Roman"/>
      <w:b/>
      <w:sz w:val="26"/>
      <w:lang w:val="en-US"/>
    </w:rPr>
  </w:style>
  <w:style w:type="paragraph" w:styleId="Heading3">
    <w:name w:val="heading 3"/>
    <w:basedOn w:val="Normal"/>
    <w:next w:val="Normal"/>
    <w:qFormat/>
    <w:pPr>
      <w:keepNext w:val="true"/>
      <w:numPr>
        <w:ilvl w:val="2"/>
        <w:numId w:val="1"/>
      </w:numPr>
      <w:spacing w:before="240" w:after="60"/>
      <w:outlineLvl w:val="2"/>
    </w:pPr>
    <w:rPr>
      <w:rFonts w:ascii="Arial" w:hAnsi="Arial" w:eastAsia="Times New Roman"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character" w:styleId="WW8Num1z0">
    <w:name w:val="WW8Num1z0"/>
    <w:qFormat/>
    <w:rPr/>
  </w:style>
  <w:style w:type="character" w:styleId="WW8Num2z0">
    <w:name w:val="WW8Num2z0"/>
    <w:qFormat/>
    <w:rPr/>
  </w:style>
  <w:style w:type="character" w:styleId="WW8Num3z0">
    <w:name w:val="WW8Num3z0"/>
    <w:qFormat/>
    <w:rPr/>
  </w:style>
  <w:style w:type="character" w:styleId="Style11">
    <w:name w:val="Основной шрифт абзаца"/>
    <w:qFormat/>
    <w:rPr/>
  </w:style>
  <w:style w:type="character" w:styleId="1">
    <w:name w:val="Заголовок 1 Знак"/>
    <w:qFormat/>
    <w:rPr>
      <w:rFonts w:ascii="Times New Roman" w:hAnsi="Times New Roman" w:eastAsia="Times New Roman" w:cs="Times New Roman"/>
      <w:b/>
      <w:sz w:val="26"/>
    </w:rPr>
  </w:style>
  <w:style w:type="character" w:styleId="3">
    <w:name w:val="Заголовок 3 Знак"/>
    <w:qFormat/>
    <w:rPr>
      <w:rFonts w:ascii="Arial" w:hAnsi="Arial" w:eastAsia="Times New Roman" w:cs="Arial"/>
      <w:b/>
      <w:bCs/>
      <w:sz w:val="26"/>
      <w:szCs w:val="26"/>
      <w:lang w:val="ru-RU"/>
    </w:rPr>
  </w:style>
  <w:style w:type="character" w:styleId="HTML">
    <w:name w:val="Стандартный HTML Знак"/>
    <w:qFormat/>
    <w:rPr>
      <w:rFonts w:ascii="Courier New" w:hAnsi="Courier New" w:cs="Courier New"/>
      <w:color w:val="000000"/>
      <w:sz w:val="21"/>
      <w:szCs w:val="21"/>
      <w:lang w:val="ru-RU"/>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Style12">
    <w:name w:val="Верхний колонтитул Знак"/>
    <w:qFormat/>
    <w:rPr>
      <w:rFonts w:ascii="Times New Roman" w:hAnsi="Times New Roman" w:cs="Times New Roman"/>
      <w:lang w:val="ru-RU"/>
    </w:rPr>
  </w:style>
  <w:style w:type="character" w:styleId="Style13">
    <w:name w:val="Нижний колонтитул Знак"/>
    <w:qFormat/>
    <w:rPr>
      <w:rFonts w:ascii="Times New Roman" w:hAnsi="Times New Roman" w:cs="Times New Roman"/>
      <w:lang w:val="ru-RU"/>
    </w:rPr>
  </w:style>
  <w:style w:type="character" w:styleId="PageNumber">
    <w:name w:val="page number"/>
    <w:basedOn w:val="Style11"/>
    <w:rPr/>
  </w:style>
  <w:style w:type="character" w:styleId="rvts9">
    <w:name w:val="rvts9"/>
    <w:qFormat/>
    <w:rPr/>
  </w:style>
  <w:style w:type="character" w:styleId="rvts23">
    <w:name w:val="rvts23"/>
    <w:qFormat/>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TML1">
    <w:name w:val="Стандартный HTML"/>
    <w:basedOn w:val="Norma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color w:val="000000"/>
      <w:sz w:val="21"/>
      <w:szCs w:val="21"/>
    </w:rPr>
  </w:style>
  <w:style w:type="paragraph" w:styleId="32">
    <w:name w:val="Основной текст с отступом 3"/>
    <w:basedOn w:val="Normal"/>
    <w:qFormat/>
    <w:pPr>
      <w:spacing w:before="0" w:after="120"/>
      <w:ind w:hanging="0" w:left="283" w:right="0"/>
    </w:pPr>
    <w:rPr>
      <w:sz w:val="16"/>
      <w:szCs w:val="16"/>
    </w:rPr>
  </w:style>
  <w:style w:type="paragraph" w:styleId="HeaderandFooter">
    <w:name w:val="Header and Footer"/>
    <w:basedOn w:val="Normal"/>
    <w:qFormat/>
    <w:pPr>
      <w:suppressLineNumbers/>
      <w:tabs>
        <w:tab w:val="clear" w:pos="708"/>
        <w:tab w:val="center" w:pos="4986" w:leader="none"/>
        <w:tab w:val="right" w:pos="9972" w:leader="none"/>
      </w:tabs>
    </w:pPr>
    <w:rPr/>
  </w:style>
  <w:style w:type="paragraph" w:styleId="Header">
    <w:name w:val="header"/>
    <w:basedOn w:val="Normal"/>
    <w:pPr>
      <w:tabs>
        <w:tab w:val="clear" w:pos="708"/>
        <w:tab w:val="center" w:pos="4819" w:leader="none"/>
        <w:tab w:val="right" w:pos="9639" w:leader="none"/>
      </w:tabs>
    </w:pPr>
    <w:rPr/>
  </w:style>
  <w:style w:type="paragraph" w:styleId="Footer">
    <w:name w:val="footer"/>
    <w:basedOn w:val="Normal"/>
    <w:pPr>
      <w:tabs>
        <w:tab w:val="clear" w:pos="708"/>
        <w:tab w:val="center" w:pos="4819" w:leader="none"/>
        <w:tab w:val="right" w:pos="9639" w:leader="none"/>
      </w:tabs>
    </w:pPr>
    <w:rPr/>
  </w:style>
  <w:style w:type="paragraph" w:styleId="Style14">
    <w:name w:val="Абзац списка"/>
    <w:basedOn w:val="Normal"/>
    <w:qFormat/>
    <w:pPr>
      <w:ind w:hanging="0" w:left="708" w:right="0"/>
    </w:pPr>
    <w:rPr/>
  </w:style>
  <w:style w:type="paragraph" w:styleId="rvps7">
    <w:name w:val="rvps7"/>
    <w:basedOn w:val="Normal"/>
    <w:qFormat/>
    <w:pPr>
      <w:spacing w:before="280" w:after="280"/>
    </w:pPr>
    <w:rPr>
      <w:rFonts w:eastAsia="Times New Roman"/>
      <w:sz w:val="24"/>
      <w:szCs w:val="24"/>
      <w:lang w:val="uk-UA"/>
    </w:rPr>
  </w:style>
  <w:style w:type="paragraph" w:styleId="rvps14">
    <w:name w:val="rvps14"/>
    <w:basedOn w:val="Normal"/>
    <w:qFormat/>
    <w:pPr>
      <w:spacing w:before="280" w:after="280"/>
    </w:pPr>
    <w:rPr>
      <w:rFonts w:eastAsia="Times New Roman"/>
      <w:sz w:val="24"/>
      <w:szCs w:val="24"/>
      <w:lang w:val="uk-UA"/>
    </w:rPr>
  </w:style>
  <w:style w:type="paragraph" w:styleId="rvps6">
    <w:name w:val="rvps6"/>
    <w:basedOn w:val="Normal"/>
    <w:qFormat/>
    <w:pPr>
      <w:spacing w:before="280" w:after="280"/>
    </w:pPr>
    <w:rPr>
      <w:rFonts w:eastAsia="Times New Roman"/>
      <w:sz w:val="24"/>
      <w:szCs w:val="24"/>
      <w:lang w:val="uk-UA"/>
    </w:rPr>
  </w:style>
  <w:style w:type="paragraph" w:styleId="Normal1">
    <w:name w:val="Normal1"/>
    <w:basedOn w:val="Normal"/>
    <w:qFormat/>
    <w:pPr/>
    <w:rPr>
      <w:rFonts w:eastAsia="Times New Roman"/>
      <w:sz w:val="24"/>
      <w:szCs w:val="24"/>
      <w:lang w:val="uk-U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2026-10-29T12:01:00Z</dcterms:created>
  <dc:creator>Valentina</dc:creator>
  <dc:description/>
  <cp:keywords/>
  <dc:language>en-US</dc:language>
  <cp:lastModifiedBy>Кунцевич Олена Іванівна</cp:lastModifiedBy>
  <cp:lastPrinted>2020-07-30T18:32:00Z</cp:lastPrinted>
  <dcterms:modified xsi:type="dcterms:W3CDTF">2026-10-29T12:02:00Z</dcterms:modified>
  <cp:revision>5</cp:revision>
  <dc:subject/>
  <dc:title> </dc:title>
</cp:coreProperties>
</file>