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AC4" w:rsidRDefault="00A65AC4" w:rsidP="00A65AC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63636"/>
          <w:kern w:val="36"/>
          <w:sz w:val="32"/>
          <w:szCs w:val="32"/>
          <w:lang w:eastAsia="uk-UA"/>
        </w:rPr>
      </w:pPr>
    </w:p>
    <w:p w:rsidR="00A65AC4" w:rsidRDefault="00A65AC4" w:rsidP="00A65AC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63636"/>
          <w:kern w:val="36"/>
          <w:sz w:val="32"/>
          <w:szCs w:val="32"/>
          <w:lang w:eastAsia="uk-UA"/>
        </w:rPr>
      </w:pPr>
      <w:r w:rsidRPr="00A65AC4">
        <w:rPr>
          <w:rFonts w:ascii="Times New Roman" w:eastAsia="Times New Roman" w:hAnsi="Times New Roman" w:cs="Times New Roman"/>
          <w:b/>
          <w:bCs/>
          <w:color w:val="363636"/>
          <w:kern w:val="36"/>
          <w:sz w:val="32"/>
          <w:szCs w:val="32"/>
          <w:lang w:eastAsia="uk-UA"/>
        </w:rPr>
        <w:t xml:space="preserve">Що таке клінічні </w:t>
      </w:r>
      <w:r w:rsidR="00DE1E21">
        <w:rPr>
          <w:rFonts w:ascii="Times New Roman" w:eastAsia="Times New Roman" w:hAnsi="Times New Roman" w:cs="Times New Roman"/>
          <w:b/>
          <w:bCs/>
          <w:color w:val="363636"/>
          <w:kern w:val="36"/>
          <w:sz w:val="32"/>
          <w:szCs w:val="32"/>
          <w:lang w:eastAsia="uk-UA"/>
        </w:rPr>
        <w:t>дослідження</w:t>
      </w:r>
      <w:r w:rsidRPr="00A65AC4">
        <w:rPr>
          <w:rFonts w:ascii="Times New Roman" w:eastAsia="Times New Roman" w:hAnsi="Times New Roman" w:cs="Times New Roman"/>
          <w:b/>
          <w:bCs/>
          <w:color w:val="363636"/>
          <w:kern w:val="36"/>
          <w:sz w:val="32"/>
          <w:szCs w:val="32"/>
          <w:lang w:eastAsia="uk-UA"/>
        </w:rPr>
        <w:t xml:space="preserve"> лікарських засобів та чи потрібні вони українцям сьогодні?</w:t>
      </w:r>
    </w:p>
    <w:p w:rsidR="005122EA" w:rsidRDefault="005122EA" w:rsidP="00512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Клінічним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r w:rsidRPr="0064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відводиться важливе місце при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зробці інноваційних лікарських засобів. Т</w:t>
      </w:r>
      <w:r w:rsidRPr="0064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ому що рішення щодо можливості медичного застосування лікарського засобу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(ЛЗ) </w:t>
      </w:r>
      <w:r w:rsidRPr="006478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 бути прийняте тільки на підставі доведе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ної їх ефективності та безпечності отриманих</w:t>
      </w:r>
      <w:r w:rsidRPr="0064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після систематичного вивчення його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4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участю людини.</w:t>
      </w:r>
      <w:r w:rsidRPr="0064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22EA" w:rsidRDefault="00A65AC4" w:rsidP="005122EA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всьому світі проведення клінічних досліджень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(далі – КД)</w:t>
      </w: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вважається найкоротшим шляхом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можливості отримання </w:t>
      </w:r>
      <w:r w:rsidR="005122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пацієнтом</w:t>
      </w: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інноваційних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препаратів</w:t>
      </w:r>
      <w:r w:rsidR="005122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A65AC4" w:rsidRDefault="00A65AC4" w:rsidP="005122EA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Україні ж продовжує жити міф, що клінічні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дослідження</w:t>
      </w: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це досліди над людьми, й нічого хорошого ні пацієнту, ні країні вони дати не можуть.</w:t>
      </w:r>
    </w:p>
    <w:p w:rsidR="00BD5618" w:rsidRPr="005122EA" w:rsidRDefault="006545A4" w:rsidP="006545A4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 офіційними даними сайту </w:t>
      </w:r>
      <w:r w:rsidR="00BD561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</w:t>
      </w:r>
      <w:r w:rsidRPr="0075593A">
        <w:rPr>
          <w:rFonts w:cs="Times New Roman"/>
          <w:noProof/>
          <w:lang w:eastAsia="uk-UA"/>
        </w:rPr>
        <w:t xml:space="preserve"> </w:t>
      </w:r>
      <w:hyperlink r:id="rId7" w:history="1">
        <w:r w:rsidRPr="006545A4">
          <w:rPr>
            <w:rStyle w:val="a5"/>
            <w:rFonts w:ascii="Times New Roman" w:hAnsi="Times New Roman" w:cs="Times New Roman"/>
            <w:i/>
            <w:kern w:val="24"/>
            <w:sz w:val="28"/>
            <w:szCs w:val="28"/>
            <w:lang w:val="en-US"/>
          </w:rPr>
          <w:t>www</w:t>
        </w:r>
        <w:r w:rsidRPr="006545A4">
          <w:rPr>
            <w:rStyle w:val="a5"/>
            <w:rFonts w:ascii="Times New Roman" w:hAnsi="Times New Roman" w:cs="Times New Roman"/>
            <w:i/>
            <w:kern w:val="24"/>
            <w:sz w:val="28"/>
            <w:szCs w:val="28"/>
          </w:rPr>
          <w:t>.</w:t>
        </w:r>
        <w:r w:rsidRPr="006545A4">
          <w:rPr>
            <w:rStyle w:val="a5"/>
            <w:rFonts w:ascii="Times New Roman" w:hAnsi="Times New Roman" w:cs="Times New Roman"/>
            <w:i/>
            <w:kern w:val="24"/>
            <w:sz w:val="28"/>
            <w:szCs w:val="28"/>
            <w:lang w:val="en-US"/>
          </w:rPr>
          <w:t>clinicaltrials</w:t>
        </w:r>
        <w:r w:rsidRPr="006545A4">
          <w:rPr>
            <w:rStyle w:val="a5"/>
            <w:rFonts w:ascii="Times New Roman" w:hAnsi="Times New Roman" w:cs="Times New Roman"/>
            <w:i/>
            <w:kern w:val="24"/>
            <w:sz w:val="28"/>
            <w:szCs w:val="28"/>
          </w:rPr>
          <w:t>.</w:t>
        </w:r>
        <w:r w:rsidRPr="006545A4">
          <w:rPr>
            <w:rStyle w:val="a5"/>
            <w:rFonts w:ascii="Times New Roman" w:hAnsi="Times New Roman" w:cs="Times New Roman"/>
            <w:i/>
            <w:kern w:val="24"/>
            <w:sz w:val="28"/>
            <w:szCs w:val="28"/>
            <w:lang w:val="en-US"/>
          </w:rPr>
          <w:t>gov</w:t>
        </w:r>
      </w:hyperlink>
      <w:r w:rsidR="00BD5618">
        <w:rPr>
          <w:rStyle w:val="a5"/>
          <w:rFonts w:ascii="Times New Roman" w:hAnsi="Times New Roman" w:cs="Times New Roman"/>
          <w:i/>
          <w:kern w:val="24"/>
          <w:sz w:val="28"/>
          <w:szCs w:val="28"/>
          <w:u w:val="none"/>
        </w:rPr>
        <w:t xml:space="preserve">)  </w:t>
      </w:r>
      <w:r w:rsidR="00BD5618" w:rsidRPr="00BD5618">
        <w:rPr>
          <w:rStyle w:val="a5"/>
          <w:rFonts w:ascii="Times New Roman" w:hAnsi="Times New Roman" w:cs="Times New Roman"/>
          <w:color w:val="auto"/>
          <w:kern w:val="24"/>
          <w:sz w:val="28"/>
          <w:szCs w:val="28"/>
          <w:u w:val="none"/>
        </w:rPr>
        <w:t xml:space="preserve">розрахунок кількості </w:t>
      </w:r>
      <w:r w:rsidR="00BD5618" w:rsidRPr="005122EA">
        <w:rPr>
          <w:rStyle w:val="a5"/>
          <w:rFonts w:ascii="Times New Roman" w:hAnsi="Times New Roman" w:cs="Times New Roman"/>
          <w:color w:val="auto"/>
          <w:kern w:val="24"/>
          <w:sz w:val="28"/>
          <w:szCs w:val="28"/>
          <w:u w:val="none"/>
        </w:rPr>
        <w:t xml:space="preserve">КД </w:t>
      </w:r>
      <w:r w:rsidR="00BD5618" w:rsidRPr="005122EA">
        <w:rPr>
          <w:rFonts w:ascii="Times New Roman" w:hAnsi="Times New Roman" w:cs="Times New Roman"/>
          <w:sz w:val="28"/>
          <w:szCs w:val="28"/>
        </w:rPr>
        <w:t xml:space="preserve">на 100 тис. населення за  2018 рік </w:t>
      </w:r>
      <w:r w:rsidR="00BD5618" w:rsidRPr="005122EA">
        <w:rPr>
          <w:rFonts w:ascii="Times New Roman" w:hAnsi="Times New Roman" w:cs="Times New Roman"/>
          <w:b/>
          <w:sz w:val="28"/>
          <w:szCs w:val="28"/>
        </w:rPr>
        <w:t>в Україні складає усього 3,52.</w:t>
      </w:r>
    </w:p>
    <w:p w:rsidR="006545A4" w:rsidRPr="00C43EDE" w:rsidRDefault="00BD5618" w:rsidP="00C43EDE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В той же час,  в розвинутих європейських країнах та США ця </w:t>
      </w:r>
      <w:r w:rsidR="0051062F">
        <w:rPr>
          <w:rFonts w:ascii="Times New Roman" w:hAnsi="Times New Roman" w:cs="Times New Roman"/>
          <w:sz w:val="28"/>
          <w:szCs w:val="28"/>
        </w:rPr>
        <w:t>цифра</w:t>
      </w:r>
      <w:r>
        <w:rPr>
          <w:rFonts w:ascii="Times New Roman" w:hAnsi="Times New Roman" w:cs="Times New Roman"/>
          <w:sz w:val="28"/>
          <w:szCs w:val="28"/>
        </w:rPr>
        <w:t xml:space="preserve"> значно більша. Тобто, в цих країнах активно проводяться КД з </w:t>
      </w: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інноваційних </w:t>
      </w:r>
      <w:r w:rsidR="00C43E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препаратів,  що дає змогу надавати медичну допомогу пацієнтам з різними важкими захворюваннями спочатку на етап</w:t>
      </w:r>
      <w:r w:rsidR="005106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ах</w:t>
      </w:r>
      <w:r w:rsidR="00C43ED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клінічних досліджень, а потім після реєстрації лікарського засобу при широкому медичному застосуванні.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5A4" w:rsidRPr="005122EA" w:rsidRDefault="005122EA" w:rsidP="005122E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5122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Кількість клінічних досліджень на 100.000 населення у різних країнах станом на травень 2018 р.</w:t>
      </w:r>
    </w:p>
    <w:p w:rsidR="006545A4" w:rsidRDefault="00C43EDE" w:rsidP="00A65A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A0DE515" wp14:editId="321A4A3F">
            <wp:extent cx="6705600" cy="25146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545A4" w:rsidRPr="00A65AC4" w:rsidRDefault="006545A4" w:rsidP="00A65A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65AC4" w:rsidRDefault="00A65AC4" w:rsidP="00A65A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США сьогодні  </w:t>
      </w:r>
      <w:r w:rsidR="005106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зареєстровано </w:t>
      </w:r>
      <w:r w:rsidR="005122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приблизно </w:t>
      </w: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14 тисяч клінічних </w:t>
      </w:r>
      <w:r w:rsidR="00B46D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досліджень</w:t>
      </w: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близько 1200 – у Польщі, тоді як в Україні </w:t>
      </w:r>
      <w:r w:rsidR="0075606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затверджуються для проведення </w:t>
      </w:r>
      <w:r w:rsidR="00EE26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біля</w:t>
      </w:r>
      <w:r w:rsidR="0075606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200 КД</w:t>
      </w:r>
      <w:r w:rsidR="00EE263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щорічно</w:t>
      </w:r>
      <w:r w:rsidR="0075606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710A0" w:rsidRDefault="00F710A0" w:rsidP="00F710A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ка прірва в кількості КД </w:t>
      </w: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між нами та високо розвиненими країнами не може не викликати запитань.</w:t>
      </w:r>
    </w:p>
    <w:p w:rsidR="00F710A0" w:rsidRDefault="00F710A0" w:rsidP="00F710A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65AC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Щоб раз і назавжди розвіяти міфи, давайте розберемось, у чому насправді полягає суть клінічних досліджень, хто, де і як їх проводить та чому вони необхідні як пацієнтам, так і державі.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Майже жоден лікарський засіб </w:t>
      </w:r>
      <w:r w:rsidR="009A22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як </w:t>
      </w: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Україні</w:t>
      </w:r>
      <w:r w:rsidR="009A22E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так й в іншій країні</w:t>
      </w: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не може бути зареєстрований без результатів клінічних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досліджень</w:t>
      </w: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адже вони доводять його ефективність та безпеку.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F710A0" w:rsidRPr="00501D32" w:rsidRDefault="00501D32" w:rsidP="00501D32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501D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Кількість КД, які були затверджені наказами МОЗ після позитивних висновків наданих Центром</w:t>
      </w:r>
    </w:p>
    <w:p w:rsidR="00756064" w:rsidRPr="00A65AC4" w:rsidRDefault="00756064" w:rsidP="00A65AC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5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008BCCCC" wp14:editId="0E3C63B0">
            <wp:extent cx="6153150" cy="33909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710A0" w:rsidRDefault="00F710A0" w:rsidP="00F27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9F6" w:rsidRDefault="00F279F6" w:rsidP="00F27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42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теперішній час </w:t>
      </w:r>
      <w:r w:rsidR="00510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усьому світі </w:t>
      </w:r>
      <w:r w:rsidRPr="00B42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нові лікарські засоби незалежно від того, у якій країні вони були розроблені, повинні оцінюватися на підставі адекватних даних досліджень, проведених з дотриманням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міжнародних</w:t>
      </w:r>
      <w:r w:rsidRPr="00B42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вимог,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сам</w:t>
      </w:r>
      <w:r w:rsidRPr="00B42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належної клінічної практики (</w:t>
      </w:r>
      <w:r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>GCP</w:t>
      </w:r>
      <w:r w:rsidRPr="00B42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Ці правила </w:t>
      </w:r>
      <w:r w:rsidR="00510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Україні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затверджені наказом МОЗ України від 16.02.2009 № 95 «</w:t>
      </w:r>
      <w:r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Настанова з клінічних досліджень. Лікарські засоби. Належна клінічна практика. Настанова 42-7.0:2008. Дана Настанова була розроблена на підставі Керівництва з Належної клінічної практики (Керівництво СРСР/ICH/135/95 (Е6) «</w:t>
      </w:r>
      <w:r w:rsidRPr="003A65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Note for Guidance on Good Clinical Practice», 1997).</w:t>
      </w:r>
    </w:p>
    <w:p w:rsidR="00F279F6" w:rsidRDefault="00F279F6" w:rsidP="00F279F6">
      <w:pPr>
        <w:pStyle w:val="a6"/>
        <w:spacing w:line="240" w:lineRule="atLeast"/>
        <w:ind w:firstLine="708"/>
        <w:rPr>
          <w:rFonts w:ascii="Times New Roman" w:hAnsi="Times New Roman"/>
          <w:color w:val="auto"/>
          <w:sz w:val="28"/>
          <w:szCs w:val="28"/>
          <w:lang w:val="uk-UA"/>
        </w:rPr>
      </w:pPr>
      <w:r w:rsidRPr="00D76AB8">
        <w:rPr>
          <w:rFonts w:ascii="Times New Roman" w:hAnsi="Times New Roman"/>
          <w:color w:val="auto"/>
          <w:sz w:val="28"/>
          <w:szCs w:val="28"/>
        </w:rPr>
        <w:t>Вимог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ам</w:t>
      </w:r>
      <w:r w:rsidRPr="00D76AB8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Н</w:t>
      </w:r>
      <w:r w:rsidRPr="00D76AB8">
        <w:rPr>
          <w:rFonts w:ascii="Times New Roman" w:hAnsi="Times New Roman"/>
          <w:color w:val="auto"/>
          <w:sz w:val="28"/>
          <w:szCs w:val="28"/>
        </w:rPr>
        <w:t xml:space="preserve">алежної клінічної практики необхідно дотримуватися при проведенні клінічних </w:t>
      </w:r>
      <w:r>
        <w:rPr>
          <w:rFonts w:ascii="Times New Roman" w:hAnsi="Times New Roman"/>
          <w:color w:val="auto"/>
          <w:sz w:val="28"/>
          <w:szCs w:val="28"/>
          <w:lang w:val="uk-UA"/>
        </w:rPr>
        <w:t>досліджень</w:t>
      </w:r>
      <w:r w:rsidRPr="00D76AB8">
        <w:rPr>
          <w:rFonts w:ascii="Times New Roman" w:hAnsi="Times New Roman"/>
          <w:color w:val="auto"/>
          <w:sz w:val="28"/>
          <w:szCs w:val="28"/>
        </w:rPr>
        <w:t>, результати яких планується надати до регуляторних уповноважених органів.</w:t>
      </w:r>
    </w:p>
    <w:p w:rsidR="00F90EDA" w:rsidRPr="00F90EDA" w:rsidRDefault="00F90EDA" w:rsidP="00F279F6">
      <w:pPr>
        <w:shd w:val="clear" w:color="auto" w:fill="FFFFFF"/>
        <w:spacing w:after="150" w:line="38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Окрім нових препаратів, досліджувати можуть і відомі лікарські засоби для підтвердження їх ефективності та безпеки за новими показаннями.</w:t>
      </w:r>
    </w:p>
    <w:p w:rsidR="00F90EDA" w:rsidRDefault="00F90EDA" w:rsidP="00E67496">
      <w:pPr>
        <w:shd w:val="clear" w:color="auto" w:fill="FFFFFF"/>
        <w:spacing w:after="150" w:line="38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допомогою К</w:t>
      </w:r>
      <w:r w:rsidR="00F279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можуть також перевіряти, чи змінюється дія препарату в разі одночасного прий</w:t>
      </w:r>
      <w:r w:rsidR="0051062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ому</w:t>
      </w: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пацієнтом інших лікарських засобів. </w:t>
      </w:r>
    </w:p>
    <w:p w:rsidR="002337C7" w:rsidRPr="003A65A4" w:rsidRDefault="00034B81" w:rsidP="00E67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Клінічні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дослідження </w:t>
      </w:r>
      <w:r w:rsidR="00B2057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інноваційних препаратів </w:t>
      </w:r>
      <w:r w:rsidRPr="00034B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проводять у чотири фази</w:t>
      </w:r>
      <w:r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2337C7" w:rsidRPr="00233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37C7"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Проведений аналіз матеріалів </w:t>
      </w:r>
      <w:r w:rsidR="00B20574">
        <w:rPr>
          <w:rFonts w:ascii="Times New Roman" w:eastAsia="Times New Roman" w:hAnsi="Times New Roman" w:cs="Times New Roman"/>
          <w:sz w:val="28"/>
          <w:szCs w:val="28"/>
          <w:lang w:eastAsia="ru-RU"/>
        </w:rPr>
        <w:t>КД</w:t>
      </w:r>
      <w:r w:rsidR="002337C7"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свідчить, що </w:t>
      </w:r>
      <w:r w:rsidR="00B20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Україні </w:t>
      </w:r>
      <w:r w:rsidR="002337C7"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 за все проводяться КВ ІІ-III фази, з залученням пацієнтів із захворюваннями, для якого розробляється даний ЛЗ.</w:t>
      </w:r>
      <w:r w:rsidR="002337C7" w:rsidRPr="00233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37C7"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ці фази КВ потребують включення значної кількості пацієнтів для доведення ефективності та безпечності досліджуваного лікарського засобу.</w:t>
      </w:r>
    </w:p>
    <w:p w:rsidR="002337C7" w:rsidRDefault="002337C7" w:rsidP="00E67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айбільш частіше проводяться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КД</w:t>
      </w:r>
      <w:r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лікарських засобів для лікування захворювань в онкології, психіатрії, неврології, пульмонології, ревматології, тощо. Це пов’язано з тим, що ці захворювання частіше за все стають причиною інвалідизації людини та погіршення якості її життя. </w:t>
      </w:r>
    </w:p>
    <w:p w:rsidR="00F710A0" w:rsidRPr="0051062F" w:rsidRDefault="00F710A0" w:rsidP="0051062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062F" w:rsidRPr="0051062F" w:rsidRDefault="0051062F" w:rsidP="0051062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0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Міжнародні багатоцентрові КД за областями медицини, які затверджені для проведення в Україні</w:t>
      </w:r>
    </w:p>
    <w:p w:rsidR="00F710A0" w:rsidRDefault="00F710A0" w:rsidP="00E67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0A0" w:rsidRPr="003A65A4" w:rsidRDefault="00F710A0" w:rsidP="00E67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0A0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24502A1" wp14:editId="6C82BE24">
            <wp:extent cx="6152515" cy="3147060"/>
            <wp:effectExtent l="0" t="0" r="19685" b="152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710A0" w:rsidRDefault="00F710A0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710A0" w:rsidRDefault="00F710A0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034B81" w:rsidRDefault="002337C7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="00034B81"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Україні найбільш поширені клінічні дослідження ІІІ фази – масштабні дослідження з залученням сотень або навіть тисяч хворих для підтвердження ефективності й безпеки лікарського засобу, необхідного дозування, збору інформації про побічні реакції тощо.</w:t>
      </w:r>
    </w:p>
    <w:p w:rsidR="00F710A0" w:rsidRDefault="00F710A0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914E6" w:rsidRDefault="002914E6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914E6" w:rsidRDefault="002914E6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914E6" w:rsidRDefault="002914E6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914E6" w:rsidRDefault="002914E6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914E6" w:rsidRDefault="002914E6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914E6" w:rsidRDefault="002914E6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2914E6" w:rsidRPr="0051062F" w:rsidRDefault="002914E6" w:rsidP="002914E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0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Міжнародні багатоцентрові КД за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фазами </w:t>
      </w:r>
      <w:r w:rsidRPr="00510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які затверджені для проведення в Україні</w:t>
      </w:r>
    </w:p>
    <w:p w:rsidR="002914E6" w:rsidRDefault="002914E6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710A0" w:rsidRPr="00034B81" w:rsidRDefault="00F710A0" w:rsidP="00E67496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710A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500A5AA5" wp14:editId="38444FE6">
            <wp:extent cx="6152515" cy="2792095"/>
            <wp:effectExtent l="0" t="0" r="19685" b="2730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90EDA" w:rsidRPr="00F90EDA" w:rsidRDefault="00E67496" w:rsidP="00E67496">
      <w:pPr>
        <w:shd w:val="clear" w:color="auto" w:fill="FFFFFF"/>
        <w:spacing w:after="150" w:line="384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Клінічні</w:t>
      </w:r>
      <w:r w:rsidR="00F90EDA"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дослідження</w:t>
      </w:r>
      <w:r w:rsidR="00F90EDA"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проводяться у відповідності </w:t>
      </w:r>
      <w:r w:rsidR="00F90EDA" w:rsidRPr="00F90E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E674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до</w:t>
      </w:r>
      <w:r w:rsidR="00F90EDA" w:rsidRPr="00E674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7978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розробленого заздалегідь </w:t>
      </w:r>
      <w:r w:rsidR="00F90EDA" w:rsidRPr="00E674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протокол</w:t>
      </w:r>
      <w:r w:rsidRPr="00E674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у</w:t>
      </w:r>
      <w:r w:rsidR="007978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, що описує завдання та мету дослідження</w:t>
      </w:r>
      <w:r w:rsidR="00F90EDA"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279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протоколі</w:t>
      </w:r>
      <w:r w:rsidR="00F90EDA"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зазначено результати доклінічних досліджень, визначено, за якими критеріями обиратимуть пацієнтів для </w:t>
      </w:r>
      <w:r w:rsidR="00F279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участі у </w:t>
      </w:r>
      <w:r w:rsidR="00F90EDA"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="00F279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Д, як часто пацієнта </w:t>
      </w:r>
      <w:r w:rsidR="00F90EDA"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обстежуватимуть під час дослідження та який час лікарі супроводжуватимуть його по завершенню КВ, коли він припинить приймати препарат.</w:t>
      </w:r>
    </w:p>
    <w:p w:rsidR="00F90EDA" w:rsidRPr="00F90EDA" w:rsidRDefault="00F90EDA" w:rsidP="00F710A0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Протокол випробування </w:t>
      </w:r>
      <w:r w:rsidR="00E674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 інші документи, наприклад, форма  інформованої згоди для пацієнта, </w:t>
      </w: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ретельно аналізується відповідними департаментами Державного експертного центру (ДЕЦ).</w:t>
      </w:r>
    </w:p>
    <w:p w:rsidR="00034B81" w:rsidRDefault="00F90EDA" w:rsidP="00E67496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F90E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Експерти, зокрема, розглядають мету та всі умови КВ, зважують користь і ризик для пацієнта, дивляться, чи не було виявлено за результатами доклінічних досліджень (на тваринах) препарату чогось, що може нашкодити пацієнту, й дають свій висновок.</w:t>
      </w:r>
      <w:r w:rsidR="00034B81" w:rsidRPr="00034B81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</w:t>
      </w:r>
      <w:r w:rsidR="00034B81"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підставі позитивного експертного висновку ДЕЦ </w:t>
      </w:r>
      <w:r w:rsid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протоколи КД затверджуються наказ</w:t>
      </w:r>
      <w:r w:rsidR="00CE51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ами</w:t>
      </w:r>
      <w:r w:rsid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34B81"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Міністерства охорони здоров’я</w:t>
      </w:r>
      <w:r w:rsidR="00E674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(далі-МОЗ), які оприлюднюються на його офіційному сайті та є доступн</w:t>
      </w:r>
      <w:r w:rsidR="00291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ими</w:t>
      </w:r>
      <w:r w:rsidR="00E674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для усіх зацікавлених осіб.</w:t>
      </w:r>
      <w:r w:rsid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34B81"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Другий дозвільний документ – висновок локальної етичної комісії медичного закладу, де планується проведення К</w:t>
      </w:r>
      <w:r w:rsid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="00034B81"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34B81"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Лише після цього клінічне </w:t>
      </w:r>
      <w:r w:rsid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дослідження</w:t>
      </w:r>
      <w:r w:rsidR="00034B81"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можна розпочинати.</w:t>
      </w:r>
    </w:p>
    <w:p w:rsidR="00034B81" w:rsidRPr="00034B81" w:rsidRDefault="00034B81" w:rsidP="00034B8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КД проводять у будь-яких лікувально-профілактичних закладах, які мають необхідну клінічну базу та медичний персонал із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відповідною</w:t>
      </w:r>
      <w:r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кваліфікацією.</w:t>
      </w:r>
    </w:p>
    <w:p w:rsidR="00C2372A" w:rsidRPr="00C2372A" w:rsidRDefault="00034B81" w:rsidP="00C2372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Найчастіше клінічні дослідження проводяться в обласних та міських лікарнях, клініках науково-дослідних інститутів, на клінічних базах кафедр медичних </w:t>
      </w:r>
      <w:r w:rsidRPr="00034B8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університетів.</w:t>
      </w:r>
      <w:r w:rsidR="00C2372A" w:rsidRPr="00C237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C2372A" w:rsidRPr="00C237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Дослідження в Україні проводяться на належному професійному рівні</w:t>
      </w:r>
      <w:r w:rsidR="00C2372A" w:rsidRP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CE51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що </w:t>
      </w:r>
      <w:r w:rsidR="00C2372A" w:rsidRP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неодноразово підтверджувалося в ході </w:t>
      </w:r>
      <w:r w:rsidR="00CE51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інспекцій </w:t>
      </w:r>
      <w:r w:rsidR="00C2372A" w:rsidRP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Управління продовольства та медикаментів США (Food and Drug Administration</w:t>
      </w:r>
      <w:r w:rsid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</w:t>
      </w:r>
      <w:r w:rsidR="00C2372A" w:rsidRP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FDA), а також </w:t>
      </w:r>
      <w:r w:rsidR="006F57D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регуляторних органів різних </w:t>
      </w:r>
      <w:r w:rsidR="00C2372A" w:rsidRP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Європейськ</w:t>
      </w:r>
      <w:r w:rsidR="006F57D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их країн, зокрема</w:t>
      </w:r>
      <w:r w:rsidR="00C2372A" w:rsidRP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European Medicines Agency</w:t>
      </w:r>
      <w:r w:rsid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</w:t>
      </w:r>
      <w:r w:rsidR="00C2372A" w:rsidRPr="00C237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EMA.</w:t>
      </w:r>
    </w:p>
    <w:p w:rsidR="00C2372A" w:rsidRDefault="00C2372A" w:rsidP="00C237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Існуюча на даний час в Україні нормативно-правова база щодо клінічних випробувань лікарських засобів повністю відповідає кращим міжнародним підходам та директивам ЄС, про що неодноразово засвідчували експерти ВООЗ, представники ЕМА та FDA.</w:t>
      </w:r>
    </w:p>
    <w:p w:rsidR="00C2372A" w:rsidRDefault="00C2372A" w:rsidP="00C237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України у проведенні багатоцентрових КВ, які проводяться одночасно у багатьох країнах світу, має велике значення для пацієнтів, лікарів та країни в цілому. Для пацієнтів - це дає можливість отримати безкоштовне лікування новими лікарськими засобами, для лікарів - це знайомство з новими технологіями лікування захворювань, для країни - можливість подальшої реєстрації лікарських засобів з доведеною ефективність та безпечністю.</w:t>
      </w:r>
    </w:p>
    <w:p w:rsidR="00C2372A" w:rsidRDefault="002F3CDD" w:rsidP="00C237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2372A"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Важливою складовою у забезпеченні якості проведення КВ є проведення клінічного аудиту </w:t>
      </w:r>
      <w:r w:rsidR="00C23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клінічного дослідження</w:t>
      </w:r>
      <w:r w:rsidR="00C2372A"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який проводять співробітники Центру. Клінічний аудит К</w:t>
      </w:r>
      <w:r w:rsidR="00C2372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2372A"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 процедура офіційної перевірки, яку проводить Центр, документів, приміщень, устаткування та обладнання, записів, системи гарантії якості та інших ресурсів, які мають відношення до К</w:t>
      </w:r>
      <w:r w:rsidR="00C2372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2372A" w:rsidRPr="003A65A4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які можуть міститися на клінічних базах, приміщеннях спонсора та контрактно-дослідницькій організації, а також і інших місцях, які приймають участь у проведенні КВ. Вимоги до проведення КА визначені у Розділі ХІІІ Поряду 690.</w:t>
      </w:r>
    </w:p>
    <w:p w:rsidR="00C2372A" w:rsidRPr="003C271E" w:rsidRDefault="00C2372A" w:rsidP="00C237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7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2B77733" wp14:editId="4364AC7B">
                <wp:simplePos x="0" y="0"/>
                <wp:positionH relativeFrom="column">
                  <wp:posOffset>125095</wp:posOffset>
                </wp:positionH>
                <wp:positionV relativeFrom="paragraph">
                  <wp:posOffset>-3799205</wp:posOffset>
                </wp:positionV>
                <wp:extent cx="9144000" cy="0"/>
                <wp:effectExtent l="0" t="3175" r="4445" b="0"/>
                <wp:wrapNone/>
                <wp:docPr id="138" name="Прямоугольник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A5F5B" id="Прямоугольник 138" o:spid="_x0000_s1026" style="position:absolute;margin-left:9.85pt;margin-top:-299.15pt;width:10in;height:0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" filled="f" fillcolor="#bbe0e3" stroked="f">
                <v:textbox style="mso-fit-shape-to-text:t"/>
              </v:rect>
            </w:pict>
          </mc:Fallback>
        </mc:AlternateContent>
      </w:r>
      <w:r w:rsidRPr="003C271E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839B311" wp14:editId="2897587C">
                <wp:simplePos x="0" y="0"/>
                <wp:positionH relativeFrom="column">
                  <wp:posOffset>125095</wp:posOffset>
                </wp:positionH>
                <wp:positionV relativeFrom="paragraph">
                  <wp:posOffset>-3799205</wp:posOffset>
                </wp:positionV>
                <wp:extent cx="9144000" cy="0"/>
                <wp:effectExtent l="0" t="3175" r="4445" b="0"/>
                <wp:wrapNone/>
                <wp:docPr id="137" name="Прямоугольник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E0D7B" id="Прямоугольник 137" o:spid="_x0000_s1026" style="position:absolute;margin-left:9.85pt;margin-top:-299.15pt;width:10in;height:0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" filled="f" fillcolor="#bbe0e3" stroked="f">
                <v:textbox style="mso-fit-shape-to-text:t"/>
              </v:rect>
            </w:pict>
          </mc:Fallback>
        </mc:AlternateConten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Слід відзначити, що за період з 2012 року по </w:t>
      </w:r>
      <w:r w:rsidR="00C7631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травень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EA1B2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співробітники Центру прийняли участь (на території України):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інспекційних перевірках клінічних випробувань лікарських засобів, що проводились представниками </w:t>
      </w:r>
      <w:r w:rsidR="00EA1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FDA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EA1B2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інспекційних перевірках клінічних випробувань лікарського засобу, що проводилися представниками </w:t>
      </w:r>
      <w:r w:rsidRPr="00516B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у 1 інспекційній перевірці клінічного випробування лікарського засобу, що проводилась представниками регуляторного органу Японії – </w:t>
      </w:r>
      <w:r w:rsidRPr="00516B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Pharmaceuticals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6B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6B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Medical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6B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Devices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6B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Agency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16B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PMDA</w:t>
      </w:r>
      <w:r w:rsidRPr="00516B0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372A" w:rsidRDefault="00C2372A" w:rsidP="00C237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Інспектори ЕМА, FDA та </w:t>
      </w:r>
      <w:r w:rsidRPr="003C2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PMDA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визнали функціонування системи клінічних </w:t>
      </w:r>
      <w:r w:rsidR="00EA1B2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Україні як достатньо розвинуте. Також, висловили подяку за участь у проведені перевірки представників Державного експертного центру МОЗ України та сподівання на майбутню співпрацю. Такі сумісні заходи показали, що К</w:t>
      </w:r>
      <w:r w:rsidR="00EA1B2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Україні проводяться на відповідному рівні щодо вимог нормативної бази України та міжнародних стандартів проведення К</w:t>
      </w:r>
      <w:r w:rsidR="00EA1B2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A1B2A" w:rsidRPr="0053566E" w:rsidRDefault="002E4B4E" w:rsidP="00EA1B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останні роки с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півробітники Центру прийняли участь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3-х 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робочих нарадах (семінарах) GCP-Інспекторів ЕМА. Також, в 2015 </w:t>
      </w:r>
      <w:r w:rsidR="00EA1B2A">
        <w:rPr>
          <w:rFonts w:ascii="Times New Roman" w:eastAsia="Times New Roman" w:hAnsi="Times New Roman" w:cs="Times New Roman"/>
          <w:sz w:val="28"/>
          <w:szCs w:val="28"/>
          <w:lang w:eastAsia="ru-RU"/>
        </w:rPr>
        <w:t>- 2017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>р. співробітники відділу клінічного аудиту  отримали сертифікати після успішного проходження «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GCP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Inspector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basic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training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course</w:t>
      </w:r>
      <w:r w:rsidR="00EA1B2A" w:rsidRPr="003C271E">
        <w:rPr>
          <w:rFonts w:ascii="Times New Roman" w:eastAsia="Times New Roman" w:hAnsi="Times New Roman" w:cs="Times New Roman"/>
          <w:sz w:val="28"/>
          <w:szCs w:val="28"/>
          <w:lang w:eastAsia="ru-RU"/>
        </w:rPr>
        <w:t>», ЕМА.</w:t>
      </w:r>
    </w:p>
    <w:p w:rsidR="00EA1B2A" w:rsidRPr="0053566E" w:rsidRDefault="00EA1B2A" w:rsidP="00EA1B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метою роз’яснення основних положень наказу МОЗ України від 23.09.2009 р. за № 690 зі змінами, та міжнародних вимог щодо проведення КВ (GCP) Центром в 2015 році було організовано та проведено 10 навчальних семінарів для </w:t>
      </w:r>
      <w:r w:rsidRPr="00356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815 </w:t>
      </w:r>
      <w:r w:rsidRPr="0053566E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лікарів – дослідників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3566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році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53566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35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семінарів, в яких прийняло участь 977 слухачів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2017 було проведено 10 семінарів , в яких прийняло участь 1158 слухачів, за 5 місяців 2018 – було проведено 9 семінарів, в яких прийняли участь – 460 слухачів.</w:t>
      </w:r>
    </w:p>
    <w:p w:rsidR="00EA1B2A" w:rsidRDefault="00EA1B2A" w:rsidP="00EA1B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теперішній час в Україні створена нормативна база, яка дозволяє проводити клінічні випробування у відповідності до міжнародних стандартів. В той же час, стратегія інтеграції України в Європейське Співтовариство вимагає проведення подальших заходів щодо гармонізації системи регламентації у відношенні лікарських засобів в Україні відповідно до стандартів та директив ЄС. </w:t>
      </w:r>
    </w:p>
    <w:p w:rsidR="00EA1B2A" w:rsidRPr="00E23AC5" w:rsidRDefault="00EA1B2A" w:rsidP="00E23AC5">
      <w:pPr>
        <w:shd w:val="clear" w:color="auto" w:fill="FFFFFF"/>
        <w:spacing w:after="15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3A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Що дає участь у КД пацієнтам? </w:t>
      </w:r>
    </w:p>
    <w:p w:rsidR="00EA1B2A" w:rsidRPr="00EA1B2A" w:rsidRDefault="00EA1B2A" w:rsidP="00E23AC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 перш за все </w:t>
      </w:r>
      <w:r w:rsidRPr="00EA1B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безкоштовне </w:t>
      </w: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 пацієнта лікування.</w:t>
      </w:r>
    </w:p>
    <w:p w:rsidR="00EA1B2A" w:rsidRPr="00EA1B2A" w:rsidRDefault="00EA1B2A" w:rsidP="00E23AC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 чому йому забезпечуються не лише досліджувані лікарські засоби, але й препарати супутньої та базової терапії.</w:t>
      </w:r>
    </w:p>
    <w:p w:rsidR="00EA1B2A" w:rsidRPr="00EA1B2A" w:rsidRDefault="00EA1B2A" w:rsidP="00E23AC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По-друге, пацієнт проходить регулярні обстеження </w:t>
      </w:r>
      <w:r w:rsidR="002E4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сучасному рівні </w:t>
      </w: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контроль свого стану здоров’я, що не кожен із нас здатен собі забезпечити за звичайних умов лікування.</w:t>
      </w:r>
    </w:p>
    <w:p w:rsidR="00EA1B2A" w:rsidRPr="00EA1B2A" w:rsidRDefault="00EA1B2A" w:rsidP="00EA1B2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По-третє, це доступ до інноваційних лікарських засобів. Саме такі ліки – єдина надія на  виживання, наприклад, для пацієнтів із онкозахворюваннями на стадіях, коли вже жоден метод лікування не допомагає.</w:t>
      </w:r>
    </w:p>
    <w:p w:rsidR="00EA1B2A" w:rsidRPr="00EA1B2A" w:rsidRDefault="00EA1B2A" w:rsidP="00EA1B2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По-четверте, це високий рівень захищеності. Пацієнт бере участь у дослідженні лише зі власного</w:t>
      </w:r>
      <w:r w:rsidR="002E4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E4B4E" w:rsidRPr="002E4B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>усвідомленого</w:t>
      </w: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бажання після підписання інформованої згоди, отримує </w:t>
      </w:r>
      <w:r w:rsidR="002E4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страховий захист</w:t>
      </w: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час участі в дослідженні й має право вийти з нього в будь-який момент його проведення.</w:t>
      </w:r>
    </w:p>
    <w:p w:rsidR="00EA1B2A" w:rsidRPr="00EA1B2A" w:rsidRDefault="00EA1B2A" w:rsidP="00EA1B2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Більше того</w:t>
      </w:r>
      <w:r w:rsidR="002E4B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Державний експертний центр регулярно перевіряє, чи відповідає хід проведення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заявленим при отриманні дозволу документам.</w:t>
      </w:r>
    </w:p>
    <w:p w:rsidR="00EA1B2A" w:rsidRDefault="00EA1B2A" w:rsidP="00EA1B2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A1B2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Якщо ні, то дослідження призупиняють до усунення недоліків або ж повністю припиняють його проведення.</w:t>
      </w:r>
    </w:p>
    <w:p w:rsidR="00E23AC5" w:rsidRPr="00E23AC5" w:rsidRDefault="00E23AC5" w:rsidP="00EA1B2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Що дає участь у КД для країни?</w:t>
      </w:r>
    </w:p>
    <w:p w:rsidR="00E23AC5" w:rsidRPr="00E23AC5" w:rsidRDefault="00E23AC5" w:rsidP="00E23AC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 країни це перш за все зменшення витрат на лікування пацієнтів інноваційними препаратами.</w:t>
      </w:r>
    </w:p>
    <w:p w:rsidR="00E23AC5" w:rsidRDefault="00E23AC5" w:rsidP="00E23AC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 також можливість у майбутньому зареєструвати ефективний та безпечний лікарський засіб. Адже якщо компанія проводить у країні клінічні дослідження, значить, вона зацікавлена пізніше зареєструвати та випускати свій лікарський засіб на її ринок.</w:t>
      </w:r>
    </w:p>
    <w:p w:rsidR="002E4B4E" w:rsidRPr="002E4B4E" w:rsidRDefault="002E4B4E" w:rsidP="00E23AC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Також це навчання лікарів дослідників передовим технологіям в лікуванні різних захворювань </w:t>
      </w:r>
      <w:r w:rsidRPr="002E4B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 xml:space="preserve">та збереження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 xml:space="preserve">найкращих фахівців та </w:t>
      </w:r>
      <w:r w:rsidRPr="002E4B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uk-UA"/>
        </w:rPr>
        <w:t>робочих місць в країні.</w:t>
      </w:r>
    </w:p>
    <w:p w:rsidR="00E23AC5" w:rsidRPr="00E23AC5" w:rsidRDefault="00E23AC5" w:rsidP="00E23AC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Слід також розуміти, що проведення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КД</w:t>
      </w: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це вливання коштів у розвиток інфраструктури тих лікарень, на базі яких вони проводяться.</w:t>
      </w:r>
    </w:p>
    <w:p w:rsidR="00E23AC5" w:rsidRDefault="00E23AC5" w:rsidP="00E23AC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Оновлюється устаткування медичних закладів, встановлюється високо технологічне обладнання, що дозволяє обстежувати та лікувати інноваційними методами за найвищими світовими стандартами.</w:t>
      </w:r>
    </w:p>
    <w:p w:rsidR="00E23AC5" w:rsidRPr="00E23AC5" w:rsidRDefault="00E23AC5" w:rsidP="007865B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Як дізнатися, як та де проводяться клінічні дослідження?</w:t>
      </w:r>
    </w:p>
    <w:p w:rsidR="00E23AC5" w:rsidRPr="00E23AC5" w:rsidRDefault="00E23AC5" w:rsidP="007865B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color w:val="23527C"/>
          <w:sz w:val="28"/>
          <w:szCs w:val="28"/>
          <w:u w:val="single"/>
          <w:lang w:eastAsia="uk-UA"/>
        </w:rPr>
      </w:pP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сайті МОЗ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та </w:t>
      </w: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ДЕЦ (після затвердження протоколу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відповідний Наказ розміщується на сайтах </w:t>
      </w:r>
      <w:hyperlink r:id="rId12" w:tgtFrame="_blank" w:history="1">
        <w:r w:rsidRPr="00E23AC5">
          <w:rPr>
            <w:rFonts w:ascii="Times New Roman" w:eastAsia="Times New Roman" w:hAnsi="Times New Roman" w:cs="Times New Roman"/>
            <w:color w:val="23527C"/>
            <w:sz w:val="28"/>
            <w:szCs w:val="28"/>
            <w:u w:val="single"/>
            <w:lang w:eastAsia="uk-UA"/>
          </w:rPr>
          <w:t>МОЗ</w:t>
        </w:r>
      </w:hyperlink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і </w:t>
      </w:r>
      <w:hyperlink r:id="rId13" w:tgtFrame="_blank" w:history="1">
        <w:r w:rsidRPr="00E23AC5">
          <w:rPr>
            <w:rFonts w:ascii="Times New Roman" w:eastAsia="Times New Roman" w:hAnsi="Times New Roman" w:cs="Times New Roman"/>
            <w:color w:val="23527C"/>
            <w:sz w:val="28"/>
            <w:szCs w:val="28"/>
            <w:u w:val="single"/>
            <w:lang w:eastAsia="uk-UA"/>
          </w:rPr>
          <w:t>ДЕЦ</w:t>
        </w:r>
      </w:hyperlink>
      <w:r>
        <w:rPr>
          <w:rFonts w:ascii="Times New Roman" w:eastAsia="Times New Roman" w:hAnsi="Times New Roman" w:cs="Times New Roman"/>
          <w:color w:val="23527C"/>
          <w:sz w:val="28"/>
          <w:szCs w:val="28"/>
          <w:u w:val="single"/>
          <w:lang w:eastAsia="uk-UA"/>
        </w:rPr>
        <w:t xml:space="preserve"> -</w:t>
      </w:r>
      <w:r w:rsidRPr="00E23AC5">
        <w:rPr>
          <w:rFonts w:eastAsiaTheme="minorEastAsia" w:hAnsi="Calibri"/>
          <w:i/>
          <w:iCs/>
          <w:color w:val="000000" w:themeColor="text1"/>
          <w:kern w:val="24"/>
          <w:sz w:val="36"/>
          <w:szCs w:val="36"/>
          <w:lang w:eastAsia="ru-RU"/>
        </w:rPr>
        <w:t xml:space="preserve"> </w:t>
      </w:r>
      <w:r w:rsidRPr="00E23AC5">
        <w:rPr>
          <w:rFonts w:eastAsia="Times New Roman"/>
          <w:i/>
          <w:iCs/>
          <w:color w:val="23527C"/>
          <w:sz w:val="28"/>
          <w:szCs w:val="28"/>
          <w:u w:val="single"/>
          <w:lang w:val="en-US" w:eastAsia="uk-UA"/>
        </w:rPr>
        <w:t>www</w:t>
      </w:r>
      <w:r w:rsidRPr="00E23AC5">
        <w:rPr>
          <w:rFonts w:eastAsia="Times New Roman"/>
          <w:i/>
          <w:iCs/>
          <w:color w:val="23527C"/>
          <w:sz w:val="28"/>
          <w:szCs w:val="28"/>
          <w:u w:val="single"/>
          <w:lang w:eastAsia="uk-UA"/>
        </w:rPr>
        <w:t>:</w:t>
      </w:r>
      <w:r w:rsidRPr="00E23AC5">
        <w:rPr>
          <w:rFonts w:eastAsia="Times New Roman"/>
          <w:i/>
          <w:iCs/>
          <w:color w:val="23527C"/>
          <w:sz w:val="28"/>
          <w:szCs w:val="28"/>
          <w:u w:val="single"/>
          <w:lang w:val="en-US" w:eastAsia="uk-UA"/>
        </w:rPr>
        <w:t>dec</w:t>
      </w:r>
      <w:r w:rsidRPr="00E23AC5">
        <w:rPr>
          <w:rFonts w:eastAsia="Times New Roman"/>
          <w:i/>
          <w:iCs/>
          <w:color w:val="23527C"/>
          <w:sz w:val="28"/>
          <w:szCs w:val="28"/>
          <w:u w:val="single"/>
          <w:lang w:eastAsia="uk-UA"/>
        </w:rPr>
        <w:t>.</w:t>
      </w:r>
      <w:r w:rsidRPr="00E23AC5">
        <w:rPr>
          <w:rFonts w:eastAsia="Times New Roman"/>
          <w:i/>
          <w:iCs/>
          <w:color w:val="23527C"/>
          <w:sz w:val="28"/>
          <w:szCs w:val="28"/>
          <w:u w:val="single"/>
          <w:lang w:val="en-US" w:eastAsia="uk-UA"/>
        </w:rPr>
        <w:t>gov</w:t>
      </w:r>
      <w:r w:rsidRPr="00E23AC5">
        <w:rPr>
          <w:rFonts w:eastAsia="Times New Roman"/>
          <w:i/>
          <w:iCs/>
          <w:color w:val="23527C"/>
          <w:sz w:val="28"/>
          <w:szCs w:val="28"/>
          <w:u w:val="single"/>
          <w:lang w:eastAsia="uk-UA"/>
        </w:rPr>
        <w:t>.</w:t>
      </w:r>
      <w:r w:rsidRPr="00E23AC5">
        <w:rPr>
          <w:rFonts w:eastAsia="Times New Roman"/>
          <w:i/>
          <w:iCs/>
          <w:color w:val="23527C"/>
          <w:sz w:val="28"/>
          <w:szCs w:val="28"/>
          <w:u w:val="single"/>
          <w:lang w:val="en-US" w:eastAsia="uk-UA"/>
        </w:rPr>
        <w:t>ua</w:t>
      </w:r>
      <w:r>
        <w:rPr>
          <w:rFonts w:eastAsia="Times New Roman"/>
          <w:i/>
          <w:iCs/>
          <w:color w:val="23527C"/>
          <w:sz w:val="28"/>
          <w:szCs w:val="28"/>
          <w:u w:val="single"/>
          <w:lang w:eastAsia="uk-UA"/>
        </w:rPr>
        <w:t>).</w:t>
      </w: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там можна дізнатись назву дослідження, місце його проведення, назву та країну організатора, перелік досліджуваних лікарських засобів та їхню лікарську форму та дозування.</w:t>
      </w:r>
    </w:p>
    <w:p w:rsidR="007865BA" w:rsidRDefault="00E23AC5" w:rsidP="007865BA">
      <w:pPr>
        <w:numPr>
          <w:ilvl w:val="0"/>
          <w:numId w:val="2"/>
        </w:numPr>
        <w:shd w:val="clear" w:color="auto" w:fill="FFFFFF"/>
        <w:spacing w:before="100" w:beforeAutospacing="1" w:after="15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Подати до ДЕЦ запит на надання публічної інформації</w:t>
      </w:r>
      <w:r w:rsidR="007865BA"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7865BA" w:rsidRPr="007865BA" w:rsidRDefault="007865BA" w:rsidP="007865BA">
      <w:pPr>
        <w:shd w:val="clear" w:color="auto" w:fill="FFFFFF"/>
        <w:spacing w:before="100" w:beforeAutospacing="1" w:after="15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с</w:t>
      </w:r>
      <w:r w:rsidR="00E23AC5"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ьогодні</w:t>
      </w:r>
      <w:r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шній день</w:t>
      </w:r>
      <w:r w:rsidR="00E23AC5"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розроблена тестова версія електронного </w:t>
      </w:r>
      <w:r w:rsidR="00E23AC5" w:rsidRPr="00F735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Реєстру клінічних досліджень, </w:t>
      </w:r>
      <w:r w:rsidR="00E23AC5"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якого вноситься вся інформація про КД, які </w:t>
      </w:r>
      <w:r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були </w:t>
      </w:r>
      <w:r w:rsidR="00E23AC5"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затверджені </w:t>
      </w:r>
      <w:r w:rsidRPr="007865B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наказами МОЗ.</w:t>
      </w:r>
    </w:p>
    <w:p w:rsidR="00E23AC5" w:rsidRDefault="00E23AC5" w:rsidP="007865B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Після завершення дослідження його результати будуть вноситись до реєстру та  стануть доступними для усіх зацікавлених осіб: пацієнтів, виробників, лікарів.</w:t>
      </w:r>
    </w:p>
    <w:p w:rsidR="002914E6" w:rsidRPr="002914E6" w:rsidRDefault="002914E6" w:rsidP="002914E6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Реєстру клінічних досліджень  в Україні </w:t>
      </w:r>
      <w:r w:rsidRPr="002914E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(тестова версія)</w:t>
      </w:r>
    </w:p>
    <w:p w:rsidR="0011762D" w:rsidRDefault="00F735A2" w:rsidP="00F735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uk-UA"/>
        </w:rPr>
      </w:pPr>
      <w:bookmarkStart w:id="0" w:name="_GoBack"/>
      <w:bookmarkEnd w:id="0"/>
      <w:r w:rsidRPr="00F735A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 wp14:anchorId="3245CB9B" wp14:editId="3AA0BD92">
            <wp:extent cx="6152515" cy="3933825"/>
            <wp:effectExtent l="0" t="0" r="635" b="9525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951" b="27598"/>
                    <a:stretch/>
                  </pic:blipFill>
                  <pic:spPr>
                    <a:xfrm>
                      <a:off x="0" y="0"/>
                      <a:ext cx="615251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62D" w:rsidRDefault="0011762D" w:rsidP="00F735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uk-UA"/>
        </w:rPr>
      </w:pPr>
    </w:p>
    <w:p w:rsidR="00F735A2" w:rsidRPr="00F36F78" w:rsidRDefault="00F735A2" w:rsidP="00F735A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ru-RU" w:eastAsia="uk-UA"/>
        </w:rPr>
      </w:pPr>
      <w:r w:rsidRPr="00F36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uk-UA"/>
        </w:rPr>
        <w:t>Сторінка пошуку</w:t>
      </w:r>
      <w:r w:rsidR="00F36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uk-UA"/>
        </w:rPr>
        <w:t xml:space="preserve"> </w:t>
      </w:r>
      <w:r w:rsidR="00F36F78">
        <w:rPr>
          <w:rFonts w:ascii="Times New Roman" w:eastAsia="Times New Roman" w:hAnsi="Times New Roman" w:cs="Times New Roman"/>
          <w:color w:val="23527C"/>
          <w:sz w:val="28"/>
          <w:szCs w:val="28"/>
          <w:u w:val="single"/>
          <w:lang w:eastAsia="uk-UA"/>
        </w:rPr>
        <w:t>-</w:t>
      </w:r>
      <w:r w:rsidR="00F36F78" w:rsidRPr="00E23AC5">
        <w:rPr>
          <w:rFonts w:eastAsiaTheme="minorEastAsia" w:hAnsi="Calibri"/>
          <w:i/>
          <w:iCs/>
          <w:color w:val="000000" w:themeColor="text1"/>
          <w:kern w:val="24"/>
          <w:sz w:val="36"/>
          <w:szCs w:val="36"/>
          <w:lang w:eastAsia="ru-RU"/>
        </w:rPr>
        <w:t xml:space="preserve"> </w:t>
      </w:r>
      <w:r w:rsidR="00F36F78" w:rsidRPr="00E23AC5">
        <w:rPr>
          <w:rFonts w:eastAsia="Times New Roman"/>
          <w:i/>
          <w:iCs/>
          <w:color w:val="23527C"/>
          <w:sz w:val="28"/>
          <w:szCs w:val="28"/>
          <w:u w:val="single"/>
          <w:lang w:val="en-US" w:eastAsia="uk-UA"/>
        </w:rPr>
        <w:t>www</w:t>
      </w:r>
      <w:r w:rsidR="00F36F78" w:rsidRPr="00E23AC5">
        <w:rPr>
          <w:rFonts w:eastAsia="Times New Roman"/>
          <w:i/>
          <w:iCs/>
          <w:color w:val="23527C"/>
          <w:sz w:val="28"/>
          <w:szCs w:val="28"/>
          <w:u w:val="single"/>
          <w:lang w:eastAsia="uk-UA"/>
        </w:rPr>
        <w:t>:</w:t>
      </w:r>
      <w:r w:rsidR="00F36F78" w:rsidRPr="00E23AC5">
        <w:rPr>
          <w:rFonts w:eastAsia="Times New Roman"/>
          <w:i/>
          <w:iCs/>
          <w:color w:val="23527C"/>
          <w:sz w:val="28"/>
          <w:szCs w:val="28"/>
          <w:u w:val="single"/>
          <w:lang w:val="en-US" w:eastAsia="uk-UA"/>
        </w:rPr>
        <w:t>dec</w:t>
      </w:r>
      <w:r w:rsidR="00F36F78" w:rsidRPr="00E23AC5">
        <w:rPr>
          <w:rFonts w:eastAsia="Times New Roman"/>
          <w:i/>
          <w:iCs/>
          <w:color w:val="23527C"/>
          <w:sz w:val="28"/>
          <w:szCs w:val="28"/>
          <w:u w:val="single"/>
          <w:lang w:eastAsia="uk-UA"/>
        </w:rPr>
        <w:t>.</w:t>
      </w:r>
      <w:r w:rsidR="00F36F78" w:rsidRPr="00E23AC5">
        <w:rPr>
          <w:rFonts w:eastAsia="Times New Roman"/>
          <w:i/>
          <w:iCs/>
          <w:color w:val="23527C"/>
          <w:sz w:val="28"/>
          <w:szCs w:val="28"/>
          <w:u w:val="single"/>
          <w:lang w:val="en-US" w:eastAsia="uk-UA"/>
        </w:rPr>
        <w:t>gov</w:t>
      </w:r>
      <w:r w:rsidR="00F36F78" w:rsidRPr="00E23AC5">
        <w:rPr>
          <w:rFonts w:eastAsia="Times New Roman"/>
          <w:i/>
          <w:iCs/>
          <w:color w:val="23527C"/>
          <w:sz w:val="28"/>
          <w:szCs w:val="28"/>
          <w:u w:val="single"/>
          <w:lang w:eastAsia="uk-UA"/>
        </w:rPr>
        <w:t>.</w:t>
      </w:r>
      <w:r w:rsidR="00F36F78" w:rsidRPr="00E23AC5">
        <w:rPr>
          <w:rFonts w:eastAsia="Times New Roman"/>
          <w:i/>
          <w:iCs/>
          <w:color w:val="23527C"/>
          <w:sz w:val="28"/>
          <w:szCs w:val="28"/>
          <w:u w:val="single"/>
          <w:lang w:val="en-US" w:eastAsia="uk-UA"/>
        </w:rPr>
        <w:t>ua</w:t>
      </w:r>
    </w:p>
    <w:p w:rsidR="00F735A2" w:rsidRPr="00F36F78" w:rsidRDefault="00F735A2" w:rsidP="00F735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36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Тут можна знайти КВ за: </w:t>
      </w:r>
      <w:r w:rsidRPr="00F36F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Патологічним станом</w:t>
      </w:r>
      <w:r w:rsidR="00F36F78" w:rsidRPr="00F36F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;</w:t>
      </w:r>
      <w:r w:rsidR="00F36F78" w:rsidRPr="00F36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F36F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Місцем проведення</w:t>
      </w:r>
      <w:r w:rsidR="00F36F78" w:rsidRPr="00F36F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;</w:t>
      </w:r>
      <w:r w:rsidR="00F36F78" w:rsidRPr="00F36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F36F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ДЛЗ/препарат</w:t>
      </w:r>
      <w:r w:rsidR="00F36F78" w:rsidRPr="00F36F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;</w:t>
      </w:r>
      <w:r w:rsidR="00F36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F36F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Профілем КВ</w:t>
      </w:r>
      <w:r w:rsidR="00F36F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.</w:t>
      </w:r>
    </w:p>
    <w:p w:rsidR="00F735A2" w:rsidRDefault="00F735A2" w:rsidP="007865B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23AC5" w:rsidRPr="00E23AC5" w:rsidRDefault="00E23AC5" w:rsidP="007865B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 всі маємо усвідомити, що без проведення клінічних досліджень неможливе відкриття ліків для подолання таких серйозних захворювань, як рак, СНІД, діабет та сотень інших.</w:t>
      </w:r>
    </w:p>
    <w:p w:rsidR="00E23AC5" w:rsidRPr="00E23AC5" w:rsidRDefault="00E23AC5" w:rsidP="007865B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23AC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Розуміння ролі клінічних досліджень допоможе нашій країні посилити інфраструктуру лікувальних закладів та професіоналізм лікарів, а також рятувати життя сотень тисяч пацієнтів за допомогою інноваційних ліків.</w:t>
      </w:r>
    </w:p>
    <w:p w:rsidR="00E23AC5" w:rsidRPr="00E23AC5" w:rsidRDefault="00E23AC5" w:rsidP="00E23AC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A1B2A" w:rsidRPr="00E23AC5" w:rsidRDefault="00EA1B2A" w:rsidP="00E23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B2A" w:rsidRPr="00E23AC5" w:rsidRDefault="00EA1B2A" w:rsidP="00E23A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72A" w:rsidRPr="00E23AC5" w:rsidRDefault="00C2372A" w:rsidP="00E23A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72A" w:rsidRPr="00E23AC5" w:rsidRDefault="00C2372A" w:rsidP="00E23A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B81" w:rsidRPr="00E23AC5" w:rsidRDefault="00034B81" w:rsidP="00E23AC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57596B" w:rsidRPr="00E23AC5" w:rsidRDefault="00B922F4" w:rsidP="00E23A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7596B" w:rsidRPr="00E23AC5" w:rsidSect="00A65AC4">
      <w:footerReference w:type="default" r:id="rId15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5AE" w:rsidRDefault="005135AE" w:rsidP="00F710A0">
      <w:pPr>
        <w:spacing w:after="0" w:line="240" w:lineRule="auto"/>
      </w:pPr>
      <w:r>
        <w:separator/>
      </w:r>
    </w:p>
  </w:endnote>
  <w:endnote w:type="continuationSeparator" w:id="0">
    <w:p w:rsidR="005135AE" w:rsidRDefault="005135AE" w:rsidP="00F7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9282422"/>
      <w:docPartObj>
        <w:docPartGallery w:val="Page Numbers (Bottom of Page)"/>
        <w:docPartUnique/>
      </w:docPartObj>
    </w:sdtPr>
    <w:sdtEndPr/>
    <w:sdtContent>
      <w:p w:rsidR="00F710A0" w:rsidRDefault="00F710A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2F4" w:rsidRPr="00B922F4">
          <w:rPr>
            <w:noProof/>
            <w:lang w:val="ru-RU"/>
          </w:rPr>
          <w:t>8</w:t>
        </w:r>
        <w:r>
          <w:fldChar w:fldCharType="end"/>
        </w:r>
      </w:p>
    </w:sdtContent>
  </w:sdt>
  <w:p w:rsidR="00F710A0" w:rsidRDefault="00F710A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5AE" w:rsidRDefault="005135AE" w:rsidP="00F710A0">
      <w:pPr>
        <w:spacing w:after="0" w:line="240" w:lineRule="auto"/>
      </w:pPr>
      <w:r>
        <w:separator/>
      </w:r>
    </w:p>
  </w:footnote>
  <w:footnote w:type="continuationSeparator" w:id="0">
    <w:p w:rsidR="005135AE" w:rsidRDefault="005135AE" w:rsidP="00F7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6B1BE5"/>
    <w:multiLevelType w:val="multilevel"/>
    <w:tmpl w:val="A41436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B12F50"/>
    <w:multiLevelType w:val="multilevel"/>
    <w:tmpl w:val="B284F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C4"/>
    <w:rsid w:val="00034B81"/>
    <w:rsid w:val="000E4BB3"/>
    <w:rsid w:val="0011762D"/>
    <w:rsid w:val="002337C7"/>
    <w:rsid w:val="002914E6"/>
    <w:rsid w:val="002956D5"/>
    <w:rsid w:val="002E4B4E"/>
    <w:rsid w:val="002F259C"/>
    <w:rsid w:val="002F3CDD"/>
    <w:rsid w:val="003B7E9A"/>
    <w:rsid w:val="00501D32"/>
    <w:rsid w:val="0051062F"/>
    <w:rsid w:val="005122EA"/>
    <w:rsid w:val="005135AE"/>
    <w:rsid w:val="00587C80"/>
    <w:rsid w:val="006545A4"/>
    <w:rsid w:val="006F57DB"/>
    <w:rsid w:val="00756064"/>
    <w:rsid w:val="007865BA"/>
    <w:rsid w:val="007978FD"/>
    <w:rsid w:val="008B4C0E"/>
    <w:rsid w:val="0097620F"/>
    <w:rsid w:val="009A22E5"/>
    <w:rsid w:val="009B457C"/>
    <w:rsid w:val="00A575D2"/>
    <w:rsid w:val="00A65AC4"/>
    <w:rsid w:val="00B20574"/>
    <w:rsid w:val="00B34CCF"/>
    <w:rsid w:val="00B46DE5"/>
    <w:rsid w:val="00B91A2A"/>
    <w:rsid w:val="00B922F4"/>
    <w:rsid w:val="00BD5618"/>
    <w:rsid w:val="00C2372A"/>
    <w:rsid w:val="00C43D98"/>
    <w:rsid w:val="00C43EDE"/>
    <w:rsid w:val="00C76318"/>
    <w:rsid w:val="00CE5128"/>
    <w:rsid w:val="00DE1E21"/>
    <w:rsid w:val="00E23AC5"/>
    <w:rsid w:val="00E27DDC"/>
    <w:rsid w:val="00E67496"/>
    <w:rsid w:val="00EA1B2A"/>
    <w:rsid w:val="00EE2631"/>
    <w:rsid w:val="00F279F6"/>
    <w:rsid w:val="00F36F78"/>
    <w:rsid w:val="00F710A0"/>
    <w:rsid w:val="00F735A2"/>
    <w:rsid w:val="00F90EDA"/>
    <w:rsid w:val="00FD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32E6B-1954-4DF9-9169-B9589D40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AC4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5A4"/>
    <w:rPr>
      <w:rFonts w:ascii="Tahoma" w:hAnsi="Tahoma" w:cs="Tahoma"/>
      <w:sz w:val="16"/>
      <w:szCs w:val="16"/>
      <w:lang w:val="uk-UA"/>
    </w:rPr>
  </w:style>
  <w:style w:type="character" w:styleId="a5">
    <w:name w:val="Hyperlink"/>
    <w:basedOn w:val="a0"/>
    <w:uiPriority w:val="99"/>
    <w:unhideWhenUsed/>
    <w:rsid w:val="006545A4"/>
    <w:rPr>
      <w:color w:val="0000FF" w:themeColor="hyperlink"/>
      <w:u w:val="single"/>
    </w:rPr>
  </w:style>
  <w:style w:type="paragraph" w:styleId="a6">
    <w:name w:val="Plain Text"/>
    <w:basedOn w:val="a"/>
    <w:link w:val="a7"/>
    <w:rsid w:val="00F279F6"/>
    <w:pPr>
      <w:autoSpaceDE w:val="0"/>
      <w:autoSpaceDN w:val="0"/>
      <w:adjustRightInd w:val="0"/>
      <w:spacing w:after="0" w:line="248" w:lineRule="atLeast"/>
      <w:ind w:firstLine="283"/>
      <w:jc w:val="both"/>
    </w:pPr>
    <w:rPr>
      <w:rFonts w:ascii="NewtonCTT" w:eastAsia="Times New Roman" w:hAnsi="NewtonCTT" w:cs="Times New Roman"/>
      <w:color w:val="000000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F279F6"/>
    <w:rPr>
      <w:rFonts w:ascii="NewtonCTT" w:eastAsia="Times New Roman" w:hAnsi="NewtonCTT" w:cs="Times New Roman"/>
      <w:color w:val="000000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F71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710A0"/>
    <w:rPr>
      <w:lang w:val="uk-UA"/>
    </w:rPr>
  </w:style>
  <w:style w:type="paragraph" w:styleId="aa">
    <w:name w:val="footer"/>
    <w:basedOn w:val="a"/>
    <w:link w:val="ab"/>
    <w:uiPriority w:val="99"/>
    <w:unhideWhenUsed/>
    <w:rsid w:val="00F71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710A0"/>
    <w:rPr>
      <w:lang w:val="uk-UA"/>
    </w:rPr>
  </w:style>
  <w:style w:type="paragraph" w:styleId="ac">
    <w:name w:val="Normal (Web)"/>
    <w:basedOn w:val="a"/>
    <w:uiPriority w:val="99"/>
    <w:semiHidden/>
    <w:unhideWhenUsed/>
    <w:rsid w:val="00E2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2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www.dec.gov.ua/index.php/ua/ekspertiza-materialiv-doklinichnikh-ta-klinichnikh-viprobuvan/nakazi-moz-ukrajini-pro-provedennya-k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linicaltrials.gov" TargetMode="External"/><Relationship Id="rId12" Type="http://schemas.openxmlformats.org/officeDocument/2006/relationships/hyperlink" Target="http://moz.gov.ua/ua/portal/?CID=25&amp;_sort=docName&amp;_order=-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5239799570508232E-3"/>
                  <c:y val="-5.8581881810228264E-3"/>
                </c:manualLayout>
              </c:layout>
              <c:tx>
                <c:rich>
                  <a:bodyPr/>
                  <a:lstStyle/>
                  <a:p>
                    <a:r>
                      <a:rPr lang="en-US" sz="1100"/>
                      <a:t>63,04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sz="1100"/>
                      <a:t>60,96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 sz="1100"/>
                      <a:t>38,05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 sz="1100"/>
                      <a:t>34,70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 sz="1100"/>
                      <a:t>33,17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rgbClr val="7030A0"/>
                        </a:solidFill>
                        <a:latin typeface="Arial" pitchFamily="34" charset="0"/>
                        <a:ea typeface="+mn-ea"/>
                        <a:cs typeface="Arial" pitchFamily="34" charset="0"/>
                      </a:defRPr>
                    </a:pPr>
                    <a:r>
                      <a:rPr lang="en-US" sz="1100"/>
                      <a:t>27,96</a:t>
                    </a:r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 sz="1100"/>
                      <a:t>22,00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 sz="1100"/>
                      <a:t>20,12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 sz="1100"/>
                      <a:t>13,88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 sz="1100"/>
                      <a:t>10,96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100" b="1" i="0" u="none" strike="noStrike" kern="1200" baseline="0">
                        <a:solidFill>
                          <a:srgbClr val="FF0000"/>
                        </a:solidFill>
                        <a:latin typeface="Arial" pitchFamily="34" charset="0"/>
                        <a:ea typeface="+mn-ea"/>
                        <a:cs typeface="Arial" pitchFamily="34" charset="0"/>
                      </a:defRPr>
                    </a:pPr>
                    <a:r>
                      <a:rPr lang="en-US" sz="1100"/>
                      <a:t>3,52</a:t>
                    </a:r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/>
              <c:tx>
                <c:rich>
                  <a:bodyPr/>
                  <a:lstStyle/>
                  <a:p>
                    <a:r>
                      <a:rPr lang="en-US" sz="1100"/>
                      <a:t>2,66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/>
              <c:tx>
                <c:rich>
                  <a:bodyPr/>
                  <a:lstStyle/>
                  <a:p>
                    <a:r>
                      <a:rPr lang="en-US" sz="1100"/>
                      <a:t>0,79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 sz="1100"/>
                      <a:t>0,32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rgbClr val="7030A0"/>
                    </a:solidFill>
                    <a:latin typeface="Arial" pitchFamily="34" charset="0"/>
                    <a:ea typeface="+mn-ea"/>
                    <a:cs typeface="Arial" pitchFamily="34" charset="0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Швейцарія</c:v>
                </c:pt>
                <c:pt idx="1">
                  <c:v>Естонія</c:v>
                </c:pt>
                <c:pt idx="2">
                  <c:v>Латвія</c:v>
                </c:pt>
                <c:pt idx="3">
                  <c:v>Чехія</c:v>
                </c:pt>
                <c:pt idx="4">
                  <c:v>США</c:v>
                </c:pt>
                <c:pt idx="5">
                  <c:v>Франція</c:v>
                </c:pt>
                <c:pt idx="6">
                  <c:v>Велика Британія</c:v>
                </c:pt>
                <c:pt idx="7">
                  <c:v>Німеччина </c:v>
                </c:pt>
                <c:pt idx="8">
                  <c:v>Польща</c:v>
                </c:pt>
                <c:pt idx="9">
                  <c:v>Румунія</c:v>
                </c:pt>
                <c:pt idx="10">
                  <c:v>Україна</c:v>
                </c:pt>
                <c:pt idx="11">
                  <c:v>Китай</c:v>
                </c:pt>
                <c:pt idx="12">
                  <c:v>Індія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63.000399999999999</c:v>
                </c:pt>
                <c:pt idx="1">
                  <c:v>60.968899999999998</c:v>
                </c:pt>
                <c:pt idx="2">
                  <c:v>38.054699999999997</c:v>
                </c:pt>
                <c:pt idx="3">
                  <c:v>34.7014</c:v>
                </c:pt>
                <c:pt idx="4">
                  <c:v>33.178800000000003</c:v>
                </c:pt>
                <c:pt idx="5">
                  <c:v>27.960599999999999</c:v>
                </c:pt>
                <c:pt idx="6">
                  <c:v>21.994499999999999</c:v>
                </c:pt>
                <c:pt idx="7">
                  <c:v>20.129200000000001</c:v>
                </c:pt>
                <c:pt idx="8">
                  <c:v>13.8851</c:v>
                </c:pt>
                <c:pt idx="9">
                  <c:v>10.9634</c:v>
                </c:pt>
                <c:pt idx="10">
                  <c:v>3.8260999999999998</c:v>
                </c:pt>
                <c:pt idx="11">
                  <c:v>0.79310000000000003</c:v>
                </c:pt>
                <c:pt idx="12">
                  <c:v>0.30020000000000002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7652736"/>
        <c:axId val="117401216"/>
      </c:barChart>
      <c:catAx>
        <c:axId val="117652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itchFamily="34" charset="0"/>
                <a:ea typeface="+mn-ea"/>
                <a:cs typeface="Arial" pitchFamily="34" charset="0"/>
              </a:defRPr>
            </a:pPr>
            <a:endParaRPr lang="uk-UA"/>
          </a:p>
        </c:txPr>
        <c:crossAx val="117401216"/>
        <c:crosses val="autoZero"/>
        <c:auto val="1"/>
        <c:lblAlgn val="ctr"/>
        <c:lblOffset val="100"/>
        <c:noMultiLvlLbl val="0"/>
      </c:catAx>
      <c:valAx>
        <c:axId val="117401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11765273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/>
      </a:pPr>
      <a:endParaRPr lang="uk-UA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0"/>
    <c:plotArea>
      <c:layout>
        <c:manualLayout>
          <c:layoutTarget val="inner"/>
          <c:xMode val="edge"/>
          <c:yMode val="edge"/>
          <c:x val="5.2349603202217904E-2"/>
          <c:y val="1.1540220338393107E-2"/>
          <c:w val="0.9463722504640697"/>
          <c:h val="0.59381443298969083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Sheet1!$A$2</c:f>
              <c:strCache>
                <c:ptCount val="1"/>
                <c:pt idx="0">
                  <c:v>Всього</c:v>
                </c:pt>
              </c:strCache>
            </c:strRef>
          </c:tx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552F-42F9-8A97-BA44BEDE335F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552F-42F9-8A97-BA44BEDE335F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552F-42F9-8A97-BA44BEDE335F}"/>
              </c:ext>
            </c:extLst>
          </c:dPt>
          <c:dLbls>
            <c:dLbl>
              <c:idx val="1"/>
              <c:layout/>
              <c:tx>
                <c:rich>
                  <a:bodyPr/>
                  <a:lstStyle/>
                  <a:p>
                    <a:r>
                      <a:rPr lang="en-US" b="1" dirty="0" smtClean="0">
                        <a:solidFill>
                          <a:schemeClr val="tx1"/>
                        </a:solidFill>
                      </a:rPr>
                      <a:t>181</a:t>
                    </a:r>
                    <a:endParaRPr lang="en-US" dirty="0">
                      <a:solidFill>
                        <a:schemeClr val="tx1"/>
                      </a:solidFill>
                    </a:endParaRP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 b="1" dirty="0" smtClean="0"/>
                      <a:t>230</a:t>
                    </a:r>
                    <a:endParaRPr lang="en-US" dirty="0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202</c:v>
                </c:pt>
                <c:pt idx="1">
                  <c:v>181</c:v>
                </c:pt>
                <c:pt idx="2">
                  <c:v>230</c:v>
                </c:pt>
                <c:pt idx="3">
                  <c:v>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552F-42F9-8A97-BA44BEDE335F}"/>
            </c:ext>
          </c:extLst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Міжнародні багатоцентрові КВ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5301132298150032E-5"/>
                  <c:y val="-1.379547718547325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0768135989174261E-3"/>
                  <c:y val="-2.307957640120541E-3"/>
                </c:manualLayout>
              </c:layout>
              <c:tx>
                <c:rich>
                  <a:bodyPr/>
                  <a:lstStyle/>
                  <a:p>
                    <a:r>
                      <a:rPr lang="en-US" b="1" dirty="0" smtClean="0"/>
                      <a:t>135</a:t>
                    </a:r>
                    <a:endParaRPr lang="en-US" dirty="0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5.7886875268877498E-4"/>
                  <c:y val="-2.1994398278724844E-2"/>
                </c:manualLayout>
              </c:layout>
              <c:tx>
                <c:rich>
                  <a:bodyPr/>
                  <a:lstStyle/>
                  <a:p>
                    <a:r>
                      <a:rPr lang="en-US" b="1" dirty="0" smtClean="0"/>
                      <a:t>183</a:t>
                    </a:r>
                    <a:endParaRPr lang="en-US" dirty="0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8528699882667125E-4"/>
                  <c:y val="-8.3074202334368396E-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552F-42F9-8A97-BA44BEDE335F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52F-42F9-8A97-BA44BEDE335F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Mode val="edge"/>
                  <c:yMode val="edge"/>
                  <c:x val="0.88801261829653011"/>
                  <c:y val="9.484536082474234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552F-42F9-8A97-BA44BEDE335F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Mode val="edge"/>
                  <c:yMode val="edge"/>
                  <c:x val="0.98580441640378624"/>
                  <c:y val="3.0927835051546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552F-42F9-8A97-BA44BEDE335F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552F-42F9-8A97-BA44BEDE335F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552F-42F9-8A97-BA44BEDE335F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552F-42F9-8A97-BA44BEDE335F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552F-42F9-8A97-BA44BEDE335F}"/>
                </c:ext>
                <c:ext xmlns:c15="http://schemas.microsoft.com/office/drawing/2012/chart" uri="{CE6537A1-D6FC-4f65-9D91-7224C49458BB}"/>
              </c:extLst>
            </c:dLbl>
            <c:dLbl>
              <c:idx val="13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552F-42F9-8A97-BA44BEDE335F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0">
                  <c:v>144</c:v>
                </c:pt>
                <c:pt idx="1">
                  <c:v>135</c:v>
                </c:pt>
                <c:pt idx="2">
                  <c:v>183</c:v>
                </c:pt>
                <c:pt idx="3">
                  <c:v>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3-552F-42F9-8A97-BA44BEDE335F}"/>
            </c:ext>
          </c:extLst>
        </c:ser>
        <c:ser>
          <c:idx val="1"/>
          <c:order val="2"/>
          <c:tx>
            <c:strRef>
              <c:f>Sheet1!$A$4</c:f>
              <c:strCache>
                <c:ptCount val="1"/>
                <c:pt idx="0">
                  <c:v>КВ передреєстраційні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9644267294106691E-3"/>
                  <c:y val="1.731292728958889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7.5834013029918521E-4"/>
                  <c:y val="-2.7169681827338149E-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0649520012934839E-3"/>
                  <c:y val="-1.3683262375584438E-2"/>
                </c:manualLayout>
              </c:layout>
              <c:tx>
                <c:rich>
                  <a:bodyPr/>
                  <a:lstStyle/>
                  <a:p>
                    <a:r>
                      <a:rPr lang="en-US" b="1" dirty="0" smtClean="0"/>
                      <a:t>47</a:t>
                    </a:r>
                    <a:endParaRPr lang="en-US" dirty="0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552F-42F9-8A97-BA44BEDE335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Sheet1!$B$1:$E$1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  <c:pt idx="0">
                  <c:v>58</c:v>
                </c:pt>
                <c:pt idx="1">
                  <c:v>46</c:v>
                </c:pt>
                <c:pt idx="2">
                  <c:v>47</c:v>
                </c:pt>
                <c:pt idx="3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8-552F-42F9-8A97-BA44BEDE33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7744600"/>
        <c:axId val="117744984"/>
      </c:barChart>
      <c:catAx>
        <c:axId val="117744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uk-UA"/>
          </a:p>
        </c:txPr>
        <c:crossAx val="117744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7744984"/>
        <c:scaling>
          <c:orientation val="minMax"/>
          <c:max val="28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uk-UA"/>
          </a:p>
        </c:txPr>
        <c:crossAx val="117744600"/>
        <c:crosses val="autoZero"/>
        <c:crossBetween val="between"/>
        <c:majorUnit val="20"/>
      </c:valAx>
    </c:plotArea>
    <c:legend>
      <c:legendPos val="r"/>
      <c:layout>
        <c:manualLayout>
          <c:xMode val="edge"/>
          <c:yMode val="edge"/>
          <c:x val="5.0729140338939112E-2"/>
          <c:y val="0.71109980977148501"/>
          <c:w val="0.64353313243251997"/>
          <c:h val="0.24742266849671313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1100">
          <a:latin typeface="Arial" pitchFamily="34" charset="0"/>
          <a:cs typeface="Arial" pitchFamily="34" charset="0"/>
        </a:defRPr>
      </a:pPr>
      <a:endParaRPr lang="uk-UA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354943273905997"/>
          <c:y val="2.7491408934707903E-2"/>
          <c:w val="0.60533886443174545"/>
          <c:h val="0.8298235430205900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Sheet1!#REF!</c:f>
              <c:strCache>
                <c:ptCount val="1"/>
                <c:pt idx="0">
                  <c:v>#REF!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Sheet1!$A$2:$A$8</c:f>
              <c:strCache>
                <c:ptCount val="7"/>
                <c:pt idx="0">
                  <c:v>Гематологія</c:v>
                </c:pt>
                <c:pt idx="1">
                  <c:v>Кардіологія</c:v>
                </c:pt>
                <c:pt idx="2">
                  <c:v>Ендокринологія</c:v>
                </c:pt>
                <c:pt idx="3">
                  <c:v>Ревматологія</c:v>
                </c:pt>
                <c:pt idx="4">
                  <c:v>Пульмонологія</c:v>
                </c:pt>
                <c:pt idx="5">
                  <c:v>Онкологія</c:v>
                </c:pt>
                <c:pt idx="6">
                  <c:v>Психіатрія та неврологія</c:v>
                </c:pt>
              </c:strCache>
            </c:str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Sheet1!#REF!</c:f>
              <c:strCache>
                <c:ptCount val="1"/>
                <c:pt idx="0">
                  <c:v>#REF!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Sheet1!$A$2:$A$8</c:f>
              <c:strCache>
                <c:ptCount val="7"/>
                <c:pt idx="0">
                  <c:v>Гематологія</c:v>
                </c:pt>
                <c:pt idx="1">
                  <c:v>Кардіологія</c:v>
                </c:pt>
                <c:pt idx="2">
                  <c:v>Ендокринологія</c:v>
                </c:pt>
                <c:pt idx="3">
                  <c:v>Ревматологія</c:v>
                </c:pt>
                <c:pt idx="4">
                  <c:v>Пульмонологія</c:v>
                </c:pt>
                <c:pt idx="5">
                  <c:v>Онкологія</c:v>
                </c:pt>
                <c:pt idx="6">
                  <c:v>Психіатрія та неврологія</c:v>
                </c:pt>
              </c:strCache>
            </c:str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Sheet1!#REF!</c:f>
              <c:strCache>
                <c:ptCount val="1"/>
                <c:pt idx="0">
                  <c:v>#REF!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Sheet1!$A$2:$A$8</c:f>
              <c:strCache>
                <c:ptCount val="7"/>
                <c:pt idx="0">
                  <c:v>Гематологія</c:v>
                </c:pt>
                <c:pt idx="1">
                  <c:v>Кардіологія</c:v>
                </c:pt>
                <c:pt idx="2">
                  <c:v>Ендокринологія</c:v>
                </c:pt>
                <c:pt idx="3">
                  <c:v>Ревматологія</c:v>
                </c:pt>
                <c:pt idx="4">
                  <c:v>Пульмонологія</c:v>
                </c:pt>
                <c:pt idx="5">
                  <c:v>Онкологія</c:v>
                </c:pt>
                <c:pt idx="6">
                  <c:v>Психіатрія та неврологія</c:v>
                </c:pt>
              </c:strCache>
            </c:str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Sheet1!$B$1</c:f>
              <c:strCache>
                <c:ptCount val="1"/>
                <c:pt idx="0">
                  <c:v>2015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Sheet1!$A$2:$A$8</c:f>
              <c:strCache>
                <c:ptCount val="7"/>
                <c:pt idx="0">
                  <c:v>Гематологія</c:v>
                </c:pt>
                <c:pt idx="1">
                  <c:v>Кардіологія</c:v>
                </c:pt>
                <c:pt idx="2">
                  <c:v>Ендокринологія</c:v>
                </c:pt>
                <c:pt idx="3">
                  <c:v>Ревматологія</c:v>
                </c:pt>
                <c:pt idx="4">
                  <c:v>Пульмонологія</c:v>
                </c:pt>
                <c:pt idx="5">
                  <c:v>Онкологія</c:v>
                </c:pt>
                <c:pt idx="6">
                  <c:v>Психіатрія та неврологія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6</c:v>
                </c:pt>
                <c:pt idx="1">
                  <c:v>4</c:v>
                </c:pt>
                <c:pt idx="2">
                  <c:v>9</c:v>
                </c:pt>
                <c:pt idx="3">
                  <c:v>16</c:v>
                </c:pt>
                <c:pt idx="4">
                  <c:v>18</c:v>
                </c:pt>
                <c:pt idx="5">
                  <c:v>28</c:v>
                </c:pt>
                <c:pt idx="6">
                  <c:v>22</c:v>
                </c:pt>
              </c:numCache>
            </c:numRef>
          </c:val>
        </c:ser>
        <c:ser>
          <c:idx val="4"/>
          <c:order val="4"/>
          <c:tx>
            <c:strRef>
              <c:f>Sheet1!$C$1</c:f>
              <c:strCache>
                <c:ptCount val="1"/>
                <c:pt idx="0">
                  <c:v>2016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Гематологія</c:v>
                </c:pt>
                <c:pt idx="1">
                  <c:v>Кардіологія</c:v>
                </c:pt>
                <c:pt idx="2">
                  <c:v>Ендокринологія</c:v>
                </c:pt>
                <c:pt idx="3">
                  <c:v>Ревматологія</c:v>
                </c:pt>
                <c:pt idx="4">
                  <c:v>Пульмонологія</c:v>
                </c:pt>
                <c:pt idx="5">
                  <c:v>Онкологія</c:v>
                </c:pt>
                <c:pt idx="6">
                  <c:v>Психіатрія та неврологія</c:v>
                </c:pt>
              </c:strCache>
            </c:strRef>
          </c:cat>
          <c:val>
            <c:numRef>
              <c:f>Sheet1!$C$2:$C$8</c:f>
              <c:numCache>
                <c:formatCode>General</c:formatCode>
                <c:ptCount val="7"/>
                <c:pt idx="0">
                  <c:v>5</c:v>
                </c:pt>
                <c:pt idx="1">
                  <c:v>6</c:v>
                </c:pt>
                <c:pt idx="2">
                  <c:v>6</c:v>
                </c:pt>
                <c:pt idx="3">
                  <c:v>14</c:v>
                </c:pt>
                <c:pt idx="4">
                  <c:v>14</c:v>
                </c:pt>
                <c:pt idx="5">
                  <c:v>30</c:v>
                </c:pt>
                <c:pt idx="6">
                  <c:v>26</c:v>
                </c:pt>
              </c:numCache>
            </c:numRef>
          </c:val>
        </c:ser>
        <c:ser>
          <c:idx val="5"/>
          <c:order val="5"/>
          <c:tx>
            <c:strRef>
              <c:f>Sheet1!$D$1</c:f>
              <c:strCache>
                <c:ptCount val="1"/>
                <c:pt idx="0">
                  <c:v>2017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Гематологія</c:v>
                </c:pt>
                <c:pt idx="1">
                  <c:v>Кардіологія</c:v>
                </c:pt>
                <c:pt idx="2">
                  <c:v>Ендокринологія</c:v>
                </c:pt>
                <c:pt idx="3">
                  <c:v>Ревматологія</c:v>
                </c:pt>
                <c:pt idx="4">
                  <c:v>Пульмонологія</c:v>
                </c:pt>
                <c:pt idx="5">
                  <c:v>Онкологія</c:v>
                </c:pt>
                <c:pt idx="6">
                  <c:v>Психіатрія та неврологія</c:v>
                </c:pt>
              </c:strCache>
            </c:strRef>
          </c:cat>
          <c:val>
            <c:numRef>
              <c:f>Sheet1!$D$2:$D$8</c:f>
              <c:numCache>
                <c:formatCode>General</c:formatCode>
                <c:ptCount val="7"/>
                <c:pt idx="0">
                  <c:v>10</c:v>
                </c:pt>
                <c:pt idx="1">
                  <c:v>14</c:v>
                </c:pt>
                <c:pt idx="2">
                  <c:v>10</c:v>
                </c:pt>
                <c:pt idx="3">
                  <c:v>23</c:v>
                </c:pt>
                <c:pt idx="4">
                  <c:v>7</c:v>
                </c:pt>
                <c:pt idx="5">
                  <c:v>33</c:v>
                </c:pt>
                <c:pt idx="6">
                  <c:v>29</c:v>
                </c:pt>
              </c:numCache>
            </c:numRef>
          </c:val>
        </c:ser>
        <c:ser>
          <c:idx val="6"/>
          <c:order val="6"/>
          <c:tx>
            <c:strRef>
              <c:f>Sheet1!$E$1</c:f>
              <c:strCache>
                <c:ptCount val="1"/>
                <c:pt idx="0">
                  <c:v>Тра.18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Sheet1!$A$2:$A$8</c:f>
              <c:strCache>
                <c:ptCount val="7"/>
                <c:pt idx="0">
                  <c:v>Гематологія</c:v>
                </c:pt>
                <c:pt idx="1">
                  <c:v>Кардіологія</c:v>
                </c:pt>
                <c:pt idx="2">
                  <c:v>Ендокринологія</c:v>
                </c:pt>
                <c:pt idx="3">
                  <c:v>Ревматологія</c:v>
                </c:pt>
                <c:pt idx="4">
                  <c:v>Пульмонологія</c:v>
                </c:pt>
                <c:pt idx="5">
                  <c:v>Онкологія</c:v>
                </c:pt>
                <c:pt idx="6">
                  <c:v>Психіатрія та неврологія</c:v>
                </c:pt>
              </c:strCache>
            </c:strRef>
          </c:cat>
          <c:val>
            <c:numRef>
              <c:f>Sheet1!$E$2:$E$8</c:f>
              <c:numCache>
                <c:formatCode>General</c:formatCode>
                <c:ptCount val="7"/>
                <c:pt idx="0">
                  <c:v>4</c:v>
                </c:pt>
                <c:pt idx="1">
                  <c:v>1</c:v>
                </c:pt>
                <c:pt idx="2">
                  <c:v>3</c:v>
                </c:pt>
                <c:pt idx="3">
                  <c:v>3</c:v>
                </c:pt>
                <c:pt idx="4">
                  <c:v>5</c:v>
                </c:pt>
                <c:pt idx="5">
                  <c:v>22</c:v>
                </c:pt>
                <c:pt idx="6">
                  <c:v>11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17852728"/>
        <c:axId val="117884152"/>
      </c:barChart>
      <c:catAx>
        <c:axId val="1178527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uk-UA"/>
          </a:p>
        </c:txPr>
        <c:crossAx val="117884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78841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uk-UA"/>
          </a:p>
        </c:txPr>
        <c:crossAx val="117852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57809430941875295"/>
          <c:y val="0.68224946457963942"/>
          <c:w val="0.37631895858218961"/>
          <c:h val="7.3402052016225239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" pitchFamily="34" charset="0"/>
          <a:cs typeface="Arial" pitchFamily="34" charset="0"/>
        </a:defRPr>
      </a:pPr>
      <a:endParaRPr lang="uk-UA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829682977311272E-2"/>
          <c:y val="0.14815269831291028"/>
          <c:w val="0.93584432090296565"/>
          <c:h val="0.667811520564123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І фаза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3</c:v>
                </c:pt>
                <c:pt idx="2">
                  <c:v>9</c:v>
                </c:pt>
                <c:pt idx="3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 /ІІфаза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І /ІІІфаза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ІІ фаза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26</c:v>
                </c:pt>
                <c:pt idx="1">
                  <c:v>37</c:v>
                </c:pt>
                <c:pt idx="2">
                  <c:v>53</c:v>
                </c:pt>
                <c:pt idx="3">
                  <c:v>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ІІ/ІІІ фаза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1</c:v>
                </c:pt>
                <c:pt idx="1">
                  <c:v>7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ІІІ фаза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Лист1!$G$2:$G$5</c:f>
              <c:numCache>
                <c:formatCode>General</c:formatCode>
                <c:ptCount val="4"/>
                <c:pt idx="0">
                  <c:v>110</c:v>
                </c:pt>
                <c:pt idx="1">
                  <c:v>84</c:v>
                </c:pt>
                <c:pt idx="2">
                  <c:v>111</c:v>
                </c:pt>
                <c:pt idx="3">
                  <c:v>46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ІІІ/ІV фаза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Лист1!$H$2:$H$5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IV фаза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 formatCode="mmm\-yy">
                  <c:v>43221</c:v>
                </c:pt>
              </c:numCache>
            </c:numRef>
          </c:cat>
          <c:val>
            <c:numRef>
              <c:f>Лист1!$I$2:$I$5</c:f>
              <c:numCache>
                <c:formatCode>General</c:formatCode>
                <c:ptCount val="4"/>
                <c:pt idx="0">
                  <c:v>5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18146984"/>
        <c:axId val="118155560"/>
      </c:barChart>
      <c:catAx>
        <c:axId val="118146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uk-UA"/>
          </a:p>
        </c:txPr>
        <c:crossAx val="118155560"/>
        <c:crosses val="autoZero"/>
        <c:auto val="1"/>
        <c:lblAlgn val="ctr"/>
        <c:lblOffset val="100"/>
        <c:noMultiLvlLbl val="0"/>
      </c:catAx>
      <c:valAx>
        <c:axId val="118155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uk-UA"/>
          </a:p>
        </c:txPr>
        <c:crossAx val="118146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uk-U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latin typeface="Arial" pitchFamily="34" charset="0"/>
          <a:cs typeface="Arial" pitchFamily="34" charset="0"/>
        </a:defRPr>
      </a:pPr>
      <a:endParaRPr lang="uk-UA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8178</Words>
  <Characters>4662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Ковтун Людмила Іванівна</cp:lastModifiedBy>
  <cp:revision>2</cp:revision>
  <cp:lastPrinted>2018-06-06T05:43:00Z</cp:lastPrinted>
  <dcterms:created xsi:type="dcterms:W3CDTF">2018-06-06T12:26:00Z</dcterms:created>
  <dcterms:modified xsi:type="dcterms:W3CDTF">2018-06-06T12:26:00Z</dcterms:modified>
</cp:coreProperties>
</file>