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ПЕРЕЛІК</w:t>
      </w:r>
    </w:p>
    <w:p>
      <w:pPr>
        <w:pStyle w:val="Normal1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 xml:space="preserve">ЛІКАРСЬКИХ ЗАСОБІВ, НА ЯКІ ЗАВЕРШЕНО ПЕРЕВІРКУ РЕЄСТРАЦІЙНИХ МАТЕРІАЛІВ НА ЇХ АВТЕНТИЧНІСТЬ НА ЛІКАРСЬКИЙ ЗАСІБ, ЯКИЙ ПОДАЄТЬСЯ НА ДЕРЖАВНУ РЕЄСТРАЦІЮ З МЕТОЮ ЙОГО ЗАКУПІВЛІ ОСОБОЮ, УПОВНОВАЖЕНОЮ НА ЗДІЙСНЕННЯ ЗАКУПІВЕЛЬ У СФЕРІ ОХОРОНИ ЗДОРОВ'Я, </w:t>
        <w:br/>
        <w:t xml:space="preserve">ТА ПОДАЄТЬСЯ НА ДЕРЖАВНУ РЕЄСТРАЦІЮ ПІСЛЯ ВИЗНАЧЕННЯ ПЕРЕМОЖЦЯ ПРОЦЕДУРИ ЗАКУПІВЛІ </w:t>
      </w:r>
    </w:p>
    <w:p>
      <w:pPr>
        <w:pStyle w:val="Normal1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tbl>
      <w:tblPr>
        <w:tblW w:w="15745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8"/>
        <w:gridCol w:w="1133"/>
        <w:gridCol w:w="851"/>
        <w:gridCol w:w="709"/>
        <w:gridCol w:w="992"/>
        <w:gridCol w:w="1134"/>
        <w:gridCol w:w="1134"/>
        <w:gridCol w:w="850"/>
        <w:gridCol w:w="2127"/>
        <w:gridCol w:w="992"/>
        <w:gridCol w:w="1559"/>
        <w:gridCol w:w="1134"/>
        <w:gridCol w:w="991"/>
        <w:gridCol w:w="1571"/>
      </w:tblGrid>
      <w:tr>
        <w:trPr>
          <w:tblHeader w:val="true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>
          <w:tblHeader w:val="true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b/>
                <w:b/>
                <w:i/>
                <w:i/>
                <w:sz w:val="16"/>
                <w:szCs w:val="16"/>
                <w:lang w:val="ru-RU" w:eastAsia="en-US"/>
              </w:rPr>
            </w:pPr>
            <w:r>
              <w:rPr>
                <w:rFonts w:eastAsia="Calibri" w:cs="Arial" w:ascii="Arial" w:hAnsi="Arial"/>
                <w:b/>
                <w:i/>
                <w:sz w:val="16"/>
                <w:szCs w:val="16"/>
                <w:lang w:val="ru-RU" w:eastAsia="en-US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1187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Msolistparagraph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ind w:left="360" w:hanging="360"/>
              <w:rPr>
                <w:rFonts w:ascii="Arial" w:hAnsi="Arial" w:eastAsia="Calibri" w:cs="Arial"/>
                <w:b/>
                <w:b/>
                <w:sz w:val="16"/>
                <w:szCs w:val="16"/>
                <w:lang w:val="ru-RU" w:eastAsia="en-US"/>
              </w:rPr>
            </w:pPr>
            <w:r>
              <w:rPr>
                <w:rFonts w:eastAsia="Calibri" w:cs="Arial" w:ascii="Arial" w:hAnsi="Arial"/>
                <w:b/>
                <w:sz w:val="16"/>
                <w:szCs w:val="16"/>
                <w:lang w:val="ru-RU" w:eastAsia="en-US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ДАПТОМІЦИН ДЛЯ ІН'ЄКЦІЙ DAPTOMYCIN FOR INJECTION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daptomycin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даптоміцин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J01X X09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ліофілізований для розчину для ін'єкцій або інфузій, по 350 мг/флакон, по 1 флакону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Нанкін Кінг-Френд Байокемікал Фармасьютікал Ко., Лтд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Китайська Народна Республіка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контроль якості, первинна й вторинна упаковка та випуск серій готових лікарських засобів:</w:t>
              <w:br/>
              <w:t>Нанкін Кінг-Френд Байокемікал Фармасьютікал Ко., Лтд., Китай</w:t>
              <w:br/>
            </w:r>
          </w:p>
          <w:p>
            <w:pPr>
              <w:pStyle w:val="Normal1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якості готового ЛЗ за показником специфікації "Elemental impurities" USP &lt;232&gt;, USP &lt;233&gt;:</w:t>
              <w:br/>
              <w:t xml:space="preserve">Кіндос Фармасьютікалз Ко., Лтд., Китай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до введення в дію Закону України від 28 липня 2022 року № 2469-IX «Про лікарські засоби»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ind w:left="-185" w:hanging="0"/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 xml:space="preserve">за </w:t>
            </w:r>
          </w:p>
          <w:p>
            <w:pPr>
              <w:pStyle w:val="Normal1"/>
              <w:tabs>
                <w:tab w:val="left" w:pos="12600" w:leader="none"/>
              </w:tabs>
              <w:ind w:left="-185" w:hanging="0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UA/21477/01/0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  <w:lang w:val="en-US"/>
              </w:rPr>
              <w:t>1</w:t>
            </w:r>
          </w:p>
        </w:tc>
      </w:tr>
    </w:tbl>
    <w:p>
      <w:pPr>
        <w:pStyle w:val="Normal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sectPr>
      <w:type w:val="nextPage"/>
      <w:pgSz w:orient="landscape" w:w="16838" w:h="11906"/>
      <w:pgMar w:left="850" w:right="850" w:header="0" w:top="1417" w:footer="0" w:bottom="85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uk-UA" w:bidi="ar-SA" w:eastAsia="zh-CN"/>
    </w:rPr>
  </w:style>
  <w:style w:type="paragraph" w:styleId="Heading2">
    <w:name w:val="Heading 2"/>
    <w:basedOn w:val="Normal"/>
    <w:next w:val="Normal1"/>
    <w:qFormat/>
    <w:pPr>
      <w:keepNext w:val="true"/>
      <w:numPr>
        <w:ilvl w:val="1"/>
        <w:numId w:val="1"/>
      </w:numPr>
      <w:outlineLvl w:val="1"/>
    </w:pPr>
    <w:rPr>
      <w:rFonts w:ascii="Arial" w:hAnsi="Arial" w:eastAsia="Times New Roman" w:cs="Arial"/>
      <w:b/>
      <w:caps/>
      <w:sz w:val="16"/>
      <w:szCs w:val="20"/>
    </w:rPr>
  </w:style>
  <w:style w:type="paragraph" w:styleId="Heading4">
    <w:name w:val="Heading 4"/>
    <w:basedOn w:val="Normal"/>
    <w:next w:val="Normal1"/>
    <w:qFormat/>
    <w:pPr>
      <w:keepNext w:val="true"/>
      <w:numPr>
        <w:ilvl w:val="3"/>
        <w:numId w:val="1"/>
      </w:numPr>
      <w:jc w:val="center"/>
      <w:outlineLvl w:val="3"/>
    </w:pPr>
    <w:rPr>
      <w:rFonts w:ascii="Arial" w:hAnsi="Arial" w:eastAsia="Times New Roman" w:cs="Arial"/>
      <w:b/>
      <w:sz w:val="20"/>
      <w:szCs w:val="20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12">
    <w:name w:val="Основной шрифт абзаца"/>
    <w:qFormat/>
    <w:rPr/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4">
    <w:name w:val="Заголовок 4 Знак"/>
    <w:qFormat/>
    <w:rPr>
      <w:rFonts w:ascii="Cambria" w:hAnsi="Cambria" w:eastAsia="Times New Roman" w:cs="Times New Roman"/>
      <w:b/>
      <w:bCs/>
      <w:i/>
      <w:iCs/>
      <w:color w:val="4F81BD"/>
      <w:sz w:val="24"/>
      <w:szCs w:val="24"/>
    </w:rPr>
  </w:style>
  <w:style w:type="character" w:styleId="Heading2Char">
    <w:name w:val="Heading 2 Char"/>
    <w:qFormat/>
    <w:rPr>
      <w:rFonts w:ascii="Arial" w:hAnsi="Arial" w:eastAsia="Times New Roman" w:cs="Times New Roman"/>
      <w:b/>
      <w:bCs w:val="false"/>
      <w:caps/>
      <w:sz w:val="16"/>
      <w:lang w:val="ru-RU"/>
    </w:rPr>
  </w:style>
  <w:style w:type="character" w:styleId="Heading4Char">
    <w:name w:val="Heading 4 Char"/>
    <w:qFormat/>
    <w:rPr>
      <w:rFonts w:ascii="Arial" w:hAnsi="Arial" w:eastAsia="Times New Roman" w:cs="Times New Roman"/>
      <w:b/>
      <w:bCs w:val="false"/>
      <w:lang w:val="ru-RU"/>
    </w:rPr>
  </w:style>
  <w:style w:type="character" w:styleId="Style13">
    <w:name w:val="Текст выноски Знак"/>
    <w:qFormat/>
    <w:rPr>
      <w:rFonts w:ascii="Segoe UI" w:hAnsi="Segoe UI" w:eastAsia="Times New Roman" w:cs="Segoe UI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1">
    <w:name w:val="LO-Normal"/>
    <w:basedOn w:val="Normal"/>
    <w:qFormat/>
    <w:pPr/>
    <w:rPr/>
  </w:style>
  <w:style w:type="paragraph" w:styleId="Msolistparagraph">
    <w:name w:val="msolistparagraph"/>
    <w:basedOn w:val="Normal"/>
    <w:qFormat/>
    <w:pPr>
      <w:spacing w:before="0" w:after="0"/>
      <w:ind w:left="720" w:hanging="0"/>
      <w:contextualSpacing/>
    </w:pPr>
    <w:rPr/>
  </w:style>
  <w:style w:type="paragraph" w:styleId="Encryption">
    <w:name w:val="Encryption"/>
    <w:basedOn w:val="Normal"/>
    <w:qFormat/>
    <w:pPr>
      <w:jc w:val="both"/>
    </w:pPr>
    <w:rPr>
      <w:b/>
      <w:bCs/>
      <w:i/>
      <w:iCs/>
    </w:rPr>
  </w:style>
  <w:style w:type="paragraph" w:styleId="WWHeading2">
    <w:name w:val="WW-Heading 2"/>
    <w:basedOn w:val="Normal"/>
    <w:qFormat/>
    <w:pPr/>
    <w:rPr/>
  </w:style>
  <w:style w:type="paragraph" w:styleId="WWHeading4">
    <w:name w:val="WW-Heading 4"/>
    <w:basedOn w:val="Normal"/>
    <w:qFormat/>
    <w:pPr/>
    <w:rPr/>
  </w:style>
  <w:style w:type="paragraph" w:styleId="Style14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LibreOffice/5.3.6.1$Linux_X86_64 LibreOffice_project/30$Build-1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2026-09-25T10:47:00Z</dcterms:created>
  <dc:creator>Vitaliya</dc:creator>
  <dc:description/>
  <dc:language>ru-RU</dc:language>
  <cp:lastModifiedBy>Кунцевич Олена Іванівна</cp:lastModifiedBy>
  <cp:lastPrinted>2021-07-15T10:59:00Z</cp:lastPrinted>
  <dcterms:modified xsi:type="dcterms:W3CDTF">2026-10-01T17:50:00Z</dcterms:modified>
  <cp:revision>4</cp:revision>
  <dc:subject/>
  <dc:title/>
</cp:coreProperties>
</file>