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3825" w:type="dxa"/>
        <w:jc w:val="left"/>
        <w:tblInd w:w="11448" w:type="dxa"/>
        <w:tblBorders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5"/>
      </w:tblGrid>
      <w:tr>
        <w:trPr>
          <w:trHeight w:val="711" w:hRule="atLeast"/>
        </w:trPr>
        <w:tc>
          <w:tcPr>
            <w:tcW w:w="3825" w:type="dxa"/>
            <w:tcBorders/>
            <w:shd w:fill="auto" w:val="clear"/>
          </w:tcPr>
          <w:p>
            <w:pPr>
              <w:pStyle w:val="Heading4"/>
              <w:numPr>
                <w:ilvl w:val="3"/>
                <w:numId w:val="1"/>
              </w:numPr>
              <w:tabs>
                <w:tab w:val="left" w:pos="12600" w:leader="none"/>
              </w:tabs>
              <w:jc w:val="lef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Додаток</w:t>
            </w:r>
            <w:r>
              <w:rPr>
                <w:rFonts w:cs="Arial"/>
                <w:sz w:val="16"/>
                <w:szCs w:val="16"/>
                <w:lang w:val="ru-RU"/>
              </w:rPr>
              <w:t xml:space="preserve"> 1</w:t>
            </w:r>
          </w:p>
          <w:p>
            <w:pPr>
              <w:pStyle w:val="Heading4"/>
              <w:numPr>
                <w:ilvl w:val="3"/>
                <w:numId w:val="1"/>
              </w:numPr>
              <w:tabs>
                <w:tab w:val="left" w:pos="12600" w:leader="none"/>
              </w:tabs>
              <w:jc w:val="lef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до Наказу Міністерства охорони</w:t>
            </w:r>
          </w:p>
          <w:p>
            <w:pPr>
              <w:pStyle w:val="Heading4"/>
              <w:numPr>
                <w:ilvl w:val="3"/>
                <w:numId w:val="1"/>
              </w:numPr>
              <w:tabs>
                <w:tab w:val="left" w:pos="12600" w:leader="none"/>
              </w:tabs>
              <w:jc w:val="lef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здоров’я України</w:t>
            </w:r>
          </w:p>
          <w:p>
            <w:pPr>
              <w:pStyle w:val="Heading4"/>
              <w:numPr>
                <w:ilvl w:val="3"/>
                <w:numId w:val="1"/>
              </w:numPr>
              <w:tabs>
                <w:tab w:val="left" w:pos="12600" w:leader="none"/>
              </w:tabs>
              <w:jc w:val="lef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____________________ № _______</w:t>
            </w:r>
          </w:p>
        </w:tc>
      </w:tr>
    </w:tbl>
    <w:p>
      <w:pPr>
        <w:pStyle w:val="Normal"/>
        <w:keepNext w:val="true"/>
        <w:numPr>
          <w:ilvl w:val="0"/>
          <w:numId w:val="0"/>
        </w:numPr>
        <w:tabs>
          <w:tab w:val="left" w:pos="12600" w:leader="none"/>
        </w:tabs>
        <w:jc w:val="center"/>
        <w:outlineLvl w:val="1"/>
        <w:rPr>
          <w:rFonts w:ascii="Arial" w:hAnsi="Arial" w:cs="Arial"/>
          <w:b/>
          <w:b/>
          <w:caps/>
          <w:sz w:val="16"/>
          <w:szCs w:val="16"/>
        </w:rPr>
      </w:pPr>
      <w:r>
        <w:rPr>
          <w:rFonts w:cs="Arial" w:ascii="Arial" w:hAnsi="Arial"/>
          <w:b/>
          <w:caps/>
          <w:sz w:val="16"/>
          <w:szCs w:val="16"/>
        </w:rPr>
      </w:r>
    </w:p>
    <w:p>
      <w:pPr>
        <w:pStyle w:val="Normal"/>
        <w:keepNext w:val="true"/>
        <w:numPr>
          <w:ilvl w:val="0"/>
          <w:numId w:val="0"/>
        </w:numPr>
        <w:tabs>
          <w:tab w:val="left" w:pos="12600" w:leader="none"/>
        </w:tabs>
        <w:jc w:val="center"/>
        <w:outlineLvl w:val="1"/>
        <w:rPr>
          <w:rFonts w:ascii="Arial" w:hAnsi="Arial" w:cs="Arial"/>
          <w:b/>
          <w:b/>
          <w:caps/>
          <w:sz w:val="16"/>
          <w:szCs w:val="16"/>
        </w:rPr>
      </w:pPr>
      <w:r>
        <w:rPr>
          <w:rFonts w:cs="Arial" w:ascii="Arial" w:hAnsi="Arial"/>
          <w:b/>
          <w:caps/>
          <w:sz w:val="16"/>
          <w:szCs w:val="16"/>
        </w:rPr>
      </w:r>
    </w:p>
    <w:p>
      <w:pPr>
        <w:pStyle w:val="Normal"/>
        <w:keepNext w:val="true"/>
        <w:numPr>
          <w:ilvl w:val="0"/>
          <w:numId w:val="0"/>
        </w:numPr>
        <w:tabs>
          <w:tab w:val="left" w:pos="12600" w:leader="none"/>
        </w:tabs>
        <w:jc w:val="center"/>
        <w:outlineLvl w:val="1"/>
        <w:rPr>
          <w:rFonts w:ascii="Arial" w:hAnsi="Arial" w:cs="Arial"/>
          <w:b/>
          <w:b/>
        </w:rPr>
      </w:pPr>
      <w:r>
        <w:rPr>
          <w:rFonts w:cs="Arial" w:ascii="Arial" w:hAnsi="Arial"/>
          <w:b/>
          <w:caps/>
        </w:rPr>
        <w:t>ПЕРЕЛІК</w:t>
      </w:r>
    </w:p>
    <w:p>
      <w:pPr>
        <w:pStyle w:val="Normal"/>
        <w:keepNext w:val="true"/>
        <w:numPr>
          <w:ilvl w:val="0"/>
          <w:numId w:val="0"/>
        </w:numPr>
        <w:jc w:val="center"/>
        <w:outlineLvl w:val="3"/>
        <w:rPr>
          <w:rFonts w:ascii="Arial" w:hAnsi="Arial" w:cs="Arial"/>
          <w:b/>
          <w:b/>
          <w:caps/>
        </w:rPr>
      </w:pPr>
      <w:r>
        <w:rPr>
          <w:rFonts w:cs="Arial" w:ascii="Arial" w:hAnsi="Arial"/>
          <w:b/>
          <w:caps/>
        </w:rPr>
        <w:t xml:space="preserve">ЛІКАРСЬКИХ ЗАСОБІВ, що пропонуються до державної реєстрації </w:t>
      </w:r>
    </w:p>
    <w:p>
      <w:pPr>
        <w:pStyle w:val="Normal"/>
        <w:keepNext w:val="true"/>
        <w:numPr>
          <w:ilvl w:val="0"/>
          <w:numId w:val="0"/>
        </w:numPr>
        <w:jc w:val="center"/>
        <w:outlineLvl w:val="3"/>
        <w:rPr>
          <w:rFonts w:ascii="Arial" w:hAnsi="Arial" w:cs="Arial"/>
          <w:b/>
          <w:b/>
          <w:caps/>
        </w:rPr>
      </w:pPr>
      <w:r>
        <w:rPr>
          <w:rFonts w:cs="Arial" w:ascii="Arial" w:hAnsi="Arial"/>
          <w:b/>
          <w:caps/>
        </w:rPr>
      </w:r>
    </w:p>
    <w:tbl>
      <w:tblPr>
        <w:tblW w:w="16028" w:type="dxa"/>
        <w:jc w:val="left"/>
        <w:tblInd w:w="-464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567"/>
        <w:gridCol w:w="1276"/>
        <w:gridCol w:w="1134"/>
        <w:gridCol w:w="992"/>
        <w:gridCol w:w="851"/>
        <w:gridCol w:w="1701"/>
        <w:gridCol w:w="1134"/>
        <w:gridCol w:w="1134"/>
        <w:gridCol w:w="1276"/>
        <w:gridCol w:w="1134"/>
        <w:gridCol w:w="1275"/>
        <w:gridCol w:w="1134"/>
        <w:gridCol w:w="993"/>
        <w:gridCol w:w="1427"/>
      </w:tblGrid>
      <w:tr>
        <w:trPr>
          <w:tblHeader w:val="true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№</w:t>
            </w:r>
            <w:r>
              <w:rPr>
                <w:rFonts w:eastAsia="Arial" w:cs="Arial" w:ascii="Arial" w:hAnsi="Arial"/>
                <w:b/>
                <w:i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b/>
                <w:i/>
                <w:sz w:val="16"/>
                <w:szCs w:val="16"/>
              </w:rPr>
              <w:t>п/п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лікарського засобу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Форма випуску (лікарська форма, упаковка)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Заявник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Країна заявника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Виробник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Країна виробника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Умови відпуску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Рекламування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Номер реєстраційного посвідчення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4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ВАЛСАРТАН ТРІО-ТЕВА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valsartan, amlodipine and hydrochlorothiazide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амлодипін (у вигляді амлодипіну бесилату), валсартан, гідрохлоротіазид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C09DX01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10 мг/320 мг/25 мг; по 10 таблеток у блістері; по 3 або 9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«Тева Україна»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Балканфарма-Дупниця АД</w:t>
              <w:br/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Болгарія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  <w:br/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UA/21400/01/02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4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ВАЛСАРТАН ТРІО-ТЕВА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valsartan, amlodipine and hydrochlorothiazide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амлодипін (у вигляді амлодипіну бесилату), валсартан, гідрохлоротіазид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C09DX01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5 мг/160 мг/12,5 мг; по 10 таблеток у блістері; по 3 або 9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«Тева Україна»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Балканфарма-Дупниця АД</w:t>
              <w:br/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Болгарія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  <w:br/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UA/21400/01/01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4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РИВАРОКСІЯ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rivaroxaban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ривароксабан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B01AF01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15 мг, по 14 таблеток у блістері, по 1, 2 або 7 блістерів у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КРКА, д.д., Ново место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"in bulk", первинне та вторинне пакування, контроль серії та випуск серії: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КРКА, д.д., Ново место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UA/21401/01/03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4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РИВАРОКСІЯ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rivaroxaban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ривароксабан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B01AF01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таблетки, вкриті плівковою оболонкою, по 20 мг, по 14 таблеток у блістері, по 2 або 7 блістерів у коробці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КРКА, д.д., Ново место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"in bulk", первинне та вторинне пакування, контроль серії та випуск серії: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КРКА, д.д., Ново место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  <w:br/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UA/21401/01/04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4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РИВАРОКСІЯ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rivaroxaban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ривароксабан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B01AF01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таблетки, вкриті плівковою оболонкою, по 10 мг, по 14 таблеток у блістері, по 1 або 2 блістери у коробці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КРКА, д.д., Ново место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"in bulk", первинне та вторинне пакування, контроль серії та випуск серії: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КРКА, д.д., Ново место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  <w:br/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UA/21401/01/02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4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РИВАРОКСІЯ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rivaroxaban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ривароксабан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B01AF01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2,5 мг, по 14 таблеток у блістері, по 4 або 7 блістерів у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КРКА, д.д., Ново место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"in bulk", первинне та вторинне пакування, контроль серії та випуск серії: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КРКА, д.д., Ново место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  <w:br/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UA/21401/01/01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4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ТГК ДИСТИЛЯТ 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містить ТГК + ТГКК, в перерахунку на сумарний вміст тетрагідроканабінолу і на суху речовину та КБД + КБДК, в перерахунку на сумарний вміст канабідіолу і на суху речовину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в'язка рідина (субстанція) у скляних флаконах для фармацевтичного застосування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Фугер Мед Кфт. 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ЕКОМЕДІКС С.А.С.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Колумбія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UA/21402/01/01</w:t>
            </w:r>
          </w:p>
        </w:tc>
      </w:tr>
    </w:tbl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/>
      </w:pPr>
      <w:r>
        <w:rPr>
          <w:rFonts w:cs="Arial" w:ascii="Arial" w:hAnsi="Arial"/>
        </w:rPr>
        <w:t>*</w:t>
      </w:r>
      <w:r>
        <w:rPr>
          <w:rFonts w:cs="Arial" w:ascii="Arial" w:hAnsi="Arial"/>
          <w:sz w:val="28"/>
          <w:szCs w:val="28"/>
        </w:rPr>
        <w:t xml:space="preserve"> </w:t>
      </w:r>
      <w:r>
        <w:rPr>
          <w:rFonts w:cs="Arial" w:ascii="Arial" w:hAnsi="Arial"/>
          <w:i/>
          <w:sz w:val="16"/>
          <w:szCs w:val="16"/>
        </w:rPr>
        <w:t>відповідно до інформації офіційного сайту Центру ВООЗ по співпраці в методології статистичних досліджень (</w:t>
      </w:r>
      <w:hyperlink r:id="rId2">
        <w:r>
          <w:rPr>
            <w:rStyle w:val="InternetLink"/>
            <w:rFonts w:cs="Arial" w:ascii="Arial" w:hAnsi="Arial"/>
            <w:i/>
            <w:color w:val="000000"/>
            <w:szCs w:val="16"/>
          </w:rPr>
          <w:t>https://www.whocc.no/atc_ddd_index/</w:t>
        </w:r>
      </w:hyperlink>
      <w:r>
        <w:rPr>
          <w:rStyle w:val="InternetLink"/>
          <w:rFonts w:cs="Arial" w:ascii="Arial" w:hAnsi="Arial"/>
          <w:i/>
          <w:color w:val="000000"/>
          <w:szCs w:val="16"/>
        </w:rPr>
        <w:t>)</w:t>
      </w:r>
    </w:p>
    <w:p>
      <w:pPr>
        <w:pStyle w:val="Normal"/>
        <w:rPr>
          <w:rStyle w:val="InternetLink"/>
          <w:rFonts w:ascii="Arial" w:hAnsi="Arial" w:cs="Arial"/>
          <w:i/>
          <w:i/>
          <w:color w:val="000000"/>
          <w:szCs w:val="16"/>
        </w:rPr>
      </w:pPr>
      <w:r>
        <w:rPr/>
      </w:r>
    </w:p>
    <w:p>
      <w:pPr>
        <w:pStyle w:val="Normal"/>
        <w:rPr>
          <w:rStyle w:val="InternetLink"/>
          <w:rFonts w:ascii="Arial" w:hAnsi="Arial" w:cs="Arial"/>
          <w:i/>
          <w:i/>
          <w:color w:val="000000"/>
          <w:szCs w:val="16"/>
        </w:rPr>
      </w:pPr>
      <w:r>
        <w:rPr/>
      </w:r>
    </w:p>
    <w:tbl>
      <w:tblPr>
        <w:tblW w:w="14843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1"/>
        <w:gridCol w:w="7422"/>
      </w:tblGrid>
      <w:tr>
        <w:trPr/>
        <w:tc>
          <w:tcPr>
            <w:tcW w:w="7421" w:type="dxa"/>
            <w:tcBorders/>
            <w:shd w:fill="auto" w:val="clear"/>
          </w:tcPr>
          <w:p>
            <w:pPr>
              <w:pStyle w:val="Normal"/>
              <w:ind w:right="20" w:hanging="0"/>
              <w:rPr>
                <w:rStyle w:val="Cs95e872d01"/>
                <w:rFonts w:ascii="Arial" w:hAnsi="Arial" w:cs="Arial"/>
                <w:lang w:val="ru-RU"/>
              </w:rPr>
            </w:pPr>
            <w:r>
              <w:rPr>
                <w:rStyle w:val="Cs7864ebcf1"/>
                <w:rFonts w:cs="Arial" w:ascii="Arial" w:hAnsi="Arial"/>
                <w:color w:val="000000"/>
                <w:sz w:val="24"/>
                <w:szCs w:val="24"/>
              </w:rPr>
              <w:t xml:space="preserve">Начальник </w:t>
            </w:r>
          </w:p>
          <w:p>
            <w:pPr>
              <w:pStyle w:val="Normal"/>
              <w:ind w:right="20" w:hanging="0"/>
              <w:rPr>
                <w:rStyle w:val="Cs7864ebcf1"/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Style w:val="Cs7864ebcf1"/>
                <w:rFonts w:cs="Arial" w:ascii="Arial" w:hAnsi="Arial"/>
                <w:color w:val="000000"/>
                <w:sz w:val="24"/>
                <w:szCs w:val="24"/>
              </w:rPr>
              <w:t xml:space="preserve">Фармацевтичного управління </w:t>
            </w:r>
            <w:r>
              <w:rPr>
                <w:rStyle w:val="Cs188c92b51"/>
                <w:rFonts w:cs="Arial" w:ascii="Arial" w:hAnsi="Arial"/>
                <w:color w:val="000000"/>
                <w:sz w:val="24"/>
                <w:szCs w:val="24"/>
              </w:rPr>
              <w:t>                                 </w:t>
            </w:r>
          </w:p>
        </w:tc>
        <w:tc>
          <w:tcPr>
            <w:tcW w:w="7422" w:type="dxa"/>
            <w:tcBorders/>
            <w:shd w:fill="auto" w:val="clear"/>
          </w:tcPr>
          <w:p>
            <w:pPr>
              <w:pStyle w:val="Cs95e872d0"/>
              <w:snapToGrid w:val="false"/>
              <w:rPr>
                <w:rStyle w:val="Cs7864ebcf1"/>
                <w:rFonts w:ascii="Arial" w:hAnsi="Arial" w:cs="Arial"/>
                <w:color w:val="000000"/>
                <w:sz w:val="24"/>
                <w:szCs w:val="24"/>
              </w:rPr>
            </w:pPr>
            <w:r>
              <w:rPr/>
            </w:r>
          </w:p>
          <w:p>
            <w:pPr>
              <w:pStyle w:val="Cs95e872d0"/>
              <w:jc w:val="center"/>
              <w:rPr/>
            </w:pPr>
            <w:r>
              <w:rPr>
                <w:rStyle w:val="Cs7864ebcf1"/>
                <w:rFonts w:eastAsia="Arial" w:cs="Arial" w:ascii="Arial" w:hAnsi="Arial"/>
                <w:color w:val="000000"/>
                <w:sz w:val="24"/>
                <w:szCs w:val="24"/>
                <w:lang w:val="uk-UA"/>
              </w:rPr>
              <w:t xml:space="preserve">                                            </w:t>
            </w:r>
          </w:p>
          <w:p>
            <w:pPr>
              <w:pStyle w:val="Cs95e872d0"/>
              <w:jc w:val="center"/>
              <w:rPr/>
            </w:pPr>
            <w:r>
              <w:rPr>
                <w:rStyle w:val="Cs7864ebcf1"/>
                <w:rFonts w:eastAsia="Arial" w:cs="Arial" w:ascii="Arial" w:hAnsi="Arial"/>
                <w:color w:val="000000"/>
                <w:sz w:val="24"/>
                <w:szCs w:val="24"/>
                <w:lang w:val="uk-UA"/>
              </w:rPr>
              <w:t xml:space="preserve">                                   </w:t>
            </w:r>
            <w:r>
              <w:rPr>
                <w:rStyle w:val="Cs7864ebcf1"/>
                <w:rFonts w:cs="Arial" w:ascii="Arial" w:hAnsi="Arial"/>
                <w:color w:val="000000"/>
                <w:sz w:val="24"/>
                <w:szCs w:val="24"/>
                <w:lang w:val="uk-UA"/>
              </w:rPr>
              <w:t xml:space="preserve">Олександр ГРІЦЕНКО  </w:t>
            </w:r>
          </w:p>
        </w:tc>
      </w:tr>
    </w:tbl>
    <w:p>
      <w:pPr>
        <w:pStyle w:val="Normal"/>
        <w:rPr>
          <w:rStyle w:val="Cs7864ebcf1"/>
          <w:rFonts w:ascii="Arial" w:hAnsi="Arial" w:cs="Arial"/>
          <w:color w:val="000000"/>
          <w:sz w:val="16"/>
          <w:szCs w:val="16"/>
          <w:lang w:val="ru-RU"/>
        </w:rPr>
      </w:pPr>
      <w:r>
        <w:rPr/>
      </w:r>
      <w:r>
        <w:br w:type="page"/>
      </w:r>
    </w:p>
    <w:p>
      <w:pPr>
        <w:pStyle w:val="Normal"/>
        <w:rPr>
          <w:rFonts w:ascii="Arial" w:hAnsi="Arial" w:cs="Arial"/>
          <w:sz w:val="16"/>
          <w:szCs w:val="16"/>
          <w:lang w:val="ru-RU"/>
        </w:rPr>
      </w:pPr>
      <w:r>
        <w:rPr>
          <w:rFonts w:cs="Arial" w:ascii="Arial" w:hAnsi="Arial"/>
          <w:sz w:val="16"/>
          <w:szCs w:val="16"/>
          <w:lang w:val="ru-RU"/>
        </w:rPr>
      </w:r>
    </w:p>
    <w:tbl>
      <w:tblPr>
        <w:tblW w:w="3825" w:type="dxa"/>
        <w:jc w:val="left"/>
        <w:tblInd w:w="11448" w:type="dxa"/>
        <w:tblBorders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5"/>
      </w:tblGrid>
      <w:tr>
        <w:trPr/>
        <w:tc>
          <w:tcPr>
            <w:tcW w:w="3825" w:type="dxa"/>
            <w:tcBorders/>
            <w:shd w:fill="auto" w:val="clear"/>
          </w:tcPr>
          <w:p>
            <w:pPr>
              <w:pStyle w:val="Heading4"/>
              <w:numPr>
                <w:ilvl w:val="3"/>
                <w:numId w:val="1"/>
              </w:numPr>
              <w:tabs>
                <w:tab w:val="left" w:pos="12600" w:leader="none"/>
              </w:tabs>
              <w:jc w:val="lef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Додаток</w:t>
            </w:r>
            <w:r>
              <w:rPr>
                <w:rFonts w:cs="Arial"/>
                <w:sz w:val="16"/>
                <w:szCs w:val="16"/>
                <w:lang w:val="ru-RU"/>
              </w:rPr>
              <w:t xml:space="preserve"> 2</w:t>
            </w:r>
          </w:p>
          <w:p>
            <w:pPr>
              <w:pStyle w:val="Heading4"/>
              <w:numPr>
                <w:ilvl w:val="3"/>
                <w:numId w:val="1"/>
              </w:numPr>
              <w:tabs>
                <w:tab w:val="left" w:pos="12600" w:leader="none"/>
              </w:tabs>
              <w:jc w:val="lef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до Наказу Міністерства охорони</w:t>
            </w:r>
          </w:p>
          <w:p>
            <w:pPr>
              <w:pStyle w:val="Heading4"/>
              <w:numPr>
                <w:ilvl w:val="3"/>
                <w:numId w:val="1"/>
              </w:numPr>
              <w:tabs>
                <w:tab w:val="left" w:pos="12600" w:leader="none"/>
              </w:tabs>
              <w:jc w:val="lef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здоров’я України</w:t>
            </w:r>
          </w:p>
          <w:p>
            <w:pPr>
              <w:pStyle w:val="Heading4"/>
              <w:numPr>
                <w:ilvl w:val="3"/>
                <w:numId w:val="1"/>
              </w:numPr>
              <w:tabs>
                <w:tab w:val="left" w:pos="12600" w:leader="none"/>
              </w:tabs>
              <w:jc w:val="lef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____________________ № _______</w:t>
            </w:r>
          </w:p>
          <w:p>
            <w:pPr>
              <w:pStyle w:val="11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</w:tr>
    </w:tbl>
    <w:p>
      <w:pPr>
        <w:pStyle w:val="Normal"/>
        <w:keepNext w:val="true"/>
        <w:numPr>
          <w:ilvl w:val="0"/>
          <w:numId w:val="0"/>
        </w:numPr>
        <w:tabs>
          <w:tab w:val="left" w:pos="12600" w:leader="none"/>
        </w:tabs>
        <w:jc w:val="center"/>
        <w:outlineLvl w:val="1"/>
        <w:rPr>
          <w:rFonts w:ascii="Arial" w:hAnsi="Arial" w:cs="Arial"/>
          <w:b/>
          <w:b/>
          <w:caps/>
          <w:sz w:val="16"/>
          <w:szCs w:val="16"/>
        </w:rPr>
      </w:pPr>
      <w:r>
        <w:rPr>
          <w:rFonts w:cs="Arial" w:ascii="Arial" w:hAnsi="Arial"/>
          <w:b/>
          <w:caps/>
          <w:sz w:val="16"/>
          <w:szCs w:val="16"/>
        </w:rPr>
      </w:r>
    </w:p>
    <w:p>
      <w:pPr>
        <w:pStyle w:val="Normal"/>
        <w:keepNext w:val="true"/>
        <w:numPr>
          <w:ilvl w:val="0"/>
          <w:numId w:val="0"/>
        </w:numPr>
        <w:tabs>
          <w:tab w:val="left" w:pos="12600" w:leader="none"/>
        </w:tabs>
        <w:jc w:val="center"/>
        <w:outlineLvl w:val="1"/>
        <w:rPr>
          <w:rFonts w:ascii="Arial" w:hAnsi="Arial" w:cs="Arial"/>
          <w:b/>
          <w:b/>
        </w:rPr>
      </w:pPr>
      <w:r>
        <w:rPr>
          <w:rFonts w:cs="Arial" w:ascii="Arial" w:hAnsi="Arial"/>
          <w:b/>
          <w:caps/>
        </w:rPr>
        <w:t>ПЕРЕЛІК</w:t>
      </w:r>
    </w:p>
    <w:p>
      <w:pPr>
        <w:pStyle w:val="Normal"/>
        <w:keepNext w:val="true"/>
        <w:numPr>
          <w:ilvl w:val="0"/>
          <w:numId w:val="0"/>
        </w:numPr>
        <w:tabs>
          <w:tab w:val="left" w:pos="12600" w:leader="none"/>
        </w:tabs>
        <w:jc w:val="center"/>
        <w:outlineLvl w:val="3"/>
        <w:rPr>
          <w:rFonts w:ascii="Arial" w:hAnsi="Arial" w:cs="Arial"/>
          <w:b/>
          <w:b/>
          <w:caps/>
        </w:rPr>
      </w:pPr>
      <w:r>
        <w:rPr>
          <w:rFonts w:cs="Arial" w:ascii="Arial" w:hAnsi="Arial"/>
          <w:b/>
          <w:caps/>
        </w:rPr>
        <w:t>ЛІКАРСЬКИХ ЗАСОБІВ, що пропонуються до державної ПЕРЕреєстрації</w:t>
      </w:r>
    </w:p>
    <w:p>
      <w:pPr>
        <w:pStyle w:val="Normal"/>
        <w:keepNext w:val="true"/>
        <w:numPr>
          <w:ilvl w:val="0"/>
          <w:numId w:val="0"/>
        </w:numPr>
        <w:tabs>
          <w:tab w:val="left" w:pos="12600" w:leader="none"/>
        </w:tabs>
        <w:jc w:val="center"/>
        <w:outlineLvl w:val="3"/>
        <w:rPr>
          <w:rFonts w:ascii="Arial" w:hAnsi="Arial" w:cs="Arial"/>
          <w:b/>
          <w:b/>
          <w:caps/>
        </w:rPr>
      </w:pPr>
      <w:r>
        <w:rPr>
          <w:rFonts w:cs="Arial" w:ascii="Arial" w:hAnsi="Arial"/>
          <w:b/>
          <w:caps/>
        </w:rPr>
      </w:r>
    </w:p>
    <w:tbl>
      <w:tblPr>
        <w:tblW w:w="16028" w:type="dxa"/>
        <w:jc w:val="left"/>
        <w:tblInd w:w="-464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567"/>
        <w:gridCol w:w="1418"/>
        <w:gridCol w:w="992"/>
        <w:gridCol w:w="992"/>
        <w:gridCol w:w="851"/>
        <w:gridCol w:w="1701"/>
        <w:gridCol w:w="1134"/>
        <w:gridCol w:w="992"/>
        <w:gridCol w:w="1418"/>
        <w:gridCol w:w="992"/>
        <w:gridCol w:w="1417"/>
        <w:gridCol w:w="1134"/>
        <w:gridCol w:w="993"/>
        <w:gridCol w:w="1427"/>
      </w:tblGrid>
      <w:tr>
        <w:trPr>
          <w:tblHeader w:val="true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№</w:t>
            </w:r>
            <w:r>
              <w:rPr>
                <w:rFonts w:eastAsia="Arial" w:cs="Arial" w:ascii="Arial" w:hAnsi="Arial"/>
                <w:b/>
                <w:i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b/>
                <w:i/>
                <w:sz w:val="16"/>
                <w:szCs w:val="16"/>
              </w:rPr>
              <w:t>п/п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лікарського засобу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Форма випуску (лікарська форма, упаковка)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Заявник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Країна заявника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Виробник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Країна виробника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Умови відпуску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Рекламування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Номер реєстраційного посвідчення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5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АМБРОКСОЛУ ГІДРОХЛОРИД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ambroxol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амброксолу гідрохлорид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(субстанція) у подвійних поліетиленових пакетах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"КУСУМ"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Шілпа Фарма Лайфсайенсіз Лімітед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Перереєстрація на необмежений термін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UA/19146/01/01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5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МЕДІАТОРН®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ipidacrine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іпідакрину гідрохлорид моногідрат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N07AA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20 мг, по 10 таблеток у блістері, по 5 блістерів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"АРТЕРІУМ ЛТД"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ПАТ "Київмедпрепарат"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Перереєстрація на необмежений термін. </w:t>
              <w:br/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UA/18462/01/01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5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ПЕРІНДОПРЕС® ДУО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Perindopril and diuretics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периндоприлу трет-бутиламін та індапамід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C09BA04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таблетки по 8 мг/2,5 мг по 10 таблеток у блістері; по 3 або по 9 блістерів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ПрАТ "Фармацевтична фірма "Дарниця"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ПрАТ "Фармацевтична фірма "Дарниця"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Перереєстрація на необмежений термін.</w:t>
              <w:br/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UA/19069/01/02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5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ПЕРІНДОПРЕС® ДУО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Perindopril and diuretics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периндоприлу трет-бутиламін та індапамід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C09BA04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таблетки по 4 мг/1,25 мг по 10 таблеток у блістері; по 3 або по 9 блістерів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ПрАТ "Фармацевтична фірма "Дарниця"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ПрАТ "Фармацевтична фірма "Дарниця"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Перереєстрація на необмежений термін.</w:t>
              <w:br/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UA/19069/01/01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5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ПРОПОЛІСУ НАСТОЙКА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прополісу настойк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а</w:t>
            </w:r>
            <w:r>
              <w:rPr>
                <w:rFonts w:cs="Arial" w:ascii="Arial" w:hAnsi="Arial"/>
                <w:sz w:val="16"/>
                <w:szCs w:val="16"/>
              </w:rPr>
              <w:t xml:space="preserve"> (propolisi tinctura)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D03AX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настойка, по 25 мл або по 100 мл у флаконах скляних; по 100 мл у флаконах полімерних; по 100 мл у флаконі скляному або полімерному, по 1 флакону в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"Лубнифарм"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"Лубнифарм"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Перереєстрація на необмежений термін.</w:t>
              <w:br/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UA/19030/01/01</w:t>
            </w:r>
          </w:p>
        </w:tc>
      </w:tr>
    </w:tbl>
    <w:p>
      <w:pPr>
        <w:pStyle w:val="Normal"/>
        <w:rPr/>
      </w:pPr>
      <w:r>
        <w:rPr>
          <w:rFonts w:cs="Arial" w:ascii="Arial" w:hAnsi="Arial"/>
        </w:rPr>
        <w:t>*</w:t>
      </w:r>
      <w:r>
        <w:rPr>
          <w:rFonts w:cs="Arial" w:ascii="Arial" w:hAnsi="Arial"/>
          <w:sz w:val="28"/>
          <w:szCs w:val="28"/>
        </w:rPr>
        <w:t xml:space="preserve"> </w:t>
      </w:r>
      <w:r>
        <w:rPr>
          <w:rFonts w:cs="Arial" w:ascii="Arial" w:hAnsi="Arial"/>
          <w:i/>
          <w:sz w:val="16"/>
          <w:szCs w:val="16"/>
        </w:rPr>
        <w:t>відповідно до інформації офіційного сайту Центру ВООЗ по співпраці в методології статистичних досліджень (</w:t>
      </w:r>
      <w:hyperlink r:id="rId3">
        <w:r>
          <w:rPr>
            <w:rStyle w:val="InternetLink"/>
            <w:rFonts w:cs="Arial" w:ascii="Arial" w:hAnsi="Arial"/>
            <w:i/>
            <w:color w:val="000000"/>
            <w:szCs w:val="16"/>
          </w:rPr>
          <w:t>https://www.whocc.no/atc_ddd_index/</w:t>
        </w:r>
      </w:hyperlink>
      <w:r>
        <w:rPr>
          <w:rStyle w:val="InternetLink"/>
          <w:rFonts w:cs="Arial" w:ascii="Arial" w:hAnsi="Arial"/>
          <w:i/>
          <w:color w:val="000000"/>
          <w:szCs w:val="16"/>
        </w:rPr>
        <w:t>)</w:t>
      </w:r>
    </w:p>
    <w:tbl>
      <w:tblPr>
        <w:tblW w:w="14843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1"/>
        <w:gridCol w:w="7422"/>
      </w:tblGrid>
      <w:tr>
        <w:trPr/>
        <w:tc>
          <w:tcPr>
            <w:tcW w:w="7421" w:type="dxa"/>
            <w:tcBorders/>
            <w:shd w:fill="auto" w:val="clear"/>
          </w:tcPr>
          <w:p>
            <w:pPr>
              <w:pStyle w:val="Normal"/>
              <w:ind w:right="20" w:hanging="0"/>
              <w:rPr>
                <w:rStyle w:val="Cs95e872d01"/>
                <w:rFonts w:ascii="Arial" w:hAnsi="Arial" w:cs="Arial"/>
                <w:lang w:val="ru-RU"/>
              </w:rPr>
            </w:pPr>
            <w:r>
              <w:rPr>
                <w:rStyle w:val="Cs7864ebcf1"/>
                <w:rFonts w:cs="Arial" w:ascii="Arial" w:hAnsi="Arial"/>
                <w:color w:val="000000"/>
                <w:sz w:val="24"/>
                <w:szCs w:val="24"/>
              </w:rPr>
              <w:t xml:space="preserve">Начальник </w:t>
            </w:r>
          </w:p>
          <w:p>
            <w:pPr>
              <w:pStyle w:val="Normal"/>
              <w:ind w:right="20" w:hanging="0"/>
              <w:rPr>
                <w:rStyle w:val="Cs7864ebcf1"/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Style w:val="Cs7864ebcf1"/>
                <w:rFonts w:cs="Arial" w:ascii="Arial" w:hAnsi="Arial"/>
                <w:color w:val="000000"/>
                <w:sz w:val="24"/>
                <w:szCs w:val="24"/>
              </w:rPr>
              <w:t xml:space="preserve">Фармацевтичного управління </w:t>
            </w:r>
            <w:r>
              <w:rPr>
                <w:rStyle w:val="Cs188c92b51"/>
                <w:rFonts w:cs="Arial" w:ascii="Arial" w:hAnsi="Arial"/>
                <w:color w:val="000000"/>
                <w:sz w:val="24"/>
                <w:szCs w:val="24"/>
              </w:rPr>
              <w:t>             </w:t>
            </w:r>
          </w:p>
        </w:tc>
        <w:tc>
          <w:tcPr>
            <w:tcW w:w="7422" w:type="dxa"/>
            <w:tcBorders/>
            <w:shd w:fill="auto" w:val="clear"/>
          </w:tcPr>
          <w:p>
            <w:pPr>
              <w:pStyle w:val="Cs95e872d0"/>
              <w:snapToGrid w:val="false"/>
              <w:rPr>
                <w:rStyle w:val="Cs7864ebcf1"/>
                <w:rFonts w:ascii="Arial" w:hAnsi="Arial" w:cs="Arial"/>
                <w:color w:val="000000"/>
                <w:sz w:val="24"/>
                <w:szCs w:val="24"/>
              </w:rPr>
            </w:pPr>
            <w:r>
              <w:rPr/>
            </w:r>
          </w:p>
          <w:p>
            <w:pPr>
              <w:pStyle w:val="Cs95e872d0"/>
              <w:jc w:val="center"/>
              <w:rPr/>
            </w:pPr>
            <w:r>
              <w:rPr>
                <w:rStyle w:val="Cs7864ebcf1"/>
                <w:rFonts w:eastAsia="Arial" w:cs="Arial" w:ascii="Arial" w:hAnsi="Arial"/>
                <w:color w:val="000000"/>
                <w:sz w:val="24"/>
                <w:szCs w:val="24"/>
                <w:lang w:val="uk-UA"/>
              </w:rPr>
              <w:t xml:space="preserve">                                   </w:t>
            </w:r>
            <w:r>
              <w:rPr>
                <w:rStyle w:val="Cs7864ebcf1"/>
                <w:rFonts w:cs="Arial" w:ascii="Arial" w:hAnsi="Arial"/>
                <w:color w:val="000000"/>
                <w:sz w:val="24"/>
                <w:szCs w:val="24"/>
                <w:lang w:val="uk-UA"/>
              </w:rPr>
              <w:t xml:space="preserve">Олександр ГРІЦЕНКО  </w:t>
            </w:r>
          </w:p>
        </w:tc>
      </w:tr>
    </w:tbl>
    <w:tbl>
      <w:tblPr>
        <w:tblW w:w="3828" w:type="dxa"/>
        <w:jc w:val="left"/>
        <w:tblInd w:w="11448" w:type="dxa"/>
        <w:tblBorders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8"/>
      </w:tblGrid>
      <w:tr>
        <w:trPr/>
        <w:tc>
          <w:tcPr>
            <w:tcW w:w="3828" w:type="dxa"/>
            <w:tcBorders/>
            <w:shd w:fill="auto" w:val="clea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tabs>
                <w:tab w:val="left" w:pos="12600" w:leader="none"/>
              </w:tabs>
              <w:outlineLvl w:val="3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Додаток 3</w:t>
            </w:r>
          </w:p>
          <w:p>
            <w:pPr>
              <w:pStyle w:val="Heading4"/>
              <w:numPr>
                <w:ilvl w:val="3"/>
                <w:numId w:val="1"/>
              </w:numPr>
              <w:tabs>
                <w:tab w:val="left" w:pos="12600" w:leader="none"/>
              </w:tabs>
              <w:jc w:val="lef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до Наказу Міністерства охорони</w:t>
            </w:r>
          </w:p>
          <w:p>
            <w:pPr>
              <w:pStyle w:val="Heading4"/>
              <w:numPr>
                <w:ilvl w:val="3"/>
                <w:numId w:val="1"/>
              </w:numPr>
              <w:tabs>
                <w:tab w:val="left" w:pos="12600" w:leader="none"/>
              </w:tabs>
              <w:jc w:val="lef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здоров’я України</w:t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__________________ № _______</w:t>
            </w:r>
          </w:p>
        </w:tc>
      </w:tr>
    </w:tbl>
    <w:p>
      <w:pPr>
        <w:pStyle w:val="Normal"/>
        <w:tabs>
          <w:tab w:val="left" w:pos="12600" w:leader="none"/>
        </w:tabs>
        <w:jc w:val="center"/>
        <w:rPr>
          <w:rStyle w:val="Cs7864ebcf1"/>
          <w:rFonts w:ascii="Arial" w:hAnsi="Arial" w:cs="Arial"/>
          <w:b/>
          <w:b/>
          <w:color w:val="000000"/>
          <w:sz w:val="16"/>
          <w:szCs w:val="16"/>
          <w:u w:val="single"/>
          <w:lang w:val="uk-UA"/>
        </w:rPr>
      </w:pPr>
      <w:r>
        <w:rPr/>
      </w:r>
    </w:p>
    <w:p>
      <w:pPr>
        <w:pStyle w:val="Normal"/>
        <w:keepNext w:val="true"/>
        <w:numPr>
          <w:ilvl w:val="0"/>
          <w:numId w:val="0"/>
        </w:numPr>
        <w:jc w:val="center"/>
        <w:outlineLvl w:val="1"/>
        <w:rPr>
          <w:rFonts w:ascii="Arial" w:hAnsi="Arial" w:cs="Arial"/>
          <w:b/>
          <w:b/>
          <w:caps/>
          <w:sz w:val="16"/>
          <w:szCs w:val="16"/>
          <w:u w:val="single"/>
        </w:rPr>
      </w:pPr>
      <w:r>
        <w:rPr>
          <w:rFonts w:cs="Arial" w:ascii="Arial" w:hAnsi="Arial"/>
          <w:b/>
          <w:caps/>
          <w:sz w:val="16"/>
          <w:szCs w:val="16"/>
          <w:u w:val="single"/>
        </w:rPr>
      </w:r>
    </w:p>
    <w:p>
      <w:pPr>
        <w:pStyle w:val="Normal"/>
        <w:keepNext w:val="true"/>
        <w:numPr>
          <w:ilvl w:val="0"/>
          <w:numId w:val="0"/>
        </w:numPr>
        <w:jc w:val="center"/>
        <w:outlineLvl w:val="1"/>
        <w:rPr>
          <w:rFonts w:ascii="Arial" w:hAnsi="Arial" w:cs="Arial"/>
          <w:b/>
          <w:b/>
          <w:lang w:val="ru-RU"/>
        </w:rPr>
      </w:pPr>
      <w:r>
        <w:rPr>
          <w:rFonts w:cs="Arial" w:ascii="Arial" w:hAnsi="Arial"/>
          <w:b/>
          <w:caps/>
        </w:rPr>
        <w:t>ПЕРЕЛІК</w:t>
      </w:r>
    </w:p>
    <w:p>
      <w:pPr>
        <w:pStyle w:val="Normal"/>
        <w:keepNext w:val="true"/>
        <w:numPr>
          <w:ilvl w:val="0"/>
          <w:numId w:val="0"/>
        </w:numPr>
        <w:jc w:val="center"/>
        <w:outlineLvl w:val="3"/>
        <w:rPr>
          <w:rFonts w:ascii="Arial" w:hAnsi="Arial" w:cs="Arial"/>
        </w:rPr>
      </w:pPr>
      <w:r>
        <w:rPr>
          <w:rFonts w:cs="Arial" w:ascii="Arial" w:hAnsi="Arial"/>
          <w:b/>
          <w:caps/>
        </w:rPr>
        <w:t>ЛІКАРСЬКИХ засобів, щодо яких пропонується внесеНня змін до реєстраційних матеріалів</w:t>
      </w:r>
    </w:p>
    <w:p>
      <w:pPr>
        <w:pStyle w:val="11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16170" w:type="dxa"/>
        <w:jc w:val="left"/>
        <w:tblInd w:w="-606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566"/>
        <w:gridCol w:w="1561"/>
        <w:gridCol w:w="992"/>
        <w:gridCol w:w="992"/>
        <w:gridCol w:w="851"/>
        <w:gridCol w:w="1701"/>
        <w:gridCol w:w="1134"/>
        <w:gridCol w:w="992"/>
        <w:gridCol w:w="1418"/>
        <w:gridCol w:w="850"/>
        <w:gridCol w:w="1843"/>
        <w:gridCol w:w="992"/>
        <w:gridCol w:w="992"/>
        <w:gridCol w:w="1286"/>
      </w:tblGrid>
      <w:tr>
        <w:trPr>
          <w:tblHeader w:val="true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№</w:t>
            </w:r>
            <w:r>
              <w:rPr>
                <w:rFonts w:eastAsia="Arial" w:cs="Arial" w:ascii="Arial" w:hAnsi="Arial"/>
                <w:b/>
                <w:i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b/>
                <w:i/>
                <w:sz w:val="16"/>
                <w:szCs w:val="16"/>
              </w:rPr>
              <w:t>п/п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лікарського засобу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Форма випуску (лікарська форма, упаковка)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Заявник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Країна заявника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Виробник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Країна виробника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Реєстраційна процедура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Умови відпуску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Рекламування**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Номер реєстраційного посвідчення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АВОДЕЛЬ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levonorgestrel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левоноргестрел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G03AD01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1,5 мг; по 1 таблетці у блістері, по 1 блістеру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ЗАТ «ІНТЕЛІ ГЕНЕРИКС НОРД»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Литва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ЛАБОРАТОРІОС ЛЕОН ФАРМА, С.А.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Іспанiя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UA/17303/01/01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АДВАНТАН®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methylprednisolone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метилпреднізолону ацепонат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D07AC14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крем 0,1 %; по 5 г або по 15 г у тубі; по 1 тубі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ЛЕО Фарма А/С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ЛЕО Фарма Мануфактурінг Італі СРЛ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Італiя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UA/0784/01/01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АЕРТАЛ®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aceclofenac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ацеклофенак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M01AB16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оральної суспензії по 100 мг; 20 пакетів з порошком у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випуск серії: ВАТ "Гедеон Ріхтер", Угорщина; виробництво нерозфасованої продукції, первинна упаковка, вторинна упаковка:</w:t>
              <w:br/>
              <w:t xml:space="preserve">Індустріас Фармасеутікас Алмірал, С.А., Іспанія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Угорщина/ Іспанія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UA/13910/02/01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АЗАЦИТИДИН АККОРД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azacitidine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азацитидин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L01BC07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приготування суспензії для ін'єкцій, 25 мг/мл; по 150 мг у флаконі по 1 флакону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Аккорд Хелскеа С.Л.У.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лікарського засобу, первинне та вторинне пакування: Інтас Фармасьютікалс Лімітед, Індія;</w:t>
              <w:br/>
              <w:t>контроль якості: мікробіологічні методи (стерильні і нестерильні): Фармавалід Кфт., Угорщина;</w:t>
              <w:br/>
              <w:t>контроль якості: (хімічні/фізичні методи): Фармадокс Хелскеа Лімітед, Мальта;</w:t>
              <w:br/>
              <w:t>відповідальний за випуск серії: Аккорд Хелскеа Полска Сп. з o.o. Склад Імпортера, Польща;</w:t>
              <w:br/>
              <w:t>вторинне пакування та контроль якості серії: Аккорд Хелскеа Сінгл Мембер С.А., Греція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Індія/ Угорщина/ Мальта/ Польща/ Греція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UA/20889/01/02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АЗИТРОМІЦИН-ВІСТА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azithromycin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азитроміцину дигідрат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J01FA10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розчину для інфузій по 500 мг; 1 флакон з порошком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Містрал Кепітал Менеджмент Лімітед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Англія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АНФАРМ ХЕЛЛАС С.А 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Греція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UA/19468/01/01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АКТЕМРА®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tocilizumab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тоцилізумаб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L04AC07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концентрат для розчину для інфузій, 20 мг/мл; по 80 мг/4 мл або 200 мг/10 мл, або 400 мг/20 мл у флаконі; по 1 або 4 флакони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«Рош Україна»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нерозфасованої продукції, первинне пакування: Чугай Фарма Мануфектуринг Ко. Лтд, Японія; Виробництво нерозфасованої продукції (для упаковки по 400 мг/20 мл), випробування контролю якості (для упаковки по 400 мг/20 мл): Дженентек Інк., США; Випробування контролю якості (для упаковки по 400 мг/20 мл): Лонза Мануфектуринг ЛЛС, США; Вторине пакування, випробування контролю якості, випуск серії: Ф.Хоффманн-Ля Рош Лтд, Швейцарія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Японія/ США/ Швейцарія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UA/13909/01/01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АМІДАРОН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amiodarone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аміодарону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C01BD01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200 мг, по 10 таблеток у блістері; по 3 блістери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"КИЇВСЬКИЙ ВІТАМІННИЙ ЗАВОД"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"КИЇВСЬКИЙ ВІТАМІННИЙ ЗАВОД"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UA/4514/01/01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АМОРОЛФІН-ІНТЕЛІ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amorolfine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аморолфіну гідрохлорид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D01AE16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лак для нігтів лікувальний, 50 мг/мл по 2,5 мл у флаконі; по 1 флакону в комплекті з пилочками для нігтів, серветками для очищення та шпателями для нанесення лаку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ЗАТ "ІНТЕЛІ ГЕНЕРИКС НОРД"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Литва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Шанель Медікал Анлімітед Компані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Ірландiя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UA/18068/01/01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АНГІЛЕКС-ЗДОРОВ'Я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гексетидин, холіну саліцилат, хлорбутанолу гемігідрат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R02AA20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спрей для ротової порожнини, по 30 мл у балоні з клапаном-насосом, насадкою-розпилювачем і захисним ковпачком; по 1 балону в картонній коробці; по 50 мл у флаконі з оральним розпилювальним пристроєм і захисним ковпачком; по 1 флакону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всі стадії виробництва, контроль якості, випуск серії: ТОВАРИСТВО З ОБМЕЖЕНОЮ ВІДПОВІДАЛЬНІСТЮ «КОРПОРАЦІЯ «ЗДОРОВ’Я», Україна;</w:t>
              <w:br/>
              <w:t>всі стадії виробництва, окрім контролю якості та випуску серії: ТОВАРИСТВО З ОБМЕЖЕНОЮ ВІДПОВІДАЛЬНІСТЮ «КОРПОРАЦІЯ «ЗДОРОВ’Я», Україна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UA/10126/01/01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АТОРВАСТАТИН–ДАРНИЦЯ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atorvastatin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аторвастатин кальцію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C10AA05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оболонкою, по 20 мг; по 10 таблеток у контурній чарунковій упаковці; по 3 або по 9 контурних чарункових упаковок у пачці; по 14 таблеток у контурній чарунковій упаковці; по 2 контурні чарункові упаковки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"Фармацевтична фірма "Дарниця"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"Фармацевтична фірма "Дарниця"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UA/15437/01/02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АТОРВАСТАТИН–ДАРНИЦЯ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atorvastatin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аторвастатин кальцію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C10AA05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оболонкою, по 10 мг; по 10 таблеток у контурній чарунковій упаковці; по 3 або по 9 контурних чарункових упаковок у пачці; по 14 таблеток у контурній чарунковій упаковці; по 2 контурні чарункові упаковки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"Фармацевтична фірма "Дарниця"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"Фармацевтична фірма "Дарниця"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sz w:val="16"/>
                <w:szCs w:val="16"/>
              </w:rPr>
              <w:t>UA/15437/01/01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БЕЛАРА®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Chlormadinone and ethinylestradiol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хлормадинону ацетат, етинілестрадіол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G03AA15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2 мг/0,03 мг; по 21 таблетці у блістері; по 1 або 3 блістери у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UA/2059/01/01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БЕМФОЛА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follitropin alfa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фолітропін альфа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G03GA05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ін`єкцій в попередньо наповненій ручці по 75 МО (5,5 мкг)/0,125 мл; по 0,125 мл розчину для ін'єкцій в скляному картриджі, з гумовою пробкою-поршнем і гумовим диском з алюмінієвим ковпачком, вміщеному у ручку для введення; по 1 або 5, або 10 попередньо наповнених ручок з одноразовими голками (відповідно 1 або 5 або 10) і серветками, просоченими спиртом (відповідно 1 або 5 або 10)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зборка ручки для ін'єкцій, вторинна упаковка, дозвіл на випуск серії: ВАТ "Гедеон Ріхтер", Угорщина; виробництво нерозфасованої продукції; первинна упаковка (картриджі); контроль якості за наступними показниками: Bacterial endotoxins; Sterility; Visual Appearance; Visible Particles; Sub-visible Particles: СіПі Фармасьютікалс Лімітед, Велика Британія; виробництво нерозфасованої продукції, первинна упаковка (картриджі); контроль якості за всіма показниками специфікації, окрім Biological activity (Біологічної активності) та Sterility (Стерильності)): ВАТ "Гедеон Ріхтер", Угорщина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Угорщина/ Велика Британія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UA/17528/01/01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БЕМФОЛА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follitropin alfa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фолітропін альфа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G03GA05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ін`єкцій в попередньо наповненій ручці по 150 МО (11 мкг)/0,25 мл; по 0,25 мл розчину для ін'єкцій в скляному картриджі, з гумовою пробкою-поршнем і гумовим диском з алюмінієвим ковпачком, вміщеному у ручку для введення; по 1 або 5, або 10 попередньо наповнених ручок з одноразовими голками (відповідно 1 або 5 або 10) і серветками, просоченими спиртом (відповідно 1 або 5 або 10)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зборка ручки для ін'єкцій, вторинна упаковка, дозвіл на випуск серії: ВАТ "Гедеон Ріхтер", Угорщина; виробництво нерозфасованої продукції; первинна упаковка (картриджі); контроль якості за наступними показниками: Bacterial endotoxins; Sterility; Visual Appearance; Visible Particles; Sub-visible Particles: СіПі Фармасьютікалс Лімітед, Велика Британія; виробництво нерозфасованої продукції, первинна упаковка (картриджі); контроль якості за всіма показниками специфікації, окрім Biological activity (Біологічної активності) та Sterility (Стерильності)): ВАТ "Гедеон Ріхтер", Угорщина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Угорщина/ Велика Британія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UA/17528/01/02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БЕМФОЛА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follitropin alfa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фолітропін альфа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G03GA05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ін`єкцій в попередньо наповненій ручці по 225 МО (16,5 мкг)/0,375 мл; по 0,375 мл розчину для ін'єкцій в скляному картриджі, з гумовою пробкою-поршнем і гумовим диском з алюмінієвим ковпачком, вміщеному у ручку для введення; по 1 або 5, або 10 попередньо наповнених ручок з одноразовими голками (відповідно 1 або 5 або 10) і серветками, просоченими спиртом (відповідно 1 або 5 або 10)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зборка ручки для ін'єкцій, вторинна упаковка, дозвіл на випуск серії: ВАТ "Гедеон Ріхтер", Угорщина; виробництво нерозфасованої продукції; первинна упаковка (картриджі); контроль якості за наступними показниками: Bacterial endotoxins; Sterility; Visual Appearance; Visible Particles; Sub-visible Particles: СіПі Фармасьютікалс Лімітед, Велика Британія; виробництво нерозфасованої продукції, первинна упаковка (картриджі); контроль якості за всіма показниками специфікації, окрім Biological activity (Біологічної активності) та Sterility (Стерильності)): ВАТ "Гедеон Ріхтер", Угорщина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Угорщина/ Велика Британія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UA/17528/01/03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БЕМФОЛА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follitropin alfa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фолітропін альфа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G03GA05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ін`єкцій в попередньо наповненій ручці по 300 МО (22 мкг)/0,5 мл; по 0,5 мл розчину для ін'єкцій в скляному картриджі, з гумовою пробкою-поршнем і гумовим диском з алюмінієвим ковпачком, вміщеному у ручку для введення; по 1 або 5, або 10 попередньо наповнених ручок з одноразовими голками (відповідно 1 або 5 або 10) і серветками, просоченими спиртом (відповідно 1 або 5 або 10)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зборка ручки для ін'єкцій, вторинна упаковка, дозвіл на випуск серії: ВАТ "Гедеон Ріхтер", Угорщина; виробництво нерозфасованої продукції; первинна упаковка (картриджі); контроль якості за наступними показниками: Bacterial endotoxins; Sterility; Visual Appearance; Visible Particles; Sub-visible Particles: СіПі Фармасьютікалс Лімітед, Велика Британія; виробництво нерозфасованої продукції, первинна упаковка (картриджі); контроль якості за всіма показниками специфікації, окрім Biological activity (Біологічної активності) та Sterility (Стерильності)): ВАТ "Гедеон Ріхтер", Угорщина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Угорщина/ Велика Британія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UA/17528/01/04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БЕМФОЛА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follitropin alfa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фолітропін альфа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G03GA05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ін`єкцій в попередньо наповненій ручці по 450 МО (33 мкг)/0,75 мл; по 0,75 мл розчину для ін'єкцій в скляному картриджі, з гумовою пробкою-поршнем і гумовим диском з алюмінієвим ковпачком, вміщеному у ручку для введення; по 1 або 5, або 10 попередньо наповнених ручок з одноразовими голками (відповідно 1 або 5 або 10) і серветками, просоченими спиртом (відповідно 1 або 5 або 10)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зборка ручки для ін'єкцій, вторинна упаковка, дозвіл на випуск серії: ВАТ "Гедеон Ріхтер", Угорщина; виробництво нерозфасованої продукції; первинна упаковка (картриджі); контроль якості за наступними показниками: Bacterial endotoxins; Sterility; Visual Appearance; Visible Particles; Sub-visible Particles: СіПі Фармасьютікалс Лімітед, Велика Британія; виробництво нерозфасованої продукції, первинна упаковка (картриджі); контроль якості за всіма показниками специфікації, окрім Biological activity (Біологічної активності) та Sterility (Стерильності)): ВАТ "Гедеон Ріхтер", Угорщина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Угорщина/ Велика Британія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UA/17528/01/05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БЕТАК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betaxolol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бетаксололу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C07AB05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20 мг, по 10 таблеток у блістері; по 3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Медокемі Лімітед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Кіпр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за повним циклом:</w:t>
              <w:br/>
              <w:t>Медокемі Лімітед, Кіпр;</w:t>
              <w:br/>
              <w:t>виробництво, первинне пакування, вторинне пакування:</w:t>
              <w:br/>
              <w:t>Медокемі (Фа Іст) Лтд., В’єтнам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Кіпр/ В’єтнам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UA/7563/01/01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БЕТАК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betaxolol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бетаксололу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C07AB05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10 мг, по 10 таблеток у блістері; по 3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Медокемі Лімітед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Кіпр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за повним циклом:</w:t>
              <w:br/>
              <w:t>Медокемі Лімітед, Кіпр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Кіпр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UA/7563/01/02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БІЛАВЕЛ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bilastine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біластин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R06AX29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20 мг; по 10 таблеток у блістері; по 1 блістеру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ВІВ ЛАЙФ ЛЛП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Вівімед Лабс Лтд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UA/19908/01/01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БІОКЛОТ А®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von Willebrand factor and coagulation factor VIII in combination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фактор згортання VIII людини, фактор фон Віллебранда людини;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В02В D06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ліофілізат для розчину для ін’єкцій по 500 МО; 1 флакон з ліофілізатом у комплекті з розчинником (вода для ін’єкцій) по 10 мл у флаконі; по 1 флакону з ліофілізатом та по 1 флакону з розчинником разом із засобами для розчинення та введення (1 пристрій для перенесення та фільтрації, 1 шприц одноразовий з голкою для ін’єкцій, 1 крильчата інфузійна система)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"БІОФАРМА ПЛАЗМА"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"БІОФАРМА ПЛАЗМА", Україна (виробництво, первинне та вторинне пакування, контроль якості, випуск серій)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UA/16249/01/02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БІОКЛОТ А®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von Willebrand factor and coagulation factor VIII in combination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фактор згортання VIII людини, фактор фон Віллебранда людини;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В02В D06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ліофілізат для розчину для ін’єкцій по 1000 МО; 1 флакон з ліофілізатом у комплекті з розчинником (вода для ін’єкцій) по 10 мл у флаконі; по 1 флакону з ліофілізатом та по 1 флакону з розчинником разом із засобами для розчинення та введення (1 пристрій для перенесення та фільтрації, 1 шприц одноразовий з голкою для ін’єкцій, 1 крильчата інфузійна система)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"БІОФАРМА ПЛАЗМА"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"БІОФАРМА ПЛАЗМА", Україна (виробництво, первинне та вторинне пакування, контроль якості, випуск серій)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UA/16249/01/03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БІОКЛОТ А®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von Willebrand factor and coagulation factor VIII in combination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фактор згортання VIII людини, фактор фон Віллебранда людини;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В02В D06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ліофілізат для розчину для ін’єкцій по 250 МО, 1 флакон з ліофілізатом у комплекті з розчинником (вода для ін’єкцій) по 5 мл у флаконі; по 1 флакону з ліофілізатом та по 1 флакону з розчинником разом із засобами для розчинення та введення (1 пристрій для перенесення та фільтрації, 1 шприц одноразовий з голкою для ін’єкцій, 1 крильчата інфузійна система) у пачці з картону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"БІОФАРМА ПЛАЗМА"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"БІОФАРМА ПЛАЗМА", Україна (виробництво, первинне та вторинне пакування, контроль якості, випуск серій)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UA/16249/01/01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БЛІССЕЛ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estriol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естріол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G03CA04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гель вагінальний, 50 мкг/г; по 10 г гелю вагінального в алюмінієвій тубі з ковпачком, по 1 алюмінієвій тубі з ковпачком у комплекті з 1 блістером, що містить 10 одноразових канюль та 1 поршень багаторазового використання в картонній пачці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ІТАЛФАРМАКО, С.А.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ІТАЛФАРМАКО, С.А.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Іспанiя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UA/20229/01/01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БОЗЕНТАН АККОРД 125 МГ ТАБЛЕТКИ, ВКРИТІ ПЛІВКОВОЮ ОБОЛОНКОЮ/BOSENTAN ACCORD 125 MG FILM-COATED TABLET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bosentan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бозентан (у вигляді моногідрату)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C02KX01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125 мг, по 14 таблеток, вкритих плівковою оболонкою, у блістері; по 4 блістери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Аккорд Хелскеа Б.В.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Нідерланди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відповідальний за випуск серії:</w:t>
              <w:br/>
              <w:t>Аккорд Хелскеа Полска Сп. з о.о., Польща;</w:t>
              <w:br/>
              <w:t>виробництво лікарського засобу, первинне та вторинне пакування:</w:t>
              <w:br/>
              <w:t>Інтас Фармасьютікалс Лімітед, Індія;</w:t>
              <w:br/>
              <w:t>додаткове вторинне пакування:</w:t>
              <w:br/>
              <w:t>Аккорд Хелскеа Лімітед, Велика Британія;</w:t>
              <w:br/>
              <w:t>контроль якості:</w:t>
              <w:br/>
              <w:t>Лабораторі Фундасіо Дау, Іспанiя;</w:t>
              <w:br/>
              <w:t>додаткове вторинне пакування, контроль якості серії:</w:t>
              <w:br/>
              <w:t>Аккорд Хелскеа Сінгл Мембер С.А., Греція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Польща/ Індія/ Велика Британія/ Іспанiя/ Греція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UA/20790/01/01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БОРТИБ®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bortezomib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бортезоміб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L01XG01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ін'єкцій, 2,5 мг/мл; по 1,4 мл (3,5 мг) у флаконі, по 1 флакону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Аккорд Хелскеа С.Л.У., Іспанiя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відповідальний за випуск серії: Аккорд Хелскеа Полска Сп. з о.о. Склад Імпортера, Польща;</w:t>
              <w:br/>
              <w:t>виробництво лікарського засобу, первинне та вторинне пакування: Інтас Фармасьютікалс Лімітед, Індія;</w:t>
              <w:br/>
              <w:t>контроль якості (мікробіологічні методи (стерільність та не стерильність)): Фармавалід Кфт., Угорщина;</w:t>
              <w:br/>
              <w:t>контроль якості (хімічні/фізичні методи): Єврофінс Аналітікал Сервісез Хангері Кфт., Угорщина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Польща/ Індія/ Угорщина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sz w:val="16"/>
                <w:szCs w:val="16"/>
              </w:rPr>
              <w:t>UA/20942/01/01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БРОМОКРИПТИН-РІХТЕР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bromocriptine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бромокриптин (у вигляді бромокриптину мезилату)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G02CB01, N04BC01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2,5 мг; по 30 таблеток у флаконі, по 1 флакону в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UA/3209/01/01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ВАНКОБАЦИД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vancomycin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ванкоміцину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J01XA01, A07AA09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розчину для інфузій по 1000 мг; по 1000 мг порошку у флаконі, по 1 або по 10 флаконів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Містрал Кепітал Менеджмент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Англія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ЛАБОРАТОРІО РЕЙГ ЖОФРЕ, С.А.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Іспанiя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Неи підлягає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UA/20250/01/02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ВАНКОБАЦИД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vancomycin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ванкоміцину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J01XA01, A07AA09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розчину для інфузій по 500 мг; по 500 мг порошку у флаконі, по 1 або по 10 флаконів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Містрал Кепітал Менеджмент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Англія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ЛАБОРАТОРІО РЕЙГ ЖОФРЕ, С.А.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Іспанiя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Неи підлягає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UA/20250/01/01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ВІНОРЕЛЬБІН АККОРД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vinorelbine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вінорельбін (у вигляді вінорельбіну тартрату)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L01CA04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концентрат для розчину для інфузій, 10 мг/мл по 1 мл (10 мг), по 5 мл (50 мг) у флаконі, по 1 флакону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Аккорд Хелскеа Полска Сп. з.о.о.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додаткове вторинне пакування: Аккорд Хелскеа Лімітед, Велика Британія; виробництво лікарського засобу, первинне та вторинне пакування, контроль якості: Інтас Фармасьютікалс Лімітед, Індія; контроль якості: Єврофінс Аналітікал Сервісез Хангері Кфт., Угорщина; контроль якості: Фармавалід Лтд. Мікробіологічна лабораторія, Угорщина; випуск серії: Аккорд Хелскеа Полска Сп. з o.o. Склад Імпортера, Польща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Британія/ Індія/ Угорщина/ Польща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UA/19768/01/01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ГАЛОПЕРИДОЛ-РІХТЕР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haloperidol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галоперидол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N05AD01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ін'єкцій, 5 мг/мл; по 1 мл в ампулі; по 5 ампул у пластиковій формі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UA/7271/01/01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ГЕМОФЕРОН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Iron, vitamin B12 and folic acid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заліза амонійного цитрат, кислота фолієва, ціанокобаламін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B03AE01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оральний по 200 мл у флаконі; по 1 флакону з мірним стаканчиком та/або дозуючим шприцом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Спільне українсько-іспанське підприємство "Сперко Україна"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Спільне українсько-іспанське підприємство "Сперко Україна", Україна (повний цикл виробництва, випуск серії; контроль якості)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UA/7567/01/01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ГЕМЦИТАБІН АККОРД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gemcitabine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гемцитабіну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L01BC05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концентрат для розчину для інфузій, 100 мг/мл по 2 мл (200 мг), 10 мл (1000 мг), 15 мл (1500 мг), 20 мл (2000 мг) у флаконі; по 1 флакону у картонній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Аккорд Хелскеа Полска Сп. з.о.о.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Виробництво, контроль якості, первинне та вторинне пакування: Інтас Фармасьютікалс Лімітед, Індія;</w:t>
              <w:br/>
              <w:t>Виробництво, контроль якості, первинне та вторинне пакування: Інтас Фармасьютікалс Лімітед, Індія;</w:t>
              <w:br/>
              <w:t>Вторинне пакування: Аккорд Хелскеа Лімітед, Велика Британія;</w:t>
              <w:br/>
              <w:t>Відповідальний за випуск серії: Аккорд Хелскеа Полска Сп. з о.о. Склад Імпортера, Польща;</w:t>
              <w:br/>
              <w:t>Контроль якості серії: Єврофінс Аналітікал Сервісез Хангері Кфт., Угорщина;</w:t>
              <w:br/>
              <w:t>Контроль якості серії: Фармадокс Хелскеа Лтд., Мальта;</w:t>
              <w:br/>
              <w:t>Контроль якості серії: ЛАБАНАЛІЗІС С.Р.Л, Італія;</w:t>
              <w:br/>
              <w:t xml:space="preserve">Контроль якості серії: ФАРМАВАЛІД Лтд. Мікробіологічна лабораторія, Угорщина; </w:t>
              <w:br/>
              <w:t>Вторинне пакування, контроль якості серії: Аккорд Хелскеа Сінгл Мембер С.А., Греція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Індія/ Велика Британія/ Польща/ Угорщина/ Мальта/ Італія/ Греція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UA/17799/01/01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ГЕРПЕВІР®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aciclovir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ацикловір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J05AB01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200 мг, по 10 таблеток у блістері; по 2 блістери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ПАТ "Київмедпрепарат"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ПАТ "Київмедпрепарат"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UA/2466/03/01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ГЕРПЕВІР®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aciclovir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ацикловір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J05AB01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400 мг, по 10 таблеток у блістері, по 1 блістеру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ПАТ "Київмедпрепарат"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ПАТ "Київмедпрепарат"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UA/2466/03/02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ГЕРПЕВІР®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aciclovir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ацикловір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J05AB01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розчину для інфузій по 250 мг; по 10 флаконів з порошком у контурній чарунковій упаковці у картонній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ПАТ "Київмедпрепарат"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ПАТ "Київмедпрепарат"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UA/2466/04/01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ГЕРПЕВІР®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aciclovir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ацикловір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J05AB01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розчину для ін'єкцій по 250 мг; по 10 флаконів з порошком у контурній чарунковій упаковці; по 1 контурній чарунковій упаковці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ПАТ "Київмедпрепарат"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ПАТ "Київмедпрепарат"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UA/2466/01/01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ГІДРОГЕЛЬ МЕТИЛКРЕМНІЄВОЇ КИСЛОТИ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гідрогель метилкремнієвої кислоти (ГГМКК) з вмістом кремнію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гель (субстанція) у мішках і подвійних поліетиленових пакетах для виробництва нестерильних лікарських форм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"ЕОФ "КРЕОМА-ФАРМ"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"ЕОФ "КРЕОМА-ФАРМ"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UA/2341/01/01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ГЛАТИРАМЕРУ АЦЕТАТ-ВІСТА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glatiramer acetate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глатирамеру ацетат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L03AX13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ін`єкцій, 20 мг/мл; по 1 мл препарату у попередньо наповненому шприці, по 1 попередньо наповненому шприцу в блістері; по 28, 30 та 90 (3х30) блістерів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Містрал Кепітал Менеджмент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Англія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виробництво, пакування, контроль якості: Рові Фарма Індастріал Сервісез, С.А., Іспанія; </w:t>
              <w:br/>
              <w:t>виробництво, пакування: Сінтон Чилі Лтда., Чилі;</w:t>
              <w:br/>
              <w:t>відповідальний за випуск серії: Сінтон Хіспанія, С.Л., Іспанія або відповідальний за випуск серії: Сінтон БВ, Нідерланди;</w:t>
              <w:br/>
              <w:t>вторинне пакування, контроль якості: Рові Фарма Індастріал Сервісез, С.А., Іспанія;</w:t>
              <w:br/>
              <w:t>контроль якості (мікробіологічний): Еурофінс Бактімм Б.В., Нідерланди;</w:t>
              <w:br/>
              <w:t>контроль якості: Фармадокс Хелскеа Лтд., Мальта;</w:t>
              <w:br/>
              <w:t>контроль якості: Сінтон, с.р.о., Чеська Республіка;</w:t>
              <w:br/>
              <w:t>контроль якості: ІТЕСТ плюс, с.р.о., Чеська Республіка;</w:t>
              <w:br/>
              <w:t>контроль якості: ІТЕСТ плюс, с.р.о., Чеська Республіка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Іспанія/ Чилі/ Нідерланди/ Мальта /Чеська Республіка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UA/16792/01/01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ГЛЕМОНТ ТАБЛЕТКИ ЖУВАЛЬНІ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montelukast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монтелукаст натрію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R03DC03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жувальні по 4 мг; по 10 таблеток у блістері; по 3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Гленмарк Фармасьютикалз Лтд.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Гленмарк Фармасьютикалз Лтд.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sz w:val="16"/>
                <w:szCs w:val="16"/>
              </w:rPr>
              <w:t>UA/13872/01/01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ГЛЕМОНТ ТАБЛЕТКИ ЖУВАЛЬНІ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montelukast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монтелукаст натрію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R03DC03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жувальні по 5 мг; по 10 таблеток у блістері; по 3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Гленмарк Фармасьютикалз Лтд.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Гленмарк Фармасьютикалз Лтд.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UA/13872/01/02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ГЛЕНЦЕТ ЕДВАНС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монтелукаст натрію, левоцетиризину дигідрохлорид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R07AX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оболонкою; по 14 або по 28 таблеток у контейнері; по 1 контейнеру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Гленмарк Фармасьютикалз Лтд.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Гленмарк Фармасьютикалз Лтд.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UA/13538/01/01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ГУНА-β- ЕСТРАДІОЛ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Beta Estradiolum D6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краплі оральні по 30 мл у флаконах-крапельниці; по 1 флакону-крапельниці у картонній коробці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Гуна С.п.а.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Італiя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Гуна С.п.а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Італія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 xml:space="preserve">уточнення написання назви лікарського засобу в наказі МОЗ України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UA/13199/01/01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ДАЛІЯ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vildagliptin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вілдагліптин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A10BH02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50 мг; по 10 таблеток у блістері, по 3 або 6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Медокемі Лімітед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Кіпр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готового лікарського засобу, контроль якості, випуск серії:</w:t>
              <w:br/>
              <w:t>Медокемі Лімітед, Кіпр;</w:t>
              <w:br/>
              <w:t>первинне та вторинне пакування:</w:t>
              <w:br/>
              <w:t>Медокемі Лімітед, Кіпр;</w:t>
              <w:br/>
              <w:t>виробництво готового лікарського засобу, первинне та вторинне пакування:</w:t>
              <w:br/>
              <w:t>Медокемі (Фа Іст) Лтд., В'єтнам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Кіпр/ В'єтнам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UA/20969/01/01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ДАРФЕН® ЕКСПРЕС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ibuprofen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ібупрофен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M01AE01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суспензія оральна, 200 мг/10 мл по 10 мл у саше; по 10 саше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готового продукту, контроль/тестування, випуск серії готового продукту: ЕДЕФАРМ, С.Л., Іспанiя; контроль/тестування та випуск серії готового продукту: Фармалідер, С.А., Іспанія; мікробіологічний контроль: Біолаб, С.Л., Іспанiя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Іспанiя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Технічна помилка (згідно наказу МОЗ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UA/18783/01/01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ДЕНІЗИД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ceftazidime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цефтазидиму пентагідрат (у складі стерильної суміші з натрію карбонатом безводним)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J01DD02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розчину для ін’єкцій по 1 г, 1 флакон з порошком у коробці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Ананта Медікеар Лтд.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Ананта Медікеар Лімітед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UA/15338/01/01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ДЕНІПІМ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cefepime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цефепіму гідрохлорид (у вигляді стерильної суміші цефепіму гідрохлориду та L-аргініну)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J01DE01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розчину для ін'єкцій по 1000 мг, 1 флакон з порошком у коробці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Ананта Медікеар Лтд.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Ананта Медікеар Лімітед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UA/15339/01/01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ДИКОР ЛОНГ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Isosorbide dinitrate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ізосорбіду динітрат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C01DA08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пролонгованої дії по 20 мг, по 50 таблеток у банці; по 1 банці у пачці з картону; по 10 таблеток у блістері; по 5 блістерів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НВФ "МІКРОХІМ"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НВФ «МІКРОХІМ», Україна (відповідальний за випуск серії, не включаючи контроль/випробування серії); АТ "Лубнифарм", Україна (відповідальний за виробництво, первинне та вторинне пакування, контроль/випробування, не включаючи випуск серії)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UA/11012/01/01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ДИКОР ЛОНГ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Isosorbide dinitrate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ізосорбіду динітрат</w:t>
              <w:br/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C01DA08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пролонгованої дії по 40 мг, по 50 таблеток у банці; по 1 банці у пачці з картону; по 10 таблеток у блістері; по 5 блістерів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НВФ "МІКРОХІМ"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НВФ «МІКРОХІМ», Україна (юридична адреса виробника; виробнича дільниця (всі стадії виробничого процесу); відповідальний за випуск серії, не включаючи контроль/випробування серії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UA/11012/01/02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ДИКОР ЛОНГ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isosorbide dinitrate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ізосорбіду динітрат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C01DA08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пролонгованої дії по 60 мг, по 50 таблеток у банці; по 1 банці у пачці з картону; по 10 таблеток у блістері; по 5 блістерів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НВФ "МІКРОХІМ"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НВФ «МІКРОХІМ», Україна (юридична адреса виробника; виробнича дільниця (всі стадії виробничого процесу); відповідальний за випуск серії, не включаючи контроль/випробування серії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UA/11012/01/03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ДИП РИЛІФ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ібупрофен, левоментол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M02AX10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гель, по 15 г або по 50 г, або по 100 г у тубі, по 1 тубі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Ментолатум Компані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Ментолатум Компані Лімітед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sz w:val="16"/>
                <w:szCs w:val="16"/>
              </w:rPr>
              <w:t>UA/0377/01/01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ДИП ХІТ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олія евкаліптова, олія терпентинова, ментол, метилсаліцилат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M02AX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крем, по 15 г або 67 г у тубі; по 1 тубі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Ментолатум Компані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Ментолатум Компані Лімітед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UA/1453/01/01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ДІАЗОЛІН-ДАРНИЦЯ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mebhydrolin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мебгідролін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R06AX15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100 мг, по 10 таблеток у контурній чарунковій упаковці; по 1 контурній чарунковій упаковці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UA/0278/01/01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ДОЦЕТАКСЕЛ АМАКСА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docetaxel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доцетаксел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L01CD02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концентрат для розчину для інфузій, 20 мг/мл; по 1 мл, 4 мл або 8 мл у флаконі; по 1 флакону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Амакса Лтд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контроль серії, сертифікація та випуск серії: АкВіда ГмбХ, Німеччина; виробництво in bulk, первинне та вторинне пакування, контроль серії: АкВіда ГмбХ, Німеччина; виробництво in bulk, первинне та вторинне пакування, контроль серії: Самянг Холдінгз Корпорейшн, Республіка Корея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Німеччина/ Республіка Корея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Технічна помилка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UA/14900/01/01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ДУОДАРТ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Tamsulosin and dutasteride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дутастерид та тамсулозину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G04CA52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тверді по 0,5 мг/0,4 мг; по 30 або по 90 капсул у флаконі; по 1 флакону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ГлаксоСмітКляйн Експорт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Каталент Джермені Шорндорф ГмбХ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UA/13330/01/01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ЕКЗОДЕРИЛ® ЛАК ДЛЯ НІГТІВ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amorolfine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аморолфіну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D01AE16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лак для нігтів лікувальний, 5% розчин; по 2,5 мл у флаконі; по 1 флакону разом із 10 шпателями, 30 тампонами для очищення та 30 пилочками для нігтів у картонній коробці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"Сандоз Україна"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випуск серії: Лек Фармацевтична компанія д.д., Словенія; вторинне пакування: Страдіс, Франція; виробництво in bulk, первинне та вторинне пакування, контроль/випробування серії: ФАРМАКЛЕР, Франція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Словенія/ Франція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UA/20917/01/01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ЕНАЛАПРИЛ-АСТРАФАРМ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enalapril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еналаприлу малеат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C09AA02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10 мг; по 10 таблеток у блістері; по 2, або по 6, або по 9, або по 10 блістерів у коробці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"АСТРАФАРМ"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"АСТРАФАРМ"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>уточнення написання упаковки в наказі МОЗ України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UA/5232/01/02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ЕНАЛАПРИЛ-АСТРАФАРМ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enalapril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еналаприлу малеат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C09AA02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20 мг; по 10 таблеток у блістері; по 2, або по 6, або по 9, або по 10 блістерів у коробці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"АСТРАФАРМ"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"АСТРАФАРМ"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>уточнення написання упаковки в наказі МОЗ України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color w:val="000000"/>
                <w:sz w:val="16"/>
                <w:szCs w:val="16"/>
              </w:rPr>
              <w:t xml:space="preserve">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UA/5232/01/03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ЕФЛОРАН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metronidazole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метронідазол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J01XD01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інфузій, 500 мг/100 мл; по 100 мл у флаконі; по 1 флакону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КРКА, д.д., Ново место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КРКА, д.д., Ново место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II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UA/0928/02/01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ЄВРОПЕНЕМ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meropenem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меропенему тригідрат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J01DH02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розчину для ін'єкцій по 1,0 г; 1 або 10 флаконів з порошком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Євро Лайфкер Лтд </w:t>
              <w:br/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Виробник готового лікарського засобу відповідальний за: повторний контроль якості стерильної суміші меропенему, контроль первинного пакувального матеріалу, стерилізацію первинних пакувальних матеріалів, наповнення флаконів, вторинне пакування, контроль у процесі, контроль та випуск готового лікарського засобу: </w:t>
              <w:br/>
              <w:t>ЕйСіЕс Добфар С.П.А., Італія;</w:t>
              <w:br/>
              <w:t xml:space="preserve">Виробник нерозфасованого продукту лікарського засобу – стерильної суміші меропенему тригідрату та натрію карбонату (стерильний bulk), відповідальний за: виробництво, пакування, контроль у процесі, контроль та випуск: </w:t>
              <w:br/>
              <w:t xml:space="preserve">ЕйСіЕс ДОБФАР С.п.А., Італія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Італія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UA/9945/01/02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ЄВРОПЕНЕМ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meropenem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меропенему тригідрат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J01DH02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розчину для ін'єкцій по 500 мг; 1 або 10 флаконів з порошком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Євро Лайфкер Лтд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Виробник готового лікарського засобу відповідальний за: повторний контроль якості стерильної суміші меропенему, контроль первинного пакувального матеріалу, стерилізацію первинних пакувальних матеріалів, наповнення флаконів, вторинне пакування, контроль у процесі, контроль та випуск готового лікарського засобу: </w:t>
              <w:br/>
              <w:t>ЕйСіЕс Добфар С.П.А., Італія;</w:t>
              <w:br/>
              <w:t xml:space="preserve">Виробник нерозфасованого продукту лікарського засобу – стерильної суміші меропенему тригідрату та натрію карбонату (стерильний bulk), відповідальний за: виробництво, пакування, контроль у процесі, контроль та випуск: </w:t>
              <w:br/>
              <w:t xml:space="preserve">ЕйСіЕс ДОБФАР С.п.А., Італія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Італія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UA/9945/01/01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ІЛПІО®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Telmisartan and diuretics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телмісартан; індапамід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C09DA07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80 мг/2,5 мг; по 10 таблеток у блістерi, по 3 або 10 блістерів у картонну коробку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ПРО.МЕД.ЦС Прага а.с.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Чеська Республiка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 за повним циклом: ПРО.МЕД.ЦС Прага а.с., Чеська Республіка; виробництво in bulk, контроль якості (хімічний/фізичний контроль якості): СвіссКо Сервісес АГ, Швейцарія; первинне і вторинне пакування: КООФАРМА с.р.о., Чеська Республіка; мікробіологічний контроль якості: АЛС Чеська Республіка, с.р.о., Чеська Республіка; виробництво in bulk, первинне та вторинне пакування, контроль якості: Санека Фармасьютикалз а.с., Словацька Республіка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Чеська Республіка/ Швейцарія/ Словацька Республіка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color w:val="000000"/>
                <w:sz w:val="16"/>
                <w:szCs w:val="16"/>
              </w:rPr>
              <w:t>Не підлягає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UA/20620/01/01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КАНДІД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clotrimazole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клотримазол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D01AC01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нашкірний, 10 мг/г по 30 г у флаконі; по 1 флакону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Гленмарк Фармасьютикалз Лтд.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Гленмарк Фармасьютикалз Лтд.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UA/9754/03/01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КАНДІД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clotrimazole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клотримазол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D01AC01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крем, 10 мг/1 г, по 20 г у тубі; по 1 тубі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Гленмарк Фармасьютикалз Лтд.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Гленмарк Фармасьютикалз Лтд.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UA/9754/02/01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КАНДІД-Б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Imidazoles/triazoles in combination with corticosteroids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клотримазол, беклометазону дипропіонат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D01AC20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крем, по 15 г у тубі; по 1 тубі в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Гленмарк Фармасьютикалз Лтд.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Гленмарк Фармасьютикалз Лтд.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UA/8210/01/01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КАНДІДЕРМ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Beclometasone and antibiotics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клотримазол; беклометазону дипропіонат безводний; гентаміцину сульфат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D07CC04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крем , по 15 г крему в тубі; по 1 тубі в картонній упаковці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Гленмарк Фармасьютикалз Лтд.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Гленмарк Фармасьютикалз Лтд.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UA/5199/01/01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КАРБОПЛАТИН-ТЕВА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carboplatin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карбоплатин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L01XA02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концентрат для розчину для інфузій, 10 мг/мл; по 5 мл, 15 мл, 45 мл або 60 мл у флаконі, по 1 флакону в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«Тева Україна»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нерозфасованого продукту, первинне та вторинне пакування, контроль серії, дозвіл на випуск серії: Фармахемі Б.В., Нідерланди; контроль серії: ПЛІВА Хрватска д.о.о., Хорватія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Нідерланди/ Хорватія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sz w:val="16"/>
                <w:szCs w:val="16"/>
              </w:rPr>
              <w:t>UA/14502/01/01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КАРНЕЛІУС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levocarnitine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левокарнітин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A16AA01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розчин для ін'єкцій, 1 г/5 мл; по 5 мл в ампулі; по 5 ампул в касеті в коробці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Містрал Кепітал Менеджмент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Англія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ХЕЛП С.А.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Грецiя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UA/20923/01/01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КВАЙТ® ЗАСПОКІЙЛИВИЙ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екстракт валеріани водно-спиртовий сухий (Valeriana officinalis L.), екстрагент: етанол 70 %); екстракт листя меліси сухий (Melissa officinalis L.), екстрагент: метанол 30 %); екстракт трави пасифлори сухий (Passiflora incarnata L.), екстрагент: етанол 70 %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N05CM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 по 10 таблеток у блістері; по 2 або 4 блістери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>уточнення реєстраційної процедури в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 xml:space="preserve">наказі МОЗ України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UA/17603/01/01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КЕЙВЕР®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dexketoprofen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декскетопрофену трометамол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M01AE17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25 мг; по 10 таблеток у блістері; по 1, 3 або 5 блістерів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UA/13977/02/01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КЕРАВОРТ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imiquimod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іміквімод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D06BB10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крем 5 %; по 250 мг крему в саше; по 12 або 24 саше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Гленмарк Фармасьютикалз Лтд.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Гленмарк Фармасьютикалз Лтд.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UA/13581/01/01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КЕТОДЕКСА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dexketoprofen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декскетопрофену трометамол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M01AE17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гранули для орального розчину по 25 мг; саше по 2,5 г; по 10, по 20, по 30 або по 40 саше у коробці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«Представництво БАУМ ФАРМ ГМБХ»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за повним циклом: ТОВ «АСТРАФАРМ», Україна; сертифікація серії та видача дозволу на реалізацію (випуск серії:</w:t>
              <w:br/>
              <w:t>ТОВ "Представництво БАУМ ФАРМ ГМБХ", Україна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UA/16020/02/01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КЕТОДЕКСА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dexketoprofen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декскетопрофену трометамол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M01AE17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25 мг; по 10 таблеток у блістері; по 1 або по 3 блістери у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«Представництво БАУМ ФАРМ ГМБХ»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 за повним циклом: ТОВ «АСТРАФАРМ», Україна; сертифікація серії та видача дозволу на реалізацію </w:t>
              <w:br/>
              <w:t>(випуск серії: ТОВ "Представництво БАУМ ФАРМ ГМБХ", Україна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UA/16020/01/01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КЛІМАКТ-ХЕЕЛЬ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Lachesis D12, Sanguinaria canadensis D3, Sepia officinalis D4, Simarouba cedron D4, Stannum metallicum D12, Strychnos ignatii D4, Sulfur D4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по 50 таблеток у контейнері; по 1 контейнеру у коробці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Біологіше Хайльміттель Хеель ГмбХ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Біологіше Хайльміттель Хеель ГмбХ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sz w:val="16"/>
                <w:szCs w:val="16"/>
              </w:rPr>
              <w:t>UA/2945/01/01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КЛІМЕДИКС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Drospirenone and estrogen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Дроспіренон та естрадіол (у вигляді естрадіолу гемігідрату)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G03FA17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2 мг/1 мг; по 28 таблеток у блістері; по 1 або 3 блістери разом із картонним футляром для зберігання блістера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UA/19265/01/01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КЛІМОНОРМ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Levonorgestrel and estrogen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 таблетка, вкрита оболонкою жовтого кольору, містить: естрадіолу валерату; 1 таблетка, вкрита оболонкою коричневого кольору, містить: естрадіолу валерат та левоноргестрел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G03FB09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2 мг + таблетки, вкриті плівковою оболонкою, по 2 мг/0,15 мг; № 21: 9 таблеток жовтого кольору (естрадіолу валерату 2 мг) та 12 таблеток коричневого кольору (естрадіолу валерату 2 мг, левоноргестрелу 0,15 мг) у блістері; по 1 блістеру в картонній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Зентіва, к.с.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Чеська Республiка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Дельфарм Лілль САС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UA/3008/01/01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КЛІОН-Д 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Combinations of imidazole derivatives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метронідазол, міконазолу нітрат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G01AF20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вагінальні; по 10 таблеток у стрипі; по 1 стрипу в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UA/3319/01/01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КЛОФАН®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clotrimazole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клотримазол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G01AF02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крем вагінальний 10 %, по 7 г у тубі; по 1 тубі разом з аплікатором у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"КУСУМ"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КУСУМ ХЕЛТХКЕР ПВТ ЛТД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UA/14084/01/01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КЛОФАН®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clotrimazole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клотримазол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крем вагінальний 10 % ; in bulk: по 7 г в тубі; по 169 туб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"КУСУМ"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КУСУМ ХЕЛТХКЕР ПВТ ЛТД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UA/20818/02/01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КО-ДІОВАН®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Valsartan and diuretics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валсартан і гідрохлоротіазид мікронізований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C09DA03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160 мг/12,5 мг; по 14 таблеток у блістері; по 1 або 2 блістери у коробці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Новартіс Фарма АГ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за повним циклом: Новартіс Фарма C.п.А., Італія; Первинне та вторинне пакування: Міфарм С.п.А., Італія; Контроль якості: Сандоз С.Р.Л., Румунія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Італія/ Румунія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UA/8688/01/02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КО-ДІОВАН®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Valsartan and diuretics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валсартан і гідрохлоротіазид мікронізований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C09DA03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160 мг/25 мг; по 14 таблеток у блістері; по 1 або 2 блістери у коробці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Новартіс Фарма АГ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за повним циклом: Новартіс Фарма C.п.А., Італія; Первинне та вторинне пакування: Міфарм С.п.А., Італія; Контроль якості: Сандоз С.Р.Л., Румунія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Італія/ Румунія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UA/8688/01/03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КО-ДІОВАН®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Valsartan and diuretics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валсартан і гідрохлоротіазид мікронізований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C09DA03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320 мг/12,5 мг; по 14 таблеток у блістері; по 1 або 2 блістери у коробці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Новартіс Фарма АГ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за повним циклом: Новартіс Фарма C.п.А., Італія; Первинне та вторинне пакування: Міфарм С.п.А., Італія; Контроль якості: Сандоз С.Р.Л., Румунія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Італія/ Румунія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UA/8688/01/04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КО-ДІОВАН®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Valsartan and diuretics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валсартан і гідрохлоротіазид мікронізований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C09DA03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320 мг/25 мг; по 14 таблеток у блістері; по 1 або 2 блістери у коробці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Новартіс Фарма АГ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за повним циклом: Новартіс Фарма C.п.А., Італія; Первинне та вторинне пакування: Міфарм С.п.А., Італія; Контроль якості: Сандоз С.Р.Л., Румунія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Італія/ Румунія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UA/8688/01/05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КО-ДІОВАН®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Valsartan and diuretics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валсартан і гідрохлоротіазид мікронізований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C09DA03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80 мг/12,5 мг; по 14 таблеток у блістері; по 1 або 2 блістери у коробці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Новартіс Фарма АГ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за повним циклом: Новартіс Фарма C.п.А., Італія; Первинне та вторинне пакування: Міфарм С.п.А., Італія; Контроль якості: Сандоз С.Р.Л., Румунія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Італія/ Румунія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UA/8688/01/01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ЛАПРОНЕКСТ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latanoprost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латанопрост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S01EE01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краплі очні, розчин, 50 мкг/мл; по 2,5 мл у флаконі-крапельниці; по 1 флакону-крапельниці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БІОСАЙНС ГРУП ЛАБОРАТОРІЗ с.р.о.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Словацька Республіка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повний цикл виробництва:</w:t>
              <w:br/>
              <w:t>РАФАРМ СА, Греція;</w:t>
              <w:br/>
              <w:t>стерилізація первинної упаковки:</w:t>
              <w:br/>
              <w:t>ББФ Стерілізейшнссерві, Німеччина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Греція/ Німеччина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Зміна заявника ЛЗ (МІБП) (власника реєстраційного посвідчення)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sz w:val="16"/>
                <w:szCs w:val="16"/>
              </w:rPr>
              <w:t>UA/17532/01/01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ЛЕВАКСЕЛА®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levofloxacin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левофлоксацин у вигляді левофлоксацину гемігідрату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J01MA12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інфузій 5 мг/мл; по 100 мл розчину у флаконі; по 1, 5 або 10 флаконів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КРКА, д.д., Ново место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 "in bulk", первинне та вторинне пакування, контроль серії та випуск серії: КРКА, д.д., Ново место, Словенія; </w:t>
              <w:br/>
              <w:t>контроль серії: КРКА, д.д., Ново место, Словенія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UA/15596/01/01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ЛЕВОМАК 750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levofloxacin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левофлоксацину гемігідрат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J01MA12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750 мг; по 10 таблеток у блістері; по 1 блістеру в картонній упаковці; по 10 таблеток у блістері; по 10 блістерів у картонній упаковці; по 5 таблеток у блістері; по 1 блістеру в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Маклеодс Фармасьютикалс Лімітед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Маклеодс Фармасьютикалс Лімітед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№</w:t>
            </w:r>
            <w:r>
              <w:rPr>
                <w:rFonts w:eastAsia="Arial" w:cs="Arial" w:ascii="Arial" w:hAnsi="Arial"/>
                <w:i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i/>
                <w:sz w:val="16"/>
                <w:szCs w:val="16"/>
              </w:rPr>
              <w:t>5, № 10 – за рецептом; № 100 – тільки для застосування в умовах стаціонару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UA/15561/01/01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ЛЕВОФЛОКСАЦИНУ ГЕМІГІДРАТ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Levofloxacin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левофлоксацину гемігідрат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(субстанція) у подвійних поліетиленових мішках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"ТК "Аврора"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Шаоксінг Цзинсинь Фармасьютикал Ко., Лтд.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Китай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UA/10977/01/01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ЛОПРІДАМ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Perindopril, amlodipine and indapamide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периндоприлу ербумін, індапамід та амлодипін у формі амлодипіну бесилату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C09BX01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4 мг/1,25 мг/5 мг; по 15 таблеток у блістері, по 2 або 4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Зентіва, к.с.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Чеська Республiка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Зентіва, к.с.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Чеська Республiка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UA/19970/01/01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ЛОПРІДАМ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Perindopril, amlodipine and indapamide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периндоприлу ербумін, індапамід та амлодипін у формі амлодипіну бесилату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C09BX01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8 мг/2,5 мг/5 мг; по 15 таблеток у блістері, по 2 або 4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Зентіва, к.с.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Чеська Республiка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Зентіва, к.с.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Чеська Республiка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UA/19970/01/02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ЛОПРІДАМ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Perindopril, amlodipine and indapamide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периндоприлу ербумін, індапамід та амлодипін у формі амлодипіну бесилату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C09BX01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8 мг/2,5 мг/10 мг; по 15 таблеток у блістері, по 2 або 4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Зентіва, к.с.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Чеська Республiка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Зентіва, к.с.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Чеська Республiка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UA/19970/01/03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ЛЮФІ-500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levofloxacin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левофлоксацину гемігідрат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J01MA12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500 мг, по 5 таблеток у блістері; по 1 блістеру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Іпка Лабораторіз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Іпка Лабораторіз Лімітед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UA/16367/01/01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МАБТЕРА®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rituximab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ритуксимаб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L01FA01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концентрат для розчину для інфузій, 100 мг/10 мл по 10 мл у флаконі; по 2 флакони в картонній коробці; по 50 мл у флаконі; по 1 флакону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«Рош Україна»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 нерозфасованої продукції, первинне пакування, вторинне пакування, випробування контролю якості, випуск серії: </w:t>
              <w:br/>
              <w:t>Рош Діагностикс ГмбХ, Німеччина; Вторинне пакування, випробування контролю якості, випуск серії: Ф.Хоффманн-Ля Рош Лтд, Швейцарія; Виробництво нерозфасованої продукції, первинне пакування: Дженентек Інк., США; Випробування контролю якості при випуску за показниками Бактеріальні ендотоксини, Стерильність: Лабор ЛС СЕ енд Ко. КГ, Німеччина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Німеччина/ Швейцарія/ США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UA/14231/02/01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МАКСИТРОЛ®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Dexamethasone and antiinfectives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дексаметазон, неоміцину сульфат, поліміксину В сульфат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S01CA01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краплі очні; по 5 мл у флаконі-крапельниці; по 1 флакону-крапельниці в коробці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Новартіс Фарма АГ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Новартіс Мануфактурінг НВ, Бельгія; Випуск серії: Новартіс Фармасьютика, С.А., Іспанiя; Виробництво, контроль якості, первинне та вторинне пакування: Зігфрід Ель Масноу, С.А., Іспанiя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Бельгія/ Іспанiя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Технічна помилка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UA/8329/01/01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МЕЗАНЕКСТ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phenylephrine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фенілефрину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S01FB01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краплі очні, розчин, 25 мг/мл; по 5 мл у флаконі-крапельниці; по 1 флакону-крапельниці у картонній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БІОСАЙНС ГРУП ЛАБОРАТОРІЗ с.р.о.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Словацька Республіка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БАЛКАНФАРМА-РАЗГРАД АД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Болгарія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Зміна заявника ЛЗ (МІБП) (власника реєстраційного посвідчення)</w:t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UA/17255/01/01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МЕНОВАЗАН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ментол рацемічний, новокаїн (прокаїну гідрохлорид), анестезин (бензокаїн)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D04AX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мазь по 40 г у тубі алюмінієвій або ламінатній; по 1 тубі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"ДКП "Фармацевтична фабрика"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"ДКП "Фармацевтична фабрика"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UA/5829/02/01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МЕРТЕНІЛ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rosuvastatin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розувастатин кальцію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C10AA07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10 мг; по 10 таблеток у блістері, по 3 блістери в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виробництво, контроль якості та випуск серії: ВАТ "Гедеон Ріхтер"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UA/11705/01/03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МЕРТЕНІЛ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rosuvastatin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розувастатин кальцію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C10AA07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20 мг; по 10 таблеток у блістері, по 3 блістери в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виробництво, контроль якості та випуск серії: ВАТ "Гедеон Ріхтер"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UA/11705/01/04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МЕРТЕНІЛ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rosuvastatin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розувастатин кальцію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C10AA07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5 мг; по 10 таблеток у блістері, по 3 блістери в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виробництво, контроль якості та випуск серії: ВАТ "Гедеон Ріхтер"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UA/11705/01/02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МІДОКАЛМ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tolperisone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толперизону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M03BX04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50 мг; по 10 таблеток у блістері; по 3 блістери в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UA/7535/02/01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МІДОКАЛМ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tolperisone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толперизону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M03BX04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150 мг; по 10 таблеток у блістері; по 3 блістери в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UA/7535/02/02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МІДОКАЛМ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толперизону гідрохлорид і лідокаїну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M03BX04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ін'єкцій; по 1 мл в ампулі; по 5 ампул у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UA/7535/01/01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МІРАПЕКС®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Pramipexole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праміпексолу дигідрохлориду моногідрат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N04BC05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1 мг, по 10 таблеток у блістері; по 3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Берінгер Інгельхайм Інтернешнл ГмбХ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>виробництво, первинне та вторинне пакування, маркування, контроль якості (фізико-хімічні випробування) при випуску та при дослідженні стабільності, випуск серії: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br/>
              <w:t>Берінгер Інгельхайм Фарма ГмбХ і Ко. КГ, Німеччина;</w:t>
              <w:br/>
              <w:t>виробництво, контроль якості при випуску (фізико-хімічні випробування) та випуск серії:</w:t>
              <w:br/>
              <w:t>Роттендорф Фарма ГмбХ, Німеччина;</w:t>
              <w:br/>
              <w:t>первинне та вторинне пакування, маркування:</w:t>
              <w:br/>
              <w:t>Роттендорф Фарма ГмбХ, Німеччина;</w:t>
              <w:br/>
              <w:t>контроль якості (фізико-хімічні випробування) при випуску та при дослідженні стабільності:</w:t>
              <w:br/>
              <w:t>Еврофінс ФАСТ ГмбХ, Німеччина;</w:t>
              <w:br/>
              <w:t>контроль якості (фізико-хімічні випробування) при випуску та при дослідженні стабільності:</w:t>
              <w:br/>
              <w:t>А енд Ем ШТАБТЕСТ Лабор фур Аналітик унд Стабілітатспруфунг ГмбХ, Німеччина;</w:t>
              <w:br/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>контроль якості (випробування за показником "Мікробіологічна чистота" для нестерильних лікарських засобів) при випуску та при дослідженні стабільності: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br/>
              <w:t xml:space="preserve">СГС Інститут Фрезеніус ГмбХ, Німеччина; </w:t>
              <w:br/>
              <w:t>контроль якості (фізико-хімічні випробування) при випуску та при дослідженні стабільності:</w:t>
              <w:br/>
              <w:t>Солвіас АГ, Швейцарія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Німеччина/ Швейцарія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 xml:space="preserve">уточнення функцій деяких виробників в наказі МОЗ України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I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UA/3432/01/02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МІРАПЕКС®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Pramipexole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праміпексолу дигідрохлориду моногідрат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N04BC05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0,25 мг, по 10 таблеток у блістері; по 3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Берінгер Інгельхайм Інтернешнл ГмбХ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>виробництво, первинне та вторинне пакування, маркування, контроль якості (фізико-хімічні випробування) при випуску та при дослідженні стабільності, випуск серії: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br/>
              <w:t xml:space="preserve">Берінгер Інгельхайм Фарма ГмбХ і Ко. КГ, Німеччина; </w:t>
              <w:br/>
              <w:t>виробництво, контроль якості при випуску (фізико-хімічні випробування) та випуск серії:</w:t>
              <w:br/>
              <w:t>Роттендорф Фарма ГмбХ, Німеччина;</w:t>
              <w:br/>
              <w:t>первинне та вторинне пакування, маркування:</w:t>
              <w:br/>
              <w:t>Роттендорф Фарма ГмбХ, Німеччина;</w:t>
              <w:br/>
              <w:t>контроль якості (фізико-хімічні випробування) при випуску та при дослідженні стабільності:</w:t>
              <w:br/>
              <w:t>Еврофінс ФАСТ ГмбХ, Німеччина;</w:t>
              <w:br/>
              <w:t>контроль якості (фізико-хімічні випробування) при випуску та при дослідженні стабільності:</w:t>
              <w:br/>
              <w:t>А енд Ем ШТАБТЕСТ Лабор фур Аналітик унд Стабілітатспруфунг ГмбХ, Німеччина;</w:t>
              <w:br/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>контроль якості (випробування за показником "Мікробіологічна чистота" для нестерильних лікарських засобів) при випуску та при дослідженні стабільності: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br/>
              <w:t xml:space="preserve">СГС Інститут Фрезеніус ГмбХ, Німеччина; </w:t>
              <w:br/>
              <w:t>контроль якості (фізико-хімічні випробування) при випуску та при дослідженні стабільності:</w:t>
              <w:br/>
              <w:t>Солвіас АГ, Швейцарія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Німеччина/ Швейцарія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 xml:space="preserve">уточнення функцій деяких виробників в наказі МОЗ України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I типу: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UA/3432/01/01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МОКСАНАЦИН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moxifloxacin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моксифлоксацину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J01MA14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інфузій, 400 мг/250 мл; по 250 мл (400 мг) у флаконі; 1 флакон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Містрал Кепітал Менеджмент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Англія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АНФАРМ ХЕЛЛАС С.А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Грецiя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UA/19478/01/01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МОКСИМАК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moxifloxacin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моксифлоксацину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J01MA14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400 мг, по 5 таблеток у блістері; по 1 блістеру у картонній упаковці; по 10 таблеток у блістері; по 1 або 10 блістерів у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Маклеодс Фармасьютикалс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Маклеодс Фармасьютикалс Лімітед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UA/17579/01/01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МОНТЕЛУКАСТ-ІНТЕЛІ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montelukast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монтелукаст натрію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R03DC03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10 мг; по 7 таблеток у блістері, по 4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ЗАТ «ІНТЕЛІ ГЕНЕРИКС НОРД»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Литва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ЛАБОРАТОРІОС НОРМОН, С.А.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Іспанiя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UA/19905/01/01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МОНТЕЛУКАСТ-ІНТЕЛІ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montelukast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монтелукаст натрію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R03DC03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гранули по 4 мг; гранули у саше; по 28 саше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ЗАТ "ІНТЕЛІ ГЕНЕРИКС НОРД"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Литва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ЛАБОРАТОРІОС НОРМОН, С.А.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Іспанiя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UA/19905/02/01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МУКОЛІК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carbocisteine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карбоцистеїн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R05CB03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сироп 5%, по 125 мл у банці; по 1 банці та мірній ложці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ПрАТ "Технолог"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ПрАТ "Технолог" 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UA/15376/01/01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МУКОЛІК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carbocisteine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карбоцистеїн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R05CB03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сироп 2 %, по 125 мл у банці; по 1 банці з мірною ложкою у пачці з картону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"Технолог"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"Технолог"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UA/10556/01/01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НАУСИЛІУМ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domperidone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домперидону малеат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A03FA03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10 мг, по 10 таблеток у блістері; по 1 або 3 блістеріи в картонній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Ананта Медікеар Лтд.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Фламінго Фармасьютикалс Лтд.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UA/1680/01/01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НЕБІАР®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nebivolol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небіволол (у вигляді небіволола гідрохлорида)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C07AB12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таблетки по 5 мг; по 10 таблеток у блістері, по 3 блістери в пачці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"АРТЕРІУМ ЛТД"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ПАТ "Київмедпрепарат",</w:t>
              <w:br/>
              <w:t>Україна</w:t>
              <w:br/>
              <w:t>(виробництво з продукції in bulk фірми-виробника Актавіс Лімітед, Мальта, фірми-виробника "Балканфарма-Дупніца" АД, Болгарія, контроль якості, випуск серії)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>уточнення в наказі МОЗ України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UA/17235/01/01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НОВОКАЇН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procaine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прокаїну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N01BA02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ін'єкцій, 5 мг/мл, по 5 мл в ампулі; по 10 ампул в пачці з картону з перегородками; по 5 мл в ампулі; по 5 ампул в блістері; по 2 блістери у пачці з картону; по 5 мл в ампулі; по 100 ампул в коробці з перегородками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"Лекхім-Харків"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"Лекхім-Харків"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UA/13523/01/01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НО-Х-ША®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drotaverine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дротаверину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A03AD02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ін'єкцій, 20 мг/мл, по 2 мл в ампулі; по 5 або по 100 ампул у пачці з картону; по 2 мл в ампулі; по 5 ампул у блістері; по 1 блістеру в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"Лекхім - Харків"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"Лекхім - Харків"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UA/3611/03/01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ОЛФЕН®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diclofenac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диклофенак натрію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M02AA15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пластир лікувальний по 140 мг/12 годин на 140 см</w:t>
            </w: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№ 2: по 2 пластирі у пакеті з паперово-алюмінієво-поліетиленової плівки; по 1 пакету в картонній коробці; № 5: по 5 пластирів у пакеті з паперово-алюмінієво-поліетиленової плівки; по 1 пакету в картонній коробці; № 10: по 5 пластирів у пакеті з паперово-алюмінієво-поліетиленової плівки; по 2 пакети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«Тева Україна»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Виробник, який відповідає за виробництво нерозфасованого продукту; первинна та вторинна упаковка, контроль серії:</w:t>
              <w:br/>
              <w:t>Тейка Фармасьютикал Ко., Лтд., Японія;</w:t>
              <w:br/>
              <w:t xml:space="preserve">Виробник, який відповідає за контроль серії: </w:t>
              <w:br/>
              <w:t xml:space="preserve">Меркле ГмбХ, Німеччина; </w:t>
              <w:br/>
              <w:t xml:space="preserve">Виробник, який відповідає за випуск серії: </w:t>
              <w:br/>
              <w:t xml:space="preserve">Меркле ГмбХ, Німеччина; </w:t>
              <w:br/>
              <w:t>виробник, який відповідає за вторинну упаковку:</w:t>
              <w:br/>
              <w:t>Трансфарм Логістік ГмбХ, Німеччина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Японія/ Німеччина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UA/5930/01/01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ОМЕПРОТЕКТ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omeprazole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омепразол натрію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A02BC01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розчину для ін'єкцій по 40 мг 1 флакон з порошком в комплекті з 1 ампулою з розчинником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Містрал Кепітал Менеджмент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Англія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АНФАРМ ХЕЛЛАС С.А.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Греція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UA/20042/01/01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ОНДАНСЕТРОН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ondansetron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ондансетрон (у вигляді ондансетрону гідрохлориду дигідрату)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A04AA01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ін'єкцій, 2 мг/мл по 2 мл або 4 мл в ампулі; по 5 ампул у пачці; по 2 мл або 4 мл в ампулі; по 100 ампул у пачці; по 2 мл або 4 мл в ампулі; по 5 ампул у блістері; по 1 блістеру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"Лекхім-Харків"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"Лекхім-Харків"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UA/10250/01/01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ОНДАНСЕТРОН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ondansetron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ондансетрон (у вигляді ондансетрону гідрохлориду дигідрату)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ін'єкцій, 2 мг/мл in bulk: по 2 або 4 мл в ампулі; по 100 ампул у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"Лекхім-Харків"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"Лекхім-Харків"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UA/10251/01/01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ОРАФЕН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ibuprofen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ібупрофен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M01AE01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суспензія оральна з апельсиновим смаком, 100 мг/5 мл, по 200 мл у флаконі; по 1 флакону в комплекті зі шприцем-дозатором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ЗАТ "ІНТЕЛІ ГЕНЕРИКС НОРД"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Литва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ЛАБОРАТОРІО АЛЬДО-ЮНІОН, С.Л.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Іспанiя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UA/12520/01/01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ОРОСАЛЬ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гексетидин, холіну саліцилат, хлорбутанолу гемігідрат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R02AA20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розчин для ротової порожнини; по 120 мл або по 200 мл у флаконі скляному в картонній пачці з мірним стаканчиком; </w:t>
              <w:br/>
              <w:t>по 120 мл або по 200 мл у флаконі полімерному в картонній пачці з мірним стаканчиком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фармацевтична фабрика "Віола"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фармацевтична фабрика "Віола"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UA/20404/02/01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ОТОТОН®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феназон, лідокаїну гідрохлориду моногідрат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S02DA30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краплі вушні по 16 г у флаконі; по 1 флакону разом з крапельницею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UA/13775/01/01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ПАКЛІТАКСЕЛ АККОРД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paclitaxel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паклітаксел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L01CD01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концентрат для розчину для інфузій, 6 мг/мл, по 5 мл (30 мг), по 16,7 мл (100 мг), по 50 мл (300 мг) у флаконі; по 1 флакону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Аккорд Хелскеа Полска Сп. з.о.о.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готового лікарського засобу, виробництво bulk, первинне пакування, вторинне пакування, контроль якості серії:</w:t>
              <w:br/>
              <w:t>Інтас Фармасьютікалз Лімітед, Індія; Вторинне пакування: Аккорд Хелскеа Лімітед, Велика Британія;</w:t>
              <w:br/>
              <w:t>Виробництво готового лікарського засобу, первинне та вторинне пакування, контроль якості серії (альтернативний виробник):</w:t>
              <w:br/>
              <w:t>Інтас Фармасьютікалс Лімітед, Індія; Контроль якості серій: ЛАБАНАЛІЗІС С.Р.Л, Італія;</w:t>
              <w:br/>
              <w:t>Контроль якості серій: Фармавалід Лтд. Мікробіологічна лабораторія, Угорщина;</w:t>
              <w:br/>
              <w:t>Відповідальний за випуск серії: Аккорд Хелскеа Полска Сп. з о.о. Склад Імпортера, Польща;</w:t>
              <w:br/>
              <w:t>вторинне пакування, контроль якості серії: Аккорд Хелскеа Сінгл Мембер С.А., Греція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Британія/ Індія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/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Італія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/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Польща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/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Греція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UA/13924/01/01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ПАНАНГІН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Magnesium (different salts in combination)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магнію аспарагінат (у вигляді магнію аспарагінату тетрагідрату); </w:t>
              <w:br/>
              <w:t>калію аспарагінат (у вигляді калію аспарагінату гемігідрату)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A12CX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таблетки, вкриті плівковою оболонкою; по 50 таблеток у поліпропіленовому флаконі з контролем першого розкриття; по 1 флакону в картонній упаковці; по 20 таблеток у блістері; по 3 (20х3) або по 5 (20х5) блістерів в картонній упаковці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UA/7315/01/01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ПАНГАСТРО®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pantoprazole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пантопразол (у вигляді пантопразолу натрію сесквігідрату)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A02BC02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гастрорезистентні по 40 мг, по 7 таблеток у блістері, по 2 або 4 блістери в картонній коробці; по 14 таблеток у блістері, по 1 або 2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Сандоз Фармасьютікалз д.д.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Лек фармацевтична компанія д.д., Словенія (випуск серії; упаковка, випуск серії);</w:t>
              <w:br/>
              <w:t>виробництво "in bulk", упаковка, тестування: Генвеон Ілак Санай ве Тікарет А.С., Туреччина;</w:t>
              <w:br/>
              <w:t>тестування: С.К. Сандоз С.Р.Л., Румунiя;</w:t>
              <w:br/>
              <w:t>контроль мікробіологічної чистоти: Новартіс Саглик Гіда ве Тарім Урунлері Санай ве Тікарет А.С., Туреччина;</w:t>
              <w:br/>
              <w:t>виробництво "in bulk", тестування: Сандоз Груп Саглик Урунлері Ілакларі Сан. ве Тік. А.С., Туреччина;</w:t>
              <w:br/>
              <w:t>Лек С.А., Польща (первинне і вторинне пакування, контроль серії, випуск серії; первинне і вторинне пакування, випуск серії)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/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Туреччина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/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Польща/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Румунія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UA/13512/01/02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ПАНГАСТРО®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pantoprazole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пантопразол (у вигляді пантопразолу натрію сесквігідрату)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A02BC02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таблетки гастрорезистентні по 20 мг; по 7 таблеток у блістері; по 2 або 4 блістери в картонній коробці; по 14 таблеток у блістері; по 1 або 2 блістери в картонній коробці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Сандоз Фармасьютікалз д.д.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Лек фармацевтична компанія д.д., Словенія (випуск серії; упаковка, випуск серії);</w:t>
              <w:br/>
              <w:t>виробництво "in bulk", упаковка, тестування: Генвеон Ілак Санай ве Тікарет А.С., Туреччина;</w:t>
              <w:br/>
              <w:t>тестування: С.К. Сандоз С.Р.Л., Румунiя;</w:t>
              <w:br/>
              <w:t>контроль мікробіологічної чистоти: Новартіс Саглик Гіда ве Тарім Урунлері Санай ве Тікарет А.С., Туреччина;</w:t>
              <w:br/>
              <w:t>виробництво "in bulk", тестування: Сандоз Груп Саглик Урунлері Ілакларі Сан. ве Тік. А.С., Туреччина;</w:t>
              <w:br/>
              <w:t>Лек С.А., Польща (первинне і вторинне пакування, контроль серії, випуск серії; первинне і вторинне пакування, випуск серії)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/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Туреччина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/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Польща/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Румунія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UA/13512/01/01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ПАНТЕНОЛ СПРЕЙ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dexpanthenol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декспантенол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D03AX03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піна нашкірна, 4,63 г/100 г; по 130 г у контейнері під тиском; по 1 контейнеру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"БАУШ ХЕЛС"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Відповідальний за випуск серій: Др. Герхард Манн Хем.-фарм. Фабрик ГмбХ, Німеччина;</w:t>
              <w:br/>
              <w:t>Відповідальний за випуск серій: Бауш + Ломб Ірланд Лімітед, Ірландія;</w:t>
              <w:br/>
              <w:t xml:space="preserve">Виробництво bulk, пакування, контроль якості: АСМ Аеросол-Сервіс АГ, Швейцарія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/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Ірландія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/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UA/4438/01/01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ПЕНТАСА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Mesalazine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месалазин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A07EC02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супозиторії ректальні по 1000 мг; по 7 супозиторіїв у блістері; по 4 блістери в комплекті з гігієнічними напальниками в картонній упаковці; по 7 супозиторіїв у блістері; по 4 блістери в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Феррінг Інтернешнл Сентер СА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виробництво: Феррінг Інтернешнл Сентер СА, Швейцарія; відповідальний за випуск серії: Феррінг ГмбХ, Німеччина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Швейцарія/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Німеччина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UA/4990/01/01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ПІРАНТЕЛ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pyrantel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пірантелу памоат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P02CC01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250 мг, по 3 таблетки у блістері; по 1 блістеру у картонній упаковці; по 3 таблетки у блістері; по 1 блістеру у картонній упаковці; по 10 упаковок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ТОВ «КУСУМ»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виробництво, первинне пакування, вторинне пакування, контроль якості, випуск серії </w:t>
              <w:br/>
              <w:t xml:space="preserve">або </w:t>
              <w:br/>
              <w:t xml:space="preserve">виробництво продукції in bulk: </w:t>
              <w:br/>
              <w:t>КУСУМ ХЕЛТХКЕР ПВТ ЛТД, Індія;</w:t>
              <w:br/>
              <w:t>вторинне пакування, випуск серії з продукції in bulk:</w:t>
              <w:br/>
              <w:t>ТОВ «КУСУМ», Україна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або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контроль якості:</w:t>
              <w:br/>
              <w:t>ТОВ «КУСУМ» Україна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UA/6151/01/01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ПІРАНТЕЛ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pyrantel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пірантелу памоат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250 мг, in bulk № 3x1260: по 3 таблетки у блістері; по 1260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ТОВ «КУСУМ»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Кусум Хелтхкер Пвт  Лтд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UA/12056/01/01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ПІРАЦЕТАМ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piracetam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пірацетам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N06BX03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розчин для ін'єкцій, 200 мг/мл, по 5 мл в ампулі; по 10 ампул в пачці з картону; по 5 мл в ампулі; по 5 ампул в блістері; по 2 блістери в пачці з картону; по 5 мл в ампулі; по 100 ампул в пачці з картону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"Лекхім-Харків"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"Лекхім-Харків"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UA/14579/01/01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ПОВЕРКОРТ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clobetasol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клобетазолу пропіонат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D07AD01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крем 0,05 % по 15 г в тубі; по 1 тубі у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Гленмарк Фармасьютикалз Лтд.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Гленмарк Фармасьютикалз Лтд.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UA/8193/01/01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ПОВІДОН-ЙОД ВАЮМ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povidone-iodine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повідон-йод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D08AG02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нашкірний 100 мг/мл, по 30 мл, 50 мл, 100 мл у флаконі, по 50 мл у флаконі з розпилювачем; по 1 флакону в пачці; по 500 мл, 1 л у флаконах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"ВАЮМ-ФАРМ"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«МЕДЛЕВ»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UA/19240/01/01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ПОЛІДЕКСА З ФЕНІЛЕФРИНОМ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Dexamethasone, combinations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неоміцину сульфат, поліміксин В сульфат, дексаметазону натрію метасульфобензоат, фенілефрину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R01AD53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спрей назальний, розчин; по 15 мл у флаконі з розпилювачем; по 1 флакону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Лабораторії Бушара Рекордаті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Софартекс, Франція; </w:t>
              <w:br/>
              <w:t xml:space="preserve">або </w:t>
              <w:br/>
              <w:t xml:space="preserve">РЕКОРДАТІ ІЛАЧ САНАЇ ВЕ ТІК. А. С., Туреччина 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Франція/ Туреччина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>уточнення реєстраційної процедури в наказі МОЗ України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UA/2831/01/01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ПОСТИНОР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levonorgestrel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левоноргестрел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G03AD01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0,75 мг; по 2 таблетки у блістері, по 1 блістеру в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UA/6112/01/01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ПРАЙМАРГІН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arginine hydrochloride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аргініну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B05XB01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інфузій, 42 мг/мл по 100 мл у пляшці; по 1 пляшці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обмеженою відповідальністю «СІСТЕМ ФАРМ»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обмеженою відповідальністю фірма "Новофарм-Біосинтез"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UA/20907/01/01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ПРАКСБАЙНД®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idarucizumab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ідаруцизумаб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V03AB37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ін`єкцій/інфузій, 2,5 г/50 мл; по 50 мл у флаконі; по 2 флакони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Берінгер Інгельхайм Інтернешнл ГмбХ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Виробництво, первинне та вторинне пакування, контроль якості та випуск серії: Берінгер Інгельхайм Фарма ГмбХ і Ко. КГ, Німеччина; </w:t>
              <w:br/>
              <w:t>Альтернативна лабораторія для контролю якості протягом випробування стабільності: Кволіті Ассістанс СА, Бельгія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Німеччина/ Бельгія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UA/15467/01/01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ПРЕСАРТАН® - 100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losartan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лозартан калію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C09CA01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100 мг, по 14 таблеток у блістері; по 2 блістери у картонній пачці; по 10 таблеток у блістері; по 3 блістери у картонній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Іпка Лабораторіз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Іпка Лабораторіз Лімітед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UA/8575/01/03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ПРОСТАТИЛЕН®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простатилен (водний екстракт із передміхурових залоз статевозрілих бичків)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G04CX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ін`єкцій по 2 мл в ампулі; по 5 ампул у блістері; по 1 або 2 блістери у пачці з картону; по 2 мл в ампулі; по 100 ампул у пачці з картону.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«Лекхім-Харків»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«Лекхім-Харків»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II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UA/0800/02/01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РАМІПРИЛ-ТЕВА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ramipril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раміприл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C09AA05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2,5 мг; по 10 таблеток у блістері, по 3 або 6 блістерів у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«Тева Україна»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Меркле ГмбХ, Німеччина (Виробництво нерозфасованого продукту, дозвіл на випуск серії; Первинна та вторинна упаковка, контроль якості); Додаткова лабораторія, яка приймає участь у контролі якості: ННАС Лабор Д-р Хойслер ГмбХ, Німеччина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UA/16689/01/01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РАМІПРИЛ-ТЕВА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ramipril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раміприл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C09AA05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5 мг, по 10 таблеток у блістері, по 3 або 6 блістерів у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«Тева Україна»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Меркле ГмбХ, Німеччина (Виробництво нерозфасованого продукту, дозвіл на випуск серії; Первинна та вторинна упаковка, контроль якості); Додаткова лабораторія, яка приймає участь у контролі якості: ННАС Лабор Д-р Хойслер ГмбХ, Німеччина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UA/16689/01/02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РАМІПРИЛ-ТЕВА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ramipril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раміприл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C09AA05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10 мг, по 10 таблеток у блістері, по 3 або 6 блістерів у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«Тева Україна»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Меркле ГмбХ, Німеччина (Виробництво нерозфасованого продукту, дозвіл на випуск серії; Первинна та вторинна упаковка, контроль якості); Додаткова лабораторія, яка приймає участь у контролі якості: ННАС Лабор Д-р Хойслер ГмбХ, Німеччина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UA/16689/01/03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РАПІМІГ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zolmitriptan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золмітриптан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N02CC03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таблетки, що диспергуються в ротовій порожнині, по 2,5 мг, по 2 або 6 таблеток у блістері; по 1 блістеру в картонній коробці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«Тева Україна»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Актавіс ЛТД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Мальта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UA/8651/01/01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РАПІМІГ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zolmitriptan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золмітриптан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N02CC03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таблетки, що диспергуються в ротовій порожнині, по 5 мг, по 2 або 6 таблеток у блістері; по 1 блістеру в картонній коробці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«Тева Україна»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Актавіс ЛТД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Мальта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UA/8651/01/02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РЕНЕЛЬ 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Acidum nitricum D4, Aluminium oxydatum D12, Berberis vulgaris D2, Causticum Hahnemanni D4, Lytta vesicatoria D5, Plumbum aceticum D6, Serenoa repens D2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по 50 таблеток у контейнері поліпропіленовому; по 1 контейнеру в коробці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Біологіше Хайльміттель Хеель ГмбХ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Біологіше Хайльміттель Хеель ГмбХ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Технічна помилка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UA/2442/01/01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РІЄКО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Relugolix, estradiol and norethisterone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релуголікс, естрадіол (у вигляді естрадіолу гемігідрату) та норетистерону ацетат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H01CC54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40 мг/1 мг/0,5 мг; по 28 таблеток, вкритих плівковою оболонкою, у флаконі з поліетилену високої щільності з вологопоглиначем, закритому індукційною герметичною кришкою з поліпропілену із захистом від відкриття дітьми; по 1 або 3 флакони у картонній коробці або по 14 таблеток, вкритих плівковою оболонкою, у блістері; по 1 блістеру у пакеті з ламінованої алюмінієвої фольги з вологопоглиначем; по 2 або по 6 пакетів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нерозфасованого продукту, контроль якості:</w:t>
              <w:br/>
              <w:t>Патеон Інк., Канада;</w:t>
              <w:br/>
              <w:t>виробництво нерозфасованого продукту, первинне пакування, вторинне пакування, контроль якості, випуск серії:</w:t>
              <w:br/>
              <w:t>ВАТ "Гедеон Ріхтер", Угорщина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Канада/ Угорщина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II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UA/20261/01/01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САГІЛІЯ®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rasagiline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разагіліну (у вигляді разагіліну тартрату)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N04BD02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1 мг, по 10 таблеток у блістері; по 3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Медокемі Лімітед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Кіпр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готового лікарського засобу, первинне та вторинне пакування, контроль якості, випуск серії:</w:t>
              <w:br/>
              <w:t xml:space="preserve">Медокемі Лімітед, Кіпр; виробництво готового лікарського засобу, первинне та вторинне пакування, контроль якості: </w:t>
              <w:br/>
              <w:t>Делорбіс Фармасьютікалс ЛТД, Кіпр;</w:t>
              <w:br/>
              <w:t>виробництво готового лікарського засобу, первинне та вторинне пакування, контроль якості:</w:t>
              <w:br/>
              <w:t xml:space="preserve">Ірбефар - Індастріа Фармасьютіка, С.А., Португалiя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Кіпр/ Португалiя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UA/18155/01/01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САЛЬБУТАМОЛ-ІНТЕЛІ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salbutamol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сальбутамол (у формі сульфату)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R03AC02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інгаляція під тиском, суспензія, 100 мкг/доза по 200 доз (10 мл) в алюмінієвому балоні; по 1 балону з пластиковим адаптером та кришкою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ЗАТ «ІНТЕЛІ ГЕНЕРИКС НОРД»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Литва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Лабораторіо Альдо-Юніон, С.Л.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Іспанiя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UA/8338/01/01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САРГІН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arginine hydrochloride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L-аргініну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B05XB01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інфузій, 42 мг/мл; по 100 мл у флаконі; по 1 флакону в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повний цикл виробництва:</w:t>
              <w:br/>
              <w:t>АТ "Фармак",</w:t>
              <w:br/>
              <w:t>Україна;</w:t>
              <w:br/>
              <w:t>виробництво, візуальна інспекція флаконів, первинне та вторинне пакування, контроль якості напівпродукту, немаркованої продукції та готової продукції:</w:t>
              <w:br/>
              <w:t>ПрАТ "Інфузія",</w:t>
              <w:br/>
              <w:t>Україна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UA/16480/01/01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СЕПТОЛЕТЕ® ТОТАЛ ЛИМОН ТА БУЗИНА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бензидаміну гідрохлорид та цетилпіридинію 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R02AX03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льодяники, 3 мг/1 мг; по 8 льодяників у блістері, по 1, по 2, по 3, по 4 або по 5 блістерів у картонній коробці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КРКА, д.д., Ново место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"in bulk", первинна та вторинна упаковка, контроль серії:</w:t>
              <w:br/>
              <w:t>КРКА, д.д., Ново место, Словенія;</w:t>
              <w:br/>
              <w:t>виробництво "in bulk", первинна та вторинна упаковка:</w:t>
              <w:br/>
              <w:t xml:space="preserve">Джей. Бі. Кемікалс енд Фармасьютикалс Лімітед, Індія; </w:t>
              <w:br/>
              <w:t>контроль та випуск серії:</w:t>
              <w:br/>
              <w:t>КРКА, д.д., Ново место, Словенія;</w:t>
              <w:br/>
              <w:t>контроль серії:</w:t>
              <w:br/>
              <w:t>КРКА, д.д., Ново место, Словенія;</w:t>
              <w:br/>
              <w:t xml:space="preserve">НЛЗОХ (Національні лабораторія за здрав'є, околє ін храно), Словенія 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Словенія/ Індія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UA/16726/01/01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СІНРАЙЗ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C1-inhibitor, plasma derived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інгібітор С1-естерази людини, одержаний з плазми</w:t>
              <w:br/>
              <w:t>донорської крові людини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B06AC01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та розчинник для розчину для ін'єкцій по 500 МО; по 2 флакони з порошком, 2 флакони з розчинником, 2 пристрої для перенесення з фільтром, 2 одноразових шприци об’ємом 10 мл, 2 набори для венепункції і 2 захисних килимки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Такеда Мануфекчурінг Австрія АГ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дозвіл на випуск серії: Такеда Мануфекчурінг Австрія АГ, Австрія; виробництво ГЛЗ, первинне та вторинне пакування ГЛЗ, контроль якості серії: Такеда Мануфекчурінг Австрія АГ, Австрія; контроль якості серії: "Стерильність" та "Ендотоксини": Такеда Мануфекчурінг Австрія АГ, Австрія; виробництво, первинне пакування та контроль якості розчинника: Зігфрід Хамельн ГмбХ, Німеччина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Австрія/ Німеччина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II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UA/18748/01/01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СІНУМАКС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oxymetazoline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оксиметазоліну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R01AA05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спрей назальний, дозований 0,05%, по 10 г у флаконі з розпилювачем; по 1 флакону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"ВАЛАРТІН ФАРМА"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виробництво, пакування, контроль якості: ТОВ "Мікрофарм", Україна; випуск серії: ТОВ «ВАЛАРТІН ФАРМА», Україна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UA/17382/01/01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СОЛПАДЕЇН АКТИВ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Paracetamol, combinations excl. psycholeptics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парацетамол, кофеїн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N02BE51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шипучі; по 2 таблетки у багатошаровому стрипі; по 6 стрипів у картонній коробці; по 4 таблетки у багатошаровому стрипі; по 3 стрипи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Халеон ЮК Трейдінг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Халеон Айрленд Дангарван Лімітед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Ірландiя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Технічна помилка (згідно наказу МОЗ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UA/12392/01/01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ТАКНІ ЛОНГ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tacrolimus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такролімус (у вигляді такролімусу моногідрату)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L04AD02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пролонгованої дії тверді, по 0,5 мг; по 10 капсул пролонгованої дії твердих у блістері; по 5 блістерів у алюмінієвому пакеті, що містить вологопоглинаючий пакетик; по 1 алюмінієвому пакету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«Тева Україна»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Фармацевтичний завод Тева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UA/20185/01/01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ТАКНІ ЛОНГ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tacrolimus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такролімус (у вигляді такролімусу моногідрату)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L04AD02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пролонгованої дії тверді, 1 мг; по 10 капсул пролонгованої дії твердих у блістері; по 5 блістерів у алюмінієвому пакеті, що містить вологопоглинаючий пакетик; по 1 алюмінієвому пакету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«Тева Україна»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Фармацевтичний завод Тева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UA/20185/01/02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ТАКНІ ЛОНГ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tacrolimus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такролімус (у вигляді такролімусу моногідрату)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L04AD02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пролонгованої дії тверді, по 3 мг; по 10 капсул пролонгованої дії твердих у блістері; по 5 блістерів у алюмінієвому пакеті, що містить вологопоглинаючий пакетик; по 1 алюмінієвому пакету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«Тева Україна»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Фармацевтичний завод Тева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UA/20185/01/03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ТАКНІ ЛОНГ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tacrolimus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такролімус (у вигляді такролімусу моногідрату)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L04AD02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пролонгованої дії тверді, по 5 мг; по 10 капсул пролонгованої дії твердих у блістері; по 5 блістерів у алюмінієвому пакеті, що містить вологопоглинаючий пакетик; по 1 алюмінієвому пакету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«Тева Україна»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Фармацевтичний завод Тева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UA/20185/01/04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b/>
                <w:sz w:val="16"/>
                <w:szCs w:val="16"/>
                <w:lang w:val="en-US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ТВІНРИКС ВАКЦИНА ДЛЯ ПРОФІЛАКТИКИ ГЕПАТИТІВ А (ІНАКТИВОВАНА) І В (АДСОРБОВАНА)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rPr/>
            </w:pPr>
            <w:r>
              <w:rPr>
                <w:rFonts w:cs="Arial" w:ascii="Arial" w:hAnsi="Arial"/>
                <w:sz w:val="16"/>
                <w:szCs w:val="16"/>
              </w:rPr>
              <w:t>вірус гепатиту А (інактивований)</w:t>
            </w:r>
            <w:r>
              <w:rPr>
                <w:rFonts w:cs="Arial" w:ascii="Arial" w:hAnsi="Arial"/>
                <w:sz w:val="16"/>
                <w:szCs w:val="16"/>
                <w:vertAlign w:val="superscript"/>
              </w:rPr>
              <w:t>(1,2)</w:t>
            </w:r>
            <w:r>
              <w:rPr>
                <w:rFonts w:cs="Arial" w:ascii="Arial" w:hAnsi="Arial"/>
                <w:sz w:val="16"/>
                <w:szCs w:val="16"/>
              </w:rPr>
              <w:t xml:space="preserve">; поверхневий антиген вірусу гепатиту В </w:t>
            </w:r>
            <w:r>
              <w:rPr>
                <w:rFonts w:cs="Arial" w:ascii="Arial" w:hAnsi="Arial"/>
                <w:sz w:val="16"/>
                <w:szCs w:val="16"/>
                <w:vertAlign w:val="superscript"/>
              </w:rPr>
              <w:t>(3,4)</w:t>
            </w:r>
            <w:r>
              <w:rPr>
                <w:rFonts w:cs="Arial" w:ascii="Arial" w:hAnsi="Arial"/>
                <w:sz w:val="16"/>
                <w:szCs w:val="16"/>
              </w:rPr>
              <w:t xml:space="preserve"> </w:t>
              <w:br/>
            </w:r>
            <w:r>
              <w:rPr>
                <w:rFonts w:cs="Arial" w:ascii="Arial" w:hAnsi="Arial"/>
                <w:sz w:val="16"/>
                <w:szCs w:val="16"/>
                <w:vertAlign w:val="superscript"/>
              </w:rPr>
              <w:t>(1)</w:t>
            </w:r>
            <w:r>
              <w:rPr>
                <w:rFonts w:cs="Arial" w:ascii="Arial" w:hAnsi="Arial"/>
                <w:sz w:val="16"/>
                <w:szCs w:val="16"/>
              </w:rPr>
              <w:t xml:space="preserve"> вироблено на диплоїдних клітинах людини MRC-5</w:t>
              <w:br/>
            </w:r>
            <w:r>
              <w:rPr>
                <w:rFonts w:cs="Arial" w:ascii="Arial" w:hAnsi="Arial"/>
                <w:sz w:val="16"/>
                <w:szCs w:val="16"/>
                <w:vertAlign w:val="superscript"/>
              </w:rPr>
              <w:t>(2)</w:t>
            </w:r>
            <w:r>
              <w:rPr>
                <w:rFonts w:cs="Arial" w:ascii="Arial" w:hAnsi="Arial"/>
                <w:sz w:val="16"/>
                <w:szCs w:val="16"/>
              </w:rPr>
              <w:t xml:space="preserve"> адсорбований на алюмінію гідроксиді, гідратованому 0,05 мг Al3+</w:t>
              <w:br/>
            </w:r>
            <w:r>
              <w:rPr>
                <w:rFonts w:cs="Arial" w:ascii="Arial" w:hAnsi="Arial"/>
                <w:sz w:val="16"/>
                <w:szCs w:val="16"/>
                <w:vertAlign w:val="superscript"/>
              </w:rPr>
              <w:t>(3)</w:t>
            </w:r>
            <w:r>
              <w:rPr>
                <w:rFonts w:cs="Arial" w:ascii="Arial" w:hAnsi="Arial"/>
                <w:sz w:val="16"/>
                <w:szCs w:val="16"/>
              </w:rPr>
              <w:t xml:space="preserve"> вироблено у клітинах дріжджової культури Saccharomyces cerevisiae за технологією рекомбінантної ДНК</w:t>
              <w:br/>
            </w:r>
            <w:r>
              <w:rPr>
                <w:rFonts w:cs="Arial" w:ascii="Arial" w:hAnsi="Arial"/>
                <w:sz w:val="16"/>
                <w:szCs w:val="16"/>
                <w:vertAlign w:val="superscript"/>
              </w:rPr>
              <w:t>(4)</w:t>
            </w:r>
            <w:r>
              <w:rPr>
                <w:rFonts w:cs="Arial" w:ascii="Arial" w:hAnsi="Arial"/>
                <w:sz w:val="16"/>
                <w:szCs w:val="16"/>
              </w:rPr>
              <w:t xml:space="preserve"> адсорбований на алюмінію фосфаті</w:t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J07BC20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суспензія для ін'єкцій; по 1 дозі (1 мл/дозу) у попередньо наповненому шприці № 1 у комплекті з голкою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ГлаксоСмітКляйн Експорт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Маркування та пакування готового продукту:</w:t>
              <w:br/>
              <w:t xml:space="preserve">ГлаксоСмітКляйн Біолоджікалз, Франція; </w:t>
              <w:br/>
              <w:t>Формування вакцини, наповнення в шприці, проведення контролю якості, маркування і пакування готового продукту:</w:t>
              <w:br/>
              <w:t>ГлаксоСмітКляйн Біолоджікалз С.А., Бельгія;</w:t>
              <w:br/>
              <w:t>Формування вакцини, наповнення в шприці, проведення контролю якості:</w:t>
              <w:br/>
              <w:t>СмітКляйн Бічем Фарма ГмбХ унд Ко. КГ, Німеччина;</w:t>
              <w:br/>
              <w:t>Випуск серії готового продукту:</w:t>
              <w:br/>
              <w:t>ГлаксоСмітКляйн Біолоджікалз С.А., Бельгія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Франція/ Бельгія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II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UA/13056/01/01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ТЕБАНТИН®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gabapentin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габапентин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N02BF01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по 300 мг; по 10 капсул у блістері; по 5 або 10 блістерів у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UA/3421/01/02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ТЕМОЗОЛОМІД АККОРД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Temozolomide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темозоломід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L01AX03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капсули тверді, по 20 мг; по 1 капсулі у саше, по 5 саше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Аккорд Хелскеа С.Л.У.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 лікарського засобу, первинне та вторинне пакування, контроль якості серії: ІНТАС ФАРМАСЬЮТІКАЛЗ ЛІМІТЕД, Індія; </w:t>
              <w:br/>
              <w:t xml:space="preserve">Виробництво лікарського засобу, первинне та вторинне пакування, контроль якості серії: Інтас Фармасьютікалз Лімітед, Індія; </w:t>
              <w:br/>
              <w:t>Додаткова дільниця з вторинного пакування: АККОРД ХЕЛСКЕА ЛІМІТЕД, Велика Британія; Додаткова дільниця з вторинного пакування: ДЧЛ САПЛІ ЧЕЙН (Італія) СПА, Італія; Додаткова дільниця з вторинного пакування: АККОРД-ЮКЕЙ ЛІМІТЕДS, Велика Британія; Додаткова дільниця з вторинного пакування: Синоптиз Індастріал Сп. з о.о., Польща; Контроль якості:</w:t>
              <w:br/>
              <w:t>Місом Лабс Лтд., Мальта; Контроль якості: Фармадокс Хелскеа Лтд., Мальта; Контроль якості: Єврофінс Аналітікал Сервісез Хангері Кфт., Угорщина; Контроль якості: Лабаналізіс Лайф Сайенс С.р.л., Італія; Контроль якості: Фармавалід Кфт., Угорщина; Відповідальний за випуск серії: Аккорд Хелскеа Полска Сп. з о.о. Склад Імпортера, Польща; Контроль якості серії та вторинне пакування:</w:t>
              <w:br/>
              <w:t>Аккорд Хелскеа Сінгл Мембер С.А., Греція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Британія/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Італія/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Мальта/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Греція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UA/19158/01/01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ТЕМОЗОЛОМІД АККОРД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Temozolomide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темозоломід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L01AX03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капсули тверді, по 100 мг; по 1 капсулі у саше, по 5 саше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Аккорд Хелскеа С.Л.У.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 лікарського засобу, первинне та вторинне пакування, контроль якості серії: ІНТАС ФАРМАСЬЮТІКАЛЗ ЛІМІТЕД, Індія; </w:t>
              <w:br/>
              <w:t xml:space="preserve">Виробництво лікарського засобу, первинне та вторинне пакування, контроль якості серії: Інтас Фармасьютікалз Лімітед, Індія; </w:t>
              <w:br/>
              <w:t>Додаткова дільниця з вторинного пакування: АККОРД ХЕЛСКЕА ЛІМІТЕД, Велика Британія; Додаткова дільниця з вторинного пакування: ДЧЛ САПЛІ ЧЕЙН (Італія) СПА, Італія; Додаткова дільниця з вторинного пакування: АККОРД-ЮКЕЙ ЛІМІТЕДS, Велика Британія; Додаткова дільниця з вторинного пакування: Синоптиз Індастріал Сп. з о.о., Польща; Контроль якості:</w:t>
              <w:br/>
              <w:t>Місом Лабс Лтд., Мальта; Контроль якості: Фармадокс Хелскеа Лтд., Мальта; Контроль якості: Єврофінс Аналітікал Сервісез Хангері Кфт., Угорщина; Контроль якості: Лабаналізіс Лайф Сайенс С.р.л., Італія; Контроль якості: Фармавалід Кфт., Угорщина; Відповідальний за випуск серії: Аккорд Хелскеа Полска Сп. з о.о. Склад Імпортера, Польща; Контроль якості серії та вторинне пакування:</w:t>
              <w:br/>
              <w:t>Аккорд Хелскеа Сінгл Мембер С.А., Греція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Британія/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Італія/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Мальта/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Греція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UA/19158/01/02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ТЕМОЗОЛОМІД АККОРД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Temozolomide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темозоломід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L01AX03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капсули тверді, по 140 мг; по 1 капсулі у саше, по 5 саше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Аккорд Хелскеа С.Л.У.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 лікарського засобу, первинне та вторинне пакування, контроль якості серії: ІНТАС ФАРМАСЬЮТІКАЛЗ ЛІМІТЕД, Індія; </w:t>
              <w:br/>
              <w:t xml:space="preserve">Виробництво лікарського засобу, первинне та вторинне пакування, контроль якості серії: Інтас Фармасьютікалз Лімітед, Індія; </w:t>
              <w:br/>
              <w:t>Додаткова дільниця з вторинного пакування: АККОРД ХЕЛСКЕА ЛІМІТЕД, Велика Британія; Додаткова дільниця з вторинного пакування: ДЧЛ САПЛІ ЧЕЙН (Італія) СПА, Італія; Додаткова дільниця з вторинного пакування: АККОРД-ЮКЕЙ ЛІМІТЕДS, Велика Британія; Додаткова дільниця з вторинного пакування: Синоптиз Індастріал Сп. з о.о., Польща; Контроль якості:</w:t>
              <w:br/>
              <w:t>Місом Лабс Лтд., Мальта; Контроль якості: Фармадокс Хелскеа Лтд., Мальта; Контроль якості: Єврофінс Аналітікал Сервісез Хангері Кфт., Угорщина; Контроль якості: Лабаналізіс Лайф Сайенс С.р.л., Італія; Контроль якості: Фармавалід Кфт., Угорщина; Відповідальний за випуск серії: Аккорд Хелскеа Полска Сп. з о.о. Склад Імпортера, Польща; Контроль якості серії та вторинне пакування:</w:t>
              <w:br/>
              <w:t>Аккорд Хелскеа Сінгл Мембер С.А., Греція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Британія/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Італія/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Мальта/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Греція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UA/19158/01/03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ТЕМОЗОЛОМІД АККОРД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Temozolomide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темозоломід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L01AX03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капсули тверді, по 180 мг; по 1 капсулі у саше, по 5 саше у пачці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Аккорд Хелскеа С.Л.У.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 лікарського засобу, первинне та вторинне пакування, контроль якості серії: ІНТАС ФАРМАСЬЮТІКАЛЗ ЛІМІТЕД, Індія; </w:t>
              <w:br/>
              <w:t xml:space="preserve">Виробництво лікарського засобу, первинне та вторинне пакування, контроль якості серії: Інтас Фармасьютікалз Лімітед, Індія; </w:t>
              <w:br/>
              <w:t>Додаткова дільниця з вторинного пакування: АККОРД ХЕЛСКЕА ЛІМІТЕД, Велика Британія; Додаткова дільниця з вторинного пакування: ДЧЛ САПЛІ ЧЕЙН (Італія) СПА, Італія; Додаткова дільниця з вторинного пакування: АККОРД-ЮКЕЙ ЛІМІТЕДS, Велика Британія; Додаткова дільниця з вторинного пакування: Синоптиз Індастріал Сп. з о.о., Польща; Контроль якості:</w:t>
              <w:br/>
              <w:t>Місом Лабс Лтд., Мальта; Контроль якості: Фармадокс Хелскеа Лтд., Мальта; Контроль якості: Єврофінс Аналітікал Сервісез Хангері Кфт., Угорщина; Контроль якості: Лабаналізіс Лайф Сайенс С.р.л., Італія; Контроль якості: Фармавалід Кфт., Угорщина; Відповідальний за випуск серії: Аккорд Хелскеа Полска Сп. з о.о. Склад Імпортера, Польща; Контроль якості серії та вторинне пакування:</w:t>
              <w:br/>
              <w:t>Аккорд Хелскеа Сінгл Мембер С.А., Греція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Британія/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Італія/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Мальта/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Греція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UA/19158/01/04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ТЕМОЗОЛОМІД АККОРД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Temozolomide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темозоломід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L01AX03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капсули тверді, по 250 мг, по 1 капсулі у саше, по 5 саше у пачці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Аккорд Хелскеа С.Л.У.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 лікарського засобу, первинне та вторинне пакування, контроль якості серії: ІНТАС ФАРМАСЬЮТІКАЛЗ ЛІМІТЕД, Індія; </w:t>
              <w:br/>
              <w:t xml:space="preserve">Виробництво лікарського засобу, первинне та вторинне пакування, контроль якості серії: Інтас Фармасьютікалз Лімітед, Індія; </w:t>
              <w:br/>
              <w:t>Додаткова дільниця з вторинного пакування: АККОРД ХЕЛСКЕА ЛІМІТЕД, Велика Британія; Додаткова дільниця з вторинного пакування: ДЧЛ САПЛІ ЧЕЙН (Італія) СПА, Італія; Додаткова дільниця з вторинного пакування: АККОРД-ЮКЕЙ ЛІМІТЕДS, Велика Британія; Додаткова дільниця з вторинного пакування: Синоптиз Індастріал Сп. з о.о., Польща; Контроль якості:</w:t>
              <w:br/>
              <w:t>Місом Лабс Лтд., Мальта; Контроль якості: Фармадокс Хелскеа Лтд., Мальта; Контроль якості: Єврофінс Аналітікал Сервісез Хангері Кфт., Угорщина; Контроль якості: Лабаналізіс Лайф Сайенс С.р.л., Італія; Контроль якості: Фармавалід Кфт., Угорщина; Відповідальний за випуск серії: Аккорд Хелскеа Полска Сп. з о.о. Склад Імпортера, Польща; Контроль якості серії та вторинне пакування:</w:t>
              <w:br/>
              <w:t>Аккорд Хелскеа Сінгл Мембер С.А., Греція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Британія/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Італія/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Мальта/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Греція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UA/19158/01/05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ТЕМОЗОЛОМІД АККОРД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Temozolomide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темозоломід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L01AX03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капсули тверді, по 20 мг; по 1 капсулі у саше, по 5 саше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Аккорд Хелскеа С.Л.У.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Іспан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i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Виробництво лікарського засобу, первинне та вторинне пакування, контроль якості серії: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ІНТАС ФАРМАСЬЮТІКАЛЗ ЛІМІТЕД, Індія;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Виробництво лікарського засобу, первинне та вторинне пакування, контроль якості серії: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Інтас Фармасьютікалз Лімітед, Індія;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Додаткова дільниця з вторинного пакування: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АККОРД ХЕЛСКЕА ЛІМІТЕД, Велика Британія;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Додаткова дільниця з вторинного пакування: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ДЧЛ САПЛІ ЧЕЙН (Італія) СПА, Італія;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Додаткова дільниця з вторинного пакування: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АККОРД-ЮКЕЙ ЛІМІТЕД, Велика Британія;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Додаткова дільниця з вторинного пакування: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Синоптиз Індастріал Сп. з о.о., Польща;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Контроль якості: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Місом Лабс Лтд., Мальта;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Контроль якості: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Фармадокс Хелскеа Лтд. Мальта;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Контроль якості: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Єврофінс Аналітікал Сервісез Хангері Кфт., Угорщина;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Контроль якості: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Лабаналізіс Лайф Сайенс С.р.л., Італія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Контроль якості: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Фармавалід Кфт., Угорщина;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Відповідальний за випуск серії:</w:t>
            </w:r>
          </w:p>
          <w:p>
            <w:pPr>
              <w:pStyle w:val="Normal"/>
              <w:jc w:val="center"/>
              <w:rPr/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Аккорд Хелскеа Полска Сп. з о.о. Склад Імпортера, Польща</w:t>
            </w:r>
            <w:r>
              <w:rPr>
                <w:rFonts w:cs="Arial" w:ascii="Arial" w:hAnsi="Arial"/>
                <w:sz w:val="16"/>
                <w:szCs w:val="16"/>
              </w:rPr>
              <w:t>;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Контроль якості серії та вторинне пакування: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Аккорд Хелскеа Сінгл Мембер С.А., Греція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Британія/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Італія/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Мальта/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Греція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UA/19158/01/01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ТЕМОЗОЛОМІД АККОРД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Temozolomide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темозоломід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L01AX03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капсули тверді, по 250 мг, по 1 капсулі у саше, по 5 саше у пачці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Аккорд Хелскеа С.Л.У.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Іспан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i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Виробництво лікарського засобу, первинне та вторинне пакування, контроль якості серії: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ІНТАС ФАРМАСЬЮТІКАЛЗ ЛІМІТЕД, Індія;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Виробництво лікарського засобу, первинне та вторинне пакування, контроль якості серії: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Інтас Фармасьютікалз Лімітед, Індія;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Додаткова дільниця з вторинного пакування: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АККОРД ХЕЛСКЕА ЛІМІТЕД, Велика Британія;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Додаткова дільниця з вторинного пакування: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ДЧЛ САПЛІ ЧЕЙН (Італія) СПА, Італія;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Додаткова дільниця з вторинного пакування: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АККОРД-ЮКЕЙ ЛІМІТЕД, Велика Британія;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Додаткова дільниця з вторинного пакування: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Синоптиз Індастріал Сп. з о.о., Польща;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Контроль якості: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Місом Лабс Лтд., Мальта;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Контроль якості: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Фармадокс Хелскеа Лтд. Мальта;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Контроль якості: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Єврофінс Аналітікал Сервісез Хангері Кфт., Угорщина;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Контроль якості: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Лабаналізіс Лайф Сайенс С.р.л., Італія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Контроль якості: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Фармавалід Кфт., Угорщина;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Відповідальний за випуск серії:</w:t>
            </w:r>
          </w:p>
          <w:p>
            <w:pPr>
              <w:pStyle w:val="Normal"/>
              <w:jc w:val="center"/>
              <w:rPr/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Аккорд Хелскеа Полска Сп. з о.о. Склад Імпортера, Польща</w:t>
            </w:r>
            <w:r>
              <w:rPr>
                <w:rFonts w:cs="Arial" w:ascii="Arial" w:hAnsi="Arial"/>
                <w:sz w:val="16"/>
                <w:szCs w:val="16"/>
              </w:rPr>
              <w:t>;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Контроль якості серії та вторинне пакування: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Аккорд Хелскеа Сінгл Мембер С.А., Греція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Британія/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Італія/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Мальта/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Греція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UA/19158/01/05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ТЕМОЗОЛОМІД АККОРД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Temozolomide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темозоломід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L01AX03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капсули тверді, по 180 мг; по 1 капсулі у саше, по 5 саше у пачці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Аккорд Хелскеа С.Л.У.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Іспан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i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Виробництво лікарського засобу, первинне та вторинне пакування, контроль якості серії: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ІНТАС ФАРМАСЬЮТІКАЛЗ ЛІМІТЕД, Індія;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Виробництво лікарського засобу, первинне та вторинне пакування, контроль якості серії: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Інтас Фармасьютікалз Лімітед, Індія;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Додаткова дільниця з вторинного пакування: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АККОРД ХЕЛСКЕА ЛІМІТЕД, Велика Британія;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Додаткова дільниця з вторинного пакування: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ДЧЛ САПЛІ ЧЕЙН (Італія) СПА, Італія;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Додаткова дільниця з вторинного пакування: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АККОРД-ЮКЕЙ ЛІМІТЕД, Велика Британія;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Додаткова дільниця з вторинного пакування: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Синоптиз Індастріал Сп. з о.о., Польща;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Контроль якості: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Місом Лабс Лтд., Мальта;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Контроль якості: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Фармадокс Хелскеа Лтд. Мальта;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Контроль якості: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Єврофінс Аналітікал Сервісез Хангері Кфт., Угорщина;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Контроль якості: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Лабаналізіс Лайф Сайенс С.р.л., Італія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Контроль якості: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Фармавалід Кфт., Угорщина;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Відповідальний за випуск серії:</w:t>
            </w:r>
          </w:p>
          <w:p>
            <w:pPr>
              <w:pStyle w:val="Normal"/>
              <w:jc w:val="center"/>
              <w:rPr/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Аккорд Хелскеа Полска Сп. з о.о. Склад Імпортера, Польща</w:t>
            </w:r>
            <w:r>
              <w:rPr>
                <w:rFonts w:cs="Arial" w:ascii="Arial" w:hAnsi="Arial"/>
                <w:sz w:val="16"/>
                <w:szCs w:val="16"/>
              </w:rPr>
              <w:t>;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Контроль якості серії та вторинне пакування: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Аккорд Хелскеа Сінгл Мембер С.А., Греція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Британія/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Італія/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Мальта/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Греція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UA/19158/01/04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ТЕМОЗОЛОМІД АККОРД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Temozolomide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темозоломід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L01AX03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капсули тверді, по 140 мг; по 1 капсулі у саше, по 5 саше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Аккорд Хелскеа С.Л.У.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Іспан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i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Виробництво лікарського засобу, первинне та вторинне пакування, контроль якості серії: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ІНТАС ФАРМАСЬЮТІКАЛЗ ЛІМІТЕД, Індія;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Виробництво лікарського засобу, первинне та вторинне пакування, контроль якості серії: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Інтас Фармасьютікалз Лімітед, Індія;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Додаткова дільниця з вторинного пакування: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АККОРД ХЕЛСКЕА ЛІМІТЕД, Велика Британія;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Додаткова дільниця з вторинного пакування: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ДЧЛ САПЛІ ЧЕЙН (Італія) СПА, Італія;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Додаткова дільниця з вторинного пакування: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АККОРД-ЮКЕЙ ЛІМІТЕД, Велика Британія;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Додаткова дільниця з вторинного пакування: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Синоптиз Індастріал Сп. з о.о., Польща;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Контроль якості: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Місом Лабс Лтд., Мальта;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Контроль якості: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Фармадокс Хелскеа Лтд. Мальта;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Контроль якості: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Єврофінс Аналітікал Сервісез Хангері Кфт., Угорщина;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Контроль якості: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Лабаналізіс Лайф Сайенс С.р.л., Італія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Контроль якості: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Фармавалід Кфт., Угорщина;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Відповідальний за випуск серії:</w:t>
            </w:r>
          </w:p>
          <w:p>
            <w:pPr>
              <w:pStyle w:val="Normal"/>
              <w:jc w:val="center"/>
              <w:rPr/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Аккорд Хелскеа Полска Сп. з о.о. Склад Імпортера, Польща</w:t>
            </w:r>
            <w:r>
              <w:rPr>
                <w:rFonts w:cs="Arial" w:ascii="Arial" w:hAnsi="Arial"/>
                <w:sz w:val="16"/>
                <w:szCs w:val="16"/>
              </w:rPr>
              <w:t>;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Контроль якості серії та вторинне пакування: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Аккорд Хелскеа Сінгл Мембер С.А., Греція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Британія/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Італія/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Мальта/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Греція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UA/19158/01/03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ТЕМОЗОЛОМІД АККОРД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Temozolomide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темозоломід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L01AX03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капсули тверді, по 100 мг; по 1 капсулі у саше, по 5 саше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Аккорд Хелскеа С.Л.У.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Іспан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i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Виробництво лікарського засобу, первинне та вторинне пакування, контроль якості серії: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ІНТАС ФАРМАСЬЮТІКАЛЗ ЛІМІТЕД, Індія;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Виробництво лікарського засобу, первинне та вторинне пакування, контроль якості серії: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Інтас Фармасьютікалз Лімітед, Індія;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Додаткова дільниця з вторинного пакування: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АККОРД ХЕЛСКЕА ЛІМІТЕД, Велика Британія;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Додаткова дільниця з вторинного пакування: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ДЧЛ САПЛІ ЧЕЙН (Італія) СПА, Італія;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Додаткова дільниця з вторинного пакування: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АККОРД-ЮКЕЙ ЛІМІТЕД, Велика Британія;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Додаткова дільниця з вторинного пакування: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Синоптиз Індастріал Сп. з о.о., Польща;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Контроль якості: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Місом Лабс Лтд., Мальта;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Контроль якості: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Фармадокс Хелскеа Лтд. Мальта;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Контроль якості: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Єврофінс Аналітікал Сервісез Хангері Кфт., Угорщина;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Контроль якості: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Лабаналізіс Лайф Сайенс С.р.л., Італія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Контроль якості: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Фармавалід Кфт., Угорщина;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Відповідальний за випуск серії:</w:t>
            </w:r>
          </w:p>
          <w:p>
            <w:pPr>
              <w:pStyle w:val="Normal"/>
              <w:jc w:val="center"/>
              <w:rPr/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Аккорд Хелскеа Полска Сп. з о.о. Склад Імпортера, Польща</w:t>
            </w:r>
            <w:r>
              <w:rPr>
                <w:rFonts w:cs="Arial" w:ascii="Arial" w:hAnsi="Arial"/>
                <w:sz w:val="16"/>
                <w:szCs w:val="16"/>
              </w:rPr>
              <w:t>;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Контроль якості серії та вторинне пакування: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Аккорд Хелскеа Сінгл Мембер С.А., Греція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Британія/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Італія/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Мальта/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Греція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UA/19158/01/02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ТЕМОЗОЛОМІД АККОРД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Temozolomide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темозоломід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L01AX03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капсули тверді, по 20 мг, по 1 капсулі у саше, по 5 саше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Аккорд Хелскеа С.Л.У.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Іспан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i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лікарського засобу, первинне та вторинне пакування, контроль якості серії: ІНТАС ФАРМАСЬЮТІКАЛЗ ЛІМІТЕД, Індія;</w:t>
              <w:br/>
              <w:t>Виробництво лікарського засобу, первинне та вторинне пакування, контроль якості серії: Інтас Фармасьютікалз Лімітед, Індія;</w:t>
              <w:br/>
              <w:t>Додаткова дільниця з вторинного пакування: АККОРД ХЕЛСКЕА ЛІМІТЕД, Велика Британія;</w:t>
              <w:br/>
              <w:t>Додаткова дільниця з вторинного пакування: ДЧЛ САПЛІ ЧЕЙН (Італія) СПА, Італія;</w:t>
              <w:br/>
              <w:t>Додаткова дільниця з вторинного пакування: АККОРД-ЮКЕЙ ЛІМІТЕД, Велика Британія;</w:t>
              <w:br/>
              <w:t>Додаткова дільниця з вторинного пакування: Синоптиз Індастріал Сп. з о.о., Польща;</w:t>
              <w:br/>
              <w:t>Контроль якості: Місом Лабс Лтд., Мальта;</w:t>
              <w:br/>
              <w:t>Контроль якості: Фармадокс Хелскеа Лтд., Мальта;</w:t>
              <w:br/>
              <w:t>Контроль якості: Єврофінс Аналітікал Сервісез Хангері Кфт., Угорщина;</w:t>
              <w:br/>
              <w:t>Контроль якості: Лабаналізіс Лайф Сайенс С.р.л., Італія;</w:t>
              <w:br/>
              <w:t>Контроль якості: Фармавалід Кфт., Угорщина;</w:t>
              <w:br/>
              <w:t>Відповідальний за випуск серії: Аккорд Хелскеа Полска Сп. з о.о. Склад Імпортера, Польща;</w:t>
              <w:br/>
              <w:t>Контроль якості серії та вторинне пакування: Аккорд Хелскеа Сінгл Мембер С.А., Греція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Британія/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Італія/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Мальта/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Греція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UA/19158/01/01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ТЕМОЗОЛОМІД АККОРД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Temozolomide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темозоломід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L01AX03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капсули тверді, по 100 мг, по 1 капсулі у саше, по 5 саше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Аккорд Хелскеа С.Л.У.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Іспан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i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лікарського засобу, первинне та вторинне пакування, контроль якості серії: ІНТАС ФАРМАСЬЮТІКАЛЗ ЛІМІТЕД, Індія;</w:t>
              <w:br/>
              <w:t>Виробництво лікарського засобу, первинне та вторинне пакування, контроль якості серії: Інтас Фармасьютікалз Лімітед, Індія;</w:t>
              <w:br/>
              <w:t>Додаткова дільниця з вторинного пакування: АККОРД ХЕЛСКЕА ЛІМІТЕД, Велика Британія;</w:t>
              <w:br/>
              <w:t>Додаткова дільниця з вторинного пакування: ДЧЛ САПЛІ ЧЕЙН (Італія) СПА, Італія;</w:t>
              <w:br/>
              <w:t>Додаткова дільниця з вторинного пакування: АККОРД-ЮКЕЙ ЛІМІТЕД, Велика Британія;</w:t>
              <w:br/>
              <w:t>Додаткова дільниця з вторинного пакування: Синоптиз Індастріал Сп. з о.о., Польща;</w:t>
              <w:br/>
              <w:t>Контроль якості: Місом Лабс Лтд., Мальта;</w:t>
              <w:br/>
              <w:t>Контроль якості: Фармадокс Хелскеа Лтд., Мальта;</w:t>
              <w:br/>
              <w:t>Контроль якості: Єврофінс Аналітікал Сервісез Хангері Кфт., Угорщина;</w:t>
              <w:br/>
              <w:t>Контроль якості: Лабаналізіс Лайф Сайенс С.р.л., Італія;</w:t>
              <w:br/>
              <w:t>Контроль якості: Фармавалід Кфт., Угорщина;</w:t>
              <w:br/>
              <w:t>Відповідальний за випуск серії: Аккорд Хелскеа Полска Сп. з о.о. Склад Імпортера, Польща;</w:t>
              <w:br/>
              <w:t>Контроль якості серії та вторинне пакування: Аккорд Хелскеа Сінгл Мембер С.А., Греція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Британія/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Італія/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Мальта/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Греція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UA/19158/01/02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ТЕМОЗОЛОМІД АККОРД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Temozolomide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темозоломід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L01AX03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капсули тверді, по 140 мг, по 1 капсулі у саше, по 5 саше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Аккорд Хелскеа С.Л.У.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Іспан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i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лікарського засобу, первинне та вторинне пакування, контроль якості серії: ІНТАС ФАРМАСЬЮТІКАЛЗ ЛІМІТЕД, Індія;</w:t>
              <w:br/>
              <w:t>Виробництво лікарського засобу, первинне та вторинне пакування, контроль якості серії: Інтас Фармасьютікалз Лімітед, Індія;</w:t>
              <w:br/>
              <w:t>Додаткова дільниця з вторинного пакування: АККОРД ХЕЛСКЕА ЛІМІТЕД, Велика Британія;</w:t>
              <w:br/>
              <w:t>Додаткова дільниця з вторинного пакування: ДЧЛ САПЛІ ЧЕЙН (Італія) СПА, Італія;</w:t>
              <w:br/>
              <w:t>Додаткова дільниця з вторинного пакування: АККОРД-ЮКЕЙ ЛІМІТЕД, Велика Британія;</w:t>
              <w:br/>
              <w:t>Додаткова дільниця з вторинного пакування: Синоптиз Індастріал Сп. з о.о., Польща;</w:t>
              <w:br/>
              <w:t>Контроль якості: Місом Лабс Лтд., Мальта;</w:t>
              <w:br/>
              <w:t>Контроль якості: Фармадокс Хелскеа Лтд., Мальта;</w:t>
              <w:br/>
              <w:t>Контроль якості: Єврофінс Аналітікал Сервісез Хангері Кфт., Угорщина;</w:t>
              <w:br/>
              <w:t>Контроль якості: Лабаналізіс Лайф Сайенс С.р.л., Італія;</w:t>
              <w:br/>
              <w:t>Контроль якості: Фармавалід Кфт., Угорщина;</w:t>
              <w:br/>
              <w:t>Відповідальний за випуск серії: Аккорд Хелскеа Полска Сп. з о.о. Склад Імпортера, Польща;</w:t>
              <w:br/>
              <w:t>Контроль якості серії та вторинне пакування: Аккорд Хелскеа Сінгл Мембер С.А., Греція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Британія/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Італія/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Мальта/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Греція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UA/19158/01/03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ТЕМОЗОЛОМІД АККОРД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Temozolomide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темозоломід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L01AX03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капсули тверді, по 180 мг, по 1 капсулі у саше, по 5 саше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Аккорд Хелскеа С.Л.У.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Іспан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i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лікарського засобу, первинне та вторинне пакування, контроль якості серії: ІНТАС ФАРМАСЬЮТІКАЛЗ ЛІМІТЕД, Індія;</w:t>
              <w:br/>
              <w:t>Виробництво лікарського засобу, первинне та вторинне пакування, контроль якості серії: Інтас Фармасьютікалз Лімітед, Індія;</w:t>
              <w:br/>
              <w:t>Додаткова дільниця з вторинного пакування: АККОРД ХЕЛСКЕА ЛІМІТЕД, Велика Британія;</w:t>
              <w:br/>
              <w:t>Додаткова дільниця з вторинного пакування: ДЧЛ САПЛІ ЧЕЙН (Італія) СПА, Італія;</w:t>
              <w:br/>
              <w:t>Додаткова дільниця з вторинного пакування: АККОРД-ЮКЕЙ ЛІМІТЕД, Велика Британія;</w:t>
              <w:br/>
              <w:t>Додаткова дільниця з вторинного пакування: Синоптиз Індастріал Сп. з о.о., Польща;</w:t>
              <w:br/>
              <w:t>Контроль якості: Місом Лабс Лтд., Мальта;</w:t>
              <w:br/>
              <w:t>Контроль якості: Фармадокс Хелскеа Лтд., Мальта;</w:t>
              <w:br/>
              <w:t>Контроль якості: Єврофінс Аналітікал Сервісез Хангері Кфт., Угорщина;</w:t>
              <w:br/>
              <w:t>Контроль якості: Лабаналізіс Лайф Сайенс С.р.л., Італія;</w:t>
              <w:br/>
              <w:t>Контроль якості: Фармавалід Кфт., Угорщина;</w:t>
              <w:br/>
              <w:t>Відповідальний за випуск серії: Аккорд Хелскеа Полска Сп. з о.о. Склад Імпортера, Польща;</w:t>
              <w:br/>
              <w:t>Контроль якості серії та вторинне пакування: Аккорд Хелскеа Сінгл Мембер С.А., Греція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Британія/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Італія/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Мальта/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Греція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UA/19158/01/04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ТЕМОЗОЛОМІД АККОРД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Temozolomide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темозоломід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L01AX03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капсули тверді, по 250 мг, по 1 капсулі у саше, по 5 саше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Аккорд Хелскеа С.Л.У.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Іспан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i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лікарського засобу, первинне та вторинне пакування, контроль якості серії: ІНТАС ФАРМАСЬЮТІКАЛЗ ЛІМІТЕД, Індія;</w:t>
              <w:br/>
              <w:t>Виробництво лікарського засобу, первинне та вторинне пакування, контроль якості серії: Інтас Фармасьютікалз Лімітед, Індія;</w:t>
              <w:br/>
              <w:t>Додаткова дільниця з вторинного пакування: АККОРД ХЕЛСКЕА ЛІМІТЕД, Велика Британія;</w:t>
              <w:br/>
              <w:t>Додаткова дільниця з вторинного пакування: ДЧЛ САПЛІ ЧЕЙН (Італія) СПА, Італія;</w:t>
              <w:br/>
              <w:t>Додаткова дільниця з вторинного пакування: АККОРД-ЮКЕЙ ЛІМІТЕД, Велика Британія;</w:t>
              <w:br/>
              <w:t>Додаткова дільниця з вторинного пакування: Синоптиз Індастріал Сп. з о.о., Польща;</w:t>
              <w:br/>
              <w:t>Контроль якості: Місом Лабс Лтд., Мальта;</w:t>
              <w:br/>
              <w:t>Контроль якості: Фармадокс Хелскеа Лтд., Мальта;</w:t>
              <w:br/>
              <w:t>Контроль якості: Єврофінс Аналітікал Сервісез Хангері Кфт., Угорщина;</w:t>
              <w:br/>
              <w:t>Контроль якості: Лабаналізіс Лайф Сайенс С.р.л., Італія;</w:t>
              <w:br/>
              <w:t>Контроль якості: Фармавалід Кфт., Угорщина;</w:t>
              <w:br/>
              <w:t>Відповідальний за випуск серії: Аккорд Хелскеа Полска Сп. з о.о. Склад Імпортера, Польща;</w:t>
              <w:br/>
              <w:t>Контроль якості серії та вторинне пакування: Аккорд Хелскеа Сінгл Мембер С.А., Греція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Британія/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Італія/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Мальта/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Греція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UA/19158/01/05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ТЕОФІЛІН БЕЗВОДНИЙ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Theophylline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теофілін безводний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(субстанція) у пакетах подвійних із плівки поліетиленової для виробництва нестерильних лікарських форм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додатковою відповідальністю "ІНТЕРХІМ"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Шандон Дзінхуа Фармасьютікал Ко., Лтд.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Китай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UA/4453/01/01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ТІВОМАКС-ДАРНИЦЯ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arginine hydrochloride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аргініну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B05XB01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інфузій, 42 мг/мл, по 100 мл у флаконі; по 1 флакону в пачці; по 100 мл у флаконах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UA/13827/01/01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ТОБРИНЕКСТ КОМБІ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Dexamethasone and antiinfectives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тобраміцин та дексаметазон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S01CA01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краплі очні, суспензія, по 5 мл суспензії у флаконі-крапельниці, по 1 флакону-крапельниці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БІОСАЙНС ГРУП ЛАБОРАТОРІЗ с.р.о.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Словацька Республіка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РАФАРМ СА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Греція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Зміна заявника ЛЗ (МІБП) (власника реєстраційного посвідчення)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UA/17537/01/01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ТОПОТЕКАН АККОРД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topotecan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топотекану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L01CE01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концентрат для розчину для інфузій, 1 мг/мл; по 1 мл або по 4 мл концентрату у скляному флаконі; по 1 флакону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Аккорд Хелскеа Полска Сп. з.о.о.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готового лікарського засобу, первинне, вторинне пакування, контроль якості серії:</w:t>
              <w:br/>
              <w:t>Інтас Фармасьютікалз Лімітед, Індія;</w:t>
              <w:br/>
              <w:t>Вторинне пакування:</w:t>
              <w:br/>
              <w:t>Аккорд Хелскеа Лімітед, Велика Британія;</w:t>
              <w:br/>
              <w:t>Контроль якості:</w:t>
              <w:br/>
              <w:t>Єврофінс Аналітікал Сервісез Хангері Кфт., Угорщина;</w:t>
              <w:br/>
              <w:t>Контроль якості:</w:t>
              <w:br/>
              <w:t>ФАРМАВАЛІД Лтд. Мікробіологічна лабораторія, Угорщина;</w:t>
              <w:br/>
              <w:t>Відповідальний за випуск серії:</w:t>
              <w:br/>
              <w:t>Аккорд Хелскеа Полска Сп. з о.о. Склад Імпортера, Польща;</w:t>
              <w:br/>
              <w:t>вторинне пакування, контроль якості серії:</w:t>
              <w:br/>
              <w:t>Аккорд Хелскеа Сінгл Мембер С.А., Греція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Індія/ Велика Британія/ Угорщина/ Польща/ Греція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UA/17720/01/01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ТРАНКВІЛАР® ІС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temgicoluril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темгіколурил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N06BX21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0,3 г, по 10 таблеток у блістері; по 2 блістери в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додатковою відповідальністю "ІНТЕРХІМ"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додатковою відповідальністю "ІНТЕРХІМ"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UA/8851/01/01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ФАРМАЦИТРОН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Paracetamol, combinations excl. psycholeptics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парацетамол (ацетамінофен), фенілефрину гідрохлорид, феніраміну малеат, кислота аскорбінова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N02BE51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орального розчину, по 23 г порошку у пакетах; по 23 г порошку у пакеті; по 10 пакетів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Фармасайнс Інк.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Канада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нерозфасованого продукту, первинне та вторинне пакування, контроль якості, випуск серії: Фармасайнс Інк., Канада;</w:t>
              <w:br/>
              <w:t>виробництво нерозфасованого продукту, первинне та вторинне пакування: Конфаб Лабораторіс Інк., Канада;</w:t>
              <w:br/>
              <w:t>виробництво нерозфасованого продукту; первинне та вторинне пакування, контроль якості, випуск серії: Дельфарм Орлеан, Франція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Канада/ Франція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UA/6249/01/02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ФОСФОКОК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fosfomycin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фосфоміцину трометамол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J01XX01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гранули для орального розчину по 3 г; по 8 г гранул у саше; по 1 або 2 саше в картонній пачці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Містрал Кепітал Менеджмент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Англія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Лабіана Фармасьютікалс, С.Л.У.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UA/20101/01/01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ХЕЛПЕКС® АНТИКОЛД НЕО ІМБИР БЕЗ ЦУКРУ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Paracetamol, combinations excl. psycholeptics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парацетамол, левоцетиризину дигідрохлорид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N02BE51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орального розчину; по 2,5 г порошку в саше; по 10 саше у картонній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«Мові Хелс»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Алпекс Фарма СА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UA/17631/01/01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ЦИПРОФЛОКСАЦИНУ ГІДРОХЛОРИД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ciprofloxacin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ципрофлоксацину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(субстанція) в подвійних поліетиленових пакетах (зовнішні чорні)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«Фармак»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Ньюленд Лабореторіз Лімітед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UA/6128/01/01</w:t>
            </w:r>
          </w:p>
        </w:tc>
      </w:tr>
    </w:tbl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>*</w:t>
      </w:r>
      <w:r>
        <w:rPr>
          <w:rFonts w:cs="Arial" w:ascii="Arial" w:hAnsi="Arial"/>
          <w:sz w:val="28"/>
          <w:szCs w:val="28"/>
        </w:rPr>
        <w:t xml:space="preserve"> </w:t>
      </w:r>
      <w:r>
        <w:rPr>
          <w:rFonts w:cs="Arial" w:ascii="Arial" w:hAnsi="Arial"/>
          <w:i/>
          <w:sz w:val="16"/>
          <w:szCs w:val="16"/>
        </w:rPr>
        <w:t>відповідно до інформації офіційного сайту Центру ВООЗ по співпраці в методології статистичних досліджень (</w:t>
      </w:r>
      <w:hyperlink r:id="rId4">
        <w:r>
          <w:rPr>
            <w:rStyle w:val="InternetLink"/>
            <w:rFonts w:cs="Arial" w:ascii="Arial" w:hAnsi="Arial"/>
            <w:i/>
            <w:color w:val="000000"/>
            <w:szCs w:val="16"/>
          </w:rPr>
          <w:t>https://www.whocc.no/atc_ddd_index/</w:t>
        </w:r>
      </w:hyperlink>
      <w:r>
        <w:rPr>
          <w:rStyle w:val="InternetLink"/>
          <w:rFonts w:cs="Arial" w:ascii="Arial" w:hAnsi="Arial"/>
          <w:i/>
          <w:color w:val="000000"/>
          <w:szCs w:val="16"/>
        </w:rPr>
        <w:t>)</w:t>
      </w:r>
    </w:p>
    <w:p>
      <w:pPr>
        <w:pStyle w:val="Normal"/>
        <w:ind w:right="20" w:hanging="0"/>
        <w:rPr/>
      </w:pPr>
      <w:r>
        <w:rPr>
          <w:rFonts w:cs="Arial" w:ascii="Arial" w:hAnsi="Arial"/>
          <w:i/>
          <w:sz w:val="16"/>
          <w:szCs w:val="16"/>
        </w:rPr>
        <w:t>**у разі внесення змін до інструкції про медичне застосування</w:t>
      </w:r>
    </w:p>
    <w:p>
      <w:pPr>
        <w:pStyle w:val="Normal"/>
        <w:ind w:right="20" w:hanging="0"/>
        <w:rPr>
          <w:rFonts w:ascii="Arial" w:hAnsi="Arial" w:cs="Arial"/>
          <w:b/>
          <w:b/>
          <w:i/>
          <w:i/>
          <w:sz w:val="16"/>
          <w:szCs w:val="16"/>
        </w:rPr>
      </w:pPr>
      <w:r>
        <w:rPr>
          <w:rFonts w:cs="Arial" w:ascii="Arial" w:hAnsi="Arial"/>
          <w:b/>
          <w:i/>
          <w:sz w:val="16"/>
          <w:szCs w:val="16"/>
        </w:rPr>
      </w:r>
    </w:p>
    <w:p>
      <w:pPr>
        <w:pStyle w:val="Normal"/>
        <w:ind w:right="20" w:hanging="0"/>
        <w:rPr>
          <w:rFonts w:ascii="Arial" w:hAnsi="Arial" w:cs="Arial"/>
          <w:b/>
          <w:b/>
          <w:i/>
          <w:i/>
          <w:sz w:val="16"/>
          <w:szCs w:val="16"/>
        </w:rPr>
      </w:pPr>
      <w:r>
        <w:rPr>
          <w:rFonts w:cs="Arial" w:ascii="Arial" w:hAnsi="Arial"/>
          <w:b/>
          <w:i/>
          <w:sz w:val="16"/>
          <w:szCs w:val="16"/>
        </w:rPr>
      </w:r>
    </w:p>
    <w:p>
      <w:pPr>
        <w:pStyle w:val="Normal"/>
        <w:ind w:right="20" w:hanging="0"/>
        <w:rPr>
          <w:rFonts w:ascii="Arial" w:hAnsi="Arial" w:cs="Arial"/>
          <w:b/>
          <w:b/>
          <w:i/>
          <w:i/>
          <w:sz w:val="16"/>
          <w:szCs w:val="16"/>
        </w:rPr>
      </w:pPr>
      <w:r>
        <w:rPr>
          <w:rFonts w:cs="Arial" w:ascii="Arial" w:hAnsi="Arial"/>
          <w:b/>
          <w:i/>
          <w:sz w:val="16"/>
          <w:szCs w:val="16"/>
        </w:rPr>
      </w:r>
    </w:p>
    <w:tbl>
      <w:tblPr>
        <w:tblW w:w="14843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1"/>
        <w:gridCol w:w="7422"/>
      </w:tblGrid>
      <w:tr>
        <w:trPr/>
        <w:tc>
          <w:tcPr>
            <w:tcW w:w="7421" w:type="dxa"/>
            <w:tcBorders/>
            <w:shd w:fill="auto" w:val="clear"/>
          </w:tcPr>
          <w:p>
            <w:pPr>
              <w:pStyle w:val="Normal"/>
              <w:ind w:right="20" w:hanging="0"/>
              <w:rPr>
                <w:rStyle w:val="Cs95e872d01"/>
                <w:rFonts w:ascii="Arial" w:hAnsi="Arial" w:cs="Arial"/>
                <w:lang w:val="ru-RU"/>
              </w:rPr>
            </w:pPr>
            <w:r>
              <w:rPr>
                <w:rStyle w:val="Cs7864ebcf1"/>
                <w:rFonts w:eastAsia="Arial" w:cs="Arial" w:ascii="Arial" w:hAnsi="Arial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Cs7864ebcf1"/>
                <w:rFonts w:cs="Arial" w:ascii="Arial" w:hAnsi="Arial"/>
                <w:color w:val="000000"/>
                <w:sz w:val="24"/>
                <w:szCs w:val="24"/>
              </w:rPr>
              <w:t xml:space="preserve">Начальник </w:t>
            </w:r>
          </w:p>
          <w:p>
            <w:pPr>
              <w:pStyle w:val="Normal"/>
              <w:ind w:right="20" w:hanging="0"/>
              <w:rPr>
                <w:rStyle w:val="Cs7864ebcf1"/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Style w:val="Cs7864ebcf1"/>
                <w:rFonts w:cs="Arial" w:ascii="Arial" w:hAnsi="Arial"/>
                <w:color w:val="000000"/>
                <w:sz w:val="24"/>
                <w:szCs w:val="24"/>
              </w:rPr>
              <w:t xml:space="preserve">Фармацевтичного управління </w:t>
            </w:r>
            <w:r>
              <w:rPr>
                <w:rStyle w:val="Cs188c92b51"/>
                <w:rFonts w:cs="Arial" w:ascii="Arial" w:hAnsi="Arial"/>
                <w:color w:val="000000"/>
                <w:sz w:val="24"/>
                <w:szCs w:val="24"/>
              </w:rPr>
              <w:t>                                 </w:t>
            </w:r>
          </w:p>
        </w:tc>
        <w:tc>
          <w:tcPr>
            <w:tcW w:w="7422" w:type="dxa"/>
            <w:tcBorders/>
            <w:shd w:fill="auto" w:val="clear"/>
          </w:tcPr>
          <w:p>
            <w:pPr>
              <w:pStyle w:val="Cs95e872d0"/>
              <w:jc w:val="center"/>
              <w:rPr/>
            </w:pPr>
            <w:r>
              <w:rPr>
                <w:rStyle w:val="Cs7864ebcf1"/>
                <w:rFonts w:eastAsia="Arial" w:cs="Arial" w:ascii="Arial" w:hAnsi="Arial"/>
                <w:color w:val="000000"/>
                <w:sz w:val="24"/>
                <w:szCs w:val="24"/>
                <w:lang w:val="uk-UA"/>
              </w:rPr>
              <w:t xml:space="preserve">                                            </w:t>
            </w:r>
          </w:p>
          <w:p>
            <w:pPr>
              <w:pStyle w:val="Cs95e872d0"/>
              <w:jc w:val="center"/>
              <w:rPr/>
            </w:pPr>
            <w:r>
              <w:rPr>
                <w:rStyle w:val="Cs7864ebcf1"/>
                <w:rFonts w:eastAsia="Arial" w:cs="Arial" w:ascii="Arial" w:hAnsi="Arial"/>
                <w:color w:val="000000"/>
                <w:sz w:val="24"/>
                <w:szCs w:val="24"/>
                <w:lang w:val="uk-UA"/>
              </w:rPr>
              <w:t xml:space="preserve">                                   </w:t>
            </w:r>
            <w:r>
              <w:rPr>
                <w:rStyle w:val="Cs7864ebcf1"/>
                <w:rFonts w:cs="Arial" w:ascii="Arial" w:hAnsi="Arial"/>
                <w:color w:val="000000"/>
                <w:sz w:val="24"/>
                <w:szCs w:val="24"/>
                <w:lang w:val="uk-UA"/>
              </w:rPr>
              <w:t xml:space="preserve">Олександр ГРІЦЕНКО  </w:t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1077" w:right="1134" w:header="709" w:top="907" w:footer="0" w:bottom="907" w:gutter="0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Normal"/>
        <w:tabs>
          <w:tab w:val="left" w:pos="1985" w:leader="none"/>
        </w:tabs>
        <w:rPr>
          <w:rStyle w:val="Cs7864ebcf1"/>
          <w:rFonts w:ascii="Arial" w:hAnsi="Arial" w:cs="Arial"/>
          <w:color w:val="000000"/>
          <w:sz w:val="16"/>
          <w:szCs w:val="16"/>
          <w:lang w:val="uk-UA"/>
        </w:rPr>
      </w:pPr>
      <w:r>
        <w:rPr/>
      </w:r>
    </w:p>
    <w:tbl>
      <w:tblPr>
        <w:tblW w:w="3828" w:type="dxa"/>
        <w:jc w:val="left"/>
        <w:tblInd w:w="11448" w:type="dxa"/>
        <w:tblBorders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8"/>
      </w:tblGrid>
      <w:tr>
        <w:trPr/>
        <w:tc>
          <w:tcPr>
            <w:tcW w:w="3828" w:type="dxa"/>
            <w:tcBorders/>
            <w:shd w:fill="auto" w:val="clear"/>
          </w:tcPr>
          <w:p>
            <w:pPr>
              <w:pStyle w:val="Heading4"/>
              <w:numPr>
                <w:ilvl w:val="3"/>
                <w:numId w:val="1"/>
              </w:numPr>
              <w:tabs>
                <w:tab w:val="left" w:pos="12600" w:leader="none"/>
              </w:tabs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Додаток 4</w:t>
            </w:r>
          </w:p>
          <w:p>
            <w:pPr>
              <w:pStyle w:val="Heading4"/>
              <w:numPr>
                <w:ilvl w:val="3"/>
                <w:numId w:val="1"/>
              </w:numPr>
              <w:tabs>
                <w:tab w:val="left" w:pos="12600" w:leader="none"/>
              </w:tabs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до наказу Міністерства охорони</w:t>
            </w:r>
          </w:p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b/>
                <w:b/>
                <w:sz w:val="18"/>
                <w:szCs w:val="18"/>
              </w:rPr>
            </w:pPr>
            <w:r>
              <w:rPr>
                <w:rFonts w:cs="Arial" w:ascii="Arial" w:hAnsi="Arial"/>
                <w:b/>
                <w:sz w:val="18"/>
                <w:szCs w:val="18"/>
              </w:rPr>
              <w:t>здоров’я України</w:t>
            </w:r>
          </w:p>
          <w:p>
            <w:pPr>
              <w:pStyle w:val="Normal"/>
              <w:tabs>
                <w:tab w:val="left" w:pos="12600" w:leader="none"/>
              </w:tabs>
              <w:jc w:val="both"/>
              <w:rPr/>
            </w:pPr>
            <w:r>
              <w:rPr>
                <w:rFonts w:cs="Arial" w:ascii="Arial" w:hAnsi="Arial"/>
                <w:b/>
                <w:sz w:val="18"/>
                <w:szCs w:val="18"/>
              </w:rPr>
              <w:t>від ________________</w:t>
            </w:r>
            <w:r>
              <w:rPr>
                <w:rFonts w:cs="Arial" w:ascii="Arial" w:hAnsi="Arial"/>
                <w:b/>
                <w:sz w:val="18"/>
                <w:szCs w:val="18"/>
                <w:lang w:val="en-US"/>
              </w:rPr>
              <w:t xml:space="preserve"> </w:t>
            </w:r>
            <w:r>
              <w:rPr>
                <w:rFonts w:cs="Arial" w:ascii="Arial" w:hAnsi="Arial"/>
                <w:b/>
                <w:sz w:val="18"/>
                <w:szCs w:val="18"/>
              </w:rPr>
              <w:t xml:space="preserve"> № _____</w:t>
            </w:r>
          </w:p>
        </w:tc>
      </w:tr>
    </w:tbl>
    <w:p>
      <w:pPr>
        <w:pStyle w:val="Normal"/>
        <w:tabs>
          <w:tab w:val="left" w:pos="12600" w:leader="none"/>
        </w:tabs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</w:r>
    </w:p>
    <w:p>
      <w:pPr>
        <w:pStyle w:val="Normal"/>
        <w:jc w:val="center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  <w:t>ПЕРЕЛІК</w:t>
      </w:r>
    </w:p>
    <w:p>
      <w:pPr>
        <w:pStyle w:val="Normal"/>
        <w:jc w:val="center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  <w:t xml:space="preserve">ЛІКАРСЬКИХ ЗАСОБІВ, ЯКІ НЕ РЕКОМЕНДОВАНІ ДО ДЕРЖАВНОЇ РЕЄСТРАЦІЇ, ПЕРЕРЕЄСТРАЦІЇ ТА ВНЕСЕННЯ ЗМІН ДО РЕЄСТРАЦІЙНИХ МАТЕРІАЛІВ </w:t>
      </w:r>
    </w:p>
    <w:p>
      <w:pPr>
        <w:pStyle w:val="Normal"/>
        <w:jc w:val="center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tbl>
      <w:tblPr>
        <w:tblW w:w="15345" w:type="dxa"/>
        <w:jc w:val="left"/>
        <w:tblInd w:w="82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547"/>
        <w:gridCol w:w="1459"/>
        <w:gridCol w:w="1984"/>
        <w:gridCol w:w="1447"/>
        <w:gridCol w:w="1275"/>
        <w:gridCol w:w="1701"/>
        <w:gridCol w:w="1276"/>
        <w:gridCol w:w="1814"/>
        <w:gridCol w:w="3837"/>
        <w:gridCol w:w="5"/>
      </w:tblGrid>
      <w:tr>
        <w:trPr>
          <w:tblHeader w:val="true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E5E5E5" w:val="clear"/>
            <w:tcMar>
              <w:left w:w="103" w:type="dxa"/>
            </w:tcMar>
          </w:tcPr>
          <w:p>
            <w:pPr>
              <w:pStyle w:val="Normal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  <w:lang w:eastAsia="en-US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  <w:lang w:eastAsia="en-US"/>
              </w:rPr>
              <w:t>№</w:t>
            </w:r>
            <w:r>
              <w:rPr>
                <w:rFonts w:eastAsia="Arial" w:cs="Arial" w:ascii="Arial" w:hAnsi="Arial"/>
                <w:b/>
                <w:i/>
                <w:sz w:val="16"/>
                <w:szCs w:val="16"/>
                <w:lang w:eastAsia="en-US"/>
              </w:rPr>
              <w:t xml:space="preserve"> </w:t>
            </w:r>
            <w:r>
              <w:rPr>
                <w:rFonts w:cs="Arial" w:ascii="Arial" w:hAnsi="Arial"/>
                <w:b/>
                <w:i/>
                <w:sz w:val="16"/>
                <w:szCs w:val="16"/>
                <w:lang w:eastAsia="en-US"/>
              </w:rPr>
              <w:t>п/п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E5E5E5" w:val="clear"/>
            <w:tcMar>
              <w:left w:w="103" w:type="dxa"/>
            </w:tcMar>
          </w:tcPr>
          <w:p>
            <w:pPr>
              <w:pStyle w:val="Normal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  <w:lang w:eastAsia="en-US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  <w:lang w:eastAsia="en-US"/>
              </w:rPr>
              <w:t>Назва лікарського засобу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insideH w:val="single" w:sz="4" w:space="0" w:color="000000"/>
            </w:tcBorders>
            <w:shd w:fill="E5E5E5" w:val="clear"/>
            <w:tcMar>
              <w:left w:w="100" w:type="dxa"/>
            </w:tcMar>
          </w:tcPr>
          <w:p>
            <w:pPr>
              <w:pStyle w:val="Normal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  <w:lang w:eastAsia="en-US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  <w:lang w:eastAsia="en-US"/>
              </w:rPr>
              <w:t>Форма випуску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insideH w:val="single" w:sz="4" w:space="0" w:color="000000"/>
            </w:tcBorders>
            <w:shd w:fill="E5E5E5" w:val="clear"/>
            <w:tcMar>
              <w:left w:w="100" w:type="dxa"/>
            </w:tcMar>
          </w:tcPr>
          <w:p>
            <w:pPr>
              <w:pStyle w:val="Normal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  <w:lang w:eastAsia="en-US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  <w:lang w:eastAsia="en-US"/>
              </w:rPr>
              <w:t>Заявник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insideH w:val="single" w:sz="4" w:space="0" w:color="000000"/>
            </w:tcBorders>
            <w:shd w:fill="E5E5E5" w:val="clear"/>
            <w:tcMar>
              <w:left w:w="100" w:type="dxa"/>
            </w:tcMar>
          </w:tcPr>
          <w:p>
            <w:pPr>
              <w:pStyle w:val="Normal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  <w:lang w:eastAsia="en-US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  <w:lang w:eastAsia="en-US"/>
              </w:rPr>
              <w:t>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insideH w:val="single" w:sz="4" w:space="0" w:color="000000"/>
            </w:tcBorders>
            <w:shd w:fill="E5E5E5" w:val="clear"/>
            <w:tcMar>
              <w:left w:w="100" w:type="dxa"/>
            </w:tcMar>
          </w:tcPr>
          <w:p>
            <w:pPr>
              <w:pStyle w:val="Normal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  <w:lang w:eastAsia="en-US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  <w:lang w:eastAsia="en-US"/>
              </w:rPr>
              <w:t>Виробник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insideH w:val="single" w:sz="4" w:space="0" w:color="000000"/>
            </w:tcBorders>
            <w:shd w:fill="E5E5E5" w:val="clear"/>
            <w:tcMar>
              <w:left w:w="100" w:type="dxa"/>
            </w:tcMar>
          </w:tcPr>
          <w:p>
            <w:pPr>
              <w:pStyle w:val="Normal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  <w:lang w:eastAsia="en-US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  <w:lang w:eastAsia="en-US"/>
              </w:rPr>
              <w:t>Країна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insideH w:val="single" w:sz="4" w:space="0" w:color="000000"/>
            </w:tcBorders>
            <w:shd w:fill="E5E5E5" w:val="clear"/>
            <w:tcMar>
              <w:left w:w="100" w:type="dxa"/>
            </w:tcMar>
          </w:tcPr>
          <w:p>
            <w:pPr>
              <w:pStyle w:val="Normal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  <w:lang w:eastAsia="en-US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  <w:lang w:eastAsia="en-US"/>
              </w:rPr>
              <w:t>Підстава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  <w:insideH w:val="single" w:sz="4" w:space="0" w:color="000000"/>
              <w:insideV w:val="single" w:sz="6" w:space="0" w:color="000000"/>
            </w:tcBorders>
            <w:shd w:fill="E5E5E5" w:val="clear"/>
            <w:tcMar>
              <w:left w:w="100" w:type="dxa"/>
            </w:tcMar>
          </w:tcPr>
          <w:p>
            <w:pPr>
              <w:pStyle w:val="Normal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  <w:lang w:eastAsia="en-US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  <w:lang w:eastAsia="en-US"/>
              </w:rPr>
              <w:t>Процедура</w:t>
            </w:r>
          </w:p>
        </w:tc>
      </w:tr>
      <w:tr>
        <w:trPr>
          <w:trHeight w:val="557" w:hRule="atLeast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numPr>
                <w:ilvl w:val="0"/>
                <w:numId w:val="3"/>
              </w:numPr>
              <w:snapToGrid w:val="false"/>
              <w:rPr>
                <w:rFonts w:ascii="Arial" w:hAnsi="Arial" w:cs="Arial"/>
                <w:b/>
                <w:b/>
                <w:i/>
                <w:i/>
                <w:sz w:val="16"/>
                <w:szCs w:val="16"/>
                <w:lang w:eastAsia="en-US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  <w:lang w:eastAsia="en-US"/>
              </w:rPr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76"/>
              <w:jc w:val="both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ЛАПРОНЕКСТ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7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краплі очні, розчин, 50 мкг/мл; по 2,5 мл у флаконі-крапельниці; по 1 флакону-крапельниці у картонній коробці</w:t>
            </w:r>
          </w:p>
          <w:p>
            <w:pPr>
              <w:pStyle w:val="Normal"/>
              <w:spacing w:lineRule="auto" w:line="27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76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БІОСАЙНС ГРУП ЛАБОРАТОРІЗ с.р.о.</w:t>
            </w:r>
          </w:p>
          <w:p>
            <w:pPr>
              <w:pStyle w:val="Normal"/>
              <w:spacing w:lineRule="auto" w:line="276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76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Словацька Республіка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219"/>
              <w:spacing w:lineRule="auto" w:line="276"/>
              <w:ind w:hanging="0"/>
              <w:jc w:val="center"/>
              <w:rPr>
                <w:rFonts w:cs="Arial"/>
                <w:b w:val="false"/>
                <w:b w:val="false"/>
                <w:iCs/>
                <w:sz w:val="16"/>
                <w:szCs w:val="16"/>
                <w:lang w:val="uk-UA"/>
              </w:rPr>
            </w:pPr>
            <w:r>
              <w:rPr>
                <w:rFonts w:cs="Arial"/>
                <w:b w:val="false"/>
                <w:sz w:val="16"/>
                <w:szCs w:val="16"/>
                <w:lang w:val="uk-UA"/>
              </w:rPr>
              <w:t>ББФ Стерілізейшнссервіс, Німеччина (стеризізація первинної упаковки); РАФАРМ СА, Грец</w:t>
            </w:r>
            <w:r>
              <w:rPr>
                <w:rFonts w:cs="Arial"/>
                <w:b w:val="false"/>
                <w:sz w:val="16"/>
                <w:szCs w:val="16"/>
              </w:rPr>
              <w:t>i</w:t>
            </w:r>
            <w:r>
              <w:rPr>
                <w:rFonts w:cs="Arial"/>
                <w:b w:val="false"/>
                <w:sz w:val="16"/>
                <w:szCs w:val="16"/>
                <w:lang w:val="uk-UA"/>
              </w:rPr>
              <w:t>я (повний цикл виробництва)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TextBodyIndent"/>
              <w:spacing w:lineRule="auto" w:line="276" w:before="0" w:after="0"/>
              <w:ind w:left="0" w:hanging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Німеччина/ Грецiя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219"/>
              <w:spacing w:lineRule="auto" w:line="276"/>
              <w:ind w:hanging="0"/>
              <w:jc w:val="left"/>
              <w:rPr>
                <w:rFonts w:cs="Arial"/>
                <w:b w:val="false"/>
                <w:b w:val="false"/>
                <w:iCs/>
                <w:sz w:val="16"/>
                <w:szCs w:val="16"/>
              </w:rPr>
            </w:pPr>
            <w:r>
              <w:rPr>
                <w:rFonts w:cs="Arial"/>
                <w:b w:val="false"/>
                <w:iCs/>
                <w:sz w:val="16"/>
                <w:szCs w:val="16"/>
              </w:rPr>
              <w:t>засідання НТР № 30 від 30.07.2026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TextBodyIndent"/>
              <w:spacing w:lineRule="auto" w:line="276" w:before="0" w:after="0"/>
              <w:ind w:left="0" w:hanging="0"/>
              <w:jc w:val="both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не рекомендувати до затвердження - </w:t>
            </w:r>
            <w:r>
              <w:rPr>
                <w:rFonts w:cs="Arial" w:ascii="Arial" w:hAnsi="Arial"/>
                <w:sz w:val="16"/>
                <w:szCs w:val="16"/>
              </w:rPr>
              <w:t xml:space="preserve">зміни І типу </w:t>
            </w:r>
          </w:p>
        </w:tc>
      </w:tr>
      <w:tr>
        <w:trPr>
          <w:trHeight w:val="557" w:hRule="atLeast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numPr>
                <w:ilvl w:val="0"/>
                <w:numId w:val="3"/>
              </w:numPr>
              <w:snapToGrid w:val="false"/>
              <w:rPr>
                <w:rFonts w:ascii="Arial" w:hAnsi="Arial" w:cs="Arial"/>
                <w:b/>
                <w:b/>
                <w:sz w:val="16"/>
                <w:szCs w:val="16"/>
                <w:lang w:eastAsia="en-US"/>
              </w:rPr>
            </w:pPr>
            <w:r>
              <w:rPr>
                <w:rFonts w:cs="Arial" w:ascii="Arial" w:hAnsi="Arial"/>
                <w:b/>
                <w:sz w:val="16"/>
                <w:szCs w:val="16"/>
                <w:lang w:eastAsia="en-US"/>
              </w:rPr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76"/>
              <w:jc w:val="both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МЕЗАНЕКСТ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7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краплі очні, розчин, 25 мг/мл; по 5 мл у флаконі-крапельниці; по 1 флакону-крапельниці у картонній пачці</w:t>
            </w:r>
          </w:p>
          <w:p>
            <w:pPr>
              <w:pStyle w:val="Normal"/>
              <w:spacing w:lineRule="auto" w:line="27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76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БІОСАЙНС ГРУП ЛАБОРАТОРІЗ с.р.о.</w:t>
            </w:r>
          </w:p>
          <w:p>
            <w:pPr>
              <w:pStyle w:val="Normal"/>
              <w:spacing w:lineRule="auto" w:line="276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76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Словацька Республіка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219"/>
              <w:spacing w:lineRule="auto" w:line="276"/>
              <w:ind w:hanging="0"/>
              <w:jc w:val="center"/>
              <w:rPr>
                <w:rFonts w:cs="Arial"/>
                <w:b w:val="false"/>
                <w:b w:val="false"/>
                <w:iCs/>
                <w:sz w:val="16"/>
                <w:szCs w:val="16"/>
              </w:rPr>
            </w:pPr>
            <w:r>
              <w:rPr>
                <w:rFonts w:cs="Arial"/>
                <w:b w:val="false"/>
                <w:sz w:val="16"/>
                <w:szCs w:val="16"/>
              </w:rPr>
              <w:t>БАЛКАНФАРМА-РАЗГРАД АД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TextBodyIndent"/>
              <w:spacing w:lineRule="auto" w:line="276" w:before="0" w:after="0"/>
              <w:ind w:left="0" w:hanging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Болгарія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219"/>
              <w:spacing w:lineRule="auto" w:line="276"/>
              <w:ind w:hanging="0"/>
              <w:jc w:val="left"/>
              <w:rPr>
                <w:rFonts w:cs="Arial"/>
                <w:b w:val="false"/>
                <w:b w:val="false"/>
                <w:iCs/>
                <w:sz w:val="16"/>
                <w:szCs w:val="16"/>
              </w:rPr>
            </w:pPr>
            <w:r>
              <w:rPr>
                <w:rFonts w:cs="Arial"/>
                <w:b w:val="false"/>
                <w:iCs/>
                <w:sz w:val="16"/>
                <w:szCs w:val="16"/>
              </w:rPr>
              <w:t>засідання НТР № 30 від 30.07.2026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TextBodyIndent"/>
              <w:spacing w:lineRule="auto" w:line="276" w:before="0" w:after="0"/>
              <w:ind w:left="0" w:hanging="0"/>
              <w:jc w:val="both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не рекомендувати до затвердження - </w:t>
            </w:r>
            <w:r>
              <w:rPr>
                <w:rFonts w:cs="Arial" w:ascii="Arial" w:hAnsi="Arial"/>
                <w:sz w:val="16"/>
                <w:szCs w:val="16"/>
              </w:rPr>
              <w:t xml:space="preserve">зміни І типу </w:t>
            </w:r>
          </w:p>
        </w:tc>
      </w:tr>
      <w:tr>
        <w:trPr>
          <w:trHeight w:val="557" w:hRule="atLeast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numPr>
                <w:ilvl w:val="0"/>
                <w:numId w:val="3"/>
              </w:numPr>
              <w:snapToGrid w:val="false"/>
              <w:rPr>
                <w:rFonts w:ascii="Arial" w:hAnsi="Arial" w:cs="Arial"/>
                <w:b/>
                <w:b/>
                <w:sz w:val="16"/>
                <w:szCs w:val="16"/>
                <w:lang w:eastAsia="en-US"/>
              </w:rPr>
            </w:pPr>
            <w:r>
              <w:rPr>
                <w:rFonts w:cs="Arial" w:ascii="Arial" w:hAnsi="Arial"/>
                <w:b/>
                <w:sz w:val="16"/>
                <w:szCs w:val="16"/>
                <w:lang w:eastAsia="en-US"/>
              </w:rPr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76"/>
              <w:jc w:val="both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ТОБРИНЕКСТ КОМБІ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7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краплі очні, суспензія по 5 мл суспензії у флаконі-крапельниці, по 1 флакону-крапельниці у картонній коробці </w:t>
            </w:r>
          </w:p>
          <w:p>
            <w:pPr>
              <w:pStyle w:val="Normal"/>
              <w:spacing w:lineRule="auto" w:line="276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76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БІОСАЙНС ГРУП ЛАБОРАТОРІЗ с.р.о.</w:t>
            </w:r>
          </w:p>
          <w:p>
            <w:pPr>
              <w:pStyle w:val="Normal"/>
              <w:spacing w:lineRule="auto" w:line="276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76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Словацька Республіка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220"/>
              <w:spacing w:lineRule="auto" w:line="276"/>
              <w:ind w:hanging="0"/>
              <w:jc w:val="center"/>
              <w:rPr>
                <w:rFonts w:cs="Arial"/>
                <w:b w:val="false"/>
                <w:b w:val="false"/>
                <w:iCs/>
                <w:sz w:val="16"/>
                <w:szCs w:val="16"/>
              </w:rPr>
            </w:pPr>
            <w:r>
              <w:rPr>
                <w:rFonts w:cs="Arial"/>
                <w:b w:val="false"/>
                <w:sz w:val="16"/>
                <w:szCs w:val="16"/>
              </w:rPr>
              <w:t>РАФАРМ СА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TextBodyIndent"/>
              <w:spacing w:lineRule="auto" w:line="276" w:before="0" w:after="0"/>
              <w:ind w:left="0" w:hanging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Грецiя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219"/>
              <w:spacing w:lineRule="auto" w:line="276"/>
              <w:ind w:hanging="0"/>
              <w:jc w:val="left"/>
              <w:rPr>
                <w:rFonts w:cs="Arial"/>
                <w:b w:val="false"/>
                <w:b w:val="false"/>
                <w:iCs/>
                <w:sz w:val="16"/>
                <w:szCs w:val="16"/>
                <w:lang w:val="uk-UA"/>
              </w:rPr>
            </w:pPr>
            <w:r>
              <w:rPr>
                <w:rFonts w:cs="Arial"/>
                <w:b w:val="false"/>
                <w:iCs/>
                <w:sz w:val="16"/>
                <w:szCs w:val="16"/>
              </w:rPr>
              <w:t>засідання НТР № 30 від 30.07.2026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TextBodyIndent"/>
              <w:spacing w:lineRule="auto" w:line="276" w:before="0" w:after="0"/>
              <w:ind w:left="0" w:hanging="0"/>
              <w:jc w:val="both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не рекомендувати до затвердження - </w:t>
            </w:r>
            <w:r>
              <w:rPr>
                <w:rFonts w:cs="Arial" w:ascii="Arial" w:hAnsi="Arial"/>
                <w:sz w:val="16"/>
                <w:szCs w:val="16"/>
              </w:rPr>
              <w:t xml:space="preserve">зміни І типу </w:t>
            </w:r>
          </w:p>
        </w:tc>
      </w:tr>
    </w:tbl>
    <w:p>
      <w:pPr>
        <w:pStyle w:val="11"/>
        <w:rPr/>
      </w:pPr>
      <w:r>
        <w:rPr/>
      </w:r>
    </w:p>
    <w:tbl>
      <w:tblPr>
        <w:tblW w:w="14627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3"/>
        <w:gridCol w:w="7284"/>
      </w:tblGrid>
      <w:tr>
        <w:trPr/>
        <w:tc>
          <w:tcPr>
            <w:tcW w:w="7343" w:type="dxa"/>
            <w:tcBorders/>
            <w:shd w:fill="auto" w:val="clear"/>
          </w:tcPr>
          <w:p>
            <w:pPr>
              <w:pStyle w:val="Normal"/>
              <w:snapToGrid w:val="false"/>
              <w:spacing w:lineRule="auto" w:line="254"/>
              <w:ind w:right="20" w:hanging="0"/>
              <w:rPr>
                <w:rStyle w:val="Cs7864ebcf1"/>
                <w:rFonts w:ascii="Arial" w:hAnsi="Arial" w:cs="Arial"/>
                <w:sz w:val="28"/>
                <w:szCs w:val="28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spacing w:lineRule="auto" w:line="254"/>
              <w:ind w:right="20" w:hanging="0"/>
              <w:rPr>
                <w:rStyle w:val="Cs95e872d01"/>
                <w:sz w:val="28"/>
                <w:szCs w:val="28"/>
              </w:rPr>
            </w:pPr>
            <w:r>
              <w:rPr>
                <w:rStyle w:val="Cs7864ebcf1"/>
                <w:rFonts w:eastAsia="Arial" w:cs="Arial" w:ascii="Arial" w:hAnsi="Arial"/>
                <w:sz w:val="28"/>
                <w:szCs w:val="28"/>
              </w:rPr>
              <w:t xml:space="preserve"> </w:t>
            </w:r>
            <w:r>
              <w:rPr>
                <w:rStyle w:val="Cs7864ebcf1"/>
                <w:rFonts w:cs="Arial" w:ascii="Arial" w:hAnsi="Arial"/>
                <w:sz w:val="28"/>
                <w:szCs w:val="28"/>
              </w:rPr>
              <w:t>Начальник</w:t>
            </w:r>
          </w:p>
          <w:p>
            <w:pPr>
              <w:pStyle w:val="Normal"/>
              <w:spacing w:lineRule="auto" w:line="254"/>
              <w:ind w:right="20" w:hanging="0"/>
              <w:rPr>
                <w:rStyle w:val="Cs7864ebcf1"/>
                <w:rFonts w:ascii="Arial" w:hAnsi="Arial" w:cs="Arial"/>
                <w:sz w:val="28"/>
                <w:szCs w:val="28"/>
              </w:rPr>
            </w:pPr>
            <w:r>
              <w:rPr>
                <w:rStyle w:val="Cs7864ebcf1"/>
                <w:rFonts w:eastAsia="Arial" w:cs="Arial" w:ascii="Arial" w:hAnsi="Arial"/>
                <w:sz w:val="28"/>
                <w:szCs w:val="28"/>
              </w:rPr>
              <w:t xml:space="preserve"> </w:t>
            </w:r>
            <w:r>
              <w:rPr>
                <w:rStyle w:val="Cs7864ebcf1"/>
                <w:rFonts w:cs="Arial" w:ascii="Arial" w:hAnsi="Arial"/>
                <w:sz w:val="28"/>
                <w:szCs w:val="28"/>
              </w:rPr>
              <w:t xml:space="preserve">Фармацевтичного управління </w:t>
            </w:r>
            <w:r>
              <w:rPr>
                <w:rStyle w:val="Cs188c92b51"/>
                <w:sz w:val="28"/>
                <w:szCs w:val="28"/>
              </w:rPr>
              <w:t>                                 </w:t>
            </w:r>
          </w:p>
        </w:tc>
        <w:tc>
          <w:tcPr>
            <w:tcW w:w="7284" w:type="dxa"/>
            <w:tcBorders/>
            <w:shd w:fill="auto" w:val="clear"/>
          </w:tcPr>
          <w:p>
            <w:pPr>
              <w:pStyle w:val="Cs95e872d0"/>
              <w:snapToGrid w:val="false"/>
              <w:spacing w:lineRule="auto" w:line="254"/>
              <w:rPr>
                <w:rStyle w:val="Cs7864ebcf1"/>
                <w:rFonts w:ascii="Arial" w:hAnsi="Arial" w:cs="Arial"/>
                <w:sz w:val="28"/>
                <w:szCs w:val="28"/>
                <w:lang w:val="uk-UA"/>
              </w:rPr>
            </w:pPr>
            <w:r>
              <w:rPr/>
            </w:r>
          </w:p>
          <w:p>
            <w:pPr>
              <w:pStyle w:val="Cs95e872d0"/>
              <w:spacing w:lineRule="auto" w:line="254"/>
              <w:rPr>
                <w:rStyle w:val="Cs7864ebcf1"/>
                <w:rFonts w:ascii="Arial" w:hAnsi="Arial" w:cs="Arial"/>
                <w:sz w:val="28"/>
                <w:szCs w:val="28"/>
                <w:lang w:val="uk-UA"/>
              </w:rPr>
            </w:pPr>
            <w:r>
              <w:rPr/>
            </w:r>
          </w:p>
          <w:p>
            <w:pPr>
              <w:pStyle w:val="Cs95e872d0"/>
              <w:spacing w:lineRule="auto" w:line="254"/>
              <w:rPr>
                <w:rStyle w:val="Cs7864ebcf1"/>
                <w:rFonts w:ascii="Arial" w:hAnsi="Arial" w:cs="Arial"/>
                <w:sz w:val="28"/>
                <w:szCs w:val="28"/>
                <w:lang w:val="uk-UA"/>
              </w:rPr>
            </w:pPr>
            <w:r>
              <w:rPr/>
            </w:r>
          </w:p>
          <w:p>
            <w:pPr>
              <w:pStyle w:val="Cs95e872d0"/>
              <w:spacing w:lineRule="auto" w:line="254"/>
              <w:jc w:val="center"/>
              <w:rPr>
                <w:rStyle w:val="Cs7864ebcf1"/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Style w:val="Cs7864ebcf1"/>
                <w:rFonts w:eastAsia="Arial" w:cs="Arial" w:ascii="Arial" w:hAnsi="Arial"/>
                <w:sz w:val="28"/>
                <w:szCs w:val="28"/>
                <w:lang w:val="uk-UA"/>
              </w:rPr>
              <w:t xml:space="preserve">                                             </w:t>
            </w:r>
            <w:r>
              <w:rPr>
                <w:rStyle w:val="Cs7864ebcf1"/>
                <w:rFonts w:cs="Arial" w:ascii="Arial" w:hAnsi="Arial"/>
                <w:sz w:val="28"/>
                <w:szCs w:val="28"/>
                <w:lang w:val="uk-UA"/>
              </w:rPr>
              <w:t xml:space="preserve">Олександр ГРІЦЕНКО  </w:t>
            </w:r>
          </w:p>
        </w:tc>
      </w:tr>
    </w:tbl>
    <w:p>
      <w:pPr>
        <w:pStyle w:val="11"/>
        <w:rPr>
          <w:rStyle w:val="Cs7864ebcf1"/>
          <w:rFonts w:ascii="Arial" w:hAnsi="Arial" w:cs="Arial"/>
          <w:sz w:val="28"/>
          <w:szCs w:val="28"/>
          <w:lang w:val="uk-UA"/>
        </w:rPr>
      </w:pPr>
      <w:r>
        <w:rPr/>
      </w:r>
    </w:p>
    <w:p>
      <w:pPr>
        <w:pStyle w:val="Normal"/>
        <w:ind w:right="20" w:hanging="0"/>
        <w:rPr>
          <w:rStyle w:val="Cs7864ebcf1"/>
          <w:rFonts w:ascii="Arial" w:hAnsi="Arial" w:cs="Arial"/>
          <w:color w:val="000000"/>
          <w:sz w:val="16"/>
          <w:szCs w:val="16"/>
        </w:rPr>
      </w:pPr>
      <w:r>
        <w:rPr/>
      </w:r>
    </w:p>
    <w:sectPr>
      <w:headerReference w:type="default" r:id="rId7"/>
      <w:type w:val="nextPage"/>
      <w:pgSz w:orient="landscape" w:w="16838" w:h="11906"/>
      <w:pgMar w:left="1077" w:right="1134" w:header="709" w:top="907" w:footer="0" w:bottom="90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cc"/>
    <w:family w:val="roman"/>
    <w:pitch w:val="variable"/>
  </w:font>
  <w:font w:name="Calibri Light">
    <w:charset w:val="cc"/>
    <w:family w:val="swiss"/>
    <w:pitch w:val="variable"/>
  </w:font>
  <w:font w:name="Arial">
    <w:charset w:val="cc"/>
    <w:family w:val="swiss"/>
    <w:pitch w:val="variable"/>
  </w:font>
  <w:font w:name="Cambria">
    <w:charset w:val="cc"/>
    <w:family w:val="roman"/>
    <w:pitch w:val="variable"/>
  </w:font>
  <w:font w:name="Tahoma">
    <w:charset w:val="cc"/>
    <w:family w:val="swiss"/>
    <w:pitch w:val="variable"/>
  </w:font>
  <w:font w:name="Segoe UI">
    <w:charset w:val="cc"/>
    <w:family w:val="swiss"/>
    <w:pitch w:val="variable"/>
  </w:font>
  <w:font w:name="Microsoft YaHei">
    <w:charset w:val="86"/>
    <w:family w:val="swiss"/>
    <w:pitch w:val="variable"/>
  </w:font>
  <w:font w:name="Calibri">
    <w:charset w:val="cc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5</w:t>
    </w:r>
    <w:r>
      <w:fldChar w:fldCharType="end"/>
    </w:r>
  </w:p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97</w:t>
    </w:r>
    <w:r>
      <w:fldChar w:fldCharType="end"/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Heading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pStyle w:val="Heading6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right"/>
      <w:pPr>
        <w:ind w:left="720" w:hanging="36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</w:abstractNum>
  <w:abstractNum w:abstractNumId="4">
    <w:lvl w:ilvl="0">
      <w:start w:val="1"/>
      <w:numFmt w:val="decimal"/>
      <w:lvlText w:val="%1."/>
      <w:lvlJc w:val="right"/>
      <w:pPr>
        <w:ind w:left="720" w:hanging="360"/>
      </w:pPr>
      <w:rPr/>
    </w:lvl>
  </w:abstractNum>
  <w:abstractNum w:abstractNumId="5">
    <w:lvl w:ilvl="0">
      <w:start w:val="1"/>
      <w:numFmt w:val="decimal"/>
      <w:lvlText w:val="%1."/>
      <w:lvlJc w:val="right"/>
      <w:pPr>
        <w:ind w:left="72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98"/>
  <w:defaultTabStop w:val="708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uk-UA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libri Light" w:hAnsi="Calibri Light" w:cs="Calibri Light"/>
      <w:b/>
      <w:bCs/>
      <w:sz w:val="32"/>
      <w:szCs w:val="32"/>
    </w:rPr>
  </w:style>
  <w:style w:type="paragraph" w:styleId="Heading2">
    <w:name w:val="Heading 2"/>
    <w:basedOn w:val="Normal"/>
    <w:next w:val="11"/>
    <w:qFormat/>
    <w:pPr>
      <w:keepNext w:val="true"/>
      <w:numPr>
        <w:ilvl w:val="1"/>
        <w:numId w:val="1"/>
      </w:numPr>
      <w:outlineLvl w:val="1"/>
    </w:pPr>
    <w:rPr>
      <w:rFonts w:ascii="Arial" w:hAnsi="Arial" w:cs="Arial"/>
      <w:b/>
      <w:caps/>
      <w:sz w:val="16"/>
      <w:szCs w:val="20"/>
    </w:rPr>
  </w:style>
  <w:style w:type="paragraph" w:styleId="Heading3">
    <w:name w:val="Heading 3"/>
    <w:basedOn w:val="Normal"/>
    <w:next w:val="TextBody"/>
    <w:qFormat/>
    <w:pPr>
      <w:keepNext w:val="true"/>
      <w:numPr>
        <w:ilvl w:val="2"/>
        <w:numId w:val="1"/>
      </w:numPr>
      <w:outlineLvl w:val="2"/>
    </w:pPr>
    <w:rPr>
      <w:rFonts w:ascii="Arial" w:hAnsi="Arial" w:eastAsia="Calibri" w:cs="Arial"/>
      <w:b/>
      <w:bCs/>
      <w:lang w:val="en-US"/>
    </w:rPr>
  </w:style>
  <w:style w:type="paragraph" w:styleId="Heading4">
    <w:name w:val="Heading 4"/>
    <w:basedOn w:val="Normal"/>
    <w:next w:val="11"/>
    <w:qFormat/>
    <w:pPr>
      <w:keepNext w:val="true"/>
      <w:numPr>
        <w:ilvl w:val="3"/>
        <w:numId w:val="1"/>
      </w:numPr>
      <w:jc w:val="center"/>
      <w:outlineLvl w:val="3"/>
    </w:pPr>
    <w:rPr>
      <w:rFonts w:ascii="Arial" w:hAnsi="Arial" w:cs="Arial"/>
      <w:b/>
      <w:sz w:val="20"/>
      <w:szCs w:val="20"/>
    </w:rPr>
  </w:style>
  <w:style w:type="paragraph" w:styleId="Heading6">
    <w:name w:val="Heading 6"/>
    <w:basedOn w:val="Normal"/>
    <w:next w:val="TextBody"/>
    <w:qFormat/>
    <w:pPr>
      <w:numPr>
        <w:ilvl w:val="5"/>
        <w:numId w:val="1"/>
      </w:numPr>
      <w:spacing w:before="240" w:after="60"/>
      <w:outlineLvl w:val="5"/>
    </w:pPr>
    <w:rPr>
      <w:rFonts w:eastAsia="Calibri"/>
      <w:b/>
      <w:bCs/>
      <w:sz w:val="22"/>
      <w:szCs w:val="22"/>
      <w:lang w:val="en-US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/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/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0">
    <w:name w:val="WW8Num10z0"/>
    <w:qFormat/>
    <w:rPr/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WW8Num11z0">
    <w:name w:val="WW8Num11z0"/>
    <w:qFormat/>
    <w:rPr/>
  </w:style>
  <w:style w:type="character" w:styleId="WW8Num11z1">
    <w:name w:val="WW8Num11z1"/>
    <w:qFormat/>
    <w:rPr/>
  </w:style>
  <w:style w:type="character" w:styleId="WW8Num11z2">
    <w:name w:val="WW8Num11z2"/>
    <w:qFormat/>
    <w:rPr/>
  </w:style>
  <w:style w:type="character" w:styleId="WW8Num11z3">
    <w:name w:val="WW8Num11z3"/>
    <w:qFormat/>
    <w:rPr/>
  </w:style>
  <w:style w:type="character" w:styleId="WW8Num11z4">
    <w:name w:val="WW8Num11z4"/>
    <w:qFormat/>
    <w:rPr/>
  </w:style>
  <w:style w:type="character" w:styleId="WW8Num11z5">
    <w:name w:val="WW8Num11z5"/>
    <w:qFormat/>
    <w:rPr/>
  </w:style>
  <w:style w:type="character" w:styleId="WW8Num11z6">
    <w:name w:val="WW8Num11z6"/>
    <w:qFormat/>
    <w:rPr/>
  </w:style>
  <w:style w:type="character" w:styleId="WW8Num11z7">
    <w:name w:val="WW8Num11z7"/>
    <w:qFormat/>
    <w:rPr/>
  </w:style>
  <w:style w:type="character" w:styleId="WW8Num11z8">
    <w:name w:val="WW8Num11z8"/>
    <w:qFormat/>
    <w:rPr/>
  </w:style>
  <w:style w:type="character" w:styleId="WW8Num12z0">
    <w:name w:val="WW8Num12z0"/>
    <w:qFormat/>
    <w:rPr/>
  </w:style>
  <w:style w:type="character" w:styleId="WW8Num12z1">
    <w:name w:val="WW8Num12z1"/>
    <w:qFormat/>
    <w:rPr/>
  </w:style>
  <w:style w:type="character" w:styleId="WW8Num12z2">
    <w:name w:val="WW8Num12z2"/>
    <w:qFormat/>
    <w:rPr/>
  </w:style>
  <w:style w:type="character" w:styleId="WW8Num12z3">
    <w:name w:val="WW8Num12z3"/>
    <w:qFormat/>
    <w:rPr/>
  </w:style>
  <w:style w:type="character" w:styleId="WW8Num12z4">
    <w:name w:val="WW8Num12z4"/>
    <w:qFormat/>
    <w:rPr/>
  </w:style>
  <w:style w:type="character" w:styleId="WW8Num12z5">
    <w:name w:val="WW8Num12z5"/>
    <w:qFormat/>
    <w:rPr/>
  </w:style>
  <w:style w:type="character" w:styleId="WW8Num12z6">
    <w:name w:val="WW8Num12z6"/>
    <w:qFormat/>
    <w:rPr/>
  </w:style>
  <w:style w:type="character" w:styleId="WW8Num12z7">
    <w:name w:val="WW8Num12z7"/>
    <w:qFormat/>
    <w:rPr/>
  </w:style>
  <w:style w:type="character" w:styleId="WW8Num12z8">
    <w:name w:val="WW8Num12z8"/>
    <w:qFormat/>
    <w:rPr/>
  </w:style>
  <w:style w:type="character" w:styleId="WW8Num13z0">
    <w:name w:val="WW8Num13z0"/>
    <w:qFormat/>
    <w:rPr/>
  </w:style>
  <w:style w:type="character" w:styleId="WW8Num13z1">
    <w:name w:val="WW8Num13z1"/>
    <w:qFormat/>
    <w:rPr/>
  </w:style>
  <w:style w:type="character" w:styleId="WW8Num13z2">
    <w:name w:val="WW8Num13z2"/>
    <w:qFormat/>
    <w:rPr/>
  </w:style>
  <w:style w:type="character" w:styleId="WW8Num13z3">
    <w:name w:val="WW8Num13z3"/>
    <w:qFormat/>
    <w:rPr/>
  </w:style>
  <w:style w:type="character" w:styleId="WW8Num13z4">
    <w:name w:val="WW8Num13z4"/>
    <w:qFormat/>
    <w:rPr/>
  </w:style>
  <w:style w:type="character" w:styleId="WW8Num13z5">
    <w:name w:val="WW8Num13z5"/>
    <w:qFormat/>
    <w:rPr/>
  </w:style>
  <w:style w:type="character" w:styleId="WW8Num13z6">
    <w:name w:val="WW8Num13z6"/>
    <w:qFormat/>
    <w:rPr/>
  </w:style>
  <w:style w:type="character" w:styleId="WW8Num13z7">
    <w:name w:val="WW8Num13z7"/>
    <w:qFormat/>
    <w:rPr/>
  </w:style>
  <w:style w:type="character" w:styleId="WW8Num13z8">
    <w:name w:val="WW8Num13z8"/>
    <w:qFormat/>
    <w:rPr/>
  </w:style>
  <w:style w:type="character" w:styleId="WW8Num14z0">
    <w:name w:val="WW8Num14z0"/>
    <w:qFormat/>
    <w:rPr/>
  </w:style>
  <w:style w:type="character" w:styleId="WW8Num14z1">
    <w:name w:val="WW8Num14z1"/>
    <w:qFormat/>
    <w:rPr/>
  </w:style>
  <w:style w:type="character" w:styleId="WW8Num14z2">
    <w:name w:val="WW8Num14z2"/>
    <w:qFormat/>
    <w:rPr/>
  </w:style>
  <w:style w:type="character" w:styleId="WW8Num14z3">
    <w:name w:val="WW8Num14z3"/>
    <w:qFormat/>
    <w:rPr/>
  </w:style>
  <w:style w:type="character" w:styleId="WW8Num14z4">
    <w:name w:val="WW8Num14z4"/>
    <w:qFormat/>
    <w:rPr/>
  </w:style>
  <w:style w:type="character" w:styleId="WW8Num14z5">
    <w:name w:val="WW8Num14z5"/>
    <w:qFormat/>
    <w:rPr/>
  </w:style>
  <w:style w:type="character" w:styleId="WW8Num14z6">
    <w:name w:val="WW8Num14z6"/>
    <w:qFormat/>
    <w:rPr/>
  </w:style>
  <w:style w:type="character" w:styleId="WW8Num14z7">
    <w:name w:val="WW8Num14z7"/>
    <w:qFormat/>
    <w:rPr/>
  </w:style>
  <w:style w:type="character" w:styleId="WW8Num14z8">
    <w:name w:val="WW8Num14z8"/>
    <w:qFormat/>
    <w:rPr/>
  </w:style>
  <w:style w:type="character" w:styleId="WW8Num15z0">
    <w:name w:val="WW8Num15z0"/>
    <w:qFormat/>
    <w:rPr/>
  </w:style>
  <w:style w:type="character" w:styleId="WW8Num15z1">
    <w:name w:val="WW8Num15z1"/>
    <w:qFormat/>
    <w:rPr/>
  </w:style>
  <w:style w:type="character" w:styleId="WW8Num15z2">
    <w:name w:val="WW8Num15z2"/>
    <w:qFormat/>
    <w:rPr/>
  </w:style>
  <w:style w:type="character" w:styleId="WW8Num15z3">
    <w:name w:val="WW8Num15z3"/>
    <w:qFormat/>
    <w:rPr/>
  </w:style>
  <w:style w:type="character" w:styleId="WW8Num15z4">
    <w:name w:val="WW8Num15z4"/>
    <w:qFormat/>
    <w:rPr/>
  </w:style>
  <w:style w:type="character" w:styleId="WW8Num15z5">
    <w:name w:val="WW8Num15z5"/>
    <w:qFormat/>
    <w:rPr/>
  </w:style>
  <w:style w:type="character" w:styleId="WW8Num15z6">
    <w:name w:val="WW8Num15z6"/>
    <w:qFormat/>
    <w:rPr/>
  </w:style>
  <w:style w:type="character" w:styleId="WW8Num15z7">
    <w:name w:val="WW8Num15z7"/>
    <w:qFormat/>
    <w:rPr/>
  </w:style>
  <w:style w:type="character" w:styleId="WW8Num15z8">
    <w:name w:val="WW8Num15z8"/>
    <w:qFormat/>
    <w:rPr/>
  </w:style>
  <w:style w:type="character" w:styleId="WW8Num16z0">
    <w:name w:val="WW8Num16z0"/>
    <w:qFormat/>
    <w:rPr/>
  </w:style>
  <w:style w:type="character" w:styleId="WW8Num16z1">
    <w:name w:val="WW8Num16z1"/>
    <w:qFormat/>
    <w:rPr/>
  </w:style>
  <w:style w:type="character" w:styleId="WW8Num16z2">
    <w:name w:val="WW8Num16z2"/>
    <w:qFormat/>
    <w:rPr/>
  </w:style>
  <w:style w:type="character" w:styleId="WW8Num16z3">
    <w:name w:val="WW8Num16z3"/>
    <w:qFormat/>
    <w:rPr/>
  </w:style>
  <w:style w:type="character" w:styleId="WW8Num16z4">
    <w:name w:val="WW8Num16z4"/>
    <w:qFormat/>
    <w:rPr/>
  </w:style>
  <w:style w:type="character" w:styleId="WW8Num16z5">
    <w:name w:val="WW8Num16z5"/>
    <w:qFormat/>
    <w:rPr/>
  </w:style>
  <w:style w:type="character" w:styleId="WW8Num16z6">
    <w:name w:val="WW8Num16z6"/>
    <w:qFormat/>
    <w:rPr/>
  </w:style>
  <w:style w:type="character" w:styleId="WW8Num16z7">
    <w:name w:val="WW8Num16z7"/>
    <w:qFormat/>
    <w:rPr/>
  </w:style>
  <w:style w:type="character" w:styleId="WW8Num16z8">
    <w:name w:val="WW8Num16z8"/>
    <w:qFormat/>
    <w:rPr/>
  </w:style>
  <w:style w:type="character" w:styleId="WW8Num17z0">
    <w:name w:val="WW8Num17z0"/>
    <w:qFormat/>
    <w:rPr/>
  </w:style>
  <w:style w:type="character" w:styleId="WW8Num17z1">
    <w:name w:val="WW8Num17z1"/>
    <w:qFormat/>
    <w:rPr/>
  </w:style>
  <w:style w:type="character" w:styleId="WW8Num17z2">
    <w:name w:val="WW8Num17z2"/>
    <w:qFormat/>
    <w:rPr/>
  </w:style>
  <w:style w:type="character" w:styleId="WW8Num17z3">
    <w:name w:val="WW8Num17z3"/>
    <w:qFormat/>
    <w:rPr/>
  </w:style>
  <w:style w:type="character" w:styleId="WW8Num17z4">
    <w:name w:val="WW8Num17z4"/>
    <w:qFormat/>
    <w:rPr/>
  </w:style>
  <w:style w:type="character" w:styleId="WW8Num17z5">
    <w:name w:val="WW8Num17z5"/>
    <w:qFormat/>
    <w:rPr/>
  </w:style>
  <w:style w:type="character" w:styleId="WW8Num17z6">
    <w:name w:val="WW8Num17z6"/>
    <w:qFormat/>
    <w:rPr/>
  </w:style>
  <w:style w:type="character" w:styleId="WW8Num17z7">
    <w:name w:val="WW8Num17z7"/>
    <w:qFormat/>
    <w:rPr/>
  </w:style>
  <w:style w:type="character" w:styleId="WW8Num17z8">
    <w:name w:val="WW8Num17z8"/>
    <w:qFormat/>
    <w:rPr/>
  </w:style>
  <w:style w:type="character" w:styleId="WW8Num18z0">
    <w:name w:val="WW8Num18z0"/>
    <w:qFormat/>
    <w:rPr/>
  </w:style>
  <w:style w:type="character" w:styleId="WW8Num18z1">
    <w:name w:val="WW8Num18z1"/>
    <w:qFormat/>
    <w:rPr/>
  </w:style>
  <w:style w:type="character" w:styleId="WW8Num18z2">
    <w:name w:val="WW8Num18z2"/>
    <w:qFormat/>
    <w:rPr/>
  </w:style>
  <w:style w:type="character" w:styleId="WW8Num18z3">
    <w:name w:val="WW8Num18z3"/>
    <w:qFormat/>
    <w:rPr/>
  </w:style>
  <w:style w:type="character" w:styleId="WW8Num18z4">
    <w:name w:val="WW8Num18z4"/>
    <w:qFormat/>
    <w:rPr/>
  </w:style>
  <w:style w:type="character" w:styleId="WW8Num18z5">
    <w:name w:val="WW8Num18z5"/>
    <w:qFormat/>
    <w:rPr/>
  </w:style>
  <w:style w:type="character" w:styleId="WW8Num18z6">
    <w:name w:val="WW8Num18z6"/>
    <w:qFormat/>
    <w:rPr/>
  </w:style>
  <w:style w:type="character" w:styleId="WW8Num18z7">
    <w:name w:val="WW8Num18z7"/>
    <w:qFormat/>
    <w:rPr/>
  </w:style>
  <w:style w:type="character" w:styleId="WW8Num18z8">
    <w:name w:val="WW8Num18z8"/>
    <w:qFormat/>
    <w:rPr/>
  </w:style>
  <w:style w:type="character" w:styleId="WW8Num19z0">
    <w:name w:val="WW8Num19z0"/>
    <w:qFormat/>
    <w:rPr/>
  </w:style>
  <w:style w:type="character" w:styleId="WW8Num19z1">
    <w:name w:val="WW8Num19z1"/>
    <w:qFormat/>
    <w:rPr/>
  </w:style>
  <w:style w:type="character" w:styleId="WW8Num19z2">
    <w:name w:val="WW8Num19z2"/>
    <w:qFormat/>
    <w:rPr/>
  </w:style>
  <w:style w:type="character" w:styleId="WW8Num19z3">
    <w:name w:val="WW8Num19z3"/>
    <w:qFormat/>
    <w:rPr/>
  </w:style>
  <w:style w:type="character" w:styleId="WW8Num19z4">
    <w:name w:val="WW8Num19z4"/>
    <w:qFormat/>
    <w:rPr/>
  </w:style>
  <w:style w:type="character" w:styleId="WW8Num19z5">
    <w:name w:val="WW8Num19z5"/>
    <w:qFormat/>
    <w:rPr/>
  </w:style>
  <w:style w:type="character" w:styleId="WW8Num19z6">
    <w:name w:val="WW8Num19z6"/>
    <w:qFormat/>
    <w:rPr/>
  </w:style>
  <w:style w:type="character" w:styleId="WW8Num19z7">
    <w:name w:val="WW8Num19z7"/>
    <w:qFormat/>
    <w:rPr/>
  </w:style>
  <w:style w:type="character" w:styleId="WW8Num19z8">
    <w:name w:val="WW8Num19z8"/>
    <w:qFormat/>
    <w:rPr/>
  </w:style>
  <w:style w:type="character" w:styleId="WW8Num20z0">
    <w:name w:val="WW8Num20z0"/>
    <w:qFormat/>
    <w:rPr/>
  </w:style>
  <w:style w:type="character" w:styleId="WW8Num20z1">
    <w:name w:val="WW8Num20z1"/>
    <w:qFormat/>
    <w:rPr/>
  </w:style>
  <w:style w:type="character" w:styleId="WW8Num20z2">
    <w:name w:val="WW8Num20z2"/>
    <w:qFormat/>
    <w:rPr/>
  </w:style>
  <w:style w:type="character" w:styleId="WW8Num20z3">
    <w:name w:val="WW8Num20z3"/>
    <w:qFormat/>
    <w:rPr/>
  </w:style>
  <w:style w:type="character" w:styleId="WW8Num20z4">
    <w:name w:val="WW8Num20z4"/>
    <w:qFormat/>
    <w:rPr/>
  </w:style>
  <w:style w:type="character" w:styleId="WW8Num20z5">
    <w:name w:val="WW8Num20z5"/>
    <w:qFormat/>
    <w:rPr/>
  </w:style>
  <w:style w:type="character" w:styleId="WW8Num20z6">
    <w:name w:val="WW8Num20z6"/>
    <w:qFormat/>
    <w:rPr/>
  </w:style>
  <w:style w:type="character" w:styleId="WW8Num20z7">
    <w:name w:val="WW8Num20z7"/>
    <w:qFormat/>
    <w:rPr/>
  </w:style>
  <w:style w:type="character" w:styleId="WW8Num20z8">
    <w:name w:val="WW8Num20z8"/>
    <w:qFormat/>
    <w:rPr/>
  </w:style>
  <w:style w:type="character" w:styleId="WW8Num21z0">
    <w:name w:val="WW8Num21z0"/>
    <w:qFormat/>
    <w:rPr/>
  </w:style>
  <w:style w:type="character" w:styleId="WW8Num21z1">
    <w:name w:val="WW8Num21z1"/>
    <w:qFormat/>
    <w:rPr/>
  </w:style>
  <w:style w:type="character" w:styleId="WW8Num21z2">
    <w:name w:val="WW8Num21z2"/>
    <w:qFormat/>
    <w:rPr/>
  </w:style>
  <w:style w:type="character" w:styleId="WW8Num21z3">
    <w:name w:val="WW8Num21z3"/>
    <w:qFormat/>
    <w:rPr/>
  </w:style>
  <w:style w:type="character" w:styleId="WW8Num21z4">
    <w:name w:val="WW8Num21z4"/>
    <w:qFormat/>
    <w:rPr/>
  </w:style>
  <w:style w:type="character" w:styleId="WW8Num21z5">
    <w:name w:val="WW8Num21z5"/>
    <w:qFormat/>
    <w:rPr/>
  </w:style>
  <w:style w:type="character" w:styleId="WW8Num21z6">
    <w:name w:val="WW8Num21z6"/>
    <w:qFormat/>
    <w:rPr/>
  </w:style>
  <w:style w:type="character" w:styleId="WW8Num21z7">
    <w:name w:val="WW8Num21z7"/>
    <w:qFormat/>
    <w:rPr/>
  </w:style>
  <w:style w:type="character" w:styleId="WW8Num21z8">
    <w:name w:val="WW8Num21z8"/>
    <w:qFormat/>
    <w:rPr/>
  </w:style>
  <w:style w:type="character" w:styleId="WW8Num22z0">
    <w:name w:val="WW8Num22z0"/>
    <w:qFormat/>
    <w:rPr/>
  </w:style>
  <w:style w:type="character" w:styleId="WW8Num22z1">
    <w:name w:val="WW8Num22z1"/>
    <w:qFormat/>
    <w:rPr/>
  </w:style>
  <w:style w:type="character" w:styleId="WW8Num22z2">
    <w:name w:val="WW8Num22z2"/>
    <w:qFormat/>
    <w:rPr/>
  </w:style>
  <w:style w:type="character" w:styleId="WW8Num22z3">
    <w:name w:val="WW8Num22z3"/>
    <w:qFormat/>
    <w:rPr/>
  </w:style>
  <w:style w:type="character" w:styleId="WW8Num22z4">
    <w:name w:val="WW8Num22z4"/>
    <w:qFormat/>
    <w:rPr/>
  </w:style>
  <w:style w:type="character" w:styleId="WW8Num22z5">
    <w:name w:val="WW8Num22z5"/>
    <w:qFormat/>
    <w:rPr/>
  </w:style>
  <w:style w:type="character" w:styleId="WW8Num22z6">
    <w:name w:val="WW8Num22z6"/>
    <w:qFormat/>
    <w:rPr/>
  </w:style>
  <w:style w:type="character" w:styleId="WW8Num22z7">
    <w:name w:val="WW8Num22z7"/>
    <w:qFormat/>
    <w:rPr/>
  </w:style>
  <w:style w:type="character" w:styleId="WW8Num22z8">
    <w:name w:val="WW8Num22z8"/>
    <w:qFormat/>
    <w:rPr/>
  </w:style>
  <w:style w:type="character" w:styleId="WW8Num23z0">
    <w:name w:val="WW8Num23z0"/>
    <w:qFormat/>
    <w:rPr/>
  </w:style>
  <w:style w:type="character" w:styleId="WW8Num23z1">
    <w:name w:val="WW8Num23z1"/>
    <w:qFormat/>
    <w:rPr/>
  </w:style>
  <w:style w:type="character" w:styleId="WW8Num23z2">
    <w:name w:val="WW8Num23z2"/>
    <w:qFormat/>
    <w:rPr/>
  </w:style>
  <w:style w:type="character" w:styleId="WW8Num23z3">
    <w:name w:val="WW8Num23z3"/>
    <w:qFormat/>
    <w:rPr/>
  </w:style>
  <w:style w:type="character" w:styleId="WW8Num23z4">
    <w:name w:val="WW8Num23z4"/>
    <w:qFormat/>
    <w:rPr/>
  </w:style>
  <w:style w:type="character" w:styleId="WW8Num23z5">
    <w:name w:val="WW8Num23z5"/>
    <w:qFormat/>
    <w:rPr/>
  </w:style>
  <w:style w:type="character" w:styleId="WW8Num23z6">
    <w:name w:val="WW8Num23z6"/>
    <w:qFormat/>
    <w:rPr/>
  </w:style>
  <w:style w:type="character" w:styleId="WW8Num23z7">
    <w:name w:val="WW8Num23z7"/>
    <w:qFormat/>
    <w:rPr/>
  </w:style>
  <w:style w:type="character" w:styleId="WW8Num23z8">
    <w:name w:val="WW8Num23z8"/>
    <w:qFormat/>
    <w:rPr/>
  </w:style>
  <w:style w:type="character" w:styleId="WW8Num24z0">
    <w:name w:val="WW8Num24z0"/>
    <w:qFormat/>
    <w:rPr/>
  </w:style>
  <w:style w:type="character" w:styleId="WW8Num24z1">
    <w:name w:val="WW8Num24z1"/>
    <w:qFormat/>
    <w:rPr/>
  </w:style>
  <w:style w:type="character" w:styleId="WW8Num24z2">
    <w:name w:val="WW8Num24z2"/>
    <w:qFormat/>
    <w:rPr/>
  </w:style>
  <w:style w:type="character" w:styleId="WW8Num24z3">
    <w:name w:val="WW8Num24z3"/>
    <w:qFormat/>
    <w:rPr/>
  </w:style>
  <w:style w:type="character" w:styleId="WW8Num24z4">
    <w:name w:val="WW8Num24z4"/>
    <w:qFormat/>
    <w:rPr/>
  </w:style>
  <w:style w:type="character" w:styleId="WW8Num24z5">
    <w:name w:val="WW8Num24z5"/>
    <w:qFormat/>
    <w:rPr/>
  </w:style>
  <w:style w:type="character" w:styleId="WW8Num24z6">
    <w:name w:val="WW8Num24z6"/>
    <w:qFormat/>
    <w:rPr/>
  </w:style>
  <w:style w:type="character" w:styleId="WW8Num24z7">
    <w:name w:val="WW8Num24z7"/>
    <w:qFormat/>
    <w:rPr/>
  </w:style>
  <w:style w:type="character" w:styleId="WW8Num24z8">
    <w:name w:val="WW8Num24z8"/>
    <w:qFormat/>
    <w:rPr/>
  </w:style>
  <w:style w:type="character" w:styleId="Style9">
    <w:name w:val="Основной шрифт абзаца"/>
    <w:qFormat/>
    <w:rPr/>
  </w:style>
  <w:style w:type="character" w:styleId="2">
    <w:name w:val="Заголовок 2 Знак"/>
    <w:qFormat/>
    <w:rPr>
      <w:rFonts w:ascii="Cambria" w:hAnsi="Cambria" w:eastAsia="Times New Roman" w:cs="Times New Roman"/>
      <w:b/>
      <w:bCs/>
      <w:color w:val="4F81BD"/>
      <w:sz w:val="26"/>
      <w:szCs w:val="26"/>
    </w:rPr>
  </w:style>
  <w:style w:type="character" w:styleId="4">
    <w:name w:val="Заголовок 4 Знак"/>
    <w:qFormat/>
    <w:rPr>
      <w:rFonts w:ascii="Cambria" w:hAnsi="Cambria" w:eastAsia="Times New Roman" w:cs="Times New Roman"/>
      <w:b/>
      <w:bCs/>
      <w:i/>
      <w:iCs/>
      <w:color w:val="4F81BD"/>
      <w:sz w:val="24"/>
      <w:szCs w:val="24"/>
    </w:rPr>
  </w:style>
  <w:style w:type="character" w:styleId="Heading2Char">
    <w:name w:val="Heading 2 Char"/>
    <w:qFormat/>
    <w:rPr>
      <w:rFonts w:ascii="Arial" w:hAnsi="Arial" w:eastAsia="Times New Roman" w:cs="Times New Roman"/>
      <w:b/>
      <w:bCs w:val="false"/>
      <w:caps/>
      <w:sz w:val="16"/>
      <w:lang w:val="ru-RU"/>
    </w:rPr>
  </w:style>
  <w:style w:type="character" w:styleId="Heading4Char">
    <w:name w:val="Heading 4 Char"/>
    <w:qFormat/>
    <w:rPr>
      <w:rFonts w:ascii="Arial" w:hAnsi="Arial" w:eastAsia="Times New Roman" w:cs="Times New Roman"/>
      <w:b/>
      <w:bCs w:val="false"/>
      <w:lang w:val="ru-RU"/>
    </w:rPr>
  </w:style>
  <w:style w:type="character" w:styleId="Csb3e8c9cf24">
    <w:name w:val="csb3e8c9cf24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1">
    <w:name w:val="Заголовок 1 Знак"/>
    <w:qFormat/>
    <w:rPr>
      <w:rFonts w:ascii="Calibri Light" w:hAnsi="Calibri Light" w:eastAsia="Times New Roman" w:cs="Times New Roman"/>
      <w:b/>
      <w:bCs/>
      <w:sz w:val="32"/>
      <w:szCs w:val="32"/>
    </w:rPr>
  </w:style>
  <w:style w:type="character" w:styleId="Style10">
    <w:name w:val="Верхний колонтитул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Style11">
    <w:name w:val="Нижний колонтитул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PageNumber">
    <w:name w:val="Page Number"/>
    <w:rPr/>
  </w:style>
  <w:style w:type="character" w:styleId="Style12">
    <w:name w:val="Текст выноски Знак"/>
    <w:qFormat/>
    <w:rPr>
      <w:rFonts w:ascii="Tahoma" w:hAnsi="Tahoma" w:eastAsia="Times New Roman" w:cs="Tahoma"/>
      <w:sz w:val="16"/>
      <w:szCs w:val="16"/>
      <w:lang w:val="ru-RU"/>
    </w:rPr>
  </w:style>
  <w:style w:type="character" w:styleId="BodyTextIndentChar">
    <w:name w:val="Body Text Indent Char"/>
    <w:qFormat/>
    <w:rPr>
      <w:rFonts w:ascii="Arial" w:hAnsi="Arial" w:eastAsia="Times New Roman" w:cs="Arial"/>
      <w:sz w:val="18"/>
      <w:lang w:val="ru-RU"/>
    </w:rPr>
  </w:style>
  <w:style w:type="character" w:styleId="Csab6e076947">
    <w:name w:val="csab6e07694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86">
    <w:name w:val="csab6e07698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8">
    <w:name w:val="csf229d0ff1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">
    <w:name w:val="csf229d0ff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9">
    <w:name w:val="csf229d0ff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50">
    <w:name w:val="csab6e07695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07">
    <w:name w:val="csab6e076910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0">
    <w:name w:val="csab6e07691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29">
    <w:name w:val="csab6e07692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7">
    <w:name w:val="csf229d0ff1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81">
    <w:name w:val="csab6e07698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82">
    <w:name w:val="csab6e07698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1">
    <w:name w:val="csf229d0ff1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32">
    <w:name w:val="csf229d0ff3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82">
    <w:name w:val="csafaf574182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80">
    <w:name w:val="csab6e07698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53">
    <w:name w:val="csf229d0ff5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3e8c9cf8">
    <w:name w:val="csb3e8c9cf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61">
    <w:name w:val="csab6e07696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7">
    <w:name w:val="csf229d0ff2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3">
    <w:name w:val="csf229d0ff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22">
    <w:name w:val="csab6e076912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57">
    <w:name w:val="csab6e07695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41">
    <w:name w:val="csab6e07694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91">
    <w:name w:val="csab6e07699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56">
    <w:name w:val="csab6e076915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248">
    <w:name w:val="csafaf574124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276">
    <w:name w:val="csab6e076927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219">
    <w:name w:val="csab6e076921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11">
    <w:name w:val="csafaf574111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f229d0ff13">
    <w:name w:val="csf229d0ff1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31">
    <w:name w:val="csab6e076913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99">
    <w:name w:val="csafaf574199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100">
    <w:name w:val="csafaf5741100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Style13">
    <w:name w:val="Основной текст с отступом Знак"/>
    <w:qFormat/>
    <w:rPr>
      <w:rFonts w:ascii="Times New Roman" w:hAnsi="Times New Roman" w:eastAsia="Times New Roman" w:cs="Times New Roman"/>
      <w:sz w:val="24"/>
      <w:szCs w:val="24"/>
      <w:lang w:val="ru-RU"/>
    </w:rPr>
  </w:style>
  <w:style w:type="character" w:styleId="Csf229d0ff16">
    <w:name w:val="csf229d0ff1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188c92b51">
    <w:name w:val="cs188c92b51"/>
    <w:qFormat/>
    <w:rPr>
      <w:rFonts w:ascii="Times New Roman" w:hAnsi="Times New Roman" w:cs="Times New Roman"/>
      <w:b w:val="false"/>
      <w:bCs w:val="false"/>
      <w:i w:val="false"/>
      <w:iCs w:val="false"/>
      <w:color w:val="000000"/>
      <w:sz w:val="26"/>
      <w:szCs w:val="26"/>
      <w:shd w:fill="auto" w:val="clear"/>
    </w:rPr>
  </w:style>
  <w:style w:type="character" w:styleId="3">
    <w:name w:val="Основной текст 3 Знак"/>
    <w:qFormat/>
    <w:rPr>
      <w:rFonts w:ascii="Times New Roman" w:hAnsi="Times New Roman" w:eastAsia="Times New Roman" w:cs="Times New Roman"/>
      <w:sz w:val="16"/>
      <w:szCs w:val="16"/>
    </w:rPr>
  </w:style>
  <w:style w:type="character" w:styleId="Csab6e076931">
    <w:name w:val="csab6e07693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28">
    <w:name w:val="csab6e07692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5">
    <w:name w:val="csf229d0ff1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34">
    <w:name w:val="csafaf574134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f229d0ff25">
    <w:name w:val="csf229d0ff2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5e872d01">
    <w:name w:val="cs95e872d01"/>
    <w:qFormat/>
    <w:rPr/>
  </w:style>
  <w:style w:type="character" w:styleId="Csb3e8c9cf10">
    <w:name w:val="csb3e8c9cf10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27">
    <w:name w:val="csafaf574127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f229d0ff10">
    <w:name w:val="csf229d0ff1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03">
    <w:name w:val="csab6e076910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04">
    <w:name w:val="csab6e076910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105">
    <w:name w:val="csafaf574110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106">
    <w:name w:val="csafaf5741106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216">
    <w:name w:val="csafaf5741216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f229d0ff19">
    <w:name w:val="csf229d0ff1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4">
    <w:name w:val="csf229d0ff2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4">
    <w:name w:val="csf229d0ff1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31">
    <w:name w:val="Основной текст с отступом 3 Знак"/>
    <w:qFormat/>
    <w:rPr>
      <w:rFonts w:ascii="Times New Roman" w:hAnsi="Times New Roman" w:cs="Times New Roman"/>
      <w:sz w:val="16"/>
      <w:szCs w:val="16"/>
      <w:lang w:val="ru-RU"/>
    </w:rPr>
  </w:style>
  <w:style w:type="character" w:styleId="Csab6e0769225">
    <w:name w:val="csab6e076922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3e8c9cf3">
    <w:name w:val="csb3e8c9cf3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b86c8cfe1">
    <w:name w:val="csb86c8cfe1"/>
    <w:qFormat/>
    <w:rPr>
      <w:rFonts w:ascii="Times New Roman" w:hAnsi="Times New Roman" w:cs="Times New Roman"/>
      <w:b/>
      <w:bCs/>
      <w:i w:val="false"/>
      <w:iCs w:val="false"/>
      <w:color w:val="000000"/>
      <w:sz w:val="24"/>
      <w:szCs w:val="24"/>
    </w:rPr>
  </w:style>
  <w:style w:type="character" w:styleId="Csf229d0ff21">
    <w:name w:val="csf229d0ff2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</w:rPr>
  </w:style>
  <w:style w:type="character" w:styleId="Csf229d0ff26">
    <w:name w:val="csf229d0ff2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8c2cf3831">
    <w:name w:val="cs8c2cf3831"/>
    <w:qFormat/>
    <w:rPr>
      <w:rFonts w:ascii="Arial" w:hAnsi="Arial" w:cs="Arial"/>
      <w:b/>
      <w:bCs/>
      <w:i/>
      <w:iCs/>
      <w:color w:val="102B56"/>
      <w:sz w:val="18"/>
      <w:szCs w:val="18"/>
      <w:shd w:fill="auto" w:val="clear"/>
    </w:rPr>
  </w:style>
  <w:style w:type="character" w:styleId="Csd71f5e5a1">
    <w:name w:val="csd71f5e5a1"/>
    <w:qFormat/>
    <w:rPr>
      <w:rFonts w:ascii="Arial" w:hAnsi="Arial" w:cs="Arial"/>
      <w:b w:val="false"/>
      <w:bCs w:val="false"/>
      <w:i/>
      <w:iCs/>
      <w:color w:val="102B56"/>
      <w:sz w:val="18"/>
      <w:szCs w:val="18"/>
      <w:shd w:fill="auto" w:val="clear"/>
    </w:rPr>
  </w:style>
  <w:style w:type="character" w:styleId="Cs8f6c24af1">
    <w:name w:val="cs8f6c24af1"/>
    <w:qFormat/>
    <w:rPr>
      <w:rFonts w:ascii="Arial" w:hAnsi="Arial" w:cs="Arial"/>
      <w:b/>
      <w:bCs/>
      <w:i w:val="false"/>
      <w:iCs w:val="false"/>
      <w:color w:val="102B56"/>
      <w:sz w:val="18"/>
      <w:szCs w:val="18"/>
      <w:shd w:fill="auto" w:val="clear"/>
    </w:rPr>
  </w:style>
  <w:style w:type="character" w:styleId="Csa5a0f5421">
    <w:name w:val="csa5a0f5421"/>
    <w:qFormat/>
    <w:rPr>
      <w:rFonts w:ascii="Arial" w:hAnsi="Arial" w:cs="Arial"/>
      <w:b w:val="false"/>
      <w:bCs w:val="false"/>
      <w:i w:val="false"/>
      <w:iCs w:val="false"/>
      <w:color w:val="102B56"/>
      <w:sz w:val="18"/>
      <w:szCs w:val="18"/>
      <w:shd w:fill="auto" w:val="clear"/>
    </w:rPr>
  </w:style>
  <w:style w:type="character" w:styleId="Cs3f9137501">
    <w:name w:val="cs3f9137501"/>
    <w:qFormat/>
    <w:rPr>
      <w:rFonts w:ascii="Arial" w:hAnsi="Arial" w:cs="Arial"/>
      <w:b w:val="false"/>
      <w:bCs w:val="false"/>
      <w:i/>
      <w:iCs/>
      <w:color w:val="102B56"/>
      <w:sz w:val="18"/>
      <w:szCs w:val="18"/>
      <w:u w:val="single"/>
      <w:shd w:fill="auto" w:val="clear"/>
    </w:rPr>
  </w:style>
  <w:style w:type="character" w:styleId="LineNumbering">
    <w:name w:val="Line Numbering"/>
    <w:rPr>
      <w:rFonts w:ascii="Segoe UI" w:hAnsi="Segoe UI" w:cs="Segoe UI"/>
      <w:color w:val="000000"/>
      <w:sz w:val="18"/>
      <w:szCs w:val="18"/>
    </w:rPr>
  </w:style>
  <w:style w:type="character" w:styleId="InternetLink">
    <w:name w:val="Internet Link"/>
    <w:rPr>
      <w:rFonts w:ascii="Segoe UI" w:hAnsi="Segoe UI" w:cs="Segoe UI"/>
      <w:color w:val="0000FF"/>
      <w:sz w:val="18"/>
      <w:szCs w:val="18"/>
      <w:u w:val="single"/>
    </w:rPr>
  </w:style>
  <w:style w:type="character" w:styleId="Csa939b0971">
    <w:name w:val="csa939b0971"/>
    <w:qFormat/>
    <w:rPr>
      <w:rFonts w:ascii="Times New Roman" w:hAnsi="Times New Roman" w:cs="Times New Roman"/>
      <w:b/>
      <w:bCs/>
      <w:i/>
      <w:iCs/>
      <w:color w:val="000000"/>
      <w:sz w:val="20"/>
      <w:szCs w:val="20"/>
      <w:shd w:fill="auto" w:val="clear"/>
    </w:rPr>
  </w:style>
  <w:style w:type="character" w:styleId="Style14">
    <w:name w:val="Знак примечания"/>
    <w:qFormat/>
    <w:rPr>
      <w:sz w:val="16"/>
      <w:szCs w:val="16"/>
    </w:rPr>
  </w:style>
  <w:style w:type="character" w:styleId="Style15">
    <w:name w:val="Текст примечания Знак"/>
    <w:qFormat/>
    <w:rPr>
      <w:rFonts w:ascii="Times New Roman" w:hAnsi="Times New Roman" w:eastAsia="Times New Roman" w:cs="Times New Roman"/>
    </w:rPr>
  </w:style>
  <w:style w:type="character" w:styleId="Style16">
    <w:name w:val="Тема примечания Знак"/>
    <w:qFormat/>
    <w:rPr>
      <w:rFonts w:ascii="Times New Roman" w:hAnsi="Times New Roman" w:eastAsia="Times New Roman" w:cs="Times New Roman"/>
      <w:b/>
      <w:bCs/>
    </w:rPr>
  </w:style>
  <w:style w:type="character" w:styleId="Csb3e8c9cf69">
    <w:name w:val="csb3e8c9cf69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f229d0ff64">
    <w:name w:val="csf229d0ff6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d398459525">
    <w:name w:val="csd398459525"/>
    <w:qFormat/>
    <w:rPr>
      <w:rFonts w:ascii="Arial" w:hAnsi="Arial" w:cs="Arial"/>
      <w:b/>
      <w:bCs/>
      <w:i/>
      <w:iCs/>
      <w:color w:val="000000"/>
      <w:sz w:val="18"/>
      <w:szCs w:val="18"/>
      <w:u w:val="single"/>
      <w:shd w:fill="auto" w:val="clear"/>
    </w:rPr>
  </w:style>
  <w:style w:type="character" w:styleId="Csd3c90d4325">
    <w:name w:val="csd3c90d4325"/>
    <w:qFormat/>
    <w:rPr>
      <w:rFonts w:ascii="Arial" w:hAnsi="Arial" w:cs="Arial"/>
      <w:b w:val="false"/>
      <w:bCs w:val="false"/>
      <w:i/>
      <w:iCs/>
      <w:color w:val="000000"/>
      <w:sz w:val="18"/>
      <w:szCs w:val="18"/>
      <w:shd w:fill="auto" w:val="clear"/>
    </w:rPr>
  </w:style>
  <w:style w:type="character" w:styleId="Csb86c8cfe3">
    <w:name w:val="csb86c8cfe3"/>
    <w:qFormat/>
    <w:rPr>
      <w:rFonts w:ascii="Times New Roman" w:hAnsi="Times New Roman" w:cs="Times New Roman"/>
      <w:b/>
      <w:bCs/>
      <w:i w:val="false"/>
      <w:iCs w:val="false"/>
      <w:color w:val="000000"/>
      <w:sz w:val="24"/>
      <w:szCs w:val="24"/>
      <w:shd w:fill="auto" w:val="clear"/>
    </w:rPr>
  </w:style>
  <w:style w:type="character" w:styleId="Csab6e076977">
    <w:name w:val="csab6e07697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0a40401">
    <w:name w:val="cs9f0a40401"/>
    <w:qFormat/>
    <w:rPr>
      <w:rFonts w:ascii="Arial" w:hAnsi="Arial" w:cs="Arial"/>
      <w:b w:val="false"/>
      <w:bCs w:val="false"/>
      <w:i w:val="false"/>
      <w:iCs w:val="false"/>
      <w:color w:val="000000"/>
      <w:sz w:val="20"/>
      <w:szCs w:val="20"/>
      <w:shd w:fill="auto" w:val="clear"/>
    </w:rPr>
  </w:style>
  <w:style w:type="character" w:styleId="Csb3e8c9cf23">
    <w:name w:val="csb3e8c9cf23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607602ac2">
    <w:name w:val="cs607602ac2"/>
    <w:qFormat/>
    <w:rPr>
      <w:rFonts w:ascii="Arial" w:hAnsi="Arial" w:cs="Arial"/>
      <w:b/>
      <w:bCs/>
      <w:i w:val="false"/>
      <w:iCs w:val="false"/>
      <w:color w:val="000000"/>
      <w:sz w:val="18"/>
      <w:szCs w:val="18"/>
      <w:u w:val="single"/>
      <w:shd w:fill="auto" w:val="clear"/>
    </w:rPr>
  </w:style>
  <w:style w:type="character" w:styleId="Csab6e0769291">
    <w:name w:val="csab6e076929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219">
    <w:name w:val="csafaf5741219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f562b92915">
    <w:name w:val="csf562b92915"/>
    <w:qFormat/>
    <w:rPr>
      <w:rFonts w:ascii="Arial" w:hAnsi="Arial" w:cs="Arial"/>
      <w:b/>
      <w:bCs/>
      <w:i/>
      <w:iCs/>
      <w:color w:val="000000"/>
      <w:sz w:val="18"/>
      <w:szCs w:val="18"/>
      <w:shd w:fill="auto" w:val="clear"/>
    </w:rPr>
  </w:style>
  <w:style w:type="character" w:styleId="Cseed234731">
    <w:name w:val="cseed234731"/>
    <w:qFormat/>
    <w:rPr>
      <w:rFonts w:ascii="Arial" w:hAnsi="Arial" w:cs="Arial"/>
      <w:b/>
      <w:bCs/>
      <w:i/>
      <w:iCs/>
      <w:color w:val="000000"/>
      <w:sz w:val="12"/>
      <w:szCs w:val="12"/>
      <w:shd w:fill="auto" w:val="clear"/>
    </w:rPr>
  </w:style>
  <w:style w:type="character" w:styleId="Csb3e8c9cf35">
    <w:name w:val="csb3e8c9cf3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b3e8c9cf28">
    <w:name w:val="csb3e8c9cf2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f562b9296">
    <w:name w:val="csf562b9296"/>
    <w:qFormat/>
    <w:rPr>
      <w:rFonts w:ascii="Arial" w:hAnsi="Arial" w:cs="Arial"/>
      <w:b/>
      <w:bCs/>
      <w:i/>
      <w:iCs/>
      <w:color w:val="000000"/>
      <w:sz w:val="18"/>
      <w:szCs w:val="18"/>
      <w:shd w:fill="auto" w:val="clear"/>
    </w:rPr>
  </w:style>
  <w:style w:type="character" w:styleId="Csab6e076930">
    <w:name w:val="csab6e07693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14">
    <w:name w:val="Основной текст (14)_"/>
    <w:qFormat/>
    <w:rPr>
      <w:rFonts w:ascii="Times New Roman" w:hAnsi="Times New Roman" w:cs="Times New Roman"/>
      <w:sz w:val="21"/>
      <w:szCs w:val="21"/>
      <w:shd w:fill="FFFFFF" w:val="clear"/>
    </w:rPr>
  </w:style>
  <w:style w:type="character" w:styleId="Csab6e076965">
    <w:name w:val="csab6e07696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33">
    <w:name w:val="csf229d0ff3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20">
    <w:name w:val="csab6e07692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8">
    <w:name w:val="csf229d0ff2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50">
    <w:name w:val="csf229d0ff5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2">
    <w:name w:val="csf229d0ff2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83">
    <w:name w:val="csf229d0ff8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76">
    <w:name w:val="csf229d0ff7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0">
    <w:name w:val="csf229d0ff2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7">
    <w:name w:val="csab6e0769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3e8c9cf94">
    <w:name w:val="csb3e8c9cf94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f229d0ff91">
    <w:name w:val="csf229d0ff9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21">
    <w:name w:val="Заголовок 2 Знак1"/>
    <w:qFormat/>
    <w:rPr>
      <w:rFonts w:ascii="Arial" w:hAnsi="Arial" w:eastAsia="Times New Roman" w:cs="Arial"/>
      <w:b/>
      <w:caps/>
      <w:sz w:val="16"/>
      <w:lang w:val="ru-RU"/>
    </w:rPr>
  </w:style>
  <w:style w:type="character" w:styleId="41">
    <w:name w:val="Заголовок 4 Знак1"/>
    <w:qFormat/>
    <w:rPr>
      <w:rFonts w:ascii="Arial" w:hAnsi="Arial" w:eastAsia="Times New Roman" w:cs="Arial"/>
      <w:b/>
      <w:lang w:val="ru-RU"/>
    </w:rPr>
  </w:style>
  <w:style w:type="character" w:styleId="Csf229d0ff74">
    <w:name w:val="csf229d0ff7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97">
    <w:name w:val="csf229d0ff9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39">
    <w:name w:val="csab6e07693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57">
    <w:name w:val="csf229d0ff5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49">
    <w:name w:val="csf229d0ff14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65">
    <w:name w:val="csf229d0ff6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32">
    <w:name w:val="csf229d0ff13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96">
    <w:name w:val="csf229d0ff9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48">
    <w:name w:val="csf229d0ff14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76">
    <w:name w:val="csf229d0ff17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31">
    <w:name w:val="csf229d0ff23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38">
    <w:name w:val="csf229d0ff23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27">
    <w:name w:val="csf229d0ff12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51">
    <w:name w:val="csab6e07695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43">
    <w:name w:val="csf229d0ff4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58d30211">
    <w:name w:val="cs958d30211"/>
    <w:qFormat/>
    <w:rPr>
      <w:rFonts w:ascii="Microsoft YaHei" w:hAnsi="Microsoft YaHei" w:eastAsia="Microsoft YaHei" w:cs="Microsoft YaHei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">
    <w:name w:val="csab6e0769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93">
    <w:name w:val="csf229d0ff19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22">
    <w:name w:val="csab6e07692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96">
    <w:name w:val="csab6e07699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95">
    <w:name w:val="csab6e07699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00">
    <w:name w:val="csf229d0ff20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a294252">
    <w:name w:val="csba294252"/>
    <w:qFormat/>
    <w:rPr>
      <w:rFonts w:ascii="Segoe UI" w:hAnsi="Segoe UI" w:cs="Segoe UI"/>
      <w:b/>
      <w:bCs/>
      <w:i/>
      <w:iCs/>
      <w:color w:val="102B56"/>
      <w:sz w:val="18"/>
      <w:szCs w:val="18"/>
      <w:shd w:fill="auto" w:val="clear"/>
    </w:rPr>
  </w:style>
  <w:style w:type="character" w:styleId="Csf229d0ff131">
    <w:name w:val="csf229d0ff13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54">
    <w:name w:val="csf229d0ff15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5a0f5422">
    <w:name w:val="csa5a0f5422"/>
    <w:qFormat/>
    <w:rPr>
      <w:rFonts w:ascii="Arial" w:hAnsi="Arial" w:cs="Arial"/>
      <w:b w:val="false"/>
      <w:bCs w:val="false"/>
      <w:i w:val="false"/>
      <w:iCs w:val="false"/>
      <w:color w:val="102B56"/>
      <w:sz w:val="18"/>
      <w:szCs w:val="18"/>
      <w:shd w:fill="auto" w:val="clear"/>
    </w:rPr>
  </w:style>
  <w:style w:type="character" w:styleId="Csf229d0ff153">
    <w:name w:val="csf229d0ff15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7ca65d8c1">
    <w:name w:val="cs7ca65d8c1"/>
    <w:qFormat/>
    <w:rPr>
      <w:rFonts w:ascii="Segoe UI" w:hAnsi="Segoe UI" w:cs="Segoe UI"/>
      <w:b w:val="false"/>
      <w:bCs w:val="false"/>
      <w:i w:val="false"/>
      <w:iCs w:val="false"/>
      <w:color w:val="102B56"/>
      <w:sz w:val="18"/>
      <w:szCs w:val="18"/>
      <w:shd w:fill="auto" w:val="clear"/>
    </w:rPr>
  </w:style>
  <w:style w:type="character" w:styleId="Csf229d0ff166">
    <w:name w:val="csf229d0ff16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77">
    <w:name w:val="csf229d0ff17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04">
    <w:name w:val="csf229d0ff10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56">
    <w:name w:val="csf229d0ff15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7">
    <w:name w:val="csab6e07691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35">
    <w:name w:val="csab6e07693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34">
    <w:name w:val="csab6e07693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21">
    <w:name w:val="csf229d0ff12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05">
    <w:name w:val="csf229d0ff10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76">
    <w:name w:val="csab6e07697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69">
    <w:name w:val="csf229d0ff16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38">
    <w:name w:val="csab6e07693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562b9293">
    <w:name w:val="csf562b9293"/>
    <w:qFormat/>
    <w:rPr>
      <w:rFonts w:ascii="Arial" w:hAnsi="Arial" w:cs="Arial"/>
      <w:b/>
      <w:bCs/>
      <w:i/>
      <w:iCs/>
      <w:color w:val="000000"/>
      <w:sz w:val="18"/>
      <w:szCs w:val="18"/>
      <w:shd w:fill="auto" w:val="clear"/>
    </w:rPr>
  </w:style>
  <w:style w:type="character" w:styleId="Csf229d0ff144">
    <w:name w:val="csf229d0ff14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318">
    <w:name w:val="csf229d0ff31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562b9294">
    <w:name w:val="csf562b9294"/>
    <w:qFormat/>
    <w:rPr>
      <w:rFonts w:ascii="Arial" w:hAnsi="Arial" w:cs="Arial"/>
      <w:b/>
      <w:bCs/>
      <w:i/>
      <w:iCs/>
      <w:color w:val="000000"/>
      <w:sz w:val="18"/>
      <w:szCs w:val="18"/>
      <w:shd w:fill="auto" w:val="clear"/>
    </w:rPr>
  </w:style>
  <w:style w:type="character" w:styleId="Csf229d0ff122">
    <w:name w:val="csf229d0ff12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67">
    <w:name w:val="csf229d0ff16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62">
    <w:name w:val="csf229d0ff6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68">
    <w:name w:val="csf229d0ff6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38">
    <w:name w:val="csf229d0ff13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60">
    <w:name w:val="csf229d0ff16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06730b61">
    <w:name w:val="csf06730b61"/>
    <w:qFormat/>
    <w:rPr>
      <w:rFonts w:ascii="Times New Roman" w:hAnsi="Times New Roman" w:cs="Times New Roman"/>
      <w:b/>
      <w:bCs/>
      <w:i w:val="false"/>
      <w:iCs w:val="false"/>
      <w:color w:val="000000"/>
      <w:sz w:val="16"/>
      <w:szCs w:val="16"/>
      <w:shd w:fill="auto" w:val="clear"/>
    </w:rPr>
  </w:style>
  <w:style w:type="character" w:styleId="Csab6e076955">
    <w:name w:val="csab6e07695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31">
    <w:name w:val="csf229d0ff3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3e8c9cf66">
    <w:name w:val="csb3e8c9cf66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Arial9">
    <w:name w:val="Arial9(без отступов) Знак"/>
    <w:qFormat/>
    <w:rPr>
      <w:rFonts w:ascii="Arial" w:hAnsi="Arial" w:cs="Arial"/>
      <w:sz w:val="18"/>
      <w:szCs w:val="18"/>
      <w:lang w:val="ru-RU"/>
    </w:rPr>
  </w:style>
  <w:style w:type="character" w:styleId="Csf229d0ff178">
    <w:name w:val="csf229d0ff17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3e8c9cf163">
    <w:name w:val="csb3e8c9cf163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7864ebcf1">
    <w:name w:val="cs7864ebcf1"/>
    <w:qFormat/>
    <w:rPr>
      <w:rFonts w:ascii="Times New Roman" w:hAnsi="Times New Roman" w:cs="Times New Roman"/>
      <w:b/>
      <w:bCs/>
      <w:i w:val="false"/>
      <w:iCs w:val="false"/>
      <w:color w:val="000000"/>
      <w:sz w:val="26"/>
      <w:szCs w:val="26"/>
      <w:shd w:fill="auto" w:val="clear"/>
    </w:rPr>
  </w:style>
  <w:style w:type="character" w:styleId="Csf229d0ff8">
    <w:name w:val="csf229d0ff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b006263">
    <w:name w:val="cs9b006263"/>
    <w:qFormat/>
    <w:rPr>
      <w:rFonts w:ascii="Arial" w:hAnsi="Arial" w:cs="Arial"/>
      <w:b/>
      <w:bCs/>
      <w:i w:val="false"/>
      <w:iCs w:val="false"/>
      <w:color w:val="000000"/>
      <w:sz w:val="20"/>
      <w:szCs w:val="20"/>
      <w:shd w:fill="auto" w:val="clear"/>
    </w:rPr>
  </w:style>
  <w:style w:type="character" w:styleId="Csf229d0ff36">
    <w:name w:val="csf229d0ff3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00">
    <w:name w:val="csf229d0ff10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10">
    <w:name w:val="csf229d0ff11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25">
    <w:name w:val="csf229d0ff12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80">
    <w:name w:val="csf229d0ff8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02">
    <w:name w:val="csf229d0ff10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49">
    <w:name w:val="csf229d0ff4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54">
    <w:name w:val="csab6e07695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562b9295">
    <w:name w:val="csf562b9295"/>
    <w:qFormat/>
    <w:rPr>
      <w:rFonts w:ascii="Arial" w:hAnsi="Arial" w:cs="Arial"/>
      <w:b/>
      <w:bCs/>
      <w:i/>
      <w:iCs/>
      <w:color w:val="000000"/>
      <w:sz w:val="18"/>
      <w:szCs w:val="18"/>
      <w:shd w:fill="auto" w:val="clear"/>
    </w:rPr>
  </w:style>
  <w:style w:type="character" w:styleId="Csf229d0ff142">
    <w:name w:val="csf229d0ff14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52">
    <w:name w:val="csf229d0ff15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95">
    <w:name w:val="csf229d0ff9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92">
    <w:name w:val="csab6e07699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75">
    <w:name w:val="csab6e07697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3">
    <w:name w:val="csf229d0ff2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44">
    <w:name w:val="csab6e07694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46">
    <w:name w:val="csab6e07694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03">
    <w:name w:val="csf229d0ff10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82">
    <w:name w:val="csf229d0ff8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01">
    <w:name w:val="csf229d0ff10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3e8c9cf108">
    <w:name w:val="csb3e8c9cf10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f229d0ff107">
    <w:name w:val="csf229d0ff10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562b9291">
    <w:name w:val="csf562b9291"/>
    <w:qFormat/>
    <w:rPr>
      <w:rFonts w:ascii="Arial" w:hAnsi="Arial" w:cs="Arial"/>
      <w:b/>
      <w:bCs/>
      <w:i/>
      <w:iCs/>
      <w:color w:val="000000"/>
      <w:sz w:val="18"/>
      <w:szCs w:val="18"/>
      <w:shd w:fill="auto" w:val="clear"/>
    </w:rPr>
  </w:style>
  <w:style w:type="character" w:styleId="Csab6e076993">
    <w:name w:val="csab6e07699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Arial96">
    <w:name w:val="Arial9+6пт Знак"/>
    <w:qFormat/>
    <w:rPr>
      <w:rFonts w:ascii="Arial" w:hAnsi="Arial" w:cs="Arial"/>
      <w:sz w:val="18"/>
      <w:lang w:val="ru-RU"/>
    </w:rPr>
  </w:style>
  <w:style w:type="character" w:styleId="Csf229d0ff86">
    <w:name w:val="csf229d0ff8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a2942511">
    <w:name w:val="csba2942511"/>
    <w:qFormat/>
    <w:rPr>
      <w:rFonts w:ascii="Segoe UI" w:hAnsi="Segoe UI" w:cs="Segoe UI"/>
      <w:b/>
      <w:bCs/>
      <w:i/>
      <w:iCs/>
      <w:color w:val="102B56"/>
      <w:sz w:val="18"/>
      <w:szCs w:val="18"/>
      <w:shd w:fill="auto" w:val="clear"/>
    </w:rPr>
  </w:style>
  <w:style w:type="character" w:styleId="Csab6e076914">
    <w:name w:val="csab6e07691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</w:rPr>
  </w:style>
  <w:style w:type="character" w:styleId="Csf229d0ff134">
    <w:name w:val="csf229d0ff13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ed36d4af2">
    <w:name w:val="csed36d4af2"/>
    <w:qFormat/>
    <w:rPr>
      <w:rFonts w:ascii="Arial" w:hAnsi="Arial" w:cs="Arial"/>
      <w:b/>
      <w:bCs/>
      <w:i/>
      <w:iCs/>
      <w:color w:val="000000"/>
      <w:sz w:val="20"/>
      <w:szCs w:val="20"/>
      <w:shd w:fill="auto" w:val="clear"/>
    </w:rPr>
  </w:style>
  <w:style w:type="character" w:styleId="32">
    <w:name w:val="Заголовок 3 Знак"/>
    <w:qFormat/>
    <w:rPr>
      <w:rFonts w:ascii="Arial" w:hAnsi="Arial" w:cs="Arial"/>
      <w:b/>
      <w:bCs/>
      <w:sz w:val="24"/>
      <w:szCs w:val="24"/>
    </w:rPr>
  </w:style>
  <w:style w:type="character" w:styleId="6">
    <w:name w:val="Заголовок 6 Знак"/>
    <w:qFormat/>
    <w:rPr>
      <w:rFonts w:ascii="Times New Roman" w:hAnsi="Times New Roman" w:cs="Times New Roman"/>
      <w:b/>
      <w:bCs/>
      <w:sz w:val="22"/>
      <w:szCs w:val="22"/>
    </w:rPr>
  </w:style>
  <w:style w:type="character" w:styleId="VisitedInternetLink">
    <w:name w:val="Visited Internet Link"/>
    <w:rPr>
      <w:color w:val="954F72"/>
      <w:u w:val="single"/>
    </w:rPr>
  </w:style>
  <w:style w:type="character" w:styleId="Style17">
    <w:name w:val="Заголовок Знак"/>
    <w:qFormat/>
    <w:rPr>
      <w:rFonts w:ascii="Times New Roman" w:hAnsi="Times New Roman" w:cs="Times New Roman"/>
      <w:sz w:val="24"/>
      <w:szCs w:val="24"/>
    </w:rPr>
  </w:style>
  <w:style w:type="character" w:styleId="22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styleId="Style18">
    <w:name w:val="Название Знак"/>
    <w:qFormat/>
    <w:rPr>
      <w:rFonts w:ascii="Cambria" w:hAnsi="Cambria" w:cs="Cambria"/>
      <w:color w:val="17365D"/>
      <w:spacing w:val="5"/>
    </w:rPr>
  </w:style>
  <w:style w:type="character" w:styleId="Style19">
    <w:name w:val="Верхній колонтитул Знак"/>
    <w:qFormat/>
    <w:rPr/>
  </w:style>
  <w:style w:type="character" w:styleId="Style20">
    <w:name w:val="Нижній колонтитул Знак"/>
    <w:qFormat/>
    <w:rPr/>
  </w:style>
  <w:style w:type="character" w:styleId="Style21">
    <w:name w:val="Назва Знак"/>
    <w:qFormat/>
    <w:rPr>
      <w:rFonts w:ascii="Calibri Light" w:hAnsi="Calibri Light" w:cs="Calibri Light"/>
      <w:spacing w:val="-10"/>
    </w:rPr>
  </w:style>
  <w:style w:type="character" w:styleId="23">
    <w:name w:val="Основний текст 2 Знак"/>
    <w:qFormat/>
    <w:rPr/>
  </w:style>
  <w:style w:type="character" w:styleId="Style22">
    <w:name w:val="Текст у виносці Знак"/>
    <w:qFormat/>
    <w:rPr>
      <w:rFonts w:ascii="Segoe UI" w:hAnsi="Segoe UI" w:cs="Segoe UI"/>
    </w:rPr>
  </w:style>
  <w:style w:type="character" w:styleId="Emailstyle45">
    <w:name w:val="emailstyle45"/>
    <w:qFormat/>
    <w:rPr>
      <w:rFonts w:ascii="Calibri" w:hAnsi="Calibri" w:cs="Calibri"/>
      <w:color w:val="000000"/>
    </w:rPr>
  </w:style>
  <w:style w:type="character" w:styleId="Error">
    <w:name w:val="error"/>
    <w:qFormat/>
    <w:rPr/>
  </w:style>
  <w:style w:type="character" w:styleId="TimesNewRoman121">
    <w:name w:val="Стиль Times New Roman 12 пт1"/>
    <w:qFormat/>
    <w:rPr>
      <w:rFonts w:ascii="Times New Roman" w:hAnsi="Times New Roman" w:cs="Times New Roman"/>
    </w:rPr>
  </w:style>
  <w:style w:type="character" w:styleId="Cs95e872d03">
    <w:name w:val="cs95e872d03"/>
    <w:qFormat/>
    <w:rPr/>
  </w:style>
  <w:style w:type="character" w:styleId="Cs7a65ad241">
    <w:name w:val="cs7a65ad241"/>
    <w:qFormat/>
    <w:rPr>
      <w:rFonts w:ascii="Times New Roman" w:hAnsi="Times New Roman" w:cs="Times New Roman"/>
      <w:b/>
      <w:bCs/>
      <w:i w:val="false"/>
      <w:iCs w:val="false"/>
      <w:color w:val="000000"/>
      <w:sz w:val="26"/>
      <w:szCs w:val="26"/>
    </w:rPr>
  </w:style>
  <w:style w:type="character" w:styleId="Csccf5e31620">
    <w:name w:val="csccf5e31620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9ff1b61120">
    <w:name w:val="cs9ff1b6112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11">
    <w:name w:val="cs9ff1b6111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205">
    <w:name w:val="cs9ff1b61120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73">
    <w:name w:val="csab6e076917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21">
    <w:name w:val="cs9ff1b6112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ccf5e316219">
    <w:name w:val="csccf5e316219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9ff1b611210">
    <w:name w:val="cs9ff1b61121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70">
    <w:name w:val="csab6e07697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52">
    <w:name w:val="cs9ff1b6115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e1a752c62">
    <w:name w:val="cse1a752c6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9">
    <w:name w:val="cs9ff1b611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38">
    <w:name w:val="cs9ff1b6113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d30b5e52">
    <w:name w:val="csbd30b5e52"/>
    <w:qFormat/>
    <w:rPr>
      <w:rFonts w:ascii="Times New Roman" w:hAnsi="Times New Roman" w:cs="Times New Roman"/>
      <w:b w:val="false"/>
      <w:bCs w:val="false"/>
      <w:i/>
      <w:iCs/>
      <w:color w:val="000000"/>
      <w:sz w:val="18"/>
      <w:szCs w:val="18"/>
    </w:rPr>
  </w:style>
  <w:style w:type="character" w:styleId="Cs176e94eb2">
    <w:name w:val="cs176e94eb2"/>
    <w:qFormat/>
    <w:rPr>
      <w:rFonts w:ascii="Times New Roman" w:hAnsi="Times New Roman" w:cs="Times New Roman"/>
      <w:b/>
      <w:bCs/>
      <w:i w:val="false"/>
      <w:iCs w:val="false"/>
      <w:color w:val="000000"/>
      <w:sz w:val="18"/>
      <w:szCs w:val="18"/>
    </w:rPr>
  </w:style>
  <w:style w:type="character" w:styleId="Cscc47389a2">
    <w:name w:val="cscc47389a2"/>
    <w:qFormat/>
    <w:rPr>
      <w:rFonts w:ascii="Times New Roman" w:hAnsi="Times New Roman" w:cs="Times New Roman"/>
      <w:b w:val="false"/>
      <w:bCs w:val="false"/>
      <w:i w:val="false"/>
      <w:iCs w:val="false"/>
      <w:color w:val="000000"/>
      <w:sz w:val="18"/>
      <w:szCs w:val="18"/>
    </w:rPr>
  </w:style>
  <w:style w:type="character" w:styleId="Csbd30b5e54">
    <w:name w:val="csbd30b5e54"/>
    <w:qFormat/>
    <w:rPr>
      <w:rFonts w:ascii="Times New Roman" w:hAnsi="Times New Roman" w:cs="Times New Roman"/>
      <w:b w:val="false"/>
      <w:bCs w:val="false"/>
      <w:i/>
      <w:iCs/>
      <w:color w:val="000000"/>
      <w:sz w:val="18"/>
      <w:szCs w:val="18"/>
    </w:rPr>
  </w:style>
  <w:style w:type="character" w:styleId="Cs176e94eb4">
    <w:name w:val="cs176e94eb4"/>
    <w:qFormat/>
    <w:rPr>
      <w:rFonts w:ascii="Times New Roman" w:hAnsi="Times New Roman" w:cs="Times New Roman"/>
      <w:b/>
      <w:bCs/>
      <w:i w:val="false"/>
      <w:iCs w:val="false"/>
      <w:color w:val="000000"/>
      <w:sz w:val="18"/>
      <w:szCs w:val="18"/>
    </w:rPr>
  </w:style>
  <w:style w:type="character" w:styleId="Cscc47389a4">
    <w:name w:val="cscc47389a4"/>
    <w:qFormat/>
    <w:rPr>
      <w:rFonts w:ascii="Times New Roman" w:hAnsi="Times New Roman" w:cs="Times New Roman"/>
      <w:b w:val="false"/>
      <w:bCs w:val="false"/>
      <w:i w:val="false"/>
      <w:iCs w:val="false"/>
      <w:color w:val="000000"/>
      <w:sz w:val="18"/>
      <w:szCs w:val="18"/>
    </w:rPr>
  </w:style>
  <w:style w:type="character" w:styleId="Cs786de70b1">
    <w:name w:val="cs786de70b1"/>
    <w:qFormat/>
    <w:rPr>
      <w:rFonts w:ascii="Segoe UI" w:hAnsi="Segoe UI" w:cs="Segoe UI"/>
      <w:b w:val="false"/>
      <w:bCs w:val="false"/>
      <w:i w:val="false"/>
      <w:iCs w:val="false"/>
      <w:color w:val="000000"/>
      <w:sz w:val="18"/>
      <w:szCs w:val="18"/>
    </w:rPr>
  </w:style>
  <w:style w:type="character" w:styleId="Csbd30b5e56">
    <w:name w:val="csbd30b5e56"/>
    <w:qFormat/>
    <w:rPr>
      <w:rFonts w:ascii="Times New Roman" w:hAnsi="Times New Roman" w:cs="Times New Roman"/>
      <w:b w:val="false"/>
      <w:bCs w:val="false"/>
      <w:i/>
      <w:iCs/>
      <w:color w:val="000000"/>
      <w:sz w:val="18"/>
      <w:szCs w:val="18"/>
    </w:rPr>
  </w:style>
  <w:style w:type="character" w:styleId="Cs176e94eb6">
    <w:name w:val="cs176e94eb6"/>
    <w:qFormat/>
    <w:rPr>
      <w:rFonts w:ascii="Times New Roman" w:hAnsi="Times New Roman" w:cs="Times New Roman"/>
      <w:b/>
      <w:bCs/>
      <w:i w:val="false"/>
      <w:iCs w:val="false"/>
      <w:color w:val="000000"/>
      <w:sz w:val="18"/>
      <w:szCs w:val="18"/>
    </w:rPr>
  </w:style>
  <w:style w:type="character" w:styleId="Cscc47389a6">
    <w:name w:val="cscc47389a6"/>
    <w:qFormat/>
    <w:rPr>
      <w:rFonts w:ascii="Times New Roman" w:hAnsi="Times New Roman" w:cs="Times New Roman"/>
      <w:b w:val="false"/>
      <w:bCs w:val="false"/>
      <w:i w:val="false"/>
      <w:iCs w:val="false"/>
      <w:color w:val="000000"/>
      <w:sz w:val="18"/>
      <w:szCs w:val="18"/>
    </w:rPr>
  </w:style>
  <w:style w:type="character" w:styleId="Cs9ff1b61195">
    <w:name w:val="cs9ff1b6119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8">
    <w:name w:val="csab6e0769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9">
    <w:name w:val="csab6e0769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9">
    <w:name w:val="csafaf57419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10">
    <w:name w:val="csafaf574110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11">
    <w:name w:val="csab6e07691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12">
    <w:name w:val="csafaf574112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12">
    <w:name w:val="csab6e07691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13">
    <w:name w:val="csafaf574113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13">
    <w:name w:val="csab6e07691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14">
    <w:name w:val="csafaf574114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15">
    <w:name w:val="csafaf57411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15">
    <w:name w:val="csab6e07691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5">
    <w:name w:val="csafaf5741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5">
    <w:name w:val="csab6e0769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6">
    <w:name w:val="csafaf57416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6">
    <w:name w:val="csab6e0769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7">
    <w:name w:val="csafaf57417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8">
    <w:name w:val="csafaf5741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ccf5e316113">
    <w:name w:val="csccf5e316113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9ff1b611113">
    <w:name w:val="cs9ff1b61111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5bf81471">
    <w:name w:val="cs95bf81471"/>
    <w:qFormat/>
    <w:rPr>
      <w:rFonts w:ascii="Times New Roman" w:hAnsi="Times New Roman" w:cs="Times New Roman"/>
      <w:b w:val="false"/>
      <w:bCs w:val="false"/>
      <w:i w:val="false"/>
      <w:iCs w:val="false"/>
      <w:color w:val="000000"/>
      <w:sz w:val="26"/>
      <w:szCs w:val="26"/>
      <w:shd w:fill="auto" w:val="clear"/>
    </w:rPr>
  </w:style>
  <w:style w:type="character" w:styleId="Csab6e076921">
    <w:name w:val="csab6e07692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140">
    <w:name w:val="cs9ff1b61114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142">
    <w:name w:val="cs9ff1b61114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59">
    <w:name w:val="cs9ff1b6115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09">
    <w:name w:val="csab6e076910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43">
    <w:name w:val="cs9ff1b6114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2c72e392">
    <w:name w:val="csb2c72e392"/>
    <w:qFormat/>
    <w:rPr>
      <w:rFonts w:ascii="Segoe UI" w:hAnsi="Segoe UI" w:cs="Segoe UI"/>
      <w:b/>
      <w:bCs/>
      <w:i w:val="false"/>
      <w:iCs w:val="false"/>
      <w:color w:val="000000"/>
      <w:sz w:val="24"/>
      <w:szCs w:val="24"/>
      <w:shd w:fill="auto" w:val="clear"/>
    </w:rPr>
  </w:style>
  <w:style w:type="character" w:styleId="Csab6e076924">
    <w:name w:val="csab6e07692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59">
    <w:name w:val="csab6e07695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ccf5e3168">
    <w:name w:val="csccf5e316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127">
    <w:name w:val="csab6e076912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ccf5e31625">
    <w:name w:val="csccf5e3162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9ff1b61124">
    <w:name w:val="cs9ff1b6112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6">
    <w:name w:val="csab6e07691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2e2c6f9f1">
    <w:name w:val="cs2e2c6f9f1"/>
    <w:qFormat/>
    <w:rPr>
      <w:rFonts w:ascii="Arial" w:hAnsi="Arial" w:cs="Arial"/>
      <w:b/>
      <w:bCs/>
      <w:i/>
      <w:iCs/>
      <w:color w:val="000000"/>
      <w:sz w:val="18"/>
      <w:szCs w:val="18"/>
      <w:shd w:fill="auto" w:val="clear"/>
    </w:rPr>
  </w:style>
  <w:style w:type="character" w:styleId="Cs9ff1b61157">
    <w:name w:val="cs9ff1b6115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4">
    <w:name w:val="cs9ff1b611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93">
    <w:name w:val="cs9ff1b6119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101">
    <w:name w:val="cs9ff1b61110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28">
    <w:name w:val="cs9ff1b6112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5e872d02">
    <w:name w:val="cs95e872d02"/>
    <w:qFormat/>
    <w:rPr/>
  </w:style>
  <w:style w:type="character" w:styleId="Cs237f67f12">
    <w:name w:val="cs237f67f12"/>
    <w:qFormat/>
    <w:rPr>
      <w:rFonts w:ascii="Segoe UI" w:hAnsi="Segoe UI" w:cs="Segoe UI"/>
      <w:b w:val="false"/>
      <w:bCs w:val="false"/>
      <w:i w:val="false"/>
      <w:iCs w:val="false"/>
      <w:color w:val="000000"/>
      <w:sz w:val="24"/>
      <w:szCs w:val="24"/>
      <w:shd w:fill="auto" w:val="clear"/>
    </w:rPr>
  </w:style>
  <w:style w:type="character" w:styleId="Cs9ff1b6118">
    <w:name w:val="cs9ff1b611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Arial91">
    <w:name w:val="arial9(жирнбез интерв) Знак"/>
    <w:qFormat/>
    <w:rPr>
      <w:rFonts w:ascii="Arial" w:hAnsi="Arial" w:cs="Arial"/>
      <w:b/>
      <w:sz w:val="18"/>
      <w:lang w:val="ru-RU"/>
    </w:rPr>
  </w:style>
  <w:style w:type="character" w:styleId="Csccf5e316151">
    <w:name w:val="csccf5e316151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9ff1b611150">
    <w:name w:val="cs9ff1b61115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e0413f64">
    <w:name w:val="csae0413f64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9ff1b61155">
    <w:name w:val="cs9ff1b6115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82">
    <w:name w:val="cs9ff1b6118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83">
    <w:name w:val="cs9ff1b6118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Spelle">
    <w:name w:val="spelle"/>
    <w:qFormat/>
    <w:rPr/>
  </w:style>
  <w:style w:type="character" w:styleId="Cs4df2502e8">
    <w:name w:val="cs4df2502e8"/>
    <w:qFormat/>
    <w:rPr>
      <w:rFonts w:ascii="Arial" w:hAnsi="Arial" w:cs="Arial"/>
      <w:b w:val="false"/>
      <w:bCs w:val="false"/>
      <w:i/>
      <w:iCs/>
      <w:color w:val="000000"/>
      <w:sz w:val="18"/>
      <w:szCs w:val="18"/>
      <w:shd w:fill="auto" w:val="clear"/>
    </w:rPr>
  </w:style>
  <w:style w:type="character" w:styleId="Cscc47389a1">
    <w:name w:val="cscc47389a1"/>
    <w:qFormat/>
    <w:rPr>
      <w:rFonts w:ascii="Times New Roman" w:hAnsi="Times New Roman" w:cs="Times New Roman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176e94eb1">
    <w:name w:val="cs176e94eb1"/>
    <w:qFormat/>
    <w:rPr>
      <w:rFonts w:ascii="Times New Roman" w:hAnsi="Times New Roman" w:cs="Times New Roman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35">
    <w:name w:val="csafaf57413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36">
    <w:name w:val="csafaf574136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36">
    <w:name w:val="csab6e07693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37">
    <w:name w:val="csafaf574137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37">
    <w:name w:val="csab6e07693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38">
    <w:name w:val="csafaf57413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39">
    <w:name w:val="csafaf574139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40">
    <w:name w:val="csafaf574140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40">
    <w:name w:val="csab6e07694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41">
    <w:name w:val="csafaf574141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42">
    <w:name w:val="csafaf574142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42">
    <w:name w:val="csab6e07694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43">
    <w:name w:val="csafaf574143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43">
    <w:name w:val="csab6e07694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44">
    <w:name w:val="csafaf574144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45">
    <w:name w:val="csafaf57414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45">
    <w:name w:val="csab6e07694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46">
    <w:name w:val="csafaf574146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47">
    <w:name w:val="csafaf574147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48">
    <w:name w:val="csafaf57414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48">
    <w:name w:val="csab6e07694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49">
    <w:name w:val="csafaf574149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49">
    <w:name w:val="csab6e07694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50">
    <w:name w:val="csafaf574150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51">
    <w:name w:val="csafaf574151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52">
    <w:name w:val="csafaf574152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52">
    <w:name w:val="csab6e07695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53">
    <w:name w:val="csafaf574153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53">
    <w:name w:val="csab6e07695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54">
    <w:name w:val="csafaf574154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55">
    <w:name w:val="csafaf57415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56">
    <w:name w:val="csafaf574156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56">
    <w:name w:val="csab6e07695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57">
    <w:name w:val="csafaf574157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58">
    <w:name w:val="csafaf57415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58">
    <w:name w:val="csab6e07695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59">
    <w:name w:val="csafaf574159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60">
    <w:name w:val="csafaf574160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60">
    <w:name w:val="csab6e07696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63">
    <w:name w:val="csafaf574163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63">
    <w:name w:val="csab6e07696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64">
    <w:name w:val="csafaf574164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64">
    <w:name w:val="csab6e07696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65">
    <w:name w:val="csafaf57416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66">
    <w:name w:val="csafaf574166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66">
    <w:name w:val="csab6e07696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67">
    <w:name w:val="csafaf574167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67">
    <w:name w:val="csab6e07696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68">
    <w:name w:val="csafaf57416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68">
    <w:name w:val="csab6e07696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69">
    <w:name w:val="csafaf574169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69">
    <w:name w:val="csab6e07696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70">
    <w:name w:val="csafaf574170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71">
    <w:name w:val="csafaf574171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71">
    <w:name w:val="csab6e07697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72">
    <w:name w:val="csafaf574172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72">
    <w:name w:val="csab6e07697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73">
    <w:name w:val="csafaf574173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73">
    <w:name w:val="csab6e07697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74">
    <w:name w:val="csafaf574174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74">
    <w:name w:val="csab6e07697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75">
    <w:name w:val="csafaf57417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76">
    <w:name w:val="csafaf574176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77">
    <w:name w:val="csafaf574177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9ff1b61169">
    <w:name w:val="cs9ff1b6116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16174ba1">
    <w:name w:val="csa16174ba1"/>
    <w:qFormat/>
    <w:rPr>
      <w:rFonts w:ascii="Arial" w:hAnsi="Arial" w:cs="Arial"/>
      <w:b w:val="false"/>
      <w:bCs w:val="false"/>
      <w:i w:val="false"/>
      <w:iCs w:val="false"/>
      <w:color w:val="000000"/>
      <w:sz w:val="20"/>
      <w:szCs w:val="20"/>
      <w:shd w:fill="auto" w:val="clear"/>
    </w:rPr>
  </w:style>
  <w:style w:type="paragraph" w:styleId="Heading">
    <w:name w:val="Heading"/>
    <w:basedOn w:val="Normal"/>
    <w:next w:val="TextBody"/>
    <w:qFormat/>
    <w:pPr/>
    <w:rPr>
      <w:rFonts w:eastAsia="Calibri"/>
      <w:lang w:val="en-US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11">
    <w:name w:val="Обычный1"/>
    <w:basedOn w:val="Normal"/>
    <w:qFormat/>
    <w:pPr/>
    <w:rPr/>
  </w:style>
  <w:style w:type="paragraph" w:styleId="Msolistparagraph">
    <w:name w:val="msolistparagraph"/>
    <w:basedOn w:val="Normal"/>
    <w:qFormat/>
    <w:pPr>
      <w:spacing w:before="0" w:after="0"/>
      <w:ind w:left="720" w:hanging="0"/>
      <w:contextualSpacing/>
    </w:pPr>
    <w:rPr/>
  </w:style>
  <w:style w:type="paragraph" w:styleId="Encryption">
    <w:name w:val="Encryption"/>
    <w:basedOn w:val="Normal"/>
    <w:qFormat/>
    <w:pPr>
      <w:jc w:val="both"/>
    </w:pPr>
    <w:rPr>
      <w:b/>
      <w:bCs/>
      <w:i/>
      <w:iCs/>
    </w:rPr>
  </w:style>
  <w:style w:type="paragraph" w:styleId="211">
    <w:name w:val="Заголовок 21"/>
    <w:basedOn w:val="Normal"/>
    <w:qFormat/>
    <w:pPr/>
    <w:rPr/>
  </w:style>
  <w:style w:type="paragraph" w:styleId="411">
    <w:name w:val="Заголовок 41"/>
    <w:basedOn w:val="Normal"/>
    <w:qFormat/>
    <w:pPr/>
    <w:rPr/>
  </w:style>
  <w:style w:type="paragraph" w:styleId="Header">
    <w:name w:val="Header"/>
    <w:basedOn w:val="Normal"/>
    <w:pPr/>
    <w:rPr/>
  </w:style>
  <w:style w:type="paragraph" w:styleId="Footer">
    <w:name w:val="Footer"/>
    <w:basedOn w:val="Normal"/>
    <w:pPr/>
    <w:rPr/>
  </w:style>
  <w:style w:type="paragraph" w:styleId="Style23">
    <w:name w:val="Текст выноски"/>
    <w:basedOn w:val="Normal"/>
    <w:qFormat/>
    <w:pPr/>
    <w:rPr>
      <w:rFonts w:ascii="Tahoma" w:hAnsi="Tahoma" w:cs="Tahoma"/>
      <w:sz w:val="16"/>
      <w:szCs w:val="16"/>
      <w:lang w:val="ru-RU"/>
    </w:rPr>
  </w:style>
  <w:style w:type="paragraph" w:styleId="BodyTextIndent2">
    <w:name w:val="Body Text Indent2"/>
    <w:basedOn w:val="Normal"/>
    <w:qFormat/>
    <w:pPr>
      <w:jc w:val="center"/>
    </w:pPr>
    <w:rPr>
      <w:rFonts w:ascii="Arial" w:hAnsi="Arial" w:cs="Arial"/>
      <w:b/>
      <w:i/>
      <w:sz w:val="18"/>
      <w:szCs w:val="20"/>
    </w:rPr>
  </w:style>
  <w:style w:type="paragraph" w:styleId="12">
    <w:name w:val="Основной текст с отступом1"/>
    <w:basedOn w:val="Normal"/>
    <w:qFormat/>
    <w:pPr>
      <w:spacing w:before="120" w:after="120"/>
    </w:pPr>
    <w:rPr>
      <w:rFonts w:ascii="Arial" w:hAnsi="Arial" w:cs="Arial"/>
      <w:sz w:val="18"/>
      <w:szCs w:val="20"/>
      <w:lang w:val="ru-RU"/>
    </w:rPr>
  </w:style>
  <w:style w:type="paragraph" w:styleId="Cs95e872d0">
    <w:name w:val="cs95e872d0"/>
    <w:basedOn w:val="Normal"/>
    <w:qFormat/>
    <w:pPr/>
    <w:rPr>
      <w:lang w:val="ru-RU"/>
    </w:rPr>
  </w:style>
  <w:style w:type="paragraph" w:styleId="TextBodyIndent">
    <w:name w:val="Body Text Indent"/>
    <w:basedOn w:val="Normal"/>
    <w:pPr>
      <w:spacing w:before="0" w:after="120"/>
      <w:ind w:left="283" w:hanging="0"/>
    </w:pPr>
    <w:rPr>
      <w:lang w:val="ru-RU"/>
    </w:rPr>
  </w:style>
  <w:style w:type="paragraph" w:styleId="33">
    <w:name w:val="Основной текст 3"/>
    <w:basedOn w:val="Normal"/>
    <w:qFormat/>
    <w:pPr>
      <w:spacing w:before="0" w:after="120"/>
    </w:pPr>
    <w:rPr>
      <w:sz w:val="16"/>
      <w:szCs w:val="16"/>
    </w:rPr>
  </w:style>
  <w:style w:type="paragraph" w:styleId="24">
    <w:name w:val="Основной текст с отступом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34">
    <w:name w:val="Основной текст с отступом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42">
    <w:name w:val="Основной текст с отступом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5">
    <w:name w:val="Основной текст с отступом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Cse71256d6">
    <w:name w:val="cse71256d6"/>
    <w:basedOn w:val="Normal"/>
    <w:qFormat/>
    <w:pPr>
      <w:ind w:left="1440" w:hanging="0"/>
    </w:pPr>
    <w:rPr/>
  </w:style>
  <w:style w:type="paragraph" w:styleId="61">
    <w:name w:val="Основной текст с отступом6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7">
    <w:name w:val="Основной текст с отступом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8">
    <w:name w:val="Основной текст с отступом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9">
    <w:name w:val="Основной текст с отступом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11">
    <w:name w:val="Основной текст с отступом1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0">
    <w:name w:val="Основной текст с отступом1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12">
    <w:name w:val="Обычный11"/>
    <w:basedOn w:val="Normal"/>
    <w:qFormat/>
    <w:pPr/>
    <w:rPr/>
  </w:style>
  <w:style w:type="paragraph" w:styleId="110">
    <w:name w:val="Основной текст с отступом110"/>
    <w:basedOn w:val="Normal"/>
    <w:qFormat/>
    <w:pPr>
      <w:ind w:firstLine="708"/>
      <w:jc w:val="both"/>
    </w:pPr>
    <w:rPr>
      <w:rFonts w:ascii="Arial" w:hAnsi="Arial" w:cs="Arial"/>
      <w:b/>
      <w:sz w:val="18"/>
      <w:szCs w:val="22"/>
    </w:rPr>
  </w:style>
  <w:style w:type="paragraph" w:styleId="35">
    <w:name w:val="Основной текст с отступом 3"/>
    <w:basedOn w:val="Normal"/>
    <w:qFormat/>
    <w:pPr>
      <w:spacing w:before="0" w:after="120"/>
      <w:ind w:left="283" w:hanging="0"/>
    </w:pPr>
    <w:rPr>
      <w:rFonts w:eastAsia="Calibri"/>
      <w:sz w:val="16"/>
      <w:szCs w:val="16"/>
      <w:lang w:val="ru-RU"/>
    </w:rPr>
  </w:style>
  <w:style w:type="paragraph" w:styleId="121">
    <w:name w:val="Основной текст с отступом1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3">
    <w:name w:val="Основной текст с отступом1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41">
    <w:name w:val="Основной текст с отступом1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5">
    <w:name w:val="Основной текст с отступом1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6">
    <w:name w:val="Основной текст с отступом16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7">
    <w:name w:val="Основной текст с отступом1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8">
    <w:name w:val="Основной текст с отступом1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9">
    <w:name w:val="Основной текст с отступом1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20">
    <w:name w:val="Основной текст с отступом2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Cs80d9435b">
    <w:name w:val="cs80d9435b"/>
    <w:basedOn w:val="Normal"/>
    <w:qFormat/>
    <w:pPr>
      <w:jc w:val="both"/>
    </w:pPr>
    <w:rPr>
      <w:rFonts w:ascii="Arial" w:hAnsi="Arial" w:cs="Arial"/>
    </w:rPr>
  </w:style>
  <w:style w:type="paragraph" w:styleId="212">
    <w:name w:val="Основной текст с отступом2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231">
    <w:name w:val="Основной текст с отступом2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26">
    <w:name w:val="Основной текст с отступом26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28">
    <w:name w:val="Основной текст с отступом2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29">
    <w:name w:val="Основной текст с отступом2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311">
    <w:name w:val="Основной текст с отступом3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321">
    <w:name w:val="Основной текст с отступом3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331">
    <w:name w:val="Основной текст с отступом3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351">
    <w:name w:val="Основной текст с отступом3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341">
    <w:name w:val="Основной текст с отступом3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36">
    <w:name w:val="Основной текст с отступом36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37">
    <w:name w:val="Основной текст с отступом3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Style24">
    <w:name w:val="Текст примечания"/>
    <w:basedOn w:val="Normal"/>
    <w:qFormat/>
    <w:pPr/>
    <w:rPr>
      <w:sz w:val="20"/>
      <w:szCs w:val="20"/>
    </w:rPr>
  </w:style>
  <w:style w:type="paragraph" w:styleId="Style25">
    <w:name w:val="Тема примечания"/>
    <w:basedOn w:val="Style24"/>
    <w:next w:val="Style24"/>
    <w:qFormat/>
    <w:pPr/>
    <w:rPr>
      <w:b/>
      <w:bCs/>
    </w:rPr>
  </w:style>
  <w:style w:type="paragraph" w:styleId="Style26">
    <w:name w:val="Рецензия"/>
    <w:qFormat/>
    <w:pPr>
      <w:widowControl/>
    </w:pPr>
    <w:rPr>
      <w:rFonts w:ascii="Times New Roman" w:hAnsi="Times New Roman" w:eastAsia="Times New Roman" w:cs="Times New Roman"/>
      <w:color w:val="auto"/>
      <w:sz w:val="24"/>
      <w:szCs w:val="24"/>
      <w:lang w:val="uk-UA" w:bidi="ar-SA" w:eastAsia="zh-CN"/>
    </w:rPr>
  </w:style>
  <w:style w:type="paragraph" w:styleId="Csfeeeeb43">
    <w:name w:val="csfeeeeb43"/>
    <w:basedOn w:val="Normal"/>
    <w:qFormat/>
    <w:pPr/>
    <w:rPr>
      <w:rFonts w:ascii="Arial" w:hAnsi="Arial" w:cs="Arial"/>
    </w:rPr>
  </w:style>
  <w:style w:type="paragraph" w:styleId="38">
    <w:name w:val="Основной текст с отступом3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39">
    <w:name w:val="Основной текст с отступом3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40">
    <w:name w:val="Основной текст с отступом4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412">
    <w:name w:val="Основной текст с отступом4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421">
    <w:name w:val="Основной текст с отступом4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43">
    <w:name w:val="Основной текст с отступом4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44">
    <w:name w:val="Основной текст с отступом4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45">
    <w:name w:val="Основной текст с отступом4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46">
    <w:name w:val="Основной текст с отступом46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47">
    <w:name w:val="Основной текст с отступом4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48">
    <w:name w:val="Основной текст с отступом4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49">
    <w:name w:val="Основной текст с отступом4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50">
    <w:name w:val="Основной текст с отступом5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52">
    <w:name w:val="Основной текст с отступом5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53">
    <w:name w:val="Основной текст с отступом5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54">
    <w:name w:val="Основной текст с отступом5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57">
    <w:name w:val="Основной текст с отступом5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59">
    <w:name w:val="Основной текст с отступом5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60">
    <w:name w:val="Основной текст с отступом6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611">
    <w:name w:val="Основной текст с отступом6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25">
    <w:name w:val="Обычный2"/>
    <w:qFormat/>
    <w:pPr>
      <w:widowControl/>
    </w:pPr>
    <w:rPr>
      <w:rFonts w:ascii="Times New Roman" w:hAnsi="Times New Roman" w:eastAsia="Times New Roman" w:cs="Times New Roman"/>
      <w:color w:val="auto"/>
      <w:sz w:val="24"/>
      <w:szCs w:val="20"/>
      <w:lang w:val="uk-UA" w:bidi="ar-SA" w:eastAsia="zh-CN"/>
    </w:rPr>
  </w:style>
  <w:style w:type="paragraph" w:styleId="221">
    <w:name w:val="Основной текст с отступом22"/>
    <w:basedOn w:val="Normal"/>
    <w:qFormat/>
    <w:pPr>
      <w:spacing w:before="120" w:after="120"/>
    </w:pPr>
    <w:rPr>
      <w:rFonts w:ascii="Arial" w:hAnsi="Arial" w:cs="Arial"/>
      <w:sz w:val="18"/>
      <w:szCs w:val="20"/>
      <w:lang w:val="ru-RU"/>
    </w:rPr>
  </w:style>
  <w:style w:type="paragraph" w:styleId="222">
    <w:name w:val="Заголовок 22"/>
    <w:basedOn w:val="Normal"/>
    <w:qFormat/>
    <w:pPr/>
    <w:rPr>
      <w:rFonts w:ascii="Arial" w:hAnsi="Arial" w:cs="Arial"/>
      <w:b/>
      <w:caps/>
      <w:sz w:val="16"/>
      <w:szCs w:val="20"/>
      <w:lang w:val="ru-RU"/>
    </w:rPr>
  </w:style>
  <w:style w:type="paragraph" w:styleId="422">
    <w:name w:val="Заголовок 42"/>
    <w:basedOn w:val="Normal"/>
    <w:qFormat/>
    <w:pPr/>
    <w:rPr>
      <w:rFonts w:ascii="Arial" w:hAnsi="Arial" w:cs="Arial"/>
      <w:b/>
      <w:sz w:val="20"/>
      <w:szCs w:val="20"/>
      <w:lang w:val="ru-RU"/>
    </w:rPr>
  </w:style>
  <w:style w:type="paragraph" w:styleId="310">
    <w:name w:val="Обычный3"/>
    <w:qFormat/>
    <w:pPr>
      <w:widowControl/>
    </w:pPr>
    <w:rPr>
      <w:rFonts w:ascii="Times New Roman" w:hAnsi="Times New Roman" w:eastAsia="Times New Roman" w:cs="Times New Roman"/>
      <w:color w:val="auto"/>
      <w:sz w:val="24"/>
      <w:szCs w:val="20"/>
      <w:lang w:val="uk-UA" w:bidi="ar-SA" w:eastAsia="zh-CN"/>
    </w:rPr>
  </w:style>
  <w:style w:type="paragraph" w:styleId="241">
    <w:name w:val="Основной текст с отступом24"/>
    <w:basedOn w:val="Normal"/>
    <w:qFormat/>
    <w:pPr>
      <w:spacing w:before="120" w:after="120"/>
    </w:pPr>
    <w:rPr>
      <w:rFonts w:ascii="Arial" w:hAnsi="Arial" w:cs="Arial"/>
      <w:sz w:val="18"/>
      <w:szCs w:val="20"/>
      <w:lang w:val="ru-RU"/>
    </w:rPr>
  </w:style>
  <w:style w:type="paragraph" w:styleId="232">
    <w:name w:val="Заголовок 23"/>
    <w:basedOn w:val="Normal"/>
    <w:qFormat/>
    <w:pPr/>
    <w:rPr>
      <w:rFonts w:ascii="Arial" w:hAnsi="Arial" w:cs="Arial"/>
      <w:b/>
      <w:caps/>
      <w:sz w:val="16"/>
      <w:szCs w:val="20"/>
      <w:lang w:val="ru-RU"/>
    </w:rPr>
  </w:style>
  <w:style w:type="paragraph" w:styleId="431">
    <w:name w:val="Заголовок 43"/>
    <w:basedOn w:val="Normal"/>
    <w:qFormat/>
    <w:pPr/>
    <w:rPr>
      <w:rFonts w:ascii="Arial" w:hAnsi="Arial" w:cs="Arial"/>
      <w:b/>
      <w:sz w:val="20"/>
      <w:szCs w:val="20"/>
      <w:lang w:val="ru-RU"/>
    </w:rPr>
  </w:style>
  <w:style w:type="paragraph" w:styleId="BodyTextIndent">
    <w:name w:val="Body Text Indent"/>
    <w:basedOn w:val="Normal"/>
    <w:qFormat/>
    <w:pPr>
      <w:spacing w:before="120" w:after="120"/>
    </w:pPr>
    <w:rPr>
      <w:rFonts w:ascii="Arial" w:hAnsi="Arial" w:cs="Arial"/>
      <w:sz w:val="18"/>
      <w:szCs w:val="20"/>
      <w:lang w:val="ru-RU"/>
    </w:rPr>
  </w:style>
  <w:style w:type="paragraph" w:styleId="WWHeading2">
    <w:name w:val="WW-Heading 2"/>
    <w:basedOn w:val="Normal"/>
    <w:qFormat/>
    <w:pPr/>
    <w:rPr>
      <w:rFonts w:ascii="Arial" w:hAnsi="Arial" w:cs="Arial"/>
      <w:b/>
      <w:caps/>
      <w:sz w:val="16"/>
      <w:szCs w:val="20"/>
      <w:lang w:val="ru-RU"/>
    </w:rPr>
  </w:style>
  <w:style w:type="paragraph" w:styleId="WWHeading4">
    <w:name w:val="WW-Heading 4"/>
    <w:basedOn w:val="Normal"/>
    <w:qFormat/>
    <w:pPr/>
    <w:rPr>
      <w:rFonts w:ascii="Arial" w:hAnsi="Arial" w:cs="Arial"/>
      <w:b/>
      <w:sz w:val="20"/>
      <w:szCs w:val="20"/>
      <w:lang w:val="ru-RU"/>
    </w:rPr>
  </w:style>
  <w:style w:type="paragraph" w:styleId="62">
    <w:name w:val="Основной текст с отступом6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64">
    <w:name w:val="Основной текст с отступом6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63">
    <w:name w:val="Основной текст с отступом6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65">
    <w:name w:val="Основной текст с отступом6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66">
    <w:name w:val="Основной текст с отступом66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67">
    <w:name w:val="Основной текст с отступом6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68">
    <w:name w:val="Основной текст с отступом6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69">
    <w:name w:val="Основной текст с отступом6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70">
    <w:name w:val="Основной текст с отступом7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71">
    <w:name w:val="Основной текст с отступом7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72">
    <w:name w:val="Основной текст с отступом7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42">
    <w:name w:val="Основной текст (14)"/>
    <w:basedOn w:val="Normal"/>
    <w:qFormat/>
    <w:pPr>
      <w:widowControl w:val="false"/>
      <w:shd w:fill="FFFFFF" w:val="clear"/>
      <w:spacing w:lineRule="exact" w:line="278"/>
      <w:jc w:val="center"/>
    </w:pPr>
    <w:rPr>
      <w:rFonts w:eastAsia="Calibri"/>
      <w:sz w:val="21"/>
      <w:szCs w:val="21"/>
    </w:rPr>
  </w:style>
  <w:style w:type="paragraph" w:styleId="73">
    <w:name w:val="Основной текст с отступом7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74">
    <w:name w:val="Основной текст с отступом7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75">
    <w:name w:val="Основной текст с отступом7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76">
    <w:name w:val="Основной текст с отступом76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77">
    <w:name w:val="Основной текст с отступом7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78">
    <w:name w:val="Основной текст с отступом7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79">
    <w:name w:val="Основной текст с отступом7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81">
    <w:name w:val="Основной текст с отступом8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82">
    <w:name w:val="Основной текст с отступом8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84">
    <w:name w:val="Основной текст с отступом8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85">
    <w:name w:val="Основной текст с отступом8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86">
    <w:name w:val="Основной текст с отступом86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87">
    <w:name w:val="Основной текст с отступом8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88">
    <w:name w:val="Основной текст с отступом8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89">
    <w:name w:val="Основной текст с отступом8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91">
    <w:name w:val="Основной текст с отступом9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92">
    <w:name w:val="Основной текст с отступом9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93">
    <w:name w:val="Основной текст с отступом9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94">
    <w:name w:val="Основной текст с отступом9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95">
    <w:name w:val="Основной текст с отступом9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97">
    <w:name w:val="Основной текст с отступом9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99">
    <w:name w:val="Основной текст с отступом9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00">
    <w:name w:val="Основной текст с отступом10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01">
    <w:name w:val="Основной текст с отступом10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02">
    <w:name w:val="Основной текст с отступом10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03">
    <w:name w:val="Основной текст с отступом10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04">
    <w:name w:val="Основной текст с отступом10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05">
    <w:name w:val="Основной текст с отступом10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07">
    <w:name w:val="Основной текст с отступом10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09">
    <w:name w:val="Основной текст с отступом10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111">
    <w:name w:val="Основной текст с отступом11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121">
    <w:name w:val="Основной текст с отступом11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13">
    <w:name w:val="Основной текст с отступом11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14">
    <w:name w:val="Основной текст с отступом11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15">
    <w:name w:val="Основной текст с отступом11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16">
    <w:name w:val="Основной текст с отступом116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17">
    <w:name w:val="Основной текст с отступом11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18">
    <w:name w:val="Основной текст с отступом11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19">
    <w:name w:val="Основной текст с отступом11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20">
    <w:name w:val="Основной текст с отступом12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211">
    <w:name w:val="Основной текст с отступом12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22">
    <w:name w:val="Основной текст с отступом12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25">
    <w:name w:val="Основной текст с отступом12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24">
    <w:name w:val="Основной текст с отступом12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26">
    <w:name w:val="Основной текст с отступом126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27">
    <w:name w:val="Основной текст с отступом12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28">
    <w:name w:val="Основной текст с отступом12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29">
    <w:name w:val="Основной текст с отступом12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30">
    <w:name w:val="Основной текст с отступом13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31">
    <w:name w:val="Основной текст с отступом13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33">
    <w:name w:val="Основной текст с отступом13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32">
    <w:name w:val="Основной текст с отступом13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35">
    <w:name w:val="Основной текст с отступом13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36">
    <w:name w:val="Основной текст с отступом136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37">
    <w:name w:val="Основной текст с отступом13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38">
    <w:name w:val="Основной текст с отступом13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39">
    <w:name w:val="Основной текст с отступом13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40">
    <w:name w:val="Основной текст с отступом14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411">
    <w:name w:val="Основной текст с отступом14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Arial92">
    <w:name w:val="Arial9(без отступов)"/>
    <w:qFormat/>
    <w:pPr>
      <w:widowControl/>
      <w:ind w:left="-113" w:hanging="0"/>
    </w:pPr>
    <w:rPr>
      <w:rFonts w:ascii="Arial" w:hAnsi="Arial" w:eastAsia="Calibri" w:cs="Arial"/>
      <w:color w:val="auto"/>
      <w:sz w:val="18"/>
      <w:szCs w:val="18"/>
      <w:lang w:val="ru-RU" w:bidi="ar-SA" w:eastAsia="zh-CN"/>
    </w:rPr>
  </w:style>
  <w:style w:type="paragraph" w:styleId="Style27">
    <w:name w:val="Абзац списка"/>
    <w:basedOn w:val="Normal"/>
    <w:qFormat/>
    <w:pPr>
      <w:snapToGrid w:val="false"/>
      <w:spacing w:before="0" w:after="0"/>
      <w:ind w:left="720" w:hanging="0"/>
      <w:contextualSpacing/>
    </w:pPr>
    <w:rPr>
      <w:rFonts w:ascii="Arial" w:hAnsi="Arial" w:cs="Arial"/>
      <w:sz w:val="28"/>
      <w:szCs w:val="20"/>
      <w:lang w:val="ru-RU"/>
    </w:rPr>
  </w:style>
  <w:style w:type="paragraph" w:styleId="Arial93">
    <w:name w:val="Arial9(жирн)"/>
    <w:qFormat/>
    <w:pPr>
      <w:keepNext w:val="true"/>
      <w:widowControl/>
      <w:tabs>
        <w:tab w:val="left" w:pos="210" w:leader="none"/>
      </w:tabs>
      <w:autoSpaceDE w:val="false"/>
      <w:spacing w:before="120" w:after="0"/>
    </w:pPr>
    <w:rPr>
      <w:rFonts w:ascii="Arial" w:hAnsi="Arial" w:eastAsia="Times New Roman" w:cs="Arial"/>
      <w:b/>
      <w:bCs/>
      <w:color w:val="auto"/>
      <w:sz w:val="18"/>
      <w:szCs w:val="20"/>
      <w:lang w:val="en-US" w:bidi="ar-SA" w:eastAsia="zh-CN"/>
    </w:rPr>
  </w:style>
  <w:style w:type="paragraph" w:styleId="Arial961">
    <w:name w:val="Arial9+6пт"/>
    <w:basedOn w:val="Normal"/>
    <w:qFormat/>
    <w:pPr>
      <w:snapToGrid w:val="false"/>
      <w:spacing w:before="120" w:after="0"/>
    </w:pPr>
    <w:rPr>
      <w:rFonts w:ascii="Arial" w:hAnsi="Arial" w:eastAsia="Calibri" w:cs="Arial"/>
      <w:sz w:val="18"/>
      <w:szCs w:val="20"/>
      <w:lang w:val="ru-RU"/>
    </w:rPr>
  </w:style>
  <w:style w:type="paragraph" w:styleId="Msonormal">
    <w:name w:val="msonormal"/>
    <w:basedOn w:val="Normal"/>
    <w:qFormat/>
    <w:pPr>
      <w:spacing w:before="280" w:after="280"/>
    </w:pPr>
    <w:rPr>
      <w:rFonts w:eastAsia="Calibri"/>
      <w:lang w:val="en-US"/>
    </w:rPr>
  </w:style>
  <w:style w:type="paragraph" w:styleId="27">
    <w:name w:val="Основной текст 2"/>
    <w:basedOn w:val="Normal"/>
    <w:qFormat/>
    <w:pPr/>
    <w:rPr>
      <w:rFonts w:eastAsia="Calibri"/>
      <w:lang w:val="en-US"/>
    </w:rPr>
  </w:style>
  <w:style w:type="paragraph" w:styleId="Style28">
    <w:name w:val="Название"/>
    <w:basedOn w:val="Normal"/>
    <w:qFormat/>
    <w:pPr/>
    <w:rPr>
      <w:rFonts w:ascii="Cambria" w:hAnsi="Cambria" w:eastAsia="Calibri" w:cs="Cambria"/>
      <w:color w:val="17365D"/>
      <w:spacing w:val="5"/>
      <w:sz w:val="20"/>
      <w:szCs w:val="20"/>
      <w:lang w:val="en-US"/>
    </w:rPr>
  </w:style>
  <w:style w:type="paragraph" w:styleId="210">
    <w:name w:val="Верхній колонтитул2"/>
    <w:basedOn w:val="Normal"/>
    <w:qFormat/>
    <w:pPr/>
    <w:rPr>
      <w:rFonts w:ascii="Calibri" w:hAnsi="Calibri" w:eastAsia="Calibri" w:cs="Calibri"/>
      <w:sz w:val="20"/>
      <w:szCs w:val="20"/>
      <w:lang w:val="en-US"/>
    </w:rPr>
  </w:style>
  <w:style w:type="paragraph" w:styleId="213">
    <w:name w:val="Нижній колонтитул2"/>
    <w:basedOn w:val="Normal"/>
    <w:qFormat/>
    <w:pPr/>
    <w:rPr>
      <w:rFonts w:ascii="Calibri" w:hAnsi="Calibri" w:eastAsia="Calibri" w:cs="Calibri"/>
      <w:sz w:val="20"/>
      <w:szCs w:val="20"/>
      <w:lang w:val="en-US"/>
    </w:rPr>
  </w:style>
  <w:style w:type="paragraph" w:styleId="214">
    <w:name w:val="Назва2"/>
    <w:basedOn w:val="Normal"/>
    <w:qFormat/>
    <w:pPr/>
    <w:rPr>
      <w:rFonts w:ascii="Calibri Light" w:hAnsi="Calibri Light" w:eastAsia="Calibri" w:cs="Calibri Light"/>
      <w:spacing w:val="-10"/>
      <w:sz w:val="20"/>
      <w:szCs w:val="20"/>
      <w:lang w:val="en-US"/>
    </w:rPr>
  </w:style>
  <w:style w:type="paragraph" w:styleId="223">
    <w:name w:val="Основний текст 22"/>
    <w:basedOn w:val="Normal"/>
    <w:qFormat/>
    <w:pPr/>
    <w:rPr>
      <w:rFonts w:ascii="Calibri" w:hAnsi="Calibri" w:eastAsia="Calibri" w:cs="Calibri"/>
      <w:sz w:val="20"/>
      <w:szCs w:val="20"/>
      <w:lang w:val="en-US"/>
    </w:rPr>
  </w:style>
  <w:style w:type="paragraph" w:styleId="215">
    <w:name w:val="Текст у виносці2"/>
    <w:basedOn w:val="Normal"/>
    <w:qFormat/>
    <w:pPr/>
    <w:rPr>
      <w:rFonts w:ascii="Segoe UI" w:hAnsi="Segoe UI" w:eastAsia="Calibri" w:cs="Segoe UI"/>
      <w:sz w:val="20"/>
      <w:szCs w:val="20"/>
      <w:lang w:val="en-US"/>
    </w:rPr>
  </w:style>
  <w:style w:type="paragraph" w:styleId="143">
    <w:name w:val="Основной текст с отступом14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44">
    <w:name w:val="Основной текст с отступом14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45">
    <w:name w:val="Основной текст с отступом14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47">
    <w:name w:val="Основной текст с отступом14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48">
    <w:name w:val="Основной текст с отступом14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49">
    <w:name w:val="Основной текст с отступом14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Arial94">
    <w:name w:val="Стиль Arial9(жирн) + не полужирный"/>
    <w:basedOn w:val="Normal"/>
    <w:qFormat/>
    <w:pPr>
      <w:keepNext w:val="true"/>
      <w:tabs>
        <w:tab w:val="left" w:pos="210" w:leader="none"/>
      </w:tabs>
      <w:autoSpaceDE w:val="false"/>
      <w:spacing w:before="120" w:after="0"/>
    </w:pPr>
    <w:rPr>
      <w:rFonts w:ascii="Arial" w:hAnsi="Arial" w:eastAsia="Calibri" w:cs="Arial"/>
      <w:b/>
      <w:sz w:val="18"/>
      <w:szCs w:val="20"/>
      <w:lang w:val="en-US"/>
    </w:rPr>
  </w:style>
  <w:style w:type="paragraph" w:styleId="150">
    <w:name w:val="Основной текст с отступом15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56">
    <w:name w:val="Основной текст с отступом156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57">
    <w:name w:val="Основной текст с отступом15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62">
    <w:name w:val="Основной текст с отступом16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63">
    <w:name w:val="Основной текст с отступом16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65">
    <w:name w:val="Основной текст с отступом16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68">
    <w:name w:val="Основной текст с отступом16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69">
    <w:name w:val="Основной текст с отступом16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0">
    <w:name w:val="Основной текст с отступом17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1">
    <w:name w:val="Основной текст с отступом17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2">
    <w:name w:val="Основной текст с отступом17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3">
    <w:name w:val="Основной текст с отступом17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4">
    <w:name w:val="Основной текст с отступом17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5">
    <w:name w:val="Основной текст с отступом17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6">
    <w:name w:val="Основной текст с отступом176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7">
    <w:name w:val="Основной текст с отступом17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8">
    <w:name w:val="Основной текст с отступом17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9">
    <w:name w:val="Основной текст с отступом17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80">
    <w:name w:val="Основной текст с отступом18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81">
    <w:name w:val="Основной текст с отступом18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82">
    <w:name w:val="Основной текст с отступом18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23">
    <w:name w:val="Верхній колонтитул1"/>
    <w:basedOn w:val="Normal"/>
    <w:qFormat/>
    <w:pPr/>
    <w:rPr>
      <w:rFonts w:ascii="Calibri" w:hAnsi="Calibri" w:eastAsia="Calibri" w:cs="Calibri"/>
      <w:sz w:val="20"/>
      <w:szCs w:val="20"/>
      <w:lang w:val="en-US"/>
    </w:rPr>
  </w:style>
  <w:style w:type="paragraph" w:styleId="134">
    <w:name w:val="Нижній колонтитул1"/>
    <w:basedOn w:val="Normal"/>
    <w:qFormat/>
    <w:pPr/>
    <w:rPr>
      <w:rFonts w:ascii="Calibri" w:hAnsi="Calibri" w:eastAsia="Calibri" w:cs="Calibri"/>
      <w:sz w:val="20"/>
      <w:szCs w:val="20"/>
      <w:lang w:val="en-US"/>
    </w:rPr>
  </w:style>
  <w:style w:type="paragraph" w:styleId="146">
    <w:name w:val="Назва1"/>
    <w:basedOn w:val="Normal"/>
    <w:qFormat/>
    <w:pPr/>
    <w:rPr>
      <w:rFonts w:ascii="Calibri Light" w:hAnsi="Calibri Light" w:eastAsia="Calibri" w:cs="Calibri Light"/>
      <w:spacing w:val="-10"/>
      <w:sz w:val="20"/>
      <w:szCs w:val="20"/>
      <w:lang w:val="en-US"/>
    </w:rPr>
  </w:style>
  <w:style w:type="paragraph" w:styleId="216">
    <w:name w:val="Основний текст 21"/>
    <w:basedOn w:val="Normal"/>
    <w:qFormat/>
    <w:pPr/>
    <w:rPr>
      <w:rFonts w:ascii="Calibri" w:hAnsi="Calibri" w:eastAsia="Calibri" w:cs="Calibri"/>
      <w:sz w:val="20"/>
      <w:szCs w:val="20"/>
      <w:lang w:val="en-US"/>
    </w:rPr>
  </w:style>
  <w:style w:type="paragraph" w:styleId="151">
    <w:name w:val="Текст у виносці1"/>
    <w:basedOn w:val="Normal"/>
    <w:qFormat/>
    <w:pPr/>
    <w:rPr>
      <w:rFonts w:ascii="Segoe UI" w:hAnsi="Segoe UI" w:eastAsia="Calibri" w:cs="Segoe UI"/>
      <w:sz w:val="20"/>
      <w:szCs w:val="20"/>
      <w:lang w:val="en-US"/>
    </w:rPr>
  </w:style>
  <w:style w:type="paragraph" w:styleId="164">
    <w:name w:val="Основной текст с отступом16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Arial95">
    <w:name w:val="arial9(жирнбез интерв)"/>
    <w:basedOn w:val="Normal"/>
    <w:qFormat/>
    <w:pPr/>
    <w:rPr>
      <w:rFonts w:ascii="Arial" w:hAnsi="Arial" w:eastAsia="Calibri" w:cs="Arial"/>
      <w:b/>
      <w:sz w:val="18"/>
      <w:szCs w:val="20"/>
      <w:lang w:val="ru-RU"/>
    </w:rPr>
  </w:style>
  <w:style w:type="paragraph" w:styleId="203">
    <w:name w:val="Основной текст с отступом20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204">
    <w:name w:val="Основной текст с отступом20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217">
    <w:name w:val="Основний текст з відступом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52">
    <w:name w:val="Основний текст з відступом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207">
    <w:name w:val="Основной текст с отступом20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2101">
    <w:name w:val="Основной текст с отступом21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312">
    <w:name w:val="Основний текст з відступом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2171">
    <w:name w:val="Основной текст с отступом21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218">
    <w:name w:val="Основной текст с отступом21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219">
    <w:name w:val="Основной текст с отступом21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220">
    <w:name w:val="Основной текст с отступом22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  <w:style w:type="numbering" w:styleId="WW8Num23">
    <w:name w:val="WW8Num23"/>
    <w:qFormat/>
  </w:style>
  <w:style w:type="numbering" w:styleId="WW8Num24">
    <w:name w:val="WW8Num2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whocc.no/atc_ddd_index/" TargetMode="External"/><Relationship Id="rId3" Type="http://schemas.openxmlformats.org/officeDocument/2006/relationships/hyperlink" Target="https://www.whocc.no/atc_ddd_index/" TargetMode="External"/><Relationship Id="rId4" Type="http://schemas.openxmlformats.org/officeDocument/2006/relationships/hyperlink" Target="https://www.whocc.no/atc_ddd_index/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Application>LibreOffice/5.3.6.1$Linux_X86_64 LibreOffice_project/30$Build-1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2026-08-14T13:26:00Z</dcterms:created>
  <dc:creator>Vitaliya</dc:creator>
  <dc:description/>
  <dc:language>ru-RU</dc:language>
  <cp:lastModifiedBy>Кунцевич Олена Іванівна</cp:lastModifiedBy>
  <cp:lastPrinted>2021-12-06T14:34:00Z</cp:lastPrinted>
  <dcterms:modified xsi:type="dcterms:W3CDTF">2026-08-17T10:59:00Z</dcterms:modified>
  <cp:revision>8</cp:revision>
  <dc:subject/>
  <dc:title/>
</cp:coreProperties>
</file>