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header6.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header5.xml" ContentType="application/vnd.openxmlformats-officedocument.wordprocessingml.header+xml"/>
  <Override PartName="/word/fontTable.xml" ContentType="application/vnd.openxmlformats-officedocument.wordprocessingml.fontTable+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_rels/document.xml.rels" ContentType="application/vnd.openxmlformats-package.relationships+xml"/>
  <Override PartName="/word/header8.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en-US"/>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a:noFill/>
                  </pic:spPr>
                </pic:pic>
              </a:graphicData>
            </a:graphic>
          </wp:inline>
        </w:drawing>
      </w:r>
    </w:p>
    <w:p>
      <w:pPr>
        <w:pStyle w:val="Normal"/>
        <w:numPr>
          <w:ilvl w:val="0"/>
          <w:numId w:val="0"/>
        </w:numPr>
        <w:jc w:val="center"/>
        <w:outlineLvl w:val="0"/>
        <w:rPr>
          <w:b/>
          <w:sz w:val="32"/>
          <w:szCs w:val="32"/>
          <w:lang w:val="uk-UA"/>
        </w:rPr>
      </w:pPr>
      <w:r>
        <w:rPr>
          <w:b/>
          <w:sz w:val="32"/>
          <w:szCs w:val="32"/>
          <w:lang w:val="uk-UA"/>
        </w:rPr>
        <w:t>МІНІСТЕРСТВО ОХОРОНИ ЗДОРОВ’Я УКРАЇНИ</w:t>
      </w:r>
    </w:p>
    <w:p>
      <w:pPr>
        <w:pStyle w:val="Normal"/>
        <w:rPr>
          <w:b/>
          <w:sz w:val="32"/>
          <w:szCs w:val="32"/>
          <w:lang w:val="uk-UA"/>
        </w:rPr>
      </w:pPr>
      <w:r>
        <w:rPr>
          <w:b/>
          <w:sz w:val="32"/>
          <w:szCs w:val="32"/>
          <w:lang w:val="uk-UA"/>
        </w:rPr>
      </w:r>
    </w:p>
    <w:p>
      <w:pPr>
        <w:pStyle w:val="Normal"/>
        <w:numPr>
          <w:ilvl w:val="0"/>
          <w:numId w:val="0"/>
        </w:numPr>
        <w:jc w:val="center"/>
        <w:outlineLvl w:val="0"/>
        <w:rPr>
          <w:b/>
          <w:spacing w:val="60"/>
          <w:sz w:val="30"/>
          <w:szCs w:val="30"/>
          <w:lang w:val="uk-UA"/>
        </w:rPr>
      </w:pPr>
      <w:r>
        <w:rPr>
          <w:b/>
          <w:spacing w:val="60"/>
          <w:sz w:val="30"/>
          <w:szCs w:val="30"/>
          <w:lang w:val="uk-UA"/>
        </w:rPr>
        <w:t>НАКАЗ</w:t>
      </w:r>
    </w:p>
    <w:p>
      <w:pPr>
        <w:pStyle w:val="Normal"/>
        <w:rPr>
          <w:b/>
          <w:spacing w:val="60"/>
          <w:sz w:val="30"/>
          <w:szCs w:val="30"/>
          <w:lang w:val="uk-UA"/>
        </w:rPr>
      </w:pPr>
      <w:r>
        <w:rPr>
          <w:b/>
          <w:spacing w:val="60"/>
          <w:sz w:val="30"/>
          <w:szCs w:val="30"/>
          <w:lang w:val="uk-UA"/>
        </w:rPr>
      </w:r>
    </w:p>
    <w:tbl>
      <w:tblPr>
        <w:tblW w:w="10183" w:type="dxa"/>
        <w:jc w:val="left"/>
        <w:tblInd w:w="0" w:type="dxa"/>
        <w:tblLayout w:type="fixed"/>
        <w:tblCellMar>
          <w:top w:w="0" w:type="dxa"/>
          <w:left w:w="108" w:type="dxa"/>
          <w:bottom w:w="0" w:type="dxa"/>
          <w:right w:w="108" w:type="dxa"/>
        </w:tblCellMar>
      </w:tblPr>
      <w:tblGrid>
        <w:gridCol w:w="3271"/>
        <w:gridCol w:w="2129"/>
        <w:gridCol w:w="4783"/>
      </w:tblGrid>
      <w:tr>
        <w:trPr/>
        <w:tc>
          <w:tcPr>
            <w:tcW w:w="3271" w:type="dxa"/>
            <w:tcBorders/>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29 жовтня 2026 року</w:t>
            </w:r>
          </w:p>
          <w:p>
            <w:pPr>
              <w:pStyle w:val="Normal"/>
              <w:rPr>
                <w:sz w:val="28"/>
                <w:szCs w:val="28"/>
                <w:lang w:val="uk-UA"/>
              </w:rPr>
            </w:pPr>
            <w:r>
              <w:rPr>
                <w:sz w:val="28"/>
                <w:szCs w:val="28"/>
                <w:lang w:val="uk-UA"/>
              </w:rPr>
            </w:r>
          </w:p>
        </w:tc>
        <w:tc>
          <w:tcPr>
            <w:tcW w:w="2129" w:type="dxa"/>
            <w:tcBorders/>
          </w:tcPr>
          <w:p>
            <w:pPr>
              <w:pStyle w:val="Normal"/>
              <w:jc w:val="center"/>
              <w:rPr/>
            </w:pPr>
            <w:r>
              <w:rPr>
                <w:rFonts w:eastAsia="Times New Roman"/>
                <w:sz w:val="24"/>
                <w:szCs w:val="24"/>
                <w:lang w:val="uk-UA"/>
              </w:rPr>
              <w:t xml:space="preserve">                    </w:t>
            </w:r>
            <w:r>
              <w:rPr>
                <w:sz w:val="24"/>
                <w:szCs w:val="24"/>
                <w:lang w:val="uk-UA"/>
              </w:rPr>
              <w:t>Київ</w:t>
            </w:r>
          </w:p>
        </w:tc>
        <w:tc>
          <w:tcPr>
            <w:tcW w:w="4783" w:type="dxa"/>
            <w:tcBorders/>
          </w:tcPr>
          <w:p>
            <w:pPr>
              <w:pStyle w:val="Normal"/>
              <w:snapToGrid w:val="false"/>
              <w:ind w:firstLine="72" w:right="0"/>
              <w:jc w:val="center"/>
              <w:rPr>
                <w:sz w:val="28"/>
                <w:szCs w:val="28"/>
                <w:lang w:val="uk-UA"/>
              </w:rPr>
            </w:pPr>
            <w:r>
              <w:rPr>
                <w:sz w:val="28"/>
                <w:szCs w:val="28"/>
                <w:lang w:val="uk-UA"/>
              </w:rPr>
            </w:r>
          </w:p>
          <w:p>
            <w:pPr>
              <w:pStyle w:val="Normal"/>
              <w:ind w:firstLine="72" w:right="0"/>
              <w:jc w:val="center"/>
              <w:rPr>
                <w:sz w:val="28"/>
                <w:szCs w:val="28"/>
                <w:lang w:val="uk-UA"/>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1696</w:t>
            </w:r>
          </w:p>
        </w:tc>
      </w:tr>
    </w:tbl>
    <w:p>
      <w:pPr>
        <w:pStyle w:val="Normal"/>
        <w:jc w:val="both"/>
        <w:rPr>
          <w:b/>
          <w:sz w:val="28"/>
          <w:szCs w:val="28"/>
          <w:lang w:val="uk-UA"/>
        </w:rPr>
      </w:pPr>
      <w:r>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ind w:firstLine="720" w:right="0"/>
        <w:jc w:val="both"/>
        <w:rPr>
          <w:b/>
          <w:sz w:val="16"/>
          <w:szCs w:val="16"/>
          <w:lang w:val="uk-UA"/>
        </w:rPr>
      </w:pPr>
      <w:r>
        <w:rPr>
          <w:b/>
          <w:sz w:val="16"/>
          <w:szCs w:val="16"/>
          <w:lang w:val="uk-UA"/>
        </w:rPr>
      </w:r>
    </w:p>
    <w:p>
      <w:pPr>
        <w:pStyle w:val="Normal"/>
        <w:ind w:firstLine="720" w:right="0"/>
        <w:jc w:val="both"/>
        <w:rPr>
          <w:sz w:val="16"/>
          <w:szCs w:val="16"/>
          <w:lang w:val="uk-UA"/>
        </w:rPr>
      </w:pPr>
      <w:r>
        <w:rPr>
          <w:sz w:val="16"/>
          <w:szCs w:val="16"/>
          <w:lang w:val="uk-UA"/>
        </w:rPr>
      </w:r>
    </w:p>
    <w:p>
      <w:pPr>
        <w:pStyle w:val="Normal"/>
        <w:ind w:firstLine="720" w:right="0"/>
        <w:jc w:val="both"/>
        <w:rPr>
          <w:sz w:val="16"/>
          <w:szCs w:val="16"/>
          <w:lang w:val="uk-UA"/>
        </w:rPr>
      </w:pPr>
      <w:r>
        <w:rPr>
          <w:sz w:val="16"/>
          <w:szCs w:val="16"/>
          <w:lang w:val="uk-UA"/>
        </w:rPr>
      </w:r>
    </w:p>
    <w:p>
      <w:pPr>
        <w:pStyle w:val="Normal"/>
        <w:ind w:firstLine="720" w:right="0"/>
        <w:jc w:val="both"/>
        <w:rPr>
          <w:sz w:val="16"/>
          <w:szCs w:val="16"/>
          <w:lang w:val="uk-UA"/>
        </w:rPr>
      </w:pPr>
      <w:r>
        <w:rPr>
          <w:sz w:val="16"/>
          <w:szCs w:val="16"/>
          <w:lang w:val="uk-UA"/>
        </w:rPr>
      </w:r>
    </w:p>
    <w:p>
      <w:pPr>
        <w:pStyle w:val="Normal"/>
        <w:ind w:firstLine="720" w:right="0"/>
        <w:jc w:val="both"/>
        <w:rPr>
          <w:sz w:val="16"/>
          <w:szCs w:val="16"/>
          <w:lang w:val="uk-UA"/>
        </w:rPr>
      </w:pPr>
      <w:r>
        <w:rPr>
          <w:sz w:val="16"/>
          <w:szCs w:val="16"/>
          <w:lang w:val="uk-UA"/>
        </w:rPr>
      </w:r>
    </w:p>
    <w:p>
      <w:pPr>
        <w:pStyle w:val="Normal"/>
        <w:ind w:firstLine="720" w:right="0"/>
        <w:jc w:val="both"/>
        <w:rPr>
          <w:sz w:val="16"/>
          <w:szCs w:val="16"/>
          <w:lang w:val="uk-UA"/>
        </w:rPr>
      </w:pPr>
      <w:r>
        <w:rPr>
          <w:sz w:val="16"/>
          <w:szCs w:val="16"/>
          <w:lang w:val="uk-UA"/>
        </w:rPr>
      </w:r>
    </w:p>
    <w:p>
      <w:pPr>
        <w:pStyle w:val="HTML1"/>
        <w:ind w:firstLine="720" w:right="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лікарського засобу до державної реєстрації (перереєстрації) або внесення змін до реєстраційних матеріалів, 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21 жовтня 2026 року № 4527/22.2-26,</w:t>
      </w:r>
    </w:p>
    <w:p>
      <w:pPr>
        <w:pStyle w:val="HTML1"/>
        <w:ind w:firstLine="720" w:right="0"/>
        <w:jc w:val="both"/>
        <w:rPr>
          <w:rFonts w:ascii="Times New Roman" w:hAnsi="Times New Roman" w:cs="Times New Roman"/>
          <w:b/>
          <w:bCs/>
          <w:sz w:val="28"/>
          <w:szCs w:val="28"/>
          <w:lang w:val="uk-UA"/>
        </w:rPr>
      </w:pPr>
      <w:r>
        <w:rPr>
          <w:rFonts w:cs="Times New Roman" w:ascii="Times New Roman" w:hAnsi="Times New Roman"/>
          <w:b/>
          <w:bCs/>
          <w:sz w:val="28"/>
          <w:szCs w:val="28"/>
          <w:lang w:val="uk-UA"/>
        </w:rPr>
      </w:r>
    </w:p>
    <w:p>
      <w:pPr>
        <w:pStyle w:val="33"/>
        <w:ind w:left="0" w:right="0"/>
        <w:rPr>
          <w:b/>
          <w:bCs/>
          <w:sz w:val="28"/>
          <w:szCs w:val="28"/>
          <w:lang w:val="uk-UA"/>
        </w:rPr>
      </w:pPr>
      <w:r>
        <w:rPr>
          <w:b/>
          <w:bCs/>
          <w:sz w:val="28"/>
          <w:szCs w:val="28"/>
          <w:lang w:val="uk-UA"/>
        </w:rPr>
        <w:t>НАКАЗУЮ:</w:t>
      </w:r>
    </w:p>
    <w:p>
      <w:pPr>
        <w:pStyle w:val="33"/>
        <w:ind w:left="0" w:right="0"/>
        <w:rPr>
          <w:b/>
          <w:bCs/>
          <w:sz w:val="28"/>
          <w:szCs w:val="28"/>
          <w:lang w:val="uk-UA"/>
        </w:rPr>
      </w:pPr>
      <w:r>
        <w:rPr>
          <w:b/>
          <w:bCs/>
          <w:sz w:val="28"/>
          <w:szCs w:val="28"/>
          <w:lang w:val="uk-UA"/>
        </w:rPr>
      </w:r>
    </w:p>
    <w:p>
      <w:pPr>
        <w:pStyle w:val="Normal"/>
        <w:tabs>
          <w:tab w:val="clear" w:pos="708"/>
          <w:tab w:val="left" w:pos="1080" w:leader="none"/>
        </w:tabs>
        <w:ind w:firstLine="720" w:right="0"/>
        <w:jc w:val="both"/>
        <w:rPr/>
      </w:pPr>
      <w:r>
        <w:rPr>
          <w:sz w:val="28"/>
          <w:szCs w:val="28"/>
          <w:lang w:val="uk-UA"/>
        </w:rPr>
        <w:t xml:space="preserve">1. Зареєструвати </w:t>
      </w:r>
      <w:r>
        <w:rPr>
          <w:sz w:val="28"/>
          <w:szCs w:val="28"/>
          <w:lang w:val="uk-UA" w:eastAsia="en-US"/>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clear" w:pos="708"/>
          <w:tab w:val="left" w:pos="1080" w:leader="none"/>
        </w:tabs>
        <w:ind w:firstLine="720" w:right="0"/>
        <w:jc w:val="both"/>
        <w:rPr>
          <w:sz w:val="28"/>
          <w:szCs w:val="28"/>
          <w:lang w:val="uk-UA"/>
        </w:rPr>
      </w:pPr>
      <w:r>
        <w:rPr>
          <w:sz w:val="28"/>
          <w:szCs w:val="28"/>
          <w:lang w:val="uk-UA"/>
        </w:rPr>
      </w:r>
    </w:p>
    <w:p>
      <w:pPr>
        <w:pStyle w:val="Normal"/>
        <w:tabs>
          <w:tab w:val="clear" w:pos="708"/>
          <w:tab w:val="left" w:pos="1080" w:leader="none"/>
        </w:tabs>
        <w:ind w:firstLine="720" w:right="0"/>
        <w:jc w:val="both"/>
        <w:rPr/>
      </w:pPr>
      <w:r>
        <w:rPr>
          <w:sz w:val="28"/>
          <w:szCs w:val="28"/>
          <w:lang w:val="uk-UA"/>
        </w:rPr>
        <w:t xml:space="preserve">2. Перереєструвати </w:t>
      </w:r>
      <w:r>
        <w:rPr>
          <w:sz w:val="28"/>
          <w:szCs w:val="28"/>
          <w:lang w:val="uk-UA" w:eastAsia="en-US"/>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2.</w:t>
      </w:r>
    </w:p>
    <w:p>
      <w:pPr>
        <w:pStyle w:val="Normal"/>
        <w:tabs>
          <w:tab w:val="clear" w:pos="708"/>
          <w:tab w:val="left" w:pos="1080" w:leader="none"/>
        </w:tabs>
        <w:ind w:firstLine="720" w:right="0"/>
        <w:jc w:val="both"/>
        <w:rPr>
          <w:sz w:val="16"/>
          <w:szCs w:val="16"/>
          <w:lang w:val="uk-UA"/>
        </w:rPr>
      </w:pPr>
      <w:r>
        <w:rPr>
          <w:sz w:val="16"/>
          <w:szCs w:val="16"/>
          <w:lang w:val="uk-UA"/>
        </w:rPr>
      </w:r>
    </w:p>
    <w:p>
      <w:pPr>
        <w:pStyle w:val="Normal"/>
        <w:tabs>
          <w:tab w:val="clear" w:pos="708"/>
          <w:tab w:val="left" w:pos="1080" w:leader="none"/>
        </w:tabs>
        <w:ind w:firstLine="720" w:right="0"/>
        <w:jc w:val="both"/>
        <w:rPr>
          <w:sz w:val="28"/>
          <w:szCs w:val="28"/>
          <w:lang w:val="uk-UA"/>
        </w:rPr>
      </w:pPr>
      <w:r>
        <w:rPr>
          <w:sz w:val="28"/>
          <w:szCs w:val="28"/>
          <w:lang w:val="uk-UA"/>
        </w:rPr>
        <w:t xml:space="preserve">3. Внести зміни до реєстраційних матеріалів на </w:t>
      </w:r>
      <w:r>
        <w:rPr>
          <w:sz w:val="28"/>
          <w:szCs w:val="28"/>
          <w:lang w:val="uk-UA" w:eastAsia="en-US"/>
        </w:rPr>
        <w:t>лікарські засоби</w:t>
      </w:r>
      <w:r>
        <w:rPr>
          <w:sz w:val="28"/>
          <w:szCs w:val="28"/>
          <w:lang w:val="uk-UA"/>
        </w:rPr>
        <w:t xml:space="preserve"> (медичні імунобіологічні препарати) та Державного реєстру лікарських засобів згідно з додатком 3.</w:t>
      </w:r>
    </w:p>
    <w:p>
      <w:pPr>
        <w:pStyle w:val="Normal"/>
        <w:tabs>
          <w:tab w:val="clear" w:pos="708"/>
          <w:tab w:val="left" w:pos="1080" w:leader="none"/>
        </w:tabs>
        <w:ind w:firstLine="720" w:right="0"/>
        <w:jc w:val="both"/>
        <w:rPr>
          <w:sz w:val="28"/>
          <w:szCs w:val="28"/>
          <w:lang w:val="uk-UA"/>
        </w:rPr>
      </w:pPr>
      <w:r>
        <w:rPr>
          <w:rFonts w:eastAsia="Times New Roman"/>
          <w:sz w:val="28"/>
          <w:szCs w:val="28"/>
          <w:lang w:val="uk-UA"/>
        </w:rPr>
        <w:t xml:space="preserve"> </w:t>
      </w:r>
    </w:p>
    <w:p>
      <w:pPr>
        <w:pStyle w:val="Normal"/>
        <w:tabs>
          <w:tab w:val="clear" w:pos="708"/>
          <w:tab w:val="left" w:pos="1080" w:leader="none"/>
        </w:tabs>
        <w:ind w:firstLine="720" w:right="0"/>
        <w:jc w:val="both"/>
        <w:rPr>
          <w:sz w:val="28"/>
          <w:szCs w:val="28"/>
          <w:lang w:val="uk-UA"/>
        </w:rPr>
      </w:pPr>
      <w:r>
        <w:rPr>
          <w:sz w:val="28"/>
          <w:szCs w:val="28"/>
          <w:lang w:val="uk-UA"/>
        </w:rPr>
        <w:t>4. Відмовити у державній реєстрації/перереєстрації лікарських засобів (медичних імунобіологічних препаратів) та внесенні змін до реєстраційних матеріалів та Державного реєстру лікарських засобів згідно з додатком 4.</w:t>
      </w:r>
    </w:p>
    <w:p>
      <w:pPr>
        <w:pStyle w:val="Normal"/>
        <w:tabs>
          <w:tab w:val="clear" w:pos="708"/>
          <w:tab w:val="left" w:pos="1080" w:leader="none"/>
        </w:tabs>
        <w:ind w:firstLine="720" w:right="0"/>
        <w:jc w:val="both"/>
        <w:rPr>
          <w:sz w:val="28"/>
          <w:szCs w:val="28"/>
          <w:lang w:val="uk-UA"/>
        </w:rPr>
      </w:pPr>
      <w:r>
        <w:rPr>
          <w:sz w:val="28"/>
          <w:szCs w:val="28"/>
          <w:lang w:val="uk-UA"/>
        </w:rPr>
      </w:r>
    </w:p>
    <w:p>
      <w:pPr>
        <w:pStyle w:val="Normal"/>
        <w:tabs>
          <w:tab w:val="clear" w:pos="708"/>
          <w:tab w:val="left" w:pos="720" w:leader="none"/>
          <w:tab w:val="left" w:pos="993" w:leader="none"/>
        </w:tabs>
        <w:ind w:firstLine="720" w:right="0"/>
        <w:jc w:val="both"/>
        <w:rPr>
          <w:sz w:val="28"/>
          <w:szCs w:val="28"/>
          <w:lang w:val="uk-UA"/>
        </w:rPr>
      </w:pPr>
      <w:r>
        <w:rPr>
          <w:sz w:val="28"/>
          <w:szCs w:val="28"/>
          <w:lang w:val="uk-UA"/>
        </w:rPr>
        <w:t>5. 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clear" w:pos="708"/>
          <w:tab w:val="left" w:pos="1080" w:leader="none"/>
        </w:tabs>
        <w:ind w:firstLine="720" w:right="0"/>
        <w:jc w:val="both"/>
        <w:rPr>
          <w:sz w:val="28"/>
          <w:szCs w:val="28"/>
          <w:lang w:val="uk-UA"/>
        </w:rPr>
      </w:pPr>
      <w:r>
        <w:rPr>
          <w:sz w:val="28"/>
          <w:szCs w:val="28"/>
          <w:lang w:val="uk-UA"/>
        </w:rPr>
      </w:r>
    </w:p>
    <w:p>
      <w:pPr>
        <w:pStyle w:val="Normal"/>
        <w:tabs>
          <w:tab w:val="clear" w:pos="708"/>
          <w:tab w:val="left" w:pos="720" w:leader="none"/>
          <w:tab w:val="left" w:pos="1080" w:leader="none"/>
        </w:tabs>
        <w:ind w:firstLine="720" w:right="0"/>
        <w:jc w:val="both"/>
        <w:rPr>
          <w:sz w:val="28"/>
          <w:szCs w:val="28"/>
          <w:lang w:val="uk-UA"/>
        </w:rPr>
      </w:pPr>
      <w:r>
        <w:rPr>
          <w:sz w:val="28"/>
          <w:szCs w:val="28"/>
          <w:lang w:val="uk-UA"/>
        </w:rPr>
        <w:t>6.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sectPr>
          <w:headerReference w:type="default" r:id="rId3"/>
          <w:headerReference w:type="first" r:id="rId4"/>
          <w:footerReference w:type="default" r:id="rId5"/>
          <w:footerReference w:type="first" r:id="rId6"/>
          <w:type w:val="nextPage"/>
          <w:pgSz w:w="11906" w:h="16838"/>
          <w:pgMar w:left="1701" w:right="567" w:gutter="0" w:header="709" w:top="899" w:footer="709" w:bottom="1418"/>
          <w:pgNumType w:fmt="decimal"/>
          <w:formProt w:val="false"/>
          <w:titlePg/>
          <w:textDirection w:val="lrTb"/>
          <w:docGrid w:type="default" w:linePitch="360" w:charSpace="0"/>
        </w:sectPr>
        <w:pStyle w:val="33"/>
        <w:spacing w:before="0" w:after="0"/>
        <w:ind w:left="0" w:right="0"/>
        <w:rPr>
          <w:b/>
          <w:sz w:val="28"/>
          <w:szCs w:val="28"/>
          <w:lang w:val="uk-UA"/>
        </w:rPr>
      </w:pPr>
      <w:r>
        <w:rPr>
          <w:b/>
          <w:sz w:val="28"/>
          <w:szCs w:val="28"/>
          <w:lang w:val="uk-UA"/>
        </w:rPr>
        <w:t>Міністр                                                                                            Віктор ЛЯШКО</w:t>
      </w:r>
    </w:p>
    <w:tbl>
      <w:tblPr>
        <w:tblW w:w="3825" w:type="dxa"/>
        <w:jc w:val="left"/>
        <w:tblInd w:w="11448" w:type="dxa"/>
        <w:tblLayout w:type="fixed"/>
        <w:tblCellMar>
          <w:top w:w="0" w:type="dxa"/>
          <w:left w:w="108" w:type="dxa"/>
          <w:bottom w:w="0" w:type="dxa"/>
          <w:right w:w="108" w:type="dxa"/>
        </w:tblCellMar>
      </w:tblPr>
      <w:tblGrid>
        <w:gridCol w:w="3825"/>
      </w:tblGrid>
      <w:tr>
        <w:trPr>
          <w:trHeight w:val="711" w:hRule="atLeast"/>
        </w:trPr>
        <w:tc>
          <w:tcPr>
            <w:tcW w:w="3825" w:type="dxa"/>
            <w:tcBorders/>
          </w:tcPr>
          <w:p>
            <w:pPr>
              <w:pStyle w:val="Heading4"/>
              <w:tabs>
                <w:tab w:val="clear" w:pos="708"/>
                <w:tab w:val="left" w:pos="12600" w:leader="none"/>
              </w:tabs>
              <w:spacing w:before="0" w:after="0"/>
              <w:ind w:hanging="0" w:left="0"/>
              <w:rPr>
                <w:sz w:val="18"/>
                <w:szCs w:val="18"/>
              </w:rPr>
            </w:pPr>
            <w:r>
              <w:rPr>
                <w:sz w:val="18"/>
                <w:szCs w:val="18"/>
              </w:rPr>
              <w:t>Додаток 1</w:t>
            </w:r>
          </w:p>
          <w:p>
            <w:pPr>
              <w:pStyle w:val="Heading4"/>
              <w:tabs>
                <w:tab w:val="clear" w:pos="708"/>
                <w:tab w:val="left" w:pos="12600" w:leader="none"/>
              </w:tabs>
              <w:spacing w:before="0" w:after="0"/>
              <w:ind w:hanging="0" w:left="0"/>
              <w:rPr>
                <w:sz w:val="18"/>
                <w:szCs w:val="18"/>
              </w:rPr>
            </w:pPr>
            <w:r>
              <w:rPr>
                <w:sz w:val="18"/>
                <w:szCs w:val="18"/>
              </w:rPr>
              <w:t>до наказу Міністерства охорони</w:t>
            </w:r>
          </w:p>
          <w:p>
            <w:pPr>
              <w:pStyle w:val="Heading4"/>
              <w:tabs>
                <w:tab w:val="clear" w:pos="708"/>
                <w:tab w:val="left" w:pos="12600" w:leader="none"/>
              </w:tabs>
              <w:spacing w:before="0" w:after="0"/>
              <w:ind w:hanging="0" w:left="0"/>
              <w:rPr>
                <w:sz w:val="18"/>
                <w:szCs w:val="18"/>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tabs>
                <w:tab w:val="clear" w:pos="708"/>
                <w:tab w:val="left" w:pos="12600" w:leader="none"/>
              </w:tabs>
              <w:spacing w:before="0" w:after="0"/>
              <w:ind w:hanging="0" w:left="0"/>
              <w:rPr>
                <w:rFonts w:cs="Arial"/>
              </w:rPr>
            </w:pPr>
            <w:r>
              <w:rPr>
                <w:bCs w:val="false"/>
                <w:iCs/>
                <w:sz w:val="18"/>
                <w:szCs w:val="18"/>
                <w:u w:val="single"/>
              </w:rPr>
              <w:t>від_29 жовтня 2026 року № 1696</w:t>
            </w:r>
          </w:p>
        </w:tc>
      </w:tr>
    </w:tbl>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b/>
          <w:sz w:val="28"/>
          <w:szCs w:val="28"/>
        </w:rPr>
      </w:pPr>
      <w:r>
        <w:rPr>
          <w:b/>
          <w:caps/>
          <w:sz w:val="28"/>
          <w:szCs w:val="28"/>
        </w:rPr>
        <w:t>ПЕРЕЛІК</w:t>
      </w:r>
    </w:p>
    <w:p>
      <w:pPr>
        <w:pStyle w:val="Normal"/>
        <w:keepNext w:val="true"/>
        <w:numPr>
          <w:ilvl w:val="0"/>
          <w:numId w:val="0"/>
        </w:numPr>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caps/>
        </w:rPr>
      </w:pPr>
      <w:r>
        <w:rPr>
          <w:rFonts w:cs="Arial" w:ascii="Arial" w:hAnsi="Arial"/>
          <w:b/>
          <w:caps/>
        </w:rPr>
      </w:r>
    </w:p>
    <w:tbl>
      <w:tblPr>
        <w:tblW w:w="16160" w:type="dxa"/>
        <w:jc w:val="left"/>
        <w:tblInd w:w="-459" w:type="dxa"/>
        <w:tblLayout w:type="fixed"/>
        <w:tblCellMar>
          <w:top w:w="0" w:type="dxa"/>
          <w:left w:w="108" w:type="dxa"/>
          <w:bottom w:w="0" w:type="dxa"/>
          <w:right w:w="108" w:type="dxa"/>
        </w:tblCellMar>
      </w:tblPr>
      <w:tblGrid>
        <w:gridCol w:w="567"/>
        <w:gridCol w:w="1276"/>
        <w:gridCol w:w="851"/>
        <w:gridCol w:w="850"/>
        <w:gridCol w:w="851"/>
        <w:gridCol w:w="1701"/>
        <w:gridCol w:w="1134"/>
        <w:gridCol w:w="850"/>
        <w:gridCol w:w="1276"/>
        <w:gridCol w:w="850"/>
        <w:gridCol w:w="2268"/>
        <w:gridCol w:w="1134"/>
        <w:gridCol w:w="993"/>
        <w:gridCol w:w="1559"/>
      </w:tblGrid>
      <w:tr>
        <w:trPr>
          <w:tblHeader w:val="true"/>
        </w:trPr>
        <w:tc>
          <w:tcPr>
            <w:tcW w:w="56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226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55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ЕЗАФОСФІНА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fructose 1,6-diphosphate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D-фруктозо-1,6-дифосфату натрієвої солі 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C01EB07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10 г/100 мл, по 100 мл у флаконі, по 1 флакону разом з системою для внутрішньовенних інфузій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Біомедіка Фоскама Індастріа Хіміко-Фармасютіка С.п.А.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Біомедіка Фоскама Індастріа Хіміко-Фармасютіка С.п.А.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UA/21492/01/0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ЛЕВОФЛОКСАЦИНУ ГЕМІГІДРАТ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левофлоксацин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Жейіанг Іст-Азія Фармасьютікал Ко., Лтд.</w:t>
              <w:br/>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 Проект МКЯ (версія документа 0003).</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UA/21493/01/0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ТЕМПОФЕН® ДЛЯ ДІТЕЙ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оральна 200 мг/5 мл, по 100 мл у флаконі, по 1 флакону у комплекті зі шприцом-дозатором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"Софарма"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АТ "Софарма", Болгарія;</w:t>
              <w:br/>
              <w:t>виробництво in bulk, первинне та вторинне пакування, контроль якості:</w:t>
              <w:br/>
              <w:t>Делфарм Бладел Б.В., Нідерланди;</w:t>
              <w:br/>
              <w:t>виробництво in bulk, первинне та вторинне пакування, контроль якості:</w:t>
              <w:br/>
              <w:t>Едефарм С.Л., Іспанiя;</w:t>
              <w:br/>
              <w:t>дільниця для проведення мікробіологічного контролю (субдоговір з виробником Фармалідер С.А.):</w:t>
              <w:br/>
              <w:t>Біолаб, С.Л., Іспанiя;</w:t>
              <w:br/>
              <w:br/>
              <w:t>контроль якості (за винятком мікробіолгічного контролю):</w:t>
              <w:br/>
              <w:t>Фармалідер С.А., Іспанiя;</w:t>
              <w:br/>
              <w:t>виробництво in bulk, первинне та вторинне пакування, контроль якості:</w:t>
              <w:br/>
              <w:t>Фармасьєрра Мануфекчурін С.Л., Іспанія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Нідерланди/ Іспанiя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UA/21494/01/0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ФЕНІОРА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phenibut</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фенібут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N06BX22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250 мг, по 20 капсул твердих у поліетиленовому контейнері, закупореному поліетиленовою кришкою з контролем першого відкриття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t>(повний цикл виробництва, випуск серії;</w:t>
              <w:br/>
              <w:t>контроль якості)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 xml:space="preserve">Інструкція для медичного застосування лікарського засобу (eCTD верія 0007) Коротка характеристика лікарського засобу (eCTD верія 0007) Текст маркування упаковки лікарського засобу (eCTD верія 0005) Методи контролю якості лікарського засобу (eCTD версія 0000) Звіт згідно додатку 29 Порядку (eCTD верcія 0000) Звіт згідно додатку 30 Порядку (eCTD верcія 0000) Резюме ПУР версія 1.0 погоджена (eCTD послідовність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UA/21495/01/0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ХОНДРОЇТИНУ СУЛЬФАТ НАТРІЮ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Chondroitin sulfate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хондроїтину сульфату натрію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ЕйчЕс Нутра Ко.,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UA/21496/01/0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ЦЕФАЗОЛІН ЮРІЯ-ФАРМ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cefazolin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цефазолін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порошку у флаконі, in bulk: по 207 флаконів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пакування, контроль якості та випуск серії:</w:t>
              <w:br/>
              <w:t>Ацс Добфар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плану управління ризиками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ЦЕФАЗОЛІН ЮРІЯ-ФАРМ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cefazolin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Цефазолін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порошку у флаконі, по 10 флаконів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 продукції in bulk, фірми-виробника Ацс Добфар С.п.А., Італія:</w:t>
              <w:br/>
              <w:t>ТОВ "Юрія-Фарм",</w:t>
              <w:br/>
              <w:t xml:space="preserve">Україна, </w:t>
              <w:br/>
              <w:t>контроль якості:</w:t>
              <w:br/>
              <w:t>ТОВ "Юрія-Фарм",</w:t>
              <w:br/>
              <w:t>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UA/21499/01/0</w:t>
            </w:r>
            <w:r>
              <w:rPr>
                <w:rFonts w:cs="Arial" w:ascii="Arial" w:hAnsi="Arial"/>
                <w:sz w:val="16"/>
                <w:szCs w:val="16"/>
                <w:lang w:val="en-US"/>
              </w:rPr>
              <w:t>1</w:t>
            </w:r>
          </w:p>
        </w:tc>
      </w:tr>
    </w:tbl>
    <w:p>
      <w:pPr>
        <w:pStyle w:val="Normal"/>
        <w:rPr>
          <w:rFonts w:ascii="Arial" w:hAnsi="Arial" w:cs="Arial"/>
        </w:rPr>
      </w:pPr>
      <w:r>
        <w:rPr>
          <w:rFonts w:cs="Arial" w:ascii="Arial" w:hAnsi="Arial"/>
        </w:rPr>
      </w:r>
    </w:p>
    <w:p>
      <w:pPr>
        <w:pStyle w:val="Normal"/>
        <w:rPr>
          <w:rStyle w:val="Hyperlink"/>
          <w:i/>
          <w:i/>
          <w:color w:val="000000"/>
          <w:szCs w:val="16"/>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7">
        <w:r>
          <w:rPr>
            <w:rStyle w:val="Hyperlink"/>
            <w:i/>
            <w:color w:val="000000"/>
            <w:szCs w:val="16"/>
          </w:rPr>
          <w:t>https://www.whocc.no/atc_ddd_index/</w:t>
        </w:r>
      </w:hyperlink>
      <w:r>
        <w:rPr>
          <w:rStyle w:val="Hyperlink"/>
          <w:i/>
          <w:color w:val="000000"/>
          <w:szCs w:val="16"/>
        </w:rPr>
        <w:t>)</w:t>
      </w:r>
    </w:p>
    <w:p>
      <w:pPr>
        <w:pStyle w:val="Normal"/>
        <w:tabs>
          <w:tab w:val="clear" w:pos="708"/>
          <w:tab w:val="left" w:pos="1985" w:leader="none"/>
        </w:tabs>
        <w:rPr>
          <w:rStyle w:val="Hyperlink"/>
          <w:i/>
          <w:i/>
          <w:color w:val="000000"/>
          <w:szCs w:val="16"/>
        </w:rPr>
      </w:pPr>
      <w:r>
        <w:rPr/>
      </w:r>
    </w:p>
    <w:p>
      <w:pPr>
        <w:pStyle w:val="Normal"/>
        <w:tabs>
          <w:tab w:val="clear" w:pos="708"/>
          <w:tab w:val="left" w:pos="1985" w:leader="none"/>
        </w:tabs>
        <w:rPr/>
      </w:pPr>
      <w:r>
        <w:rPr/>
      </w:r>
    </w:p>
    <w:p>
      <w:pPr>
        <w:pStyle w:val="Normal"/>
        <w:tabs>
          <w:tab w:val="clear" w:pos="708"/>
          <w:tab w:val="left" w:pos="1985" w:leader="none"/>
        </w:tabs>
        <w:rPr/>
      </w:pPr>
      <w:r>
        <w:rPr/>
      </w:r>
    </w:p>
    <w:p>
      <w:pPr>
        <w:pStyle w:val="Normal"/>
        <w:tabs>
          <w:tab w:val="clear" w:pos="708"/>
          <w:tab w:val="left" w:pos="1985" w:leader="none"/>
        </w:tabs>
        <w:rPr>
          <w:b/>
          <w:bCs/>
          <w:sz w:val="28"/>
          <w:szCs w:val="28"/>
        </w:rPr>
      </w:pPr>
      <w:r>
        <w:rPr>
          <w:b/>
          <w:bCs/>
          <w:sz w:val="28"/>
          <w:szCs w:val="28"/>
        </w:rPr>
        <w:t>Начальник</w:t>
      </w:r>
    </w:p>
    <w:p>
      <w:pPr>
        <w:pStyle w:val="Normal"/>
        <w:tabs>
          <w:tab w:val="clear" w:pos="708"/>
          <w:tab w:val="left" w:pos="1985" w:leader="none"/>
        </w:tabs>
        <w:rPr>
          <w:b/>
          <w:bCs/>
          <w:sz w:val="28"/>
          <w:szCs w:val="28"/>
        </w:rPr>
      </w:pPr>
      <w:r>
        <w:rPr>
          <w:b/>
          <w:bCs/>
          <w:sz w:val="28"/>
          <w:szCs w:val="28"/>
        </w:rPr>
        <w:t>Фармацевтичного управління                                                                                                              Олександр ГРІЦЕНКО</w:t>
      </w:r>
    </w:p>
    <w:p>
      <w:pPr>
        <w:sectPr>
          <w:headerReference w:type="default" r:id="rId8"/>
          <w:headerReference w:type="first" r:id="rId9"/>
          <w:footerReference w:type="default" r:id="rId10"/>
          <w:footerReference w:type="first" r:id="rId11"/>
          <w:type w:val="nextPage"/>
          <w:pgSz w:orient="landscape" w:w="16838" w:h="11906"/>
          <w:pgMar w:left="1077" w:right="1134" w:gutter="0" w:header="709" w:top="907" w:footer="709" w:bottom="907"/>
          <w:pgNumType w:fmt="decimal"/>
          <w:formProt w:val="false"/>
          <w:titlePg/>
          <w:textDirection w:val="lrTb"/>
          <w:docGrid w:type="default" w:linePitch="360" w:charSpace="0"/>
        </w:sectPr>
        <w:pStyle w:val="11"/>
        <w:rPr>
          <w:rStyle w:val="cs7864ebcf1"/>
          <w:color w:val="000000"/>
          <w:sz w:val="16"/>
          <w:szCs w:val="16"/>
        </w:rPr>
      </w:pPr>
      <w:r>
        <w:rPr>
          <w:b/>
          <w:bCs/>
          <w:sz w:val="28"/>
          <w:szCs w:val="28"/>
        </w:rPr>
      </w:r>
    </w:p>
    <w:p>
      <w:pPr>
        <w:pStyle w:val="Normal"/>
        <w:rPr>
          <w:rStyle w:val="cs7864ebcf1"/>
          <w:rFonts w:ascii="Arial" w:hAnsi="Arial" w:cs="Arial"/>
          <w:b/>
          <w:color w:val="000000"/>
          <w:sz w:val="16"/>
          <w:szCs w:val="16"/>
          <w:lang w:val="uk-UA"/>
        </w:rPr>
      </w:pPr>
      <w:r>
        <w:rPr/>
      </w:r>
    </w:p>
    <w:tbl>
      <w:tblPr>
        <w:tblW w:w="3825" w:type="dxa"/>
        <w:jc w:val="left"/>
        <w:tblInd w:w="11448" w:type="dxa"/>
        <w:tblLayout w:type="fixed"/>
        <w:tblCellMar>
          <w:top w:w="0" w:type="dxa"/>
          <w:left w:w="108" w:type="dxa"/>
          <w:bottom w:w="0" w:type="dxa"/>
          <w:right w:w="108" w:type="dxa"/>
        </w:tblCellMar>
      </w:tblPr>
      <w:tblGrid>
        <w:gridCol w:w="3825"/>
      </w:tblGrid>
      <w:tr>
        <w:trPr/>
        <w:tc>
          <w:tcPr>
            <w:tcW w:w="3825" w:type="dxa"/>
            <w:tcBorders/>
          </w:tcPr>
          <w:p>
            <w:pPr>
              <w:pStyle w:val="Heading4"/>
              <w:tabs>
                <w:tab w:val="clear" w:pos="708"/>
                <w:tab w:val="left" w:pos="12600" w:leader="none"/>
              </w:tabs>
              <w:spacing w:before="0" w:after="0"/>
              <w:ind w:hanging="0" w:left="0"/>
              <w:rPr>
                <w:bCs w:val="false"/>
                <w:iCs/>
                <w:sz w:val="18"/>
                <w:szCs w:val="18"/>
              </w:rPr>
            </w:pPr>
            <w:r>
              <w:rPr>
                <w:bCs w:val="false"/>
                <w:iCs/>
                <w:sz w:val="18"/>
                <w:szCs w:val="18"/>
              </w:rPr>
              <w:t>Додаток 2</w:t>
            </w:r>
          </w:p>
          <w:p>
            <w:pPr>
              <w:pStyle w:val="Heading4"/>
              <w:tabs>
                <w:tab w:val="clear" w:pos="708"/>
                <w:tab w:val="left" w:pos="12600" w:leader="none"/>
              </w:tabs>
              <w:spacing w:before="0" w:after="0"/>
              <w:ind w:hanging="0" w:left="0"/>
              <w:rPr>
                <w:bCs w:val="false"/>
                <w:iCs/>
                <w:sz w:val="18"/>
                <w:szCs w:val="18"/>
              </w:rPr>
            </w:pPr>
            <w:r>
              <w:rPr>
                <w:bCs w:val="false"/>
                <w:iCs/>
                <w:sz w:val="18"/>
                <w:szCs w:val="18"/>
              </w:rPr>
              <w:t>до наказу Міністерства охорони</w:t>
            </w:r>
          </w:p>
          <w:p>
            <w:pPr>
              <w:pStyle w:val="Heading4"/>
              <w:tabs>
                <w:tab w:val="clear" w:pos="708"/>
                <w:tab w:val="left" w:pos="12600" w:leader="none"/>
              </w:tabs>
              <w:spacing w:before="0" w:after="0"/>
              <w:ind w:hanging="0" w:left="0"/>
              <w:rPr/>
            </w:pPr>
            <w:r>
              <w:rPr>
                <w:bCs w:val="false"/>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11"/>
              <w:rPr>
                <w:rFonts w:ascii="Arial" w:hAnsi="Arial" w:cs="Arial"/>
                <w:sz w:val="20"/>
                <w:szCs w:val="20"/>
              </w:rPr>
            </w:pPr>
            <w:r>
              <w:rPr>
                <w:b/>
                <w:bCs/>
                <w:iCs/>
                <w:sz w:val="18"/>
                <w:szCs w:val="18"/>
                <w:u w:val="single"/>
              </w:rPr>
              <w:t>від_29 жовтня 2026 року № 1696</w:t>
            </w:r>
          </w:p>
        </w:tc>
      </w:tr>
    </w:tbl>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b/>
          <w:caps/>
          <w:sz w:val="28"/>
          <w:szCs w:val="28"/>
        </w:rPr>
      </w:pPr>
      <w:r>
        <w:rPr>
          <w:b/>
          <w:caps/>
          <w:sz w:val="28"/>
          <w:szCs w:val="28"/>
        </w:rPr>
        <w:t>ПЕРЕЛІК</w:t>
      </w:r>
    </w:p>
    <w:p>
      <w:pPr>
        <w:pStyle w:val="Normal"/>
        <w:keepNext w:val="true"/>
        <w:numPr>
          <w:ilvl w:val="0"/>
          <w:numId w:val="0"/>
        </w:numPr>
        <w:tabs>
          <w:tab w:val="clear" w:pos="708"/>
          <w:tab w:val="left" w:pos="12600" w:leader="none"/>
        </w:tabs>
        <w:jc w:val="center"/>
        <w:outlineLvl w:val="3"/>
        <w:rPr>
          <w:b/>
          <w:caps/>
          <w:sz w:val="28"/>
          <w:szCs w:val="28"/>
        </w:rPr>
      </w:pPr>
      <w:r>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pPr>
        <w:pStyle w:val="Normal"/>
        <w:keepNext w:val="true"/>
        <w:numPr>
          <w:ilvl w:val="0"/>
          <w:numId w:val="0"/>
        </w:numPr>
        <w:tabs>
          <w:tab w:val="clear" w:pos="708"/>
          <w:tab w:val="left" w:pos="12600" w:leader="none"/>
        </w:tabs>
        <w:jc w:val="center"/>
        <w:outlineLvl w:val="3"/>
        <w:rPr>
          <w:rFonts w:ascii="Arial" w:hAnsi="Arial" w:cs="Arial"/>
          <w:b/>
          <w:caps/>
          <w:sz w:val="28"/>
          <w:szCs w:val="28"/>
        </w:rPr>
      </w:pPr>
      <w:r>
        <w:rPr>
          <w:rFonts w:cs="Arial" w:ascii="Arial" w:hAnsi="Arial"/>
          <w:b/>
          <w:caps/>
          <w:sz w:val="28"/>
          <w:szCs w:val="28"/>
        </w:rPr>
      </w:r>
    </w:p>
    <w:tbl>
      <w:tblPr>
        <w:tblW w:w="16159" w:type="dxa"/>
        <w:jc w:val="left"/>
        <w:tblInd w:w="-459" w:type="dxa"/>
        <w:tblLayout w:type="fixed"/>
        <w:tblCellMar>
          <w:top w:w="0" w:type="dxa"/>
          <w:left w:w="108" w:type="dxa"/>
          <w:bottom w:w="0" w:type="dxa"/>
          <w:right w:w="108" w:type="dxa"/>
        </w:tblCellMar>
      </w:tblPr>
      <w:tblGrid>
        <w:gridCol w:w="567"/>
        <w:gridCol w:w="1134"/>
        <w:gridCol w:w="851"/>
        <w:gridCol w:w="850"/>
        <w:gridCol w:w="709"/>
        <w:gridCol w:w="1701"/>
        <w:gridCol w:w="1276"/>
        <w:gridCol w:w="850"/>
        <w:gridCol w:w="1701"/>
        <w:gridCol w:w="851"/>
        <w:gridCol w:w="1984"/>
        <w:gridCol w:w="993"/>
        <w:gridCol w:w="1275"/>
        <w:gridCol w:w="1417"/>
      </w:tblGrid>
      <w:tr>
        <w:trPr>
          <w:tblHeader w:val="true"/>
        </w:trPr>
        <w:tc>
          <w:tcPr>
            <w:tcW w:w="56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198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1275"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41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i/>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ГЛІЦЕРИН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glycerol</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пропан-1,2,3-триол</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рідина (субстанція) у пластикових пляшках для фармацевтичного застосування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Шаньтоу Цзяхе Біолоджик Технолоджі Ко., Лтд.</w:t>
              <w:b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UA/16164/01/01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ЕТОРИКОКСИБ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Etoricoxib</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eторикоксиб</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поліетиленових пакетах для фармацевтичного застосування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Алембік Фармасьютікалс Лімітед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необмежаний термін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UA/19021/01/01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МОКСИФЛОКСАЦИНУ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моксифлоксацину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"ФАРМЕКС ГРУП"</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ХРОМО ЛАБОРАТОРІЗ ІНДІЯ ПРІВАТ ЛІМІТЕД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UA/19501/01/01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ПІВОНІЇ НАСТОЙКА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настойка півонії незвичайної кореневищ з коренями (Paeoniae anomalae rhizoma et radiх) і півонії незвичайної трави (Paeoniae anomalae herba) (1/1)</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N05CM</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настойка; по 50 мл, 100 мл або 110 мл у флаконах</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розділі «Побічні реакції» щодо звітування про побічні реакції.</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UA/19130/01/01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ПЛЮЩА ЛИСТЯ ЕКСТРАКТ СУХИЙ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Hederae helicis folium</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плюща листя сухий екстракт (Lvy leaf dry extract) ((4,0-8,0):1) - (екстракт висушених листків плюща звичайного - Hedera helix (L.)</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сухий екстракт (субстанція) у подвійних пакетах для фармацевтичного застосування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Публічне акціонерне товариство "Науково-виробничий центр "Борщагівський хіміко-фармацевтичний завод"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Публічне акціонерне товариство "Науково-виробничий центр "Борщагівський хіміко-фармацевтичний завод" </w:t>
              <w:b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UA/19208/01/01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СТАТОРЕМ®-Н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Lisinopril and diuretics</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лізиноприлу дигідрат та гідрохлортіазид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мг/12,5 мг; №28 (14х2): по 14 таблеток у блістері, по 2 блістери у картонній упаковці; №84 (14х6): по 14 таблеток у блістері, по 6 блістерів у картонній упаковці; №30 (10х3): по 10 таблеток у блістері, по 3 блістери у картонній упаковці;</w:t>
              <w:br/>
              <w:t>№60 (10х6): по 10 таблеток у блістері, по 6 блістерів у картонній упаковці</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 xml:space="preserve">або </w:t>
              <w:br/>
              <w:t>ТОВ «КУСУМ», Україна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у розділах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інструкції для медичного застосування, відповідно до інформації референтного лікарського засобу (Zestoretic 20, tablets).</w:t>
              <w:br/>
              <w:br/>
              <w:t>Резюме плану управління ризиками версія 3.3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UA/19192/01/01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СТАТОРЕМ®-Н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Lisinopril and diuretics</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лізиноприлу дигідрат та гідрохлортіазид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 мг/25 мг; №30 (10х3): по 10 таблеток у блістері, по 3 блістери у картонній упаковці; №60 (10х6): по 10 таблеток у блістері, по 6 блістерів у картонній упаковці</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br/>
              <w:t>ТОВ «КУСУМ», Україна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Оновлено інформацію у розділах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інструкції для медичного застосування, відповідно до інформації референтного лікарського засобу (Zestoretic 20, tablets).</w:t>
              <w:br/>
              <w:t>Резюме плану управління ризиками версія 3.3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UA/19192/01/02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ТОБРАМІЦИН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tobramycin</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тобраміцин</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Лівзон Нью Норт Рівер Фармасьютікал Ко., Лтд.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Китайська Народна Республіка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UA/19575/01/01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УВІРОМЕД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valaciclovir</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валацикловір (у формі валацикловіру гідрохлориду)</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J05AB11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7 таблеток у блістері, 3 або 6 блістери в картонній коробці; по 10 таблеток у блістері, по 1 блістеру в картонній коробці</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"УОРЛД МЕДИЦИН"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А.Ш.</w:t>
              <w:b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терміном на 5 років.</w:t>
              <w:br/>
              <w:t>Оновлено інформацію в інструкції для медичного застосування лікарського засобу в розділах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(Valtrex® 1000 mg film-coated tablets, Laboratorios Wellcome de Portugal, Lda., Portugal). Оновлено формулювання фармакотерапевтичної групи (без зміни коду АТХ) у розділі "Фармакотерапевтична група" відповідно до класифікатора фармакотерапевтичних груп ВООЗ. Оновлено інформацію в розділі "Побічні реакції" щодо важливості звітування про побічні реакції.</w:t>
              <w:br/>
              <w:br/>
              <w:t>Резюме плану управління ризиками версія 1.0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UA/19156/01/01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ФЛУТИКАЗОН-ЗДОРОВ'Я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Fluticasone furoate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флутиказону фуроат</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R01AD12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суспензія, 27,5 мкг/дозу; по 30 доз або по 120 доз у флаконі зі спрей-насосом з захисним кільцем та ковпачком; по 1 флакону у коробці з картону</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w:t>
              <w:br/>
              <w:t>ТОВАРИСТВО З ОБМЕЖЕНОЮ ВІДПОВІДАЛЬНІСТЮ «КОРПОРАЦІЯ «ЗДОРОВ’Я», Україна;</w:t>
              <w:br/>
              <w:t>всі стадії виробництва, випуск серії:</w:t>
              <w:br/>
              <w:t>ТОВАРИСТВО З ОБМЕЖЕНОЮ ВІДПОВІДАЛЬНІСТЮ «КОРПОРАЦІЯ «ЗДОРОВ’Я», Україна;</w:t>
              <w:br/>
              <w:t>контроль якості:</w:t>
              <w:br/>
              <w:t>Товариство з обмеженою відповідальністю "ФАРМЕКС ГРУП" , Україна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"Склад" (редакційні правки), "Взаємодія з іншими лікарськими засобами та інші види взаємодій", "Особливості застосування" та "Побічні реакції" відповідно до інформації про медичне застосування референтного лікарського засобу (Аваміс, 27,5 мкг/дозу, спрей назальний, суспензія, дозований), а також у розділі "Побічні реакції" щодо важливості звітування про побічні реакції та в розділі "Упаковка" (узгодження з реєстраційним посвідченням).</w:t>
              <w:br/>
              <w:br/>
              <w:t xml:space="preserve">Резюме плану управління ризиками версія 1.1 додається. </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UA/19177/01/01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ФОРГЕНПІМ-1000</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cefepime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цефепіму гідрохлорид</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J01DE01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1000 мг, по 1 флакону у картонній упаковці</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Сенс Лабораторіс Пвт.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Сенс Лабораторіс Пвт. Лтд.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 xml:space="preserve">Оновлено інформацію в інструкції для медичного застосування лікарського засобу у розділах "Фармакотерапевтична група. Код АТХ" щодо назви без зміни коду АТХ,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"Побічні реакції", "Несумісність" відповідно до інформації референтного лікарського засобу (Maxipime, powder for solution for injection or infusion 1 g), а також у розділ "Побічні реакції" щодо важливості звітування про побічні реакції. </w:t>
              <w:br/>
              <w:br/>
              <w:t>Резюме плану управління ризиками версія 2.0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UA/19178/01/01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ФОРТЕЗА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бензидаміну гідрохлорид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R02AX03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льодяники по 3 мг зі смаком лимона, по 12 льодяників у блістері; по 1 або 2 блістери в картонній коробці</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w:t>
              <w:br/>
              <w:t>ЛОЗІС ФАРМАЦЕУТІКАЛЗ С.Л., Іспанія;</w:t>
              <w:br/>
              <w:t>виробництво, первинне та вторинне пакування:</w:t>
              <w:br/>
              <w:t>П'ЄР ФАБР МЕДИКАМЕНТ ПРОДАКШН, Францiя;</w:t>
              <w:br/>
              <w:t>виробництво, первинне та вторинне пакування:</w:t>
              <w:br/>
              <w:t>ДР. МЕД. АУФДЕРМОР АГ, Швейцарія;</w:t>
              <w:br/>
              <w:t>контроль якості, випуск серії:</w:t>
              <w:br/>
              <w:t>ІНФАРМАДЕ, С.Л., Іспанiя; контроль якості:</w:t>
              <w:br/>
              <w:t>ЛАБОРАТОРІО ЕЧЕВАРНЕ, С.А., Іспанія; контроль якості:</w:t>
              <w:br/>
              <w:t>КІМОС, С.Л., Іспанiя</w:t>
              <w:b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 Францiя/ Швейцарія/ Іспанiя</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"Фармакотерапевтична група. Код АТХ" щодо назви без зміни коду АТХ відповідно до міжнародного класифікатора ВООЗ, "Застосування у період вагітності або годування груддю" відповідно до інформації з безпеки діючої речовини, а також у розділі "Побічні реакції" щодо важливості звітування про побічні реакції.</w:t>
              <w:br/>
              <w:t>Затвердження короткої характеристики лікарського засобу.</w:t>
              <w:br/>
              <w:br/>
              <w:t>Резюме плану управління ризиками версія 4.1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UA/19283/01/01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ФОРТЕЗА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бензидаміну гідрохлорид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R02AX03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льодяники по 3 мг зі смаком апельсина та меду; по 12 льодяників у блістері; по 1 або 2 блістери в картонній коробці</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w:t>
              <w:br/>
              <w:t>ЛОЗІС ФАРМАЦЕУТІКАЛЗ С.Л., Іспанія;</w:t>
              <w:br/>
              <w:t>виробництво, первинне та вторинне пакування:</w:t>
              <w:br/>
              <w:t xml:space="preserve">П'ЄР ФАБР МЕДИКАМЕНТ ПРОДАКШН, Францiя; </w:t>
              <w:br/>
              <w:t>виробництво, первинне та вторинне пакування:</w:t>
              <w:br/>
              <w:t>ДР. МЕД. АУФДЕРМОР АГ, Швейцарія;</w:t>
              <w:br/>
              <w:t>контроль якості, випуск серії:</w:t>
              <w:br/>
              <w:t>ІНФАРМАДЕ, С.Л., Іспанiя;</w:t>
              <w:br/>
              <w:t>контроль якості:</w:t>
              <w:br/>
              <w:t>ЛАБОРАТОРІО ЕЧЕВАРНЕ, С.А., Іспанія;</w:t>
              <w:br/>
              <w:t>контроль якості:</w:t>
              <w:br/>
              <w:t>КІМОС, С.Л., Іспанiя</w:t>
              <w:b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 Францiя/ Швейцарія</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у розділах "Фармакотерапевтична група. Код АТХ" щодо назви без зміни коду АТХ відповідно до міжнародного класифікатора ВООЗ, "Застосування у період вагітності або годування груддю" відповідно до інформації з безпеки діючої речовини, а також у розділі "Побічні реакції" щодо важливості звітування про побічні реакції.</w:t>
              <w:br/>
              <w:t>Затвердження короткої характеристики лікарського засобу.</w:t>
              <w:br/>
              <w:br/>
              <w:t>Резюме плану управління ризиками версія 4.1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UA/19282/01/01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ФРИНОЛ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екстракт рідкий з Первоцвіту квіток з чашечкою (Primulae Flores cum Calycibus), Щавлю трави (Rumicis Herba), Бузини квіток (Sambuci Flores), Вербени трави (Verbenae Herba), Тирличу коріння (Gentianae Radix) (1:3:3:3:3) DER (1:11)</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екстракт рідкий (субстанція) у бочках полімерних для фармацевтичного застосування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"ПОЛІМЕТРІЯ, дистрибуція та послуги"</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b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UA/19073/01/01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2">
        <w:r>
          <w:rPr>
            <w:rStyle w:val="Hyperlink"/>
            <w:i/>
            <w:color w:val="000000"/>
            <w:szCs w:val="16"/>
          </w:rPr>
          <w:t>https://www.whocc.no/atc_ddd_index/</w:t>
        </w:r>
      </w:hyperlink>
      <w:r>
        <w:rPr>
          <w:rStyle w:val="Hyperlink"/>
          <w:i/>
          <w:color w:val="000000"/>
          <w:szCs w:val="16"/>
        </w:rPr>
        <w:t>)</w:t>
      </w:r>
    </w:p>
    <w:p>
      <w:pPr>
        <w:pStyle w:val="Normal"/>
        <w:rPr>
          <w:rStyle w:val="Hyperlink"/>
          <w:i/>
          <w:i/>
          <w:color w:val="000000"/>
          <w:szCs w:val="16"/>
        </w:rPr>
      </w:pPr>
      <w:r>
        <w:rPr/>
      </w:r>
    </w:p>
    <w:p>
      <w:pPr>
        <w:pStyle w:val="Normal"/>
        <w:rPr>
          <w:rStyle w:val="Hyperlink"/>
          <w:rFonts w:ascii="Arial" w:hAnsi="Arial" w:cs="Arial"/>
          <w:i/>
          <w:i/>
          <w:color w:val="000000"/>
          <w:szCs w:val="16"/>
        </w:rPr>
      </w:pPr>
      <w:r>
        <w:rPr/>
      </w:r>
    </w:p>
    <w:p>
      <w:pPr>
        <w:pStyle w:val="11"/>
        <w:rPr/>
      </w:pPr>
      <w:r>
        <w:rPr>
          <w:rStyle w:val="cs7864ebcf1"/>
          <w:color w:val="000000"/>
          <w:sz w:val="28"/>
          <w:szCs w:val="28"/>
        </w:rPr>
        <w:t>Начальник</w:t>
      </w:r>
    </w:p>
    <w:p>
      <w:pPr>
        <w:sectPr>
          <w:headerReference w:type="default" r:id="rId13"/>
          <w:headerReference w:type="first" r:id="rId14"/>
          <w:footerReference w:type="default" r:id="rId15"/>
          <w:footerReference w:type="first" r:id="rId16"/>
          <w:type w:val="nextPage"/>
          <w:pgSz w:orient="landscape" w:w="16838" w:h="11906"/>
          <w:pgMar w:left="1077" w:right="1134" w:gutter="0" w:header="709" w:top="907" w:footer="709" w:bottom="907"/>
          <w:pgNumType w:fmt="decimal"/>
          <w:formProt w:val="false"/>
          <w:titlePg/>
          <w:textDirection w:val="lrTb"/>
          <w:docGrid w:type="default" w:linePitch="360" w:charSpace="0"/>
        </w:sectPr>
        <w:pStyle w:val="11"/>
        <w:rPr/>
      </w:pPr>
      <w:r>
        <w:rPr>
          <w:rStyle w:val="cs7864ebcf1"/>
          <w:color w:val="000000"/>
          <w:sz w:val="28"/>
          <w:szCs w:val="28"/>
        </w:rPr>
        <w:t>Фармацевтичного управління                                                                                                             Олександр ГРІЦЕНКО</w:t>
      </w:r>
    </w:p>
    <w:tbl>
      <w:tblPr>
        <w:tblW w:w="3828" w:type="dxa"/>
        <w:jc w:val="left"/>
        <w:tblInd w:w="11448" w:type="dxa"/>
        <w:tblLayout w:type="fixed"/>
        <w:tblCellMar>
          <w:top w:w="0" w:type="dxa"/>
          <w:left w:w="108" w:type="dxa"/>
          <w:bottom w:w="0" w:type="dxa"/>
          <w:right w:w="108" w:type="dxa"/>
        </w:tblCellMar>
      </w:tblPr>
      <w:tblGrid>
        <w:gridCol w:w="3828"/>
      </w:tblGrid>
      <w:tr>
        <w:trPr/>
        <w:tc>
          <w:tcPr>
            <w:tcW w:w="3828" w:type="dxa"/>
            <w:tcBorders/>
          </w:tcPr>
          <w:p>
            <w:pPr>
              <w:pStyle w:val="Normal"/>
              <w:keepNext w:val="true"/>
              <w:numPr>
                <w:ilvl w:val="0"/>
                <w:numId w:val="0"/>
              </w:numPr>
              <w:tabs>
                <w:tab w:val="clear" w:pos="708"/>
                <w:tab w:val="left" w:pos="12600" w:leader="none"/>
              </w:tabs>
              <w:outlineLvl w:val="3"/>
              <w:rPr>
                <w:b/>
                <w:iCs/>
                <w:sz w:val="18"/>
                <w:szCs w:val="18"/>
              </w:rPr>
            </w:pPr>
            <w:r>
              <w:rPr>
                <w:b/>
                <w:iCs/>
                <w:sz w:val="18"/>
                <w:szCs w:val="18"/>
              </w:rPr>
              <w:t>Додаток 3</w:t>
            </w:r>
          </w:p>
          <w:p>
            <w:pPr>
              <w:pStyle w:val="Heading4"/>
              <w:tabs>
                <w:tab w:val="clear" w:pos="708"/>
                <w:tab w:val="left" w:pos="12600" w:leader="none"/>
              </w:tabs>
              <w:spacing w:before="0" w:after="0"/>
              <w:ind w:hanging="0" w:left="0"/>
              <w:rPr>
                <w:iCs/>
                <w:sz w:val="18"/>
                <w:szCs w:val="18"/>
              </w:rPr>
            </w:pPr>
            <w:r>
              <w:rPr>
                <w:iCs/>
                <w:sz w:val="18"/>
                <w:szCs w:val="18"/>
              </w:rPr>
              <w:t>до наказу Міністерства охорони</w:t>
            </w:r>
          </w:p>
          <w:p>
            <w:pPr>
              <w:pStyle w:val="Heading4"/>
              <w:tabs>
                <w:tab w:val="clear" w:pos="708"/>
                <w:tab w:val="left" w:pos="12600" w:leader="none"/>
              </w:tabs>
              <w:spacing w:before="0" w:after="0"/>
              <w:ind w:hanging="0" w:left="0"/>
              <w:rPr/>
            </w:pPr>
            <w:r>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clear" w:pos="708"/>
                <w:tab w:val="left" w:pos="12600" w:leader="none"/>
              </w:tabs>
              <w:rPr>
                <w:rFonts w:ascii="Arial" w:hAnsi="Arial" w:cs="Arial"/>
                <w:b/>
              </w:rPr>
            </w:pPr>
            <w:r>
              <w:rPr>
                <w:b/>
                <w:iCs/>
                <w:sz w:val="18"/>
                <w:szCs w:val="18"/>
                <w:u w:val="single"/>
              </w:rPr>
              <w:t>від_29 жовтня 2026 року № 1696</w:t>
            </w:r>
          </w:p>
        </w:tc>
      </w:tr>
    </w:tbl>
    <w:p>
      <w:pPr>
        <w:pStyle w:val="Normal"/>
        <w:keepNext w:val="true"/>
        <w:numPr>
          <w:ilvl w:val="0"/>
          <w:numId w:val="0"/>
        </w:numPr>
        <w:jc w:val="center"/>
        <w:outlineLvl w:val="1"/>
        <w:rPr>
          <w:rFonts w:ascii="Arial" w:hAnsi="Arial" w:cs="Arial"/>
          <w:b/>
          <w:caps/>
          <w:sz w:val="16"/>
          <w:szCs w:val="16"/>
        </w:rPr>
      </w:pPr>
      <w:r>
        <w:rPr>
          <w:rFonts w:cs="Arial" w:ascii="Arial" w:hAnsi="Arial"/>
          <w:b/>
          <w:caps/>
          <w:sz w:val="16"/>
          <w:szCs w:val="16"/>
        </w:rPr>
      </w:r>
    </w:p>
    <w:p>
      <w:pPr>
        <w:pStyle w:val="310"/>
        <w:jc w:val="center"/>
        <w:rPr>
          <w:b/>
          <w:caps/>
          <w:sz w:val="28"/>
          <w:szCs w:val="28"/>
          <w:lang w:eastAsia="uk-UA"/>
        </w:rPr>
      </w:pPr>
      <w:r>
        <w:rPr>
          <w:b/>
          <w:caps/>
          <w:sz w:val="28"/>
          <w:szCs w:val="28"/>
          <w:lang w:eastAsia="uk-UA"/>
        </w:rPr>
        <w:t>ПЕРЕЛІК</w:t>
      </w:r>
    </w:p>
    <w:p>
      <w:pPr>
        <w:pStyle w:val="11"/>
        <w:jc w:val="center"/>
        <w:rPr>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1"/>
        <w:jc w:val="center"/>
        <w:rPr>
          <w:rFonts w:ascii="Arial" w:hAnsi="Arial" w:cs="Arial"/>
        </w:rPr>
      </w:pPr>
      <w:r>
        <w:rPr>
          <w:rFonts w:cs="Arial" w:ascii="Arial" w:hAnsi="Arial"/>
        </w:rPr>
      </w:r>
    </w:p>
    <w:tbl>
      <w:tblPr>
        <w:tblW w:w="16303" w:type="dxa"/>
        <w:jc w:val="left"/>
        <w:tblInd w:w="-601" w:type="dxa"/>
        <w:tblLayout w:type="fixed"/>
        <w:tblCellMar>
          <w:top w:w="0" w:type="dxa"/>
          <w:left w:w="108" w:type="dxa"/>
          <w:bottom w:w="0" w:type="dxa"/>
          <w:right w:w="108" w:type="dxa"/>
        </w:tblCellMar>
      </w:tblPr>
      <w:tblGrid>
        <w:gridCol w:w="566"/>
        <w:gridCol w:w="1136"/>
        <w:gridCol w:w="850"/>
        <w:gridCol w:w="851"/>
        <w:gridCol w:w="708"/>
        <w:gridCol w:w="1701"/>
        <w:gridCol w:w="993"/>
        <w:gridCol w:w="850"/>
        <w:gridCol w:w="1843"/>
        <w:gridCol w:w="850"/>
        <w:gridCol w:w="2977"/>
        <w:gridCol w:w="851"/>
        <w:gridCol w:w="709"/>
        <w:gridCol w:w="1418"/>
      </w:tblGrid>
      <w:tr>
        <w:trPr>
          <w:tblHeader w:val="true"/>
        </w:trPr>
        <w:tc>
          <w:tcPr>
            <w:tcW w:w="56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84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297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70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41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i/>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АВАСТИН®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bevacizumab</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бевацизумаб</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L01FG01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розчину для інфузій, 100 мг/4 мл; по 4 мл (100 мг) або 16 мл (400 мг) у флаконі; по 1 флакону в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та випуск серії:</w:t>
              <w:br/>
              <w:t>Рош Діагностикс ГмбХ, Німеччина; Виробництво нерозфасованої продукції, первинне пакування, вторинне пакування, випробування контролю якості та випуск серії: Ф.Хоффманн-Ля Рош Лтд, Швейцарія; Виробництво нерозфасованої продукції, первинне пакування:</w:t>
              <w:br/>
              <w:t>Дженентек Інк., США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 США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"Особливості застосування".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UA/16665/01/01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пролонгованої дії по 0,5 мг; по 10 капсул у блістері; по 5 блістерів у алюмінієвому пакеті; по 1 алюмінієвому пакету в картонній пачці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2004-320-Rev 00 виробництва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w:t>
              <w:br/>
              <w:t>Подання оновленого ГЕ-сертифіката відповідності Європейській фармакопеї (затверджено: R1-CEP 2005-217-Rev 00; запропоновано: R1-CEP 2005-217-Rev 02) для допоміжної речовини желатин від затвердженого виробника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Подання нового ГЕ-сертифіката відповідності Європейській фармакопеї R1-CEP 2010-043-Rev 00 для допоміжної речовини желатин від нового виробника ROUSSELOT PEABODY INC.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пролонгованої дії по 1 мг; по 10 капсул у блістері; по 5 блістерів у алюмінієвому пакеті; по 1 алюмінієвому пакету в картонній пачці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2004-320-Rev 00 виробництва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w:t>
              <w:br/>
              <w:t>Подання оновленого ГЕ-сертифіката відповідності Європейській фармакопеї (затверджено: R1-CEP 2005-217-Rev 00; запропоновано: R1-CEP 2005-217-Rev 02) для допоміжної речовини желатин від затвердженого виробника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Подання нового ГЕ-сертифіката відповідності Європейській фармакопеї R1-CEP 2010-043-Rev 00 для допоміжної речовини желатин від нового виробника ROUSSELOT PEABODY INC.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пролонгованої дії по 5 мг, по 10 капсул у блістері, по 5 блістерів у алюмінієвому пакеті; по 1 алюмінієвому пакету в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2004-320-Rev 00 виробництва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w:t>
              <w:br/>
              <w:t>Подання оновленого ГЕ-сертифіката відповідності Європейській фармакопеї (затверджено: R1-CEP 2005-217-Rev 00; запропоновано: R1-CEP 2005-217-Rev 02) для допоміжної речовини желатин від затвердженого виробника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Подання нового ГЕ-сертифіката відповідності Європейській фармакопеї R1-CEP 2010-043-Rev 00 для допоміжної речовини желатин від нового виробника ROUSSELOT PEABODY INC.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пролонгованої дії по 3 мг, по 10 капсул у блістері, по 5 блістерів у алюмінієвому пакеті; по 1 алюмінієвому пакету в картонній пачціі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2004-320-Rev 00 виробництва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w:t>
              <w:br/>
              <w:t>Подання оновленого ГЕ-сертифіката відповідності Європейській фармакопеї (затверджено: R1-CEP 2005-217-Rev 00; запропоновано: R1-CEP 2005-217-Rev 02) для допоміжної речовини желатин від затвердженого виробника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Подання нового ГЕ-сертифіката відповідності Європейській фармакопеї R1-CEP 2010-043-Rev 00 для допоміжної речовини желатин від нового виробника ROUSSELOT PEABODY INC.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АЕРОФІЛІН®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doxofylline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доксофілін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R03DA11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400 мг; по 10 таблеток у блістері; по 2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Ай.Сі.І. С.П.А.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Ай.Сі.І. С.П.А.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до інструкції для медичного застосування лікарського засобу щодо найменування та місцезнаходження заявника.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назви та адреси виробника ГЛЗ відповідального за повний цикл виробництва включаючи дільницю випуску серії, а саме з Ей. Бі. Сі. ФАРМАСЬЮТІЦИ С.П.А., Італія (ВІА КАНТОНЕ МОРЕТТІ, 29 (лок. ЛОКАЛІТА САН БЕРНАРДО) - 10015 ІВРЕА (ТО) на Ай.Сі.І. С.П.А., Італія (Кантоне Моретті 29, Івреа, ТО, 10015). Виробнича дільниця та всі виробничі операції залишаються незмінними. Зміни внесено до інструкції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в тексті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 а також розділ "Місцезнаходження заявника" доповнено контактними даними представника виробника/заявника в Україні.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здійснення фармаконагляду. Зміна номера мастер-файла системи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UA/4391/01/01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АЕРТАЛ®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ацеклофенак</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M02AA25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крем, 15 мг/1 г; по 60 г у тубі; по 1 тубі в картонній упаковці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(доповнення специфікації новим показником з відповідним методом випробування) -</w:t>
              <w:br/>
              <w:t xml:space="preserve">зміна параметрів специфікацій для допоміжної речовини віск емульгований, а саме: доповнено показником Ідентифікація А (Identification A) і відповідним методом випробування (Spectroscopic Identification Tests </w:t>
            </w:r>
            <w:r>
              <w:rPr>
                <w:rStyle w:val="csab6e07694"/>
                <w:color w:val="000000"/>
              </w:rPr>
              <w:t>〈</w:t>
            </w:r>
            <w:r>
              <w:rPr>
                <w:rFonts w:cs="Arial" w:ascii="Arial" w:hAnsi="Arial"/>
                <w:color w:val="000000"/>
                <w:sz w:val="16"/>
                <w:szCs w:val="16"/>
              </w:rPr>
              <w:t xml:space="preserve">197 </w:t>
            </w:r>
            <w:r>
              <w:rPr>
                <w:rStyle w:val="csab6e07694"/>
                <w:color w:val="000000"/>
              </w:rPr>
              <w:t>〉</w:t>
            </w:r>
            <w:r>
              <w:rPr>
                <w:rFonts w:cs="Arial" w:ascii="Arial" w:hAnsi="Arial"/>
                <w:color w:val="000000"/>
                <w:sz w:val="16"/>
                <w:szCs w:val="16"/>
              </w:rPr>
              <w:t>, Infrared Spectroscopy) з метою приведення до вимог монографії діючої USP.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(доповнення специфікації новим показником з відповідним методом випробування)- зміна параметрів специфікацій для допоміжної речовини віск емульгований, а саме: доповнено показником Ідентифікація В. Склад жирних кислот (Identification B. Fatty Acid Composition) і відповідним методом випробування з метою приведення до вимог монографії діючої USP.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(доповнення специфікації новим показником з відповідним методом випробування) - зміна параметрів специфікацій для допоміжної речовини віск емульгований, а саме: додано показник Склад жирних кислот (Fatty Acid Composition) і відповідним методом випробування з метою приведення до вимог монографії діючої USP.</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UA/13910/01/01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АІРТЕК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сальметеролу ксинафоат і флутиказону пропіонат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25/125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Гленмарк Фармасьютикалз Лтд.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UA/13755/01/01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АЙЛІЯ®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aflibercept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афліберсепт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S01LA05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114,3 мг/мл; по 0,263 мл у скляному флаконі; по 1 флакону з фільтрувальною голкою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Байєр АГ</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Байєр АГ, Німеччина;</w:t>
              <w:br/>
              <w:t>виробництво (включаючи стерильну фільтрацію, наповнення - первинна упаковка); контроль якості:</w:t>
              <w:br/>
              <w:t>Каталент Індіана ЛЛС, США;</w:t>
              <w:br/>
              <w:br/>
              <w:t>виробництво (включаючи стерильну фільтрацію, наповнення - первинна упаковка), контроль якості, вторинна упаковка, випуск серії:</w:t>
              <w:br/>
              <w:t>Байєр АГ,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США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(додавання нового показання: порушення зору через набряк макули, що розвинувся внаслідок тромбозу вен сітківки (тромбозу гілки центральної вени сітківки (ТГЦВС) або тромбозу центральної вени сітківки (ТЦВС))), а також, як наслідок до розділів "Фармакологічні властивості", "Особливості застосування", "Спосіб застосування та дози", "Діти", "Побічні реакції". Введення змін протягом 4 місяців після затвердження</w:t>
              <w:b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розділу "Спосіб застосування та дози". Введення змін протягом 4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UA/12600/01/02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АЛЕРГОМАКС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диметиндену малеат, фенілефрин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R01AB</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назальні, розчин; по 15 мл у флаконі з кришкою-крапельницею зі скляною піпеткою; по 1 флакону у коробці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лікарського засобу з Товариства з обмеженою відповідальністю «Фармацевтична компанія «Здоров’я» на ТОВАРИСТВО З ОБМЕЖЕНОЮ ВІДПОВІДАЛЬНІСТЮ «КОРПОРАЦІЯ «ЗДОРОВ’Я». Адреса виробничої дільниці та всі виробничі операції залишаються незмінними. Зміни внесені в інструкцію для медичного застосування лікарського засобу у розділ «Виробник», відповідні зміни внесено в текст маркування упаковки лікарського засобу. Зміни І типу - Зміни щодо безпеки/ефективності та фармаконагляду (інші зміни) - Оновлення тексту маркування упаковки лікарського засобу, зокрема вилучення інформації, зазначеної російською мовою, та внесення редакційних правок по тексту.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UA/11696/02/01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АЛОПУРИНОЛ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allopurinol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алопуринол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M04AA01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5 блістерів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Публічне акціонерне товариство "Науково-виробничий центр "Борщагівський хіміко-фармацевтичний завод", Україна; виробництво, пакування, випуск серій: Товариство з обмеженою відповідальністю "АГРОФАРМ", Україна; контроль серій: Товариство з обмеженою відповідальністю "Натур+",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No. CEP 2008-211-Rev 05 від затвердженого виробника АФІ алопуринолу фірми “IPCA LABORATORIES LIMITED”, Індія. </w:t>
              <w:br/>
              <w:t>Затверджено</w:t>
            </w:r>
            <w:r>
              <w:rPr>
                <w:rFonts w:cs="Arial" w:ascii="Arial" w:hAnsi="Arial"/>
                <w:color w:val="000000"/>
                <w:sz w:val="16"/>
                <w:szCs w:val="16"/>
                <w:lang w:val="en-US"/>
              </w:rPr>
              <w:t>:</w:t>
              <w:br/>
              <w:t>No.R1-CEP 2008-211-Rev 04</w:t>
              <w:br/>
              <w:t>Production of Allopurinol: IPCA LABORATORIES LIMITED P.O. Sejavta India-457 001 Ratlam, Madhya Pradesh IPCA LABORATORIES LIMITED H-4, M.I.D.C., Waluj India-431 136 Aurangabad, Maharashtra</w:t>
              <w:br/>
            </w:r>
            <w:r>
              <w:rPr>
                <w:rFonts w:cs="Arial" w:ascii="Arial" w:hAnsi="Arial"/>
                <w:color w:val="000000"/>
                <w:sz w:val="16"/>
                <w:szCs w:val="16"/>
              </w:rPr>
              <w:t>Запропоновано</w:t>
            </w:r>
            <w:r>
              <w:rPr>
                <w:rFonts w:cs="Arial" w:ascii="Arial" w:hAnsi="Arial"/>
                <w:color w:val="000000"/>
                <w:sz w:val="16"/>
                <w:szCs w:val="16"/>
                <w:lang w:val="en-US"/>
              </w:rPr>
              <w:t>:</w:t>
              <w:br/>
              <w:t>No.CEP 2008-211-Rev 05</w:t>
              <w:br/>
              <w:t xml:space="preserve">SITE(S) OF PRODUCTION OF THE SUBSTANCE: </w:t>
              <w:br/>
              <w:t xml:space="preserve">IPCA LABORATORIES LIMITED </w:t>
              <w:br/>
              <w:t xml:space="preserve">P.O. Sejavta </w:t>
              <w:br/>
              <w:t xml:space="preserve">India-457 001 Ratlam, Madhya Pradesh </w:t>
              <w:br/>
              <w:t xml:space="preserve">SPOR ORG ID: 100011685 </w:t>
              <w:br/>
              <w:t xml:space="preserve">SPOR LOC ID: 100018671 </w:t>
              <w:br/>
              <w:t xml:space="preserve">IPCA LABORATORIES LIMITED </w:t>
              <w:br/>
              <w:t xml:space="preserve">Plot No. H-4, M.I.D.C. </w:t>
              <w:br/>
              <w:t xml:space="preserve">Waluj </w:t>
              <w:br/>
              <w:t xml:space="preserve">India-431 136 Chhatrapati Sambhajinagar, Maharashtra </w:t>
              <w:br/>
              <w:t xml:space="preserve">SPOR ORG ID: 100011685 </w:t>
              <w:br/>
              <w:t>SPOR LOC ID: 100021125</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UA/7302/01/01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АЛСОКАМ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meloxicam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1,5 мл в ампулі; по 5 ампул у блістері; по 1 блістеру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"ФАРМАХЕЛС"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та випуск серії:</w:t>
              <w:br/>
              <w:t>Приватне акціонерне товариство "Лекхім - Харків",</w:t>
              <w:br/>
              <w:t>Україна;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не включаючи контроль серії:</w:t>
              <w:br/>
              <w:t>Товариство з обмеженою відповідальністю "ФАРМАХЕЛС",</w:t>
              <w:br/>
              <w:t>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Додавання виробника відповідального за випуск серії, не включаючи контроль серії: Товариство з обмеженою відповідальністю "ФАРМАХЕЛС", Україна (Україна, 08114, Київська область, Бучанський район, с. Гореничі, вул. Столична, 1-А, (літера Б).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UA/18067/01/01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АЛЬБЕНДАЗОЛ-ФАРМЕКС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albendazole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альбендазол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P02CA03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400 мг, по 1 таблетці в блістері; по 1 або 3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препарату, а саме 44,00 кг або 42,718 тис. таблеток, або 42,718 тис. упаковок №1 (1х1), або 14,239 тис. упаковок №3 (1х3) </w:t>
              <w:br/>
              <w:t>Діюча редакція</w:t>
              <w:br/>
              <w:t xml:space="preserve">Розмір серії складає: 3,60 кг або 3,495 тис. таблеток, або 3,495 тис. упаковок №1 (1х1), або 1,165 тис. упаковок №3 (1х3); 10,0 кг або 9,708 тис. таблеток, або 9,708 тис. упаковок №1 (1х1), або 3,236 тис. упаковок №3 (1х3) </w:t>
              <w:br/>
              <w:t xml:space="preserve">Пропонована редакція </w:t>
              <w:br/>
              <w:t xml:space="preserve">Розмір серії складає: 3,60 кг або 3,495 тис. таблеток, або 3,495 тис. упаковок №1 (1х1), або 1,165 тис. упаковок №3 (1х3); 10,0 кг або 9,708 тис. таблеток, або 9,708 тис. упаковок №1 (1х1), або 3,236 тис. упаковок №3 (1х3); 44,00 кг або 42,718 тис. таблеток, або 42,718 тис. упаковок №1 (1х1), або 14,239 тис. упаковок №3 (1х3)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UA/18312/01/01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АСПІРОЗА®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1 капсула містить дві таблетки:</w:t>
              <w:br/>
              <w:t>- 1 таблетку розувастатину (у вигляді розувастатину кальцію) та 1 таблетку ацетилсаліцилової кислоти</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10 мг/100 мг, по 10 капсул у блістері, по 3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 випуск серії: Адамед Фарма С.А., Польща; первинне та вторинне пакування: Адамед Фарма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(затверджено: R1-CEP 2000-042 Rev 04; запропоновано: CEP 2000-042 Rev 05) для АФІ ацетилсаліцилова кислота від уже затвердженого виробника The Andhra Sugars Limited, India.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UA/18799/01/02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АСПІРОЗА®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1 капсула містить дві таблетки:</w:t>
              <w:br/>
              <w:t>- 1 таблетку розувастатину (у вигляді розувастатину кальцію) та 1 таблетку ацетилсаліцилової кислоти</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20 мг/100 мг, по 10 капсул у блістері, по 3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 випуск серії: Адамед Фарма С.А., Польща; первинне та вторинне пакування: Адамед Фарма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(затверджено: R1-CEP 2000-042 Rev 04; запропоновано: CEP 2000-042 Rev 05) для АФІ ацетилсаліцилова кислота від уже затвердженого виробника The Andhra Sugars Limited, India.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UA/18799/01/03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АСПІРОЗА®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1 капсула містить дві таблетки:</w:t>
              <w:br/>
              <w:t>- 1 таблетку розувастатину (у вигляді розувастатину кальцію) та 1 таблетку ацетилсаліцилової кислоти</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5 мг/100 мг, по 10 капсул у блістері, по 3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 випуск серії: Адамед Фарма С.А., Польща; первинне та вторинне пакування: Адамед Фарма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(затверджено: R1-CEP 2000-042 Rev 04; запропоновано: CEP 2000-042 Rev 05) для АФІ ацетилсаліцилова кислота від уже затвердженого виробника The Andhra Sugars Limited, India.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UA/18799/01/01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АФФИДА МАКС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Пiвнiчна Македонія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у затверджених реєстраційних документах відповідно до вимог Порядку ,розділ VI, п. 2.4., за. п. 4) помилки у МКЯ, пов'язані з перенесенням інформації у специфікації , зокрема цифрові (зміни затверджені наказом МОЗ від 08.11.2024р. № 1877). У специфікації при випуску та Протягом терміну придатності допущено помилку при перенесенні цифрових значень критеріїв прийнятності показника Однорідність дозованих одиниць (Розрахунково- ваговий метод): затверджена редакція: Однорідність дозованих одиниць (Розрахунково- ваговий метод): AV &lt; 15, 0 % - запропонована редакція: Однорідність дозованих одиниць (Розрахунково- ваговий метод): AV ≤ 15, 0 %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UA/17783/01/01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АЦЕТАЛ 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100 мг/3 г, по 3 г порошку в пакеті; по 10 пакетів або 5 спарених пакетів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додаткового розміру серії ГЛЗ для дозування 100 мг/3 г (РП № UA/4634/01/01) для упаковки № 10 (1х10) виробника ТОВАРИСТВО З ОБМЕЖЕНОЮ ВІДПОВІДАЛЬНІСТЮ "КОРПОРАЦІЯ "ЗДОРОВ`Я".Затверджено: Цех ГЛФ - Розмір серії складає: 4,203 тис. уп. у пакетах № 10 (1х10) або у пакетах спарених № 10 (2х5) (126,100 кг). Запропоновано: Цех ГЛФ. Розмір серії складає: 4,203 тис. уп. у пакетах № 10 (1х10) або у пакетах спарених № 10 (2х5) (126,100 кг) - 2,133 тис. уп. у пакетах № 10 (1х10) (64,000 кг)</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UA/4634/01/01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АЦЦ® ЛОНГ ЛИМОН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шипучі по 600 мг; по 1 таблетці у саше; по 6, 10 або 20 саше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Салютас Фарма ГмбХ, Німеччина;</w:t>
              <w:br/>
              <w:br/>
              <w:t>виробництво in bulk, пакування, тестування, випуск серії:</w:t>
              <w:br/>
              <w:t>Хермес Фарма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w:t>
              <w:br/>
              <w:t xml:space="preserve">Зміни внесено до інструкції для медичного застосування лікарського засобу до розділів "Протипоказання", "Спосіб застосування та дози" та "Діти" відповідно до оновленої інформації з безпеки застосування лікарського засобу.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відповідального за випуск серії Hermes Pharma GmbH, Germany.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(введення додаткового виробника) з відповідними змінами в тексті маркування упаковок лікарського засобу. </w:t>
              <w:br/>
              <w:t>Термін введення змін - протягом 6 місяців після затвердження. Зміни І типу - Зміни щодо безпеки/ефективності та фармаконагляду (інші зміни) - Зміни внесено в інструкцію для медичного застосування лікарського засобу в розділ "Побічні реакції" щодо важливості звітування про підозрювані побічні реакції. Термін введення змін - протягом 6 місяців після затвердження. Зміни І типу - Зміни щодо безпеки/ефективності та фармаконагляду (інші зміни) - Зміни внесено в текст маркування вторинної (пункти 3, 8, 11, 14, 15, 17) та первинної (пункти 4, 6) упаковки лікарського засобу. Термін введення змін -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UA/15591/01/01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БАПРЕ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75 мг, по 10 капсул у блістері; по 3 блістери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UA/19101/01/01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БАПРЕ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150 мг, по 10 капсул у блістері; по 3 блістери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Гетеро Лабз Лімітед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UA/19101/01/02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БАПРЕ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3 блістери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Гетеро Лабз Лімітед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UA/19101/01/03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БІКОЛАМІД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bicalutamide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бікалутамід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L02BB03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10 таблеток у блістері; по 3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Сінтон Хіспанія, С.Л.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w:t>
              <w:br/>
              <w:t xml:space="preserve">Зміна назви лікарського засобу. ЗАТВЕРДЖЕНО: БІКАЛУТАМІД-ВІСТА (BICALUTAMIDE-VISTA). ЗАПРОПОНОВАНО: </w:t>
              <w:br/>
              <w:t>БІКОЛАМІД (BICOLAMID). Термін введення змін -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UA/15136/01/01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БІКОЛАМІД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bicalutamide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бікалутамід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L02BB03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 по 10 таблеток у блістері; по 3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Сінтон Хіспанія, С.Л.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w:t>
              <w:br/>
              <w:t xml:space="preserve">Зміна назви лікарського засобу. ЗАТВЕРДЖЕНО: БІКАЛУТАМІД-ВІСТА (BICALUTAMIDE-VISTA). ЗАПРОПОНОВАНО: </w:t>
              <w:br/>
              <w:t>БІКОЛАМІД (BICOLAMID). Термін введення змін -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UA/15136/01/02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БІМАТОПРОСТ-СОНА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bimatoprost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біматопрост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0,3 мг/мл; по 3 мл у флаконі-крапельниці; по 1 флакону-крапельниці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Фарматен С.А.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лікарського засобу, первинне та вторинне пакування, контроль якості та випуск серій:</w:t>
              <w:br/>
              <w:t>Балканфарма-Разград АД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w:t>
              <w:br/>
              <w:t xml:space="preserve">Зміна назви лікарського засобу. ЗАТВЕРДЖЕНО: БІМАТОПРОСТ-ФАРМАТЕН (BIMATOPROST-PHARMATHEN). ЗАПРОПОНОВАНО: </w:t>
              <w:br/>
              <w:t>БІМАТОПРОСТ-СОНА (BIMATOPROST-SONA). Введення змін протягом 6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Фарматен С.А., Греція (Pharmathen S.A. Greece) відповідального за вторинне пакування, контроль якості та випуск серії, виробник, що залишається виконує ті ж функції, що й вилучений. Зміни внесено в інструкцію для медичного застосування в розділи "Виробник" та "Місцезнаходження виробника та адреса місця провадження його діяльності" у зв'язку з вилученням одного з виробників з відповідними змінами в тексті маркування упаковок.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UA/18300/01/01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БІСОПРОЛ®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bisoprolol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бісопролу фумарат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 10 таблеток у блістері; по 2, 3 або 5 блістерів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СЕР 2009-044 Rev 02 (затверджено: R1-CEP 2009-044-Rev 01) для діючої речовини Bisoprolol fumarate від вже затвердженого виробника MOEHS CATALANA S.L., Іспанія.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для діючої речовини Bisoprolol fumarate новим показником якості «Фумарова кислота» від 14,8% до 15,4% та методом випробування (ЄФ, ДФУ, 2.2.20) відповідно до вимог виробника.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у затверджених методах випробування для діючої речовини Bisoprolol fumarate виробництва MOEHS CATALANA S.L., Іспанія за показником «Супровідні домішки», а саме вилучено посилання на СЗ. Інформація щодо якості стандартних зразків, що використовуються при аналізі субстанції наведена в розділі 3.2.S.5 Стандартні зразки або препарати реєстраційного досьє; додано посилання на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Приведення специфікації та аналітичної методики для діючої речовини Bisoprolol fumarate виробництва MOEHS CATALANA S.L., Іспанія у відповідність до вимог монографії ЄФ*, вилучено формулу розрахунку та додано посилання на ЄФ*.</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UA/3214/01/01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БІСОПРОЛ®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bisoprolol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бісопролу фумарат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 10 таблеток у блістері; по 2, 3 або 5 блістерів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СЕР 2009-044 Rev 02 (затверджено: R1-CEP 2009-044-Rev 01) для діючої речовини Bisoprolol fumarate від вже затвердженого виробника MOEHS CATALANA S.L., Іспанія.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для діючої речовини Bisoprolol fumarate новим показником якості «Фумарова кислота» від 14,8% до 15,4% та методом випробування (ЄФ, ДФУ, 2.2.20) відповідно до вимог виробника.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у затверджених методах випробування для діючої речовини Bisoprolol fumarate виробництва MOEHS CATALANA S.L., Іспанія за показником «Супровідні домішки», а саме вилучено посилання на СЗ. Інформація щодо якості стандартних зразків, що використовуються при аналізі субстанції наведена в розділі 3.2.S.5 Стандартні зразки або препарати реєстраційного досьє; додано посилання на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Приведення специфікації та аналітичної методики для діючої речовини Bisoprolol fumarate виробництва MOEHS CATALANA S.L., Іспанія у відповідність до вимог монографії ЄФ*, вилучено формулу розрахунку та додано посилання на ЄФ*.</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UA/3214/01/02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БІСОПРОЛ®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bisoprolol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бісопролу фумарат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2,5 мг; 10 таблеток у блістері; по 2, 3 або 5 блістерів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СЕР 2009-044 Rev 02 (затверджено: R1-CEP 2009-044-Rev 01) для діючої речовини Bisoprolol fumarate від вже затвердженого виробника MOEHS CATALANA S.L., Іспанія.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для діючої речовини Bisoprolol fumarate новим показником якості «Фумарова кислота» від 14,8% до 15,4% та методом випробування (ЄФ, ДФУ, 2.2.20) відповідно до вимог виробника.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у затверджених методах випробування для діючої речовини Bisoprolol fumarate виробництва MOEHS CATALANA S.L., Іспанія за показником «Супровідні домішки», а саме вилучено посилання на СЗ. Інформація щодо якості стандартних зразків, що використовуються при аналізі субстанції наведена в розділі 3.2.S.5 Стандартні зразки або препарати реєстраційного досьє; додано посилання на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Приведення специфікації та аналітичної методики для діючої речовини Bisoprolol fumarate виробництва MOEHS CATALANA S.L., Іспанія у відповідність до вимог монографії ЄФ*, вилучено формулу розрахунку та додано посилання на ЄФ*.</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UA/3214/01/03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БІТУБ®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isoniazid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ізоніазид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J04AC01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у контурній чарунковій упаковці; по 2 контурні чарункові упаковки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w:t>
              <w:br/>
              <w:t xml:space="preserve">вилучення упаковок певного розміру, а саме по 5 мл у флаконах по 10 або 30 флаконів в пачці - Діюча редакція - По 5 мл у флакони закупорені пробками гумовими та обтиснуті ковпачками алюмінієвими або ковпачками алюмінієво-пластиковими. По 10 або 30 флаконів з інструкцією з медичного застосування у пачці. Пачки поміщають у картонні ящики. По 5 мл ампули скляні. По 5 ампул у контурній комірчастій упаковці, по 2 комірчасті упаковки з інструкцією з медичного застосування в пачці. Пачки поміщають у картонні ящики. На флакони та ящики наклеюють етикетки самоклейки. Допускається нанесення тексту на первинну упаковку. Допускається нанесення на флакон, ампулу та етикетку-самоклейку елементів захисту. Пропонована редакція </w:t>
              <w:br/>
              <w:t xml:space="preserve">По 5 мл в ампулах скляних. По 5 ампул у контурній чарунковій упаковці, по 2 контурні чарункові упаковки з інструкцією з медичного застосування в пачці. Пачки поміщають в ящики картонні. На ящики наклеюють самоклеючу етикетку. </w:t>
              <w:br/>
              <w:t xml:space="preserve">Допускається нанесення на ампулу та самоклеючу етикетку елементів захисту. Зміни внесено в інструкцію для медичного застосування лікарського засобу у розділ "Упаковка" у зв'язку з вилученням певного розміру упаковки, як наслідок - вилучення тексту маркування відповідної упаковки. Зміни внесено в коротку характеристику у розділ "6.5. Тип та вміст первинної упаковки". </w:t>
              <w:br/>
              <w:t>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7, 8, 11, 13, 17 та в текст маркування первинної упаковки у пункти 8, 13, 17.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UA/13377/01/01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БЛЕМАРЕН®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кислот лимонна безводна; тринатрію цитрат безводний; калію гідрокарбонат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G04BC</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шипучі; по 20 шипучих таблеток у поліпропіленовому контейнері; по 4 або 5 контейнерів у картонній коробці разом з індикаторним папером і контрольним календарем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Лабораторіoc Медікаментос Інтернасьоналес,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-вилучення контролю втрати маси при висушуванні для допоміжної речовини «Ароматизатор лимонний».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UA/9419/01/01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БРІМІКА® ДЖЕНУЕЙР®</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Formoterol and aclidinium bromide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аклідинію бромід; формотеролу фумарату дигідрат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R03AL05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інгаляцій 340 мкг/12 мкг; по 60 доз порошку в інгаляторі; по 1 або по 3 інгалятори в алюмінієвому ламінованому пакеті кожен разом із пакетиком з осушувачем в коробці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Індастріас Фармасеутікас Алмірал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(інші зміни) - Внесення змін до розділу 3.2.S.5. а саме: оновлення опису еталонного стандарту 3-(R)- Quinuclidinol Glycolate з «твердий порошок від рожевого до коричневого кольору» на «твердий порошок, від білого до рожевого кольору» та виправлення незначної друкарської помилки.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показника якості «Важкі метали» зі специфікацій діючої речовини аклідинію броміду.</w:t>
              <w:br/>
              <w:t xml:space="preserve">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вимог специфікації АФІ формотеролу фумарату дигідрат у відповідність до чинної версії монографії № 1724 («формотеролу фумарату дигідрат») Європейської фармакопеї (Ph. Eur.).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Додавання дільниці Lusochimica S.p.A., Via Giotto, 9, 23871 Lomagna, Italy, що відповідальна за контроль якості та дослідження стабільності (фізико-хімічні) для формотеролу фумарату дигідрату.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сертифікату відповідності Європейській фармакопеї CEP 2011-262 Rev 02 для АФІ формотеролу фумарату дигідрату від нового виробника Lusochimica S.p.A., Italy.</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UA/17683/01/01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lang w:val="uk-UA"/>
              </w:rPr>
            </w:pPr>
            <w:r>
              <w:rPr>
                <w:rFonts w:cs="Arial" w:ascii="Arial" w:hAnsi="Arial"/>
                <w:b/>
                <w:sz w:val="16"/>
                <w:szCs w:val="16"/>
                <w:lang w:val="uk-UA"/>
              </w:rPr>
              <w:t>БУСТРИКС КОМБІНОВАНА ВАКЦИНА ДЛЯ ПРОФІЛАКТИКИ ДИФТЕРІЇ, ПРАВЦЯ, КАШЛЮКУ (АЦЕЛЮЛЯРНИЙ КОМПОНЕНТ) (АДСОРБОВАНА, ЗІ ЗМЕНШЕНИМ ВМІСТОМ АНТИГЕНІВ)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sz w:val="16"/>
                <w:szCs w:val="16"/>
                <w:lang w:val="en-US"/>
              </w:rPr>
            </w:pPr>
            <w:r>
              <w:rPr>
                <w:rFonts w:cs="Arial" w:ascii="Arial" w:hAnsi="Arial"/>
                <w:sz w:val="16"/>
                <w:szCs w:val="16"/>
                <w:lang w:val="en-US"/>
              </w:rPr>
              <w:t>Pertussis, purified antigen, combinations with toxoids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rPr>
                <w:rFonts w:ascii="Arial" w:hAnsi="Arial" w:cs="Arial"/>
                <w:sz w:val="16"/>
                <w:szCs w:val="16"/>
                <w:vertAlign w:val="superscript"/>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rPr>
              <w:t>Bordetella pertussis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філаментозний гемаглютинін (FHA)</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пертактин (PRN)</w:t>
            </w:r>
            <w:r>
              <w:rPr>
                <w:rFonts w:cs="Arial" w:ascii="Arial" w:hAnsi="Arial"/>
                <w:sz w:val="16"/>
                <w:szCs w:val="16"/>
                <w:vertAlign w:val="superscript"/>
              </w:rPr>
              <w:t>1</w:t>
            </w:r>
          </w:p>
          <w:p>
            <w:pPr>
              <w:pStyle w:val="Normal"/>
              <w:tabs>
                <w:tab w:val="clear" w:pos="708"/>
                <w:tab w:val="left" w:pos="12600" w:leader="none"/>
              </w:tabs>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 (Al(OH)</w:t>
            </w:r>
            <w:r>
              <w:rPr>
                <w:rFonts w:cs="Arial" w:ascii="Arial" w:hAnsi="Arial"/>
                <w:i/>
                <w:iCs/>
                <w:sz w:val="16"/>
                <w:szCs w:val="16"/>
                <w:vertAlign w:val="subscript"/>
              </w:rPr>
              <w:t>3</w:t>
            </w:r>
            <w:r>
              <w:rPr>
                <w:rFonts w:cs="Arial" w:ascii="Arial" w:hAnsi="Arial"/>
                <w:i/>
                <w:iCs/>
                <w:sz w:val="16"/>
                <w:szCs w:val="16"/>
              </w:rPr>
              <w:t>) та алюмінію фосфаті (AlPO</w:t>
            </w:r>
            <w:r>
              <w:rPr>
                <w:rFonts w:cs="Arial" w:ascii="Arial" w:hAnsi="Arial"/>
                <w:i/>
                <w:iCs/>
                <w:sz w:val="16"/>
                <w:szCs w:val="16"/>
                <w:vertAlign w:val="subscript"/>
              </w:rPr>
              <w:t>4</w:t>
            </w:r>
            <w:r>
              <w:rPr>
                <w:rFonts w:cs="Arial" w:ascii="Arial" w:hAnsi="Arial"/>
                <w:i/>
                <w:iCs/>
                <w:sz w:val="16"/>
                <w:szCs w:val="16"/>
              </w:rPr>
              <w:t>)</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sz w:val="16"/>
                <w:szCs w:val="16"/>
              </w:rPr>
            </w:pPr>
            <w:r>
              <w:rPr>
                <w:rFonts w:cs="Arial" w:ascii="Arial" w:hAnsi="Arial"/>
                <w:sz w:val="16"/>
                <w:szCs w:val="16"/>
              </w:rPr>
              <w:t>J07AJ52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(Формування, наповнення в попередньо наповнені шприці, маркування та пакування, контроль якості); ГлаксоСмітКляйн Біолоджікалз С.А., Бельгія (Наповнення в попередньо наповнені шприці, маркування та пакування, контроль якості); ГлаксоСмітКляйн Біолоджікалз С.А., Бельгія (Контроль якості, випуск серії)</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«GSK Vaccines GmbH», Марбург, Німеччина, для діючих речовин дифтерійний анатоксин (Diphtheria Toxoid, DT) та правцевий анатоксин (Tetanus Toxoid, TT), а також проміжного продукту адсорбований концентрат дифтерійного та правцевого анатоксинів (Diphtheria and tetanus adsorbed concentrate, DTcc).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UA/14955/01/01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ВАБІСМО</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faricimab</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фарицимаб</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S01LA09</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120 мг/мл; по 0,24 мл (28,8 мг) у флаконі; разова доза 0,05 мл (6 мг), по 1 флакону у комплекті з голкою з фільтром, упакованою в блістер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(включаючи наповнення/первинне пакування), випробування контролю в процесі виробництва, випробування контролю якості при випуску та стабільності, крім мікроскопічного методу визначення часток, зберігання лікарського засобу, вторинне пакування, випуск готового лікарського засобу: Ф.Хоффманн-Ля Рош Лтд, Швейцарія; Випробування контролю якості при випуску та стабільності тільки для мікроскопічного методу визначення часток: Солвіас АГ,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Проектний простір та післяреєстраційний протокол управління змінами. Внесення змін у післяреєстраційний протокол управління змінами для АФІ - Впровадження протоколу управління змінами після затвердження (PACMP) з метою додавання альтернативного методу ідентифікації під час випробувань на випуск – пептидного картування з використанням Lys-C та мас-спектрометричного (МС) детектування для активного фармацевтичного інгредієнта та проміжних антитіл. Зміни II типу - Зміни з якості. Готовий лікарський засіб. Проектний простір та післяреєстраційний протокол управління змінами. Внесення змін після затвердження протоколу управління змінами для готового лікарського засобу - Впровадження протоколу управління змінами після затвердження (PACMP) з метою додавання альтернативного методу ідентифікації готової продукції при її випуску – пептидного картування Lys-C з МС- детектуванням.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UA/20151/01/01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lang w:val="uk-UA"/>
              </w:rPr>
            </w:pPr>
            <w:r>
              <w:rPr>
                <w:rFonts w:cs="Arial" w:ascii="Arial" w:hAnsi="Arial"/>
                <w:b/>
                <w:sz w:val="16"/>
                <w:szCs w:val="16"/>
                <w:lang w:val="uk-UA"/>
              </w:rPr>
              <w:t xml:space="preserve">ВАРІЛРИКС™ / </w:t>
            </w:r>
            <w:r>
              <w:rPr>
                <w:rFonts w:cs="Arial" w:ascii="Arial" w:hAnsi="Arial"/>
                <w:b/>
                <w:sz w:val="16"/>
                <w:szCs w:val="16"/>
              </w:rPr>
              <w:t>VARILRIX</w:t>
            </w:r>
            <w:r>
              <w:rPr>
                <w:rFonts w:cs="Arial" w:ascii="Arial" w:hAnsi="Arial"/>
                <w:b/>
                <w:sz w:val="16"/>
                <w:szCs w:val="16"/>
                <w:lang w:val="uk-UA"/>
              </w:rPr>
              <w:t>™ ВАКЦИНА ДЛЯ ПРОФІЛАКТИКИ ВІТРЯНОЇ ВІСПИ ЖИВА АТЕНУЙОВАНА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Varicella, live attenuated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pPr>
            <w:r>
              <w:rPr>
                <w:rFonts w:cs="Arial" w:ascii="Arial" w:hAnsi="Arial"/>
                <w:color w:val="000000"/>
                <w:sz w:val="16"/>
                <w:szCs w:val="16"/>
                <w:lang w:eastAsia="en-US"/>
              </w:rPr>
              <w:t>живий атенуйований вірус вітряної віспи (штам ОКА)</w:t>
            </w:r>
            <w:r>
              <w:rPr>
                <w:rFonts w:cs="Arial" w:ascii="Arial" w:hAnsi="Arial"/>
                <w:color w:val="000000"/>
                <w:sz w:val="16"/>
                <w:szCs w:val="16"/>
                <w:vertAlign w:val="superscript"/>
                <w:lang w:eastAsia="en-US"/>
              </w:rPr>
              <w:t>1</w:t>
            </w:r>
            <w:r>
              <w:rPr>
                <w:rFonts w:cs="Arial" w:ascii="Arial" w:hAnsi="Arial"/>
                <w:color w:val="000000"/>
                <w:sz w:val="16"/>
                <w:szCs w:val="16"/>
                <w:lang w:eastAsia="en-US"/>
              </w:rPr>
              <w:t xml:space="preserve"> </w:t>
            </w:r>
          </w:p>
          <w:p>
            <w:pPr>
              <w:pStyle w:val="Normal"/>
              <w:jc w:val="both"/>
              <w:rPr/>
            </w:pPr>
            <w:r>
              <w:rPr>
                <w:rFonts w:cs="Arial" w:ascii="Arial" w:hAnsi="Arial"/>
                <w:i/>
                <w:color w:val="000000"/>
                <w:sz w:val="16"/>
                <w:szCs w:val="16"/>
                <w:vertAlign w:val="superscript"/>
                <w:lang w:eastAsia="en-US"/>
              </w:rPr>
              <w:t>1</w:t>
            </w:r>
            <w:r>
              <w:rPr>
                <w:rFonts w:cs="Arial" w:ascii="Arial" w:hAnsi="Arial"/>
                <w:i/>
                <w:color w:val="000000"/>
                <w:sz w:val="16"/>
                <w:szCs w:val="16"/>
                <w:lang w:eastAsia="en-US"/>
              </w:rPr>
              <w:t>отриманий шляхом розмноження в диплоїдних клітинах людини (</w:t>
            </w:r>
            <w:r>
              <w:rPr>
                <w:rFonts w:cs="Arial" w:ascii="Arial" w:hAnsi="Arial"/>
                <w:i/>
                <w:color w:val="000000"/>
                <w:sz w:val="16"/>
                <w:szCs w:val="16"/>
                <w:lang w:val="en-US" w:eastAsia="en-US"/>
              </w:rPr>
              <w:t>MRC</w:t>
            </w:r>
            <w:r>
              <w:rPr>
                <w:rFonts w:cs="Arial" w:ascii="Arial" w:hAnsi="Arial"/>
                <w:i/>
                <w:color w:val="000000"/>
                <w:sz w:val="16"/>
                <w:szCs w:val="16"/>
                <w:lang w:eastAsia="en-US"/>
              </w:rPr>
              <w:t>-5)</w:t>
            </w:r>
          </w:p>
          <w:p>
            <w:pPr>
              <w:pStyle w:val="Normal"/>
              <w:tabs>
                <w:tab w:val="clear" w:pos="708"/>
                <w:tab w:val="left" w:pos="12600" w:leader="none"/>
              </w:tabs>
              <w:rPr>
                <w:rFonts w:ascii="Arial" w:hAnsi="Arial" w:cs="Arial"/>
                <w:i/>
                <w:i/>
                <w:color w:val="000000"/>
                <w:sz w:val="16"/>
                <w:szCs w:val="16"/>
                <w:lang w:eastAsia="en-US"/>
              </w:rPr>
            </w:pPr>
            <w:r>
              <w:rPr>
                <w:rFonts w:cs="Arial" w:ascii="Arial" w:hAnsi="Arial"/>
                <w:i/>
                <w:color w:val="000000"/>
                <w:sz w:val="16"/>
                <w:szCs w:val="16"/>
                <w:lang w:eastAsia="en-US"/>
              </w:rPr>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J07BK01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дозі; 1 флакон з ліофілізатом та 1 ампула з розчинником (вода для ін'єкцій) в пластиковому контейнері в картонній коробці; 1 флакон з ліофілізатом та 1 попередньо наповнений шприц з розчинником (вода для ін'єкцій) у комплекті з двома голками в пластиковому контейнері в картонній коробці; 100 флаконів з ліофілізатом та 100 ампул з розчинником (вода для ін'єкцій) (в чарунковій упаковці) в окремих картонних коробках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(Маркування та пакування розчинника в ампулах, контроль якості розчинника в ампулах, маркування та пакування розчинника в шприцах, контроль якості розчинника в шприцах, проведення контролю якості вакцини, маркування і пакування готового продукту);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Корікса Корпорейшн дба ГлаксоСмітКляйн Вакцинз, Сполучені Штати Америки (Формування вакцини, наповнення та ліофілізація вакцини);</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Фідіа Фармасьютічі С.п.А., Італія (Формування, наповнения,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тестiв Розчинність та Ідентифікація натрію);</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Делфарм Тур, Франція (Виробництво розчинника в ампулах, маркування та пакування розчинника в ампулах, контроль якості розчинника в ампулах);</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Каталент Белджіум, Бельгія (Виробництво розчинника в шприцах, контроль якості розчинника в шприцах);</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Сполучені Штати Америки</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 а саме вилучення показника "Кислотність або лужність". Термін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Зміни до специфікації на розчинник (вода для ін’єкцій) , а саме вилучення показника "Хлориди". Термін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Зміни до специфікації на розчинник (вода для ін’єкцій), а саме вилучення показника "Сульфати". Термін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Зміни до специфікації на розчинник (вода для ін’єкцій), а саме вилучення показника "Солі амонію". Термін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Зміни до специфікації на розчинник (вода для ін’єкцій), а саме вилучення показника "Кальцій та магній". Термін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Видалення незначного параметру, а саме показника "Нітрати" в процесі виробничого моніторингу в розподільному контурі води для ін'єкцій ("WFI loop level"). Термін введення змін- протягом 6-ти місяців після затвердження.Зміни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виробництва)-Видалення незначного параметру, а саме показника "Нітрати" в процесі виробничого моніторингу при QD ("Quality Decision tests performed during WFI formulation") для "bulk" води для ін'єкцій. Термін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идалення незначного параметру, а саме показника "Нітрати" в рутинному моніторингу виробничого процесу в розподільному контурі води для ін'єкцій ("WFI loop level"). Термін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Додавання незареєстрованих внутрішньотехнологічних випробувань, представлених на сайті Catalent для "bulk" води для ін'єкцій.</w:t>
              <w:br/>
              <w:t>Термін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UA/15966/01/01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ВИДАНОЛ®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500 мг; по 10 таблеток у блістері; по 3 або по 6 блістерів у картонній упаковці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або 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1583 від 14.10.2026</w:t>
            </w:r>
            <w:r>
              <w:rPr>
                <w:rFonts w:cs="Arial" w:ascii="Arial" w:hAnsi="Arial"/>
                <w:color w:val="000000"/>
                <w:sz w:val="16"/>
                <w:szCs w:val="16"/>
              </w:rPr>
              <w:t xml:space="preserve">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"Побічні реакції" щодо безпеки застосування діючої речовини транексамова кислота відповідно до рекомендацій PRAC. Введення змін протягом 12 місяців після затвердження.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Зміни внесено до Інструкції для медичного застосування лікарського засобу до розділу "Виробник". Затверджено: Виробник. ТОВ «ГЛЕДФАРМ ЛТД». Запропоновано: Виробник. ТОВ «КУСУМ». Та як наслідок зміни до тексту маркування упаковки лікарського засобу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до Інструкції для медичного застосування лікарського засобу до розділу "Виробник". Затверджено: Виробник. ТОВ «ГЛЕДФАРМ ЛТД». Запропоновано: Виробник. ТОВ «КУСУМ». Та як наслідок зміни до тексту маркування упаковки лікарського засобу Зміни внесено до Інструкції для медичного застосування лікарського засобу до розділу "Місцезнаходження виробника та адреса місця провадження його діяльності". Та як наслідок зміни до тексту маркування упаковки лікарського засобу до відповідних розділів.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Введення змін протягом 12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UA/14215/01/01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ВИДАНОЛ®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500 мг in bulk по 10 таблеток у блістері; по 150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1583 від 14.10.2026</w:t>
            </w:r>
            <w:r>
              <w:rPr>
                <w:rFonts w:cs="Arial" w:ascii="Arial" w:hAnsi="Arial"/>
                <w:color w:val="000000"/>
                <w:sz w:val="16"/>
                <w:szCs w:val="16"/>
              </w:rPr>
              <w:t xml:space="preserve"> -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UA/19694/01/01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4 таблетки у блістері; по 1 блістеру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Діюча редакція: Dr Eiko Soehlke. Пропонована редакція: Andrea Oliva. </w:t>
              <w:br/>
              <w:t>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UA/18004/01/01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або по 4 таблетки у блістері; по 1 блістеру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Діюча редакція: Dr Eiko Soehlke. Пропонована редакція: Andrea Oliva. </w:t>
              <w:br/>
              <w:t>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UA/0313/01/02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або по 2 таблетки у блістері; по 1 блістеру в картонній коробці; по 4 таблетки у блістері; по 1 або по 2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Діюча редакція: Dr Eiko Soehlke. Пропонована редакція: Andrea Oliva. </w:t>
              <w:br/>
              <w:t>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UA/0313/01/03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 ODT</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50 мг по 2 або по 4 таблетки у блістері; по 1 блістеру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UA/0313/02/01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ВІНПОЦЕТИН-ФАРМАК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N06BX18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0,5 %, по 2 мл в ампулі; по 10 ампул в пачці з картону; по 2 мл в ампулі; по 5 ампул у блістері; по 2 блістери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підозрювані побічні реакції та в розділ "Упаковка" (узгодження з реєстраційним посвідченням). Термін введення змін- протягом 6 -ти місяців після затвердження.</w:t>
              <w:br/>
              <w:t>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"Протипоказання", "Особливості застосування" та "Застосування у період вагітності або годування груддю" відповідно до інформації щодо медичного застосування референтного лікарського засобу (Кавінтон). Термін введення змін -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UA/0507/01/01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ВОБЕНЗИМ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панкреатин; папаїн; бромелаїн; триацилгліцеролліпаза; амілаза; трипсин; хімотрипсин; рутозид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M09AB</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кишковорозчинні; по 20 таблеток у блістері; по 2 або 10 блістерів у картонній коробці; по 800 таблеток у банках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Фарма ГмбХ і Ко. КГ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Eмульсіонсгезелльшафт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 Відображення виробника проміжного продукту який завжди був, але не відображався у досьє та оновлення виробничої частини досьє. Зміни І типу - Зміни з якості. АФІ. Виробництво. Зміни в процесі виробництва АФІ (інші зміни) - Оновлення блок-схеми та опису виробничого процесу для АФІ рутозиду без зміни принципу виробничого процесу. Зміни І типу - Зміни з якості. АФІ. Виробництво. Зміни випробувань або допустимих меж у процесі виробництва АФІ, що встановлені у специфікаціях (інші зміни) - Включення до досьє всього відповідного внутрішньопроцесного контролю (IPC) без зміни виробничого процесу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UA/2842/01/01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ВОБЕНЗИМ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панкреатин; папаїн; бромелаїн; триацилгліцеролліпаза; амілаза; трипсин; хімотрипсин; рутозид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M09AB</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кишковорозчинні; по 20 таблеток у блістері; по 2 або 10 блістерів у картонній коробці; по 800 таблеток у банках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Фарма ГмбХ і Ко. КГ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Eмульсіонсгезелльшафт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Зміна меж специфікації для показника зовнішнього вигляду АФІ ліпази: заміна “порошок кремового до світло-коричневого кольору” на “порошок від білого до кремового кольору”.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нового показника «Ідентифікація лактози моногідрату» до специфікації для АФІ амілази разом із відповідним методом випробування (Запропоновано: Lactose monohydrate (Ph. Eur. 2.2.24) IR Spectrum must comply with Lactose monohydrate CRS).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нового показника «Ідентифікація лактози моногідрату» до специфікації для АФІ ліпази разом із відповідним методом випробування (Запропоновано: Lactose monohydrate (Ph. Eur. 2.2.24) IR Spectrum must comply with Lactose monohydrate CRS).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параметру «Розчинність» (сенсорний тест) зі специфікації АФІ амілази.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параметру «Активність амілази (специфікація зберігання)» зі специфікації АФІ амілази.</w:t>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тесту «Афлатоксини»: оскільки фермент змішується для стандартизації активності, і тому кількість амілази становить не більше 15% від загальної кількості, тест на афлатоксини був скасований.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 суттєвого тесту «Пестициди»: оскільки фермент змішується для стандартизації активності, і тому кількість амілази становить не більше 15% від загальної кількості, тест на пестициди був скасований.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параметру «Запах» (сенсорний тест) зі специфікації АФІ ліпази, оскільки згідно з відповідними фармакопеями або інструкціями, цей параметр не є обов'язковим для лікарських речовин.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Зміна подається у зв'язку з вилученням несуттєвого параметру «Розчинність» (сенсорний тест) зі специфікації АФІ ліпази.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параметру «Активність ліпази (специфікація зберігання)» зі специфікації АФІ ліпази.</w:t>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несуттєвого тесту «Афлатоксини»: оскільки фермент змішується для стандартизації активності, і тому кількість ліпази становить не більше 3% від загальної кількості, тест на афлатоксини скасовано.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Вилученням несуттєвого тесту «Пестициди»: оскільки фермент змішується для стандартизації активності, і тому кількість ліпази не перевищує 3% від загальної кількості, тест на пестициди було скасовано.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 ). Запропоновано замінити компанію extrakt chemie, Dr. Bruno Stellmach GmbH &amp; Co. KG, Blyinghausen 8, 31655 Stadthagen, Німеччина, яка наразі зареєстрована як виробник АФІ для етапу виробництва «Змішування» ліпази, на Mucos Emulsionsgesellschaft mbH, Miraustr. 17, 13509 Berlin, Німеччина (також зареєстровану як виробник готової продукції). Введення змін протягом 6-ти місяців після затвердження.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 )</w:t>
              <w:br/>
              <w:t xml:space="preserve">Запропоновано замінити компанію extrakt chemie, Dr. Bruno Stellmach GmbH &amp; Co. KG, Blyinghausen 8, 31655 Stadthagen, Німеччина, яка наразі зареєстрована як виробник АФІ для етапу виробництва «Змішування» амілази, на Mucos Emulsionsgesellschaft mbH, Miraustr. 17, 13509 Berlin, Німеччина (також зареєстровану як виробник готової продукції). </w:t>
              <w:br/>
              <w:t>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UA/2842/01/01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ВОРИКОНАЗОЛ АККОРД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J02AC03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14 таблеток у блістері; по 1 блістеру або по 2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 xml:space="preserve">дільниця з контролю якості: АСТРОН РЕСЬОРЧ ЛІМІТЕД, Велика Британія; </w:t>
              <w:br/>
              <w:t>дільниця з контролю якості: Фармадокс Хелскеа Лтд., Мальта;</w:t>
              <w:br/>
              <w:t xml:space="preserve">додаткова дільниця з первинного та вторинного пакування: АККОРД ХЕЛСКЕА ЛІМІТЕД, Велика Британiя; </w:t>
              <w:br/>
              <w:t>додаткова дільниця з вторинного пакування: АККОРД-ЮКЕЙ ЛІМІТЕД, Велика Британія;</w:t>
              <w:br/>
              <w:t>додаткова дільниця з вторинного пакування: ДЧЛ САПЛІ ЧЕЙН (Італія) СПА, Італiя;</w:t>
              <w:br/>
              <w:t>відповідальний за випуск серії: АККОРД ХЕЛСКЕА ЛІМІТЕД, Велика Британія;</w:t>
              <w:br/>
              <w:t>Аккорд Хелскеа Полска Сп. з o.o.,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Мальта/ Італiя/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R1-CEP 2011-387-Rev 01 від вже затвердженого виробника MSN Laboratories Private Limited діючої речовини вориконазол (затверджено: R1-CEP 2011-387-Rev 00; запропоновано: R1-CEP 2011-387-Rev 01).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UA/20312/01/01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ГЕПА-МЕРЦ</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L-орнітину-L-аспартат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A05BA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5 г/10 мл по 10 мл в ампулі; по 10 ампул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Мерц Фармасьютікалс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Продукція in bulk, первинне та вторинне пакування, контроль якості: Б. Браун Мелсунген АГ, Німеччина; Вторинне пакування: </w:t>
              <w:br/>
              <w:t>Престіж Промоушн Веркауфсфоердерунг &amp; Вербесервіс ГмбХ, Німеччина; Випробування контролю якості: Б. Браун Мелсунген АГ, Німеччина; Біохем Лабор Фюр Біологіче Унд Хеміше Аналітик ГмбХ, Німеччина; іфп – Пріватес Інститут фюр Продактквалітет ГмбХ, Німеччина; Лабораторі фо Аналізіс оф Біолоджикаллі Ектів Компоундс Латвіан Інстітьют оф Органік Сінтезіс, Латвія; Лабор ЛС СЕ &amp; Ко. КГ, Німеччина; ХВІ фарма сервісес ГмбХ, Німеччина; ГБА Фарма ГмбХ, Німеччина; Евонік Оперейшнс ГмбХ – Лабор Продакт Лайн Аналітікс, Німеччина; Евонік Оперейшнс ГмбХ, Німеччина; Випробування контролю якості та випуск серії: Мерц Фарма ГмбХ і Ко. КГаА,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Латвія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з якості. АФІ. (інші зміни) - оновлення майстер-файлу (ASMF) для АФІ L-орнітину-L-аспартату від виробника Evonik Rexim S.A.S.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UA/0039/01/01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ГЕРЦЕПТИН®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"Особливості застосування".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UA/14303/01/01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ГЛАНДУМ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A01AD02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1,5 мг/мл; по 30 мл у флаконі зі спрей насосом та насадкою поворотною; по 1 флакону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«ФАРМІС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Бондар Наталія Борисівна. Пропонована редакція: Пятенко Маргарита Джіхадівна.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w:t>
              <w:br/>
              <w:t xml:space="preserve">Зміна місця здійснення основної діяльності з фармаконагляду та його номера.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UA/17869/01/01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ГЛАТИРАМЕРУ АЦЕТАТ-ВІСТА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glatiramer acetate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глатирамеру ацетат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L03AX13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40 мг/мл; по 1 мл у попередньо наповненому шприці; по 1 шприцу в блістері; по 12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w:t>
              <w:br/>
              <w:t>Сінтон Чилі Лтда., Чилі;</w:t>
              <w:br/>
              <w:br/>
              <w:t>відповідальний за випуск серії:</w:t>
              <w:br/>
              <w:t xml:space="preserve">Сінтон Хіспанія, С.Л., Іспанія; </w:t>
              <w:br/>
              <w:t xml:space="preserve">або </w:t>
              <w:br/>
              <w:t>відповідальний за випуск серії:</w:t>
              <w:br/>
              <w:t>Сінтон БВ, Нідерланди;</w:t>
              <w:br/>
              <w:br/>
              <w:t>контроль якості:</w:t>
              <w:br/>
              <w:t>Фармадокс Хелскеа Лтд., Мальта;</w:t>
              <w:br/>
              <w:br/>
              <w:t>контроль якості:</w:t>
              <w:br/>
              <w:t>Сінтон, с.р.о., Чеська Республіка;</w:t>
              <w:br/>
              <w:t>контроль якості:</w:t>
              <w:br/>
              <w:t xml:space="preserve">ІТЕСТ плюс, с.р.о., Чеська Республіка; </w:t>
              <w:br/>
              <w:br/>
              <w:t>контроль якості:</w:t>
              <w:br/>
              <w:t>ІТЕСТ плюс, с.р.о., Чеська Республіка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Чилі/ Іспанія/ Нідерланди/ Мальта/ Чеська Республіка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альтернативної виробничої дільниці Еурофінс Бактімм Б.В., Нідерланди (Eurofins Bactimm B.V., Netherlands), що відповідає за контроль якості (мікробіологічний), з відповідними змінами до розділу 3.2.P.3.1.Виробник(и).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Рові Фарма Індастріал Сервісез, С.А.,Іспанія (Rovi Pharma Industrial Services, S.A., Spain), що відповідає за виробництво, пакування, контроль якості, з відповідними змінами до розділу 3.2.P.3.1.Виробник(и).</w:t>
              <w:b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Рові Фарма Індастріал Сервісез, С.А.,Іспанія (Rovi Pharma Industrial Services, S.A., Spain) що відповідає за вторинне пакування та контроль якості, з відповідними змінами до розділу 3.2.P.3.1.Виробник(и).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UA/16792/01/02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ГЛІЯТОН®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choline alfoscerate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холіну альфосцерат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N07AX02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оральний, 600 мг/7 мл по 7 мл у флаконі; по 5 флаконів у блістері; по 2 блістери у пачці; по 70 мл у флаконі; по 1 флакону у пачці; по 7 мл у пакети-саше; по 10 або 30 пакетів-саше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w:t>
              <w:br/>
              <w:t xml:space="preserve">зміна до специфікації діючої речовини холіну альфосцерат виробника VAV LIPIDS PVT LTD, India у зв’язку з приведенням у відповідність до затверджених аналітичних методик.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UA/19540/01/01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зі смаком полуниці по 5 г у саше, по 5 або по 10, або по 20, або по 50 саше у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СП-289 (А), РПКО Індастріал ареа, Чопанкі, Бхіваді, Діст, Алвар (Раджастан), Індія виробника КУСУМ ХЕЛТХКЕР ПВТ ЛТД, Індія, залишається альтернативна дільниця цього ж виробника, що виконує ті ж функції що й вилучена. У зв'язку з вилученням однієї з виробничих дільниць вилучено інструкцію для медичного застосування та текст маркування упаковки лікарського засобу для цієї виробничої дільниці.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UA/16501/01/01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зі смаком полуниці, in bulk: № 1500 (1х1500) саше: по 5 г у саше; по 1500 саше у картонній коробці; in bulk: № 800 (1х800) саше: по 5 г у саше; по 800 саше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СП-289 (А), РПКО Індастріал ареа, Чопанкі, Бхіваді, Діст, Алвар (Раджастан), Індія виробника КУСУМ ХЕЛТХКЕР ПВТ ЛТД, Індія, залишається альтернативна дільниця цього ж виробника, що виконує ті ж функції що й вилучена.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UA/21049/01/01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гранули для орального розчину зі смаком лимона, in bulk: № 1500 (1х1500) саше: по 5 г у саше; по 1500 саше у картонній коробці; </w:t>
              <w:br/>
              <w:t>in bulk: № 800 (1х800) саше: по 5 г у саше; по 800 саше у картонній коробціі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СП-289 (А), РПКО Індастріал ареа, Чопанкі, Бхіваді, Діст, Алвар (Раджастан), Індія виробника КУСУМ ХЕЛТХКЕР ПВТ ЛТД, Індія, залишається альтернативна дільниця цього ж виробника, що виконує ті ж функції що й вилучена.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UA/21050/01/01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зі смаком лимона по 5 г у саше, по 5 або по 10, або по 20, або по 50 саше у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СП-289 (А), РПКО Індастріал ареа, Чопанкі, Бхіваді, Діст, Алвар (Раджастан), Індія виробника КУСУМ ХЕЛТХКЕР ПВТ ЛТД, Індія, залишається альтернативна дільниця цього ж виробника, що виконує ті ж функції що й вилучена. У зв'язку з вилученням однієї з виробничих дільниць вилучено інструкцію для медичного застосування та текст маркування упаковки лікарського засобу для цієї виробничої дільниці.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UA/16502/01/01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ГРИПОМЕД® ХОТ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аскорбінова кислота, феніраміну малеат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з малиновим смаком; по 5 г у саше; по 5 або 10 саше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«ФАРМІС ЛТД»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Зміна заявника лікарського засобу (власника реєстраційного посвідчення), як наслідок – внесено зміни в текст маркування вторинної (пункти 11, 17) та первинної (пункти 5, 6) упаковок.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Бондар Наталія Борисівна. Пропонована редакція: Пятенко Маргарита Джіхадівна. Зміна контактних даних уповноваженої особи,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 та його номера.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UA/16531/01/01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ГРИПОМЕД® ХОТ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аскорбінова кислота, феніраміну малеат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з лимонним смаком; по 5 г у саше; по 5 або 10 саше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«ФАРМІС ЛТД»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Зміна заявника лікарського засобу (власника реєстраційного посвідчення), як наслідок – внесено зміни в текст маркування вторинної (пункти 11, 17) та первинної (пункти 5, 6) упаковок.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Бондар Наталія Борисівна. Пропонована редакція: Пятенко Маргарита Джіхадівна. Зміна контактних даних уповноваженої особи,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 та його номера.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UA/16532/01/01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ДЕКВАЛІНІЮ ХЛОРИД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dequalinium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деквалінію 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в мішках поліетиленових подвійних для виробництва нестерильних лікарських форм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Олон еС.пі.Ей.</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в наказі МОЗ України № 1060 від 31.07.2026</w:t>
            </w:r>
            <w:r>
              <w:rPr>
                <w:rFonts w:cs="Arial" w:ascii="Arial" w:hAnsi="Arial"/>
                <w:color w:val="000000"/>
                <w:sz w:val="16"/>
                <w:szCs w:val="16"/>
              </w:rPr>
              <w:t xml:space="preserve"> (уточнення дати на номеру наказу на титульній сторінці МКЯ) в процесі внесення змін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(власника реєстраційного посвідчення). Зміни II типу - Зміни з якості. АФІ. (інші зміни). Оновлення версії DMF діючої речовини деквалінію хлориду виробника Olon S. p, A., Iталія)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UA/10547/01/01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ДЖОІНТФЛЕКС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glucosamine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глюкозаміну сульфату натрію 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200 мг/мл, по 2 мл розчину в ампулі з забарвленого скла (ампула А) у комплекті з 1 мл розчинника в ампулі з безбарвного скла (ампула В), по 5 ампул А та по 5 ампул В у пачці; по 5 ампул А та по 5 ампул В у блістерах, по 1 блістеру з ампулами А та по 1 блістеру з ампулами В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"БІОЛІК ФАРМА"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"БІОЛІК ФАРМА"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назви лікарського засобу </w:t>
              <w:br/>
              <w:t>Зміна назви лікарського засобу: затверджено: АРТІМА - запропоновано: ДЖОІНТФЛЕКС</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UA/19713/01/01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ДИМЕТИЛФУМАРАТ-ФАРМАК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dimethyl fumarate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диметилфумарат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L04AX07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гастрорезистентні тверді, по 120 мг по 7 капсул у блістері; по 3 блістери в пачці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 Україна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контроль якості, випуск серії з продукції in bulk фірми-виробника Сановель Іляч Санаі Ве Тиджарет А.Ш., Туреччина (виробництво, пакування, контроль якості та випуск серії))</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3.07.2015 № 460). Виправлення технічної помилки в МКЯ ЛЗ Диметилфумарат-Фармак, капсули гастрорезистентні тверді, по 120 мг, а саме при друці документів було допущено технічну помилку, частина тексту відсутня, в розділі «МЕТОДИ КОНТРОЛЮ», за показниками «5. Розчинення» та «8. Кількісне визначення» . Зазначене виправлення відповідає матеріалам реєстраційного досьє, які представлені в архіві (розділ 3.2.Р.5.2. Аналітичні методики)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UA/20897/01/01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ДОРЗОПТИК КОМБІ ЕКО</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Timolol,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дорзоламід (у вигляді дорзоламіду гідрохлориду) та тимолол (у вигляді тимололу малеату)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S01ED51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20 мг/мл+5 мг/мл; 5 мл розчину в поліетиленовому флаконі-крапельниці місткістю 5 мл з кришкою з гарантійним кільцем. по 1 або 3 флакони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Рафарм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зміни)-Зміни внесено в Інструкцію для медичного застосування лікарського засобу до розділу «Особливості застосування» відповідно до інформації з безпеки застосування лікарського засобу.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розділу «Побічні реакції» відповідно інформації щодо безпеки застосування діючих речовин згідно рекомендації PRAC.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UA/18413/01/01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ДОЦЕТАКСЕЛ АККОРД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docetaxel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доцетаксел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L01CD02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1 мл (20 мг) або 4 мл (80 мг) або 8 мл (160 мг) у флаконах, по 1 флакону в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С.Л.У. </w:t>
              <w:br/>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Інтас Фармасьютікалс Лімітед, Індія; Інтас Фармасьютікалс Лімітед, Індія; вторинне пакування: Аккорд Хелскеа Лімітед, Велика Британія; Синоптиз Індастріал Сп.з о.о., Польща; контроль якості серії: Єврофінс БіоФарма Продакт Тестінг Будапешт Кфт., Угорщина; Фармадокс Хелскеа Лтд., Мальта; виробництво, первинне та вторинне пакування: Онко Ілак Сан. Ве Тідж. А.С., Туреччина; контроль якості серії: Фармавалід Кфт., Угорщина; відповідальний за випуск серії: Аккорд Хелскеа Полска Сп. з о.о. Склад Імпортера, Польща; Вторинне пакування: Аккорд Хелскеа Сінгл Мембер С.А., Греція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Угорщина/ Польща/ Мальта/ Греція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дільниці відповідальної за вторинне пакування Аккорд Хелскеа Сінгл Мембер С.А., (64-й км Національної дороги Афіни, Ламія, Схіматарі, 32009, Греція) /Accord Healthcare Single Member S.A., (64 th Km National Road Athens Lamia, Schimatari, 32009, Greece).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ділянки, відповідальної за контроль серії готового продукту з PHARMAVALID Ltd. Microbiological Laboratory, Hungary на Pharmavalid Kft., Hungary. Приведення написання адреси у відповідність до GMP. Фактичне місцезнаходження та адреса залишаються без змін.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ділянки, відповідальної за контроль серії готового продукту з Eurofins Analytical Services Hungary Kft., Hungary на Eurofins BioPharma Product Testing Budapest Kft., Hungary. Приведення написання адреси у відповідність до GMP. Фактичне місцезнаходження та адреса залишаються без змін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UA/17408/01/01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ДУОДАРТ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tamsulosin and dutasteride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дутастерид; тамсулозину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G04CA52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0,5 мг/0,4 мг; по 30 або по 90 капсул у флаконі; по 1 флакону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Каталент Джермені Шорндорф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в інструкцію для медичного застосування лікарського засобу в розділи: "Побічні реакції" щодо важливості звітування про підозрювані побічні реакції, "Місцезнаходження виробника та його адреса місця провадження діяльності" (редакційне виправлення), додано розділи "Представник заявника" та "Місцезнаходження представника заявника" з зазначенням контактних даних для можливості повідомлення про підозрювані побічні реакції. Термін введення змін -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 "Особливості застосування" відповідно до оновленої інформації щодо безпеки застосування діючої речовини лікарського засобу. Термін введення змін - протягом 6 місяців після затвердження. Зміни І типу - Адміністративні зміни. Зміна назви лікарського засобу. Зміна назви лікарського засобу. Затверджено: ДУОДАРТ (DUODART™). Запропоновано: ДУОДАРТ (DUODART). Термін введення змін -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UA/13330/01/01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ЕЗЕТРЕКС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ezetimibe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езетиміб</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C10AX09</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 мг; по 7 таблеток у блістері; по 4 блістери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 200 кг (2000000 таблеток) в доповнення до вже затвердженого розміру серії 40 кг (400 000 таблеток). Затверджено</w:t>
            </w:r>
            <w:r>
              <w:rPr>
                <w:rFonts w:cs="Arial" w:ascii="Arial" w:hAnsi="Arial"/>
                <w:color w:val="000000"/>
                <w:sz w:val="16"/>
                <w:szCs w:val="16"/>
                <w:lang w:val="en-US"/>
              </w:rPr>
              <w:t xml:space="preserve">: 40 kg/400 000 Tablets </w:t>
            </w:r>
            <w:r>
              <w:rPr>
                <w:rFonts w:cs="Arial" w:ascii="Arial" w:hAnsi="Arial"/>
                <w:color w:val="000000"/>
                <w:sz w:val="16"/>
                <w:szCs w:val="16"/>
              </w:rPr>
              <w:t>Запропоновано</w:t>
            </w:r>
            <w:r>
              <w:rPr>
                <w:rFonts w:cs="Arial" w:ascii="Arial" w:hAnsi="Arial"/>
                <w:color w:val="000000"/>
                <w:sz w:val="16"/>
                <w:szCs w:val="16"/>
                <w:lang w:val="en-US"/>
              </w:rPr>
              <w:t>: Minimum / Standard Batch size 40 kg/400 000 Tablets; Maximum batch size 200 kg – 2 000 000 Tablets.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UA/19716/01/01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ЕКСФОРЖ</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Valsartan and amlodipine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 мг/80 мг; по 14 таблеток у блістері; по 1 або по 2 блістери в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Новартіс Фарма C.п.А., Італія;</w:t>
              <w:br/>
              <w:br/>
              <w:t>Виробництво, контроль якості, первинне пакування, вторинне пакування:</w:t>
              <w:br/>
              <w:t>Зігфрід Барбера, С.Л., Іспанія;</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 Румунія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виробника відповідального за контроль якості, а саме: Сандоз С.Р.Л., Румунія (вул. Лівезені, 7А, 540472, Тиргу Муреш, округ Муреш, Румунія) / Sandoz S.R.L., Romania (Str. </w:t>
            </w:r>
            <w:r>
              <w:rPr>
                <w:rFonts w:cs="Arial" w:ascii="Arial" w:hAnsi="Arial"/>
                <w:color w:val="000000"/>
                <w:sz w:val="16"/>
                <w:szCs w:val="16"/>
                <w:lang w:val="en-US"/>
              </w:rPr>
              <w:t xml:space="preserve">Livezeni nr. 7A, 540472, Targu Mures, Jud. Mures, Romania).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Адміністративні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найменування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адреси</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провадження</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w:t>
            </w:r>
            <w:r>
              <w:rPr>
                <w:rFonts w:cs="Arial" w:ascii="Arial" w:hAnsi="Arial"/>
                <w:color w:val="000000"/>
                <w:sz w:val="16"/>
                <w:szCs w:val="16"/>
              </w:rPr>
              <w:t>імпортера</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дільниці</w:t>
            </w:r>
            <w:r>
              <w:rPr>
                <w:rFonts w:cs="Arial" w:ascii="Arial" w:hAnsi="Arial"/>
                <w:color w:val="000000"/>
                <w:sz w:val="16"/>
                <w:szCs w:val="16"/>
                <w:lang w:val="en-US"/>
              </w:rPr>
              <w:t xml:space="preserve"> </w:t>
            </w:r>
            <w:r>
              <w:rPr>
                <w:rFonts w:cs="Arial" w:ascii="Arial" w:hAnsi="Arial"/>
                <w:color w:val="000000"/>
                <w:sz w:val="16"/>
                <w:szCs w:val="16"/>
              </w:rPr>
              <w:t>випуску</w:t>
            </w:r>
            <w:r>
              <w:rPr>
                <w:rFonts w:cs="Arial" w:ascii="Arial" w:hAnsi="Arial"/>
                <w:color w:val="000000"/>
                <w:sz w:val="16"/>
                <w:szCs w:val="16"/>
                <w:lang w:val="en-US"/>
              </w:rPr>
              <w:t xml:space="preserve"> </w:t>
            </w:r>
            <w:r>
              <w:rPr>
                <w:rFonts w:cs="Arial" w:ascii="Arial" w:hAnsi="Arial"/>
                <w:color w:val="000000"/>
                <w:sz w:val="16"/>
                <w:szCs w:val="16"/>
              </w:rPr>
              <w:t>серії</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місце</w:t>
            </w:r>
            <w:r>
              <w:rPr>
                <w:rFonts w:cs="Arial" w:ascii="Arial" w:hAnsi="Arial"/>
                <w:color w:val="000000"/>
                <w:sz w:val="16"/>
                <w:szCs w:val="16"/>
                <w:lang w:val="en-US"/>
              </w:rPr>
              <w:t xml:space="preserve"> </w:t>
            </w:r>
            <w:r>
              <w:rPr>
                <w:rFonts w:cs="Arial" w:ascii="Arial" w:hAnsi="Arial"/>
                <w:color w:val="000000"/>
                <w:sz w:val="16"/>
                <w:szCs w:val="16"/>
              </w:rPr>
              <w:t>проведення</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 xml:space="preserve">(діяльність, за яку відповідає виробник/імпортер, не включаючи випуск серій) - Зміна назви та уточнення адреси нового виробника відповідального за контроль якості. Діюча редакція: Сандоз С.Р.Л. / Sandoz S.R.L. вул. Лівезені, 7А, 540472, Тиргу Муреш, округ Муреш, Румунія / Str. Livezeni nr. 7A, 540472, Targu Mures, Jud. Mures, Romania. Пропонована редакція: Новартіс Фармасьютикалс С.Р.Л. / Novartis Pharmaceuticals S.R.L. вул. Лівезені, 7А, Муніципалітет Тиргу Муреш, округ Муреш, поштовий індекс 540472, Румунія / Str. </w:t>
            </w:r>
            <w:r>
              <w:rPr>
                <w:rFonts w:cs="Arial" w:ascii="Arial" w:hAnsi="Arial"/>
                <w:color w:val="000000"/>
                <w:sz w:val="16"/>
                <w:szCs w:val="16"/>
                <w:lang w:val="en-US"/>
              </w:rPr>
              <w:t>Livezeni nr. 7A, Municipiul Targu Mures, Judet Mures, post code 540472, Romania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UA/8102/01/01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ЕКСФОРЖ</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Valsartan and amlodipine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 мг/160 мг; по 14 таблеток у блістері; по 1 або по 2 блістери в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Новартіс Фарма C.п.А., Італія;</w:t>
              <w:br/>
              <w:br/>
              <w:t>Виробництво, контроль якості, первинне пакування, вторинне пакування:</w:t>
              <w:br/>
              <w:t>Зігфрід Барбера, С.Л., Іспанія;</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виробника відповідального за контроль якості, а саме: Сандоз С.Р.Л., Румунія (вул. Лівезені, 7А, 540472, Тиргу Муреш, округ Муреш, Румунія) / Sandoz S.R.L., Romania (Str. </w:t>
            </w:r>
            <w:r>
              <w:rPr>
                <w:rFonts w:cs="Arial" w:ascii="Arial" w:hAnsi="Arial"/>
                <w:color w:val="000000"/>
                <w:sz w:val="16"/>
                <w:szCs w:val="16"/>
                <w:lang w:val="en-US"/>
              </w:rPr>
              <w:t xml:space="preserve">Livezeni nr. 7A, 540472, Targu Mures, Jud. Mures, Romania).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Адміністративні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найменування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адреси</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провадження</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w:t>
            </w:r>
            <w:r>
              <w:rPr>
                <w:rFonts w:cs="Arial" w:ascii="Arial" w:hAnsi="Arial"/>
                <w:color w:val="000000"/>
                <w:sz w:val="16"/>
                <w:szCs w:val="16"/>
              </w:rPr>
              <w:t>імпортера</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дільниці</w:t>
            </w:r>
            <w:r>
              <w:rPr>
                <w:rFonts w:cs="Arial" w:ascii="Arial" w:hAnsi="Arial"/>
                <w:color w:val="000000"/>
                <w:sz w:val="16"/>
                <w:szCs w:val="16"/>
                <w:lang w:val="en-US"/>
              </w:rPr>
              <w:t xml:space="preserve"> </w:t>
            </w:r>
            <w:r>
              <w:rPr>
                <w:rFonts w:cs="Arial" w:ascii="Arial" w:hAnsi="Arial"/>
                <w:color w:val="000000"/>
                <w:sz w:val="16"/>
                <w:szCs w:val="16"/>
              </w:rPr>
              <w:t>випуску</w:t>
            </w:r>
            <w:r>
              <w:rPr>
                <w:rFonts w:cs="Arial" w:ascii="Arial" w:hAnsi="Arial"/>
                <w:color w:val="000000"/>
                <w:sz w:val="16"/>
                <w:szCs w:val="16"/>
                <w:lang w:val="en-US"/>
              </w:rPr>
              <w:t xml:space="preserve"> </w:t>
            </w:r>
            <w:r>
              <w:rPr>
                <w:rFonts w:cs="Arial" w:ascii="Arial" w:hAnsi="Arial"/>
                <w:color w:val="000000"/>
                <w:sz w:val="16"/>
                <w:szCs w:val="16"/>
              </w:rPr>
              <w:t>серії</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місце</w:t>
            </w:r>
            <w:r>
              <w:rPr>
                <w:rFonts w:cs="Arial" w:ascii="Arial" w:hAnsi="Arial"/>
                <w:color w:val="000000"/>
                <w:sz w:val="16"/>
                <w:szCs w:val="16"/>
                <w:lang w:val="en-US"/>
              </w:rPr>
              <w:t xml:space="preserve"> </w:t>
            </w:r>
            <w:r>
              <w:rPr>
                <w:rFonts w:cs="Arial" w:ascii="Arial" w:hAnsi="Arial"/>
                <w:color w:val="000000"/>
                <w:sz w:val="16"/>
                <w:szCs w:val="16"/>
              </w:rPr>
              <w:t>проведення</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 xml:space="preserve">(діяльність, за яку відповідає виробник/імпортер, не включаючи випуск серій) - Зміна назви та уточнення адреси нового виробника відповідального за контроль якості. Діюча редакція: Сандоз С.Р.Л. / Sandoz S.R.L. вул. Лівезені, 7А, 540472, Тиргу Муреш, округ Муреш, Румунія / Str. Livezeni nr. 7A, 540472, Targu Mures, Jud. Mures, Romania. Пропонована редакція: Новартіс Фармасьютикалс С.Р.Л. / Novartis Pharmaceuticals S.R.L. вул. Лівезені, 7А, Муніципалітет Тиргу Муреш, округ Муреш, поштовий індекс 540472, Румунія / Str. </w:t>
            </w:r>
            <w:r>
              <w:rPr>
                <w:rFonts w:cs="Arial" w:ascii="Arial" w:hAnsi="Arial"/>
                <w:color w:val="000000"/>
                <w:sz w:val="16"/>
                <w:szCs w:val="16"/>
                <w:lang w:val="en-US"/>
              </w:rPr>
              <w:t>Livezeni nr. 7A, Municipiul Targu Mures, Judet Mures, post code 540472, Romania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UA/8102/01/02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ЕКСФОРЖ</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Valsartan and amlodipine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10 мг/160 мг; по 14 таблеток у блістері; по 1 або по 2 блістери в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Новартіс Фарма C.п.А., Італія;</w:t>
              <w:br/>
              <w:br/>
              <w:t>Виробництво, контроль якості, первинне пакування, вторинне пакування:</w:t>
              <w:br/>
              <w:t>Зігфрід Барбера, С.Л., Іспанія;</w:t>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виробника відповідального за контроль якості, а саме: Сандоз С.Р.Л., Румунія (вул. Лівезені, 7А, 540472, Тиргу Муреш, округ Муреш, Румунія) / Sandoz S.R.L., Romania (Str. </w:t>
            </w:r>
            <w:r>
              <w:rPr>
                <w:rFonts w:cs="Arial" w:ascii="Arial" w:hAnsi="Arial"/>
                <w:color w:val="000000"/>
                <w:sz w:val="16"/>
                <w:szCs w:val="16"/>
                <w:lang w:val="en-US"/>
              </w:rPr>
              <w:t xml:space="preserve">Livezeni nr. 7A, 540472, Targu Mures, Jud. Mures, Romania).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Адміністративні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найменування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адреси</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провадження</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w:t>
            </w:r>
            <w:r>
              <w:rPr>
                <w:rFonts w:cs="Arial" w:ascii="Arial" w:hAnsi="Arial"/>
                <w:color w:val="000000"/>
                <w:sz w:val="16"/>
                <w:szCs w:val="16"/>
              </w:rPr>
              <w:t>імпортера</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дільниці</w:t>
            </w:r>
            <w:r>
              <w:rPr>
                <w:rFonts w:cs="Arial" w:ascii="Arial" w:hAnsi="Arial"/>
                <w:color w:val="000000"/>
                <w:sz w:val="16"/>
                <w:szCs w:val="16"/>
                <w:lang w:val="en-US"/>
              </w:rPr>
              <w:t xml:space="preserve"> </w:t>
            </w:r>
            <w:r>
              <w:rPr>
                <w:rFonts w:cs="Arial" w:ascii="Arial" w:hAnsi="Arial"/>
                <w:color w:val="000000"/>
                <w:sz w:val="16"/>
                <w:szCs w:val="16"/>
              </w:rPr>
              <w:t>випуску</w:t>
            </w:r>
            <w:r>
              <w:rPr>
                <w:rFonts w:cs="Arial" w:ascii="Arial" w:hAnsi="Arial"/>
                <w:color w:val="000000"/>
                <w:sz w:val="16"/>
                <w:szCs w:val="16"/>
                <w:lang w:val="en-US"/>
              </w:rPr>
              <w:t xml:space="preserve"> </w:t>
            </w:r>
            <w:r>
              <w:rPr>
                <w:rFonts w:cs="Arial" w:ascii="Arial" w:hAnsi="Arial"/>
                <w:color w:val="000000"/>
                <w:sz w:val="16"/>
                <w:szCs w:val="16"/>
              </w:rPr>
              <w:t>серії</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місце</w:t>
            </w:r>
            <w:r>
              <w:rPr>
                <w:rFonts w:cs="Arial" w:ascii="Arial" w:hAnsi="Arial"/>
                <w:color w:val="000000"/>
                <w:sz w:val="16"/>
                <w:szCs w:val="16"/>
                <w:lang w:val="en-US"/>
              </w:rPr>
              <w:t xml:space="preserve"> </w:t>
            </w:r>
            <w:r>
              <w:rPr>
                <w:rFonts w:cs="Arial" w:ascii="Arial" w:hAnsi="Arial"/>
                <w:color w:val="000000"/>
                <w:sz w:val="16"/>
                <w:szCs w:val="16"/>
              </w:rPr>
              <w:t>проведення</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 xml:space="preserve">(діяльність, за яку відповідає виробник/імпортер, не включаючи випуск серій) - Зміна назви та уточнення адреси нового виробника відповідального за контроль якості. Діюча редакція: Сандоз С.Р.Л. / Sandoz S.R.L. вул. Лівезені, 7А, 540472, Тиргу Муреш, округ Муреш, Румунія / Str. Livezeni nr. 7A, 540472, Targu Mures, Jud. Mures, Romania. Пропонована редакція: Новартіс Фармасьютикалс С.Р.Л. / Novartis Pharmaceuticals S.R.L. вул. Лівезені, 7А, Муніципалітет Тиргу Муреш, округ Муреш, поштовий індекс 540472, Румунія / Str. </w:t>
            </w:r>
            <w:r>
              <w:rPr>
                <w:rFonts w:cs="Arial" w:ascii="Arial" w:hAnsi="Arial"/>
                <w:color w:val="000000"/>
                <w:sz w:val="16"/>
                <w:szCs w:val="16"/>
                <w:lang w:val="en-US"/>
              </w:rPr>
              <w:t>Livezeni nr. 7A, Municipiul Targu Mures, Judet Mures, post code 540472, Romania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UA/8102/01/03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ЕПІРУБІЦИН 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epirubicin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епірубіцину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L01DB03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 мг/мл, по 5 мл, або по 10 мл, або по 25 мл, або по 50 мл, або по 100 мл у флаконі; по 1 флакону в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контроль та випуск серії: Медак Гезельшафт фюр клініше Шпеціальпрепарате мбХ, Німеччина;</w:t>
              <w:br/>
              <w:t>Виробництво "in bulk", пакування, маркування та контроль серії: Онкотек Фарма Продакшн ГмбХ, Німеччина; Виробництво "in bulk", пакування, маркування та контроль серії: Онкомед меньюфекчерінг а.с., Чеська Республіка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Чеська Республіка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UA/10941/01/01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ЕРЕЛЗІ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etanercept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етанерцепт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мг/1 мл (50 мг); по 1 мл розчину у попередньо наповненому шприці; 4 попередньо наповнені шприци у блістерах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Сандоз ГмбХ – Виробнича дільниця Асептичні Лікарські Засоби Шафтенау (Асептичні ЛЗШ), Австрія; виробництво in bulk, пакування, випуск серії, контроль серії: Новартіс Фармасьютікал Мануфактурінг ГмбХ, Австрія; вторинне пакування, контроль серії: Ай Ді Ті Біологіка ГмбХ, Німеччина; контроль серії: Новартіс Фармасьютікал Мануфактурінг ГмбХ, Австрія; контроль серії: Єврофінс ФАСТ ГмбХ, Німеччина; контроль серії: Новартіс Фарма Штайн АГ, Швейцарія; контроль серії: Новартіс Фарма АГ, Швейцарія; контроль серії: Новартіс Фармасьютікал Мануфактуринг ЛЛС, Словенія; контроль серії: ЕйендЕм Стабтест Лабор фюр Аналітик унд Штабілітетпрюфунген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 Швейцарія/ Словенія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 Зміна у специфікації з метою приведення у відповідність до вимог Європейської фармакопеї для рекомбінантного людського (hr) інсуліну, що використовується в процесі підготовки інокуляту/культивування клітин діючої речовини. Змінюється посилання з власних специфікацій на вимогу ЄФ.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 Додавання визначення мікоплазми за допомогою NAT (Nucleic Acid Amplification Techniques)(ПЛР у реальному часі) у якості альтернативного внутрішньотехнологічного тесту, що застосовується під час виробництва діючої речовини. Встановлено нормування «Мікоплазма не виявлена».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Зміни до процедури випробування біонавантаження, що використовується для діючої речовини, оновлення параметрів інкубації та додавання методу "The pour-plate method", як альтернативи для загального підрахунку аеробних мікроорганізмів.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Зміна виробничого процесу лікарського засобу, виробником Novartis Pharmaceutical Manufacturing GmbH, з метою подовження часу зберігання готового продукту в нерозфасованому вигляді (після мікробіологічної фільтрації) за кімнатної температури з ≤ 72 год до ≤ 142 год, а також подовження часу процесу розливу з ≤ 24 год до ≤ 48 год. Зміни І типу - Зміни з якості. АФІ. Виробництво. Зміни в процесі виробництва АФІ (незначна зміна у процесі виробництва АФІ) - незначні зміни у виробничому процесі активної речовини етанерцепт: впровадження нового РБК, виготовлено з використанням удосконаленого процесу. Модуль 3.2.S.2.3 був оновлений відповідно.</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UA/21193/01/01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ЕССЕНЦІАЛЄ® 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«Есcенціальні фосфоліпіди»</w:t>
            </w:r>
            <w:r>
              <w:rPr>
                <w:rFonts w:eastAsia="Symbol" w:cs="Symbol" w:ascii="Symbol" w:hAnsi="Symbol"/>
                <w:sz w:val="16"/>
                <w:szCs w:val="16"/>
                <w:vertAlign w:val="superscript"/>
              </w:rPr>
              <w:sym w:font="Symbol" w:char="f0d2"/>
            </w:r>
            <w:r>
              <w:rPr>
                <w:rFonts w:cs="Arial" w:ascii="Arial" w:hAnsi="Arial"/>
                <w:sz w:val="16"/>
                <w:szCs w:val="16"/>
              </w:rPr>
              <w:t>= EPL</w:t>
            </w:r>
            <w:r>
              <w:rPr>
                <w:rFonts w:eastAsia="Symbol" w:cs="Symbol" w:ascii="Symbol" w:hAnsi="Symbol"/>
                <w:sz w:val="16"/>
                <w:szCs w:val="16"/>
                <w:vertAlign w:val="superscript"/>
              </w:rPr>
              <w:sym w:font="Symbol" w:char="f0d2"/>
            </w:r>
            <w:r>
              <w:rPr>
                <w:rFonts w:cs="Arial" w:ascii="Arial" w:hAnsi="Arial"/>
                <w:sz w:val="16"/>
                <w:szCs w:val="16"/>
              </w:rPr>
              <w:t xml:space="preserve">-субстанція (фосфоліпіди  із соєвих бобів (93 % (3-sn-фосфатидил)холіну),  які містять </w:t>
            </w:r>
            <w:r>
              <w:rPr>
                <w:rFonts w:eastAsia="Symbol" w:cs="Symbol" w:ascii="Symbol" w:hAnsi="Symbol"/>
                <w:sz w:val="16"/>
                <w:szCs w:val="16"/>
              </w:rPr>
              <w:sym w:font="Symbol" w:char="f061"/>
            </w:r>
            <w:r>
              <w:rPr>
                <w:rFonts w:cs="Arial" w:ascii="Arial" w:hAnsi="Arial"/>
                <w:sz w:val="16"/>
                <w:szCs w:val="16"/>
              </w:rPr>
              <w:t>-токоферол,  етанол 96 %)</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A05BA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250 мг/5 мл, №5: по 5 мл в ампулі; по 5 ампул у контурній чарунковій упаковці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"Опелла Хелскеа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пакування, маркування, контроль та випуск серії: АТ "Галичфарм", Україна; виробництво, пакування, маркування, контроль та випуск серії: ФАМАР ХЕЛС КЕАР СЕРВІСІЗ МАДРИД, С.А.У., Іспанiя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 Іспанiя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 виправлення технічної помилки згідно п.2.4. пп. 5 розділу VI наказу МОЗ України від 26.08.2005р. № 426 (у редакції наказу МОЗ України від 23.07.2015 р № 460) у зв’язку із різночитанням у пункті 9 затверджених методів контролю якості лікарського засобу за показником «Бактеріальні ендотоксини», а саме в методах контролю некоректно зазначено вміст бактеріальних ендотоксинів (має становити макс. 35 ОЕ/мл) замість коректного (має становити макс. 14 ОЕ/мл), як зазначено в розділі Специфікація МКЯ ЛЗ. Зазначене виправлення відповідає матеріалам реєстраційного досьє (розділ Специфікація МКЯ ЛЗ).</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UA/8626/01/01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в блістері; по 3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10 таблеток в блістері; по 3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в блістері; по 3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іn bulk: № 5000 у поліетиленовому пакеті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іn bulk: № 5000 у поліетиленовому пакеті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іn bulk: № 5000 у поліетиленовому пакеті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UA/15699/01/03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іn bulk: № 5000 у поліетиленовому пакеті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UA/15699/01/04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в блістері; по 3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Зміна назви лікарського засобу. Затверджено: ЕПРАКАД. Запропоновано: ЕСЦИТАЛОПРАМ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ЕТИЛМЕТИЛГІДРОКСИПІРИДИНУ СУКЦИНАТ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етилметилгідрокипіридину сукцинат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мішках для фармацевтичного застосування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не включаючи контроль/випробування серії:</w:t>
              <w:br/>
              <w:t>ТОВ НВФ «МІКРОХІМ»</w:t>
              <w:br/>
              <w:t>Україна; відповідальний за виробництво та контроль/випробування серії, не включаючи випуск серії:</w:t>
              <w:br/>
              <w:t>Акціонерне Товариство "Фармак",</w:t>
              <w:br/>
              <w:t>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«відповідальний за контроль/випробування серії» для дільниці ТОВ НВФ «МІКРОХІМ» за адресою: Україна, 93000, Луганська обл., м. Рубіжне, вул. Леніна, буд. 33.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зміна адреси виробника лікарського засобу, який виконує функції «відповідального за випуск серії» для дільниці ТОВ НВФ «МІКРОХІМ», яка знаходилась за адресою: Україна, 93000, Луганська обл., м. Рубіжне, вул. Леніна, буд. 33 (запропоновано: Україна, 01013, м. Київ, вул. Будіндустрії, буд. 5)</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ЗОНІК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оральний, 20 мг/мл по 100 мл у скляному флаконі темного кольору з кришкою з контролем першого відкриття; кожен флакон у картонній упаковці разом із шприцом-дозатором об'ємом 5 мл та адаптером для шприца; по 100 мл у скляному флаконі темного кольору з кришкою, недоступною для відкриття дітьми; кожен флакон у картонній упаковці разом із шприцом-дозатором об'ємом 5 мл та адаптером для шприца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 або</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Додавання випробування «Пропускання світла» з відповідним методом контролю до специфікації для скляних флаконів з темного скла. Зміна обумовлена необхідністю приведення специфікації у відповідність до фармакопейних вимог щодо скляних контейнерів з темного скла.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незначної зміни у випробувані «Супровідні домішки» в методах контролю якості, у зв’язку з необхідністю уточнення методу контролю показника «Супровідні домішки». До пункту «Приготування стандартного розчину» додано інформацію щодо фільтрування розчину порівняння відповідно до валідаційної документації. Зміна є редакційним уточненням та не впливає на якість, безпеку й ефективність лікарського засобу.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відповідального за діяльність, включаючи випуск серій, з ТОВ «ГЛЕДФАРМ ЛТД» на ТОВ «КУСУМ». Юридична особа та адреса місця провадження діяльності залишаються без змін. Діюча редакція: Виробник, країна: ТОВ «КУСУМ ФАРМ», УКРАЇНА або ТОВ «ГЛЕДФАРМ ЛТД», Україна. Пропонована редакція: Виробник, країна: ТОВ «КУСУМ ФАРМ», УКРАЇНА або ТОВ «КУСУМ», УКРАЇНА. Зміни внесено в інструкцію для медичного застосування лікарського засобу у розділ «Виробник» з відповідними змінами в тексті маркування упаковок лікарського засобу (зміна назви виробника). Введення змін протягом 12-ти місяців після затвердження. Зміни І типу - Адміністративні зміни. Зміна найменування та/або адреси заявника (власника реєстраційного посвідчення) - міна назви заявника (власника реєстраційного посвідчення) з ТОВ «ГЛЕДФАРМ ЛТД» на ТОВ «КУСУМ» без зміни юридичної особи та адреси, відповідно до витягу з Єдиного державного реєстру юридичних осіб. Діюча редакція: Заявник, країна: ТОВ «ГЛЕДФАРМ ЛТД», Україна. Пропонована редакція: </w:t>
              <w:br/>
              <w:t>Заявник, країна: ТОВ «КУСУМ», Україна. Введення змін протягом 12-ти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UA/20659/01/01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 xml:space="preserve">ІБУПРОМ ДЛЯ ДІТЕЙ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оральна, по 100 мг/5 мл по 100мл, 150 мл або 200 мл у флаконі; по 1 флакону у комплекті зі шприцом-дозатором по 5 мл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Юнілаб, ЛП</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 Фармасьєрра Мануфекчурін, С.Л., Іспанія; Виробництво, первинне та вторинне пакування, контроль якості, випуск серії готового продукту:</w:t>
              <w:br/>
              <w:t>Делфарм Бладел Б.В., Нідерланди; Контроль якості (за винятком мікробіологічного контролю), випуск серії готового продукту:</w:t>
              <w:br/>
              <w:t>Фармалідер, С.А., Іспанія; Виробництво, первинне та вторинне пакування, контроль якості: Едефарм, С.Л., Іспанія; Альтернативна дільниця для проведення мікробіологічного контролю (субдоговір з виробником Фармалідер, С.А.): Біолаб С.Л., Іспанiя; Випуск серії готового продукту: ТОВ ЮС Фармація,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 Нідерланди/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реєстраційного номера в наказі МОЗ України № 1583 від 14.10.2026 в процесі внесення змін</w:t>
            </w:r>
            <w:r>
              <w:rPr>
                <w:rFonts w:cs="Arial" w:ascii="Arial" w:hAnsi="Arial"/>
                <w:color w:val="000000"/>
                <w:sz w:val="16"/>
                <w:szCs w:val="16"/>
              </w:rPr>
              <w:t xml:space="preserv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Вилучення сертифікатів (за наявності мультиплетного сертифіката на матеріал) - Вилучення сертифіката відповідності ЄФ для АФІ Ібупрофен від затвердженого виробника (SI Group, INC, USA). У зв'язку з припиненням співпраці з виробником АФІ SI Group, INC, USA). Редакція в наказі - UA/15878/01/02. </w:t>
            </w:r>
            <w:r>
              <w:rPr>
                <w:rFonts w:cs="Arial" w:ascii="Arial" w:hAnsi="Arial"/>
                <w:b/>
                <w:color w:val="000000"/>
                <w:sz w:val="16"/>
                <w:szCs w:val="16"/>
              </w:rPr>
              <w:t>Вірна редакція - UA/15878/01/01.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sz w:val="16"/>
                <w:szCs w:val="16"/>
              </w:rPr>
            </w:pPr>
            <w:r>
              <w:rPr>
                <w:rFonts w:cs="Arial" w:ascii="Arial" w:hAnsi="Arial"/>
                <w:b/>
                <w:sz w:val="16"/>
                <w:szCs w:val="16"/>
              </w:rPr>
              <w:t>UA/15878/01/01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ІБУПРОНЕКС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желатинові м’які по 400 мг, по 10 капсул у блістері; по 2 блістери в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Софтгель Хелскер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 xml:space="preserve">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діючої речовини ібупрофен відповідно до рекомендацій PRAC. Інструкція для медичного застосування лікарського засобу (eCTD версія 0005)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UA/20884/01/01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ІЗІКЛІН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Mineral salts in combination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сульфат безводний; магнію сульфат, гептагідрат; калію сульфат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A06AD10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орального розчину; близько 176 мл концентрату для орального розчину у пляшці; по 2 пляшки у комплекті з одним стаканчиком з мірною лінією,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і адреси заявника, оскільки це пов’язано з маркетинговою політикою компанії. Зміни внесено до інструкції для медичного застосування лікарського засобу до розділів "Заявник", "Місцезнаходження заявника".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Зміни внесено до інструкції для медичного застосування лікарського засобу до розділів "Виробник", "Місцезнаходження виробника та адреса місця провадження його діяльності" та пункту 5 тексту маркування первинної упаковки лікарського засобу та до пункту 11 тексту маркування вторинної упаковки лікарського засобу. Введення змін протягом 6 місяців після затвердження. Зміни І типу - Зміни щодо безпеки/ефективності та фармаконагляду (інші зміни). Зміни внесено до пунктів 2, 3, 4, 6, 8, 9, 13, 16, 17 тексту маркування вторинної упаковки та до пунктів 3, 4, 6 тексту маркування первинної упаковки лікарського засобу.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UA/14703/01/01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ІЗІКЛІН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Mineral salts in combination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сульфат безводний; магнію сульфат, гептагідрат; калію сульфат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A06AD10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орального розчину; близько 176 мл концентрату для орального розчину у пляшці; по 2 пляшки у комплекті з одним стаканчиком з мірною лінією,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партії готового лікарського засобу у два рази порівняно з початково затвердженим розміром партії. Затверджено: 2862,81 кг. </w:t>
              <w:br/>
              <w:t xml:space="preserve">Запропоновано: 2862,81 кг, 5 725,62 кг.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внесення незначних змін до виробничого процесу готового лікарського засобу, зокрема: на етапі А: - об’єднання введення води очищеної: тепер вода додається один раз, замість того щоб додаватися до і після натрію сульфату безводного; - сукралоза та ароматизатор (cocktail flavour) тепер вводяться безпосередньо у виробничий бак, замість попереднього окремого змішування. Виправлення друкарської помилки у розділі 3.2.P.3.3. Опис виробничого процесу та контролю процесу, зокрема: коректне зазначення одиниць виміру при контролі закручування кришок. </w:t>
              <w:br/>
              <w:t>Затверджено</w:t>
            </w:r>
            <w:r>
              <w:rPr>
                <w:rFonts w:cs="Arial" w:ascii="Arial" w:hAnsi="Arial"/>
                <w:color w:val="000000"/>
                <w:sz w:val="16"/>
                <w:szCs w:val="16"/>
                <w:lang w:val="en-US"/>
              </w:rPr>
              <w:t xml:space="preserve">: A torque testing of caps is also performed to check their closure. Acceptance criterion: 60 to 199 N. m. </w:t>
              <w:br/>
            </w:r>
            <w:r>
              <w:rPr>
                <w:rFonts w:cs="Arial" w:ascii="Arial" w:hAnsi="Arial"/>
                <w:color w:val="000000"/>
                <w:sz w:val="16"/>
                <w:szCs w:val="16"/>
              </w:rPr>
              <w:t>Запропоновано</w:t>
            </w:r>
            <w:r>
              <w:rPr>
                <w:rFonts w:cs="Arial" w:ascii="Arial" w:hAnsi="Arial"/>
                <w:color w:val="000000"/>
                <w:sz w:val="16"/>
                <w:szCs w:val="16"/>
                <w:lang w:val="en-US"/>
              </w:rPr>
              <w:t xml:space="preserve">: A torque testing of caps is also performed to check their closure. Acceptance criterion: 60 to 199 N. </w:t>
            </w:r>
            <w:r>
              <w:rPr>
                <w:rFonts w:cs="Arial" w:ascii="Arial" w:hAnsi="Arial"/>
                <w:color w:val="000000"/>
                <w:sz w:val="16"/>
                <w:szCs w:val="16"/>
              </w:rPr>
              <w:t>с</w:t>
            </w:r>
            <w:r>
              <w:rPr>
                <w:rFonts w:cs="Arial" w:ascii="Arial" w:hAnsi="Arial"/>
                <w:color w:val="000000"/>
                <w:sz w:val="16"/>
                <w:szCs w:val="16"/>
                <w:lang w:val="en-US"/>
              </w:rPr>
              <w:t xml:space="preserve">m. </w:t>
              <w:br/>
            </w:r>
            <w:r>
              <w:rPr>
                <w:rFonts w:cs="Arial" w:ascii="Arial" w:hAnsi="Arial"/>
                <w:color w:val="000000"/>
                <w:sz w:val="16"/>
                <w:szCs w:val="16"/>
              </w:rPr>
              <w:t>Зміни</w:t>
            </w:r>
            <w:r>
              <w:rPr>
                <w:rFonts w:cs="Arial" w:ascii="Arial" w:hAnsi="Arial"/>
                <w:color w:val="000000"/>
                <w:sz w:val="16"/>
                <w:szCs w:val="16"/>
                <w:lang w:val="en-US"/>
              </w:rPr>
              <w:t xml:space="preserve"> II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 лікарський засіб. Контроль готового лікарського засобу (інші зміни) - приведення затверджених в Україні МКЯ ЛЗ до матеріалів реєстраційного досьє, затвердженого в країнах ЄС та до вимог чинного законодавства України.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UA/14703/01/01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ІЗІКЛІН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Mineral salts in combination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сульфат безводний; магнію сульфат, гептагідрат; калію сульфат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A06AD10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орального розчину; близько 176 мл концентрату для орального розчину у пляшці; по 2 пляшки у комплекті з одним стаканчиком з мірною лінією,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Сільвія Сісмондо / Sylvie Cismondo. Пропонована редакція: Ніколас Феррарі / Nicolas Ferrari. </w:t>
              <w:br/>
              <w:t>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Шапка Олена Володимирівна. Пропонована редакція: Прасоленко Юлія Валеріївна.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UA/14703/01/01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ІЗОПЛАЗМІЛ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electrolytes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хлорид, калію хлорид, магнію хлориду гексагідрат, натрію ацетату тригідрат, натрію глюконат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B05BB01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інфузій по 250 мл або по 500 мл у пляшках полімерних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 Україна</w:t>
              <w:br/>
              <w:t>випуск серії, контроль якості; виробництво ЛЗ в контейнерах полімерних, контроль якості за фізико-хімічними показниками</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w:t>
              <w:br/>
              <w:t xml:space="preserve">Зміни внесено у п. 17. ІНШЕ тексту маркування упаковки лікарського засобу щодо нанесення ультрафіолетового елемента захисту. </w:t>
              <w:br/>
              <w:t xml:space="preserve">Введення змін протягом 6-ти місяців після затвердження. Зміни II типу - Зміни з якості. Готовий лікарський засіб. Система контейнер/закупорювальний засіб. Зміна розміру упаковки готового лікарського засобу (зміна маси/об'єму вмісту контейнера багатодозового стерильного лікарського засобу (або однодозового, часткового використання) та багатодозового лікарського засобу біологічного/імунологічного походження для парентерального застосування) - зміна розміру упаковки готового лікарського засобу, затверджено: Упаковка: по 500 мл у пляшках полімерних із поліпропілену, герметично запаяних кришками захисними полімерними. запропоновано: Упаковка: по 250 мл або по 500 мл у пляшках полімерних із поліпропілену, герметично запаяних кришками захисними полімерними. Зміни внесено в розділ "Упаковка" в інструкцію для медичного застосування та в розділ 6.5 "Тип та вміст первинної упаковки" в коротку характеристику лікарського засобу у зв'язку з введенням додаткового розміру упаковки та як наслідок - затвердження тексту маркування додаткового розміру упаковки лікарського засобу. </w:t>
              <w:br/>
              <w:t xml:space="preserve">Введення змін протягом 6-ти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UA/21327/01/01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ІНСУЛІН ЛЮДСЬКИЙ БІОСИНТЕТИЧНИЙ</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insulin (human)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інсулін людський біосинтетичний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скляних банках для фармацевтичного застосування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Елі Ліллі енд Компані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Елі Ліллі енд Компані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(інші зміни) - приведення методів контролю якості у відповідність до вимог чинного законодавства України, що полягає у перекладі методів контролю якості на українську мову, та гармонізації інформації, викладеної у затверджених методах контролю якості, з даними реєстраційного досьє, що стосуються узгодження викладення інформації у розділах «Структурна формула», «Специфікація», «Упаковка», «Маркування» та «Умови зберігання». Запропоновано оновити формат викладення аналітичних методик (Розділ МКЯ "Методи контролю") з метою узгодження з форматом розділу досьє 3.2.S.4.2 Аналітичні методики.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UA/15372/01/01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ІНФУЗОЛІД®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linezolid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лінезолід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J01XX08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2 мг/мл; по 300 мл у пакеті полімерному, поміщеному у пакет з металізованим покриттям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 xml:space="preserve">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2.0 </w:t>
              <w:br/>
              <w:t xml:space="preserve">Зміни внесено до частин: </w:t>
              <w:br/>
              <w:t xml:space="preserve">І «Загальна інформація», </w:t>
              <w:br/>
              <w:t>II «Специфікація з безпеки»,</w:t>
              <w:br/>
              <w:t>III «План з фармаконагляду»,</w:t>
              <w:br/>
              <w:t xml:space="preserve">IV»Плани щодо післяреєстраційних досліджень ефективності», </w:t>
              <w:br/>
              <w:t xml:space="preserve">V «Заходи з мінімізації ризиків», </w:t>
              <w:br/>
              <w:t xml:space="preserve">VI «Резюме плану управління ризиками» </w:t>
              <w:br/>
              <w:t xml:space="preserve">VII «Додатки» </w:t>
              <w:br/>
              <w:t xml:space="preserve">у зв’язку з оновленням специфікації з безпеки діючої речовини лінезоліду,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w:t>
            </w:r>
            <w:r>
              <w:rPr>
                <w:rFonts w:cs="Arial" w:ascii="Arial" w:hAnsi="Arial"/>
                <w:color w:val="000000"/>
                <w:sz w:val="16"/>
                <w:szCs w:val="16"/>
                <w:lang w:val="en-US"/>
              </w:rPr>
              <w:t xml:space="preserve">31 October 2018 EMA/164014/2018 Rev.2.0.1 accompanying GVP Module V Rev.2 Human Medicines). </w:t>
              <w:br/>
            </w:r>
            <w:r>
              <w:rPr>
                <w:rFonts w:cs="Arial" w:ascii="Arial" w:hAnsi="Arial"/>
                <w:color w:val="000000"/>
                <w:sz w:val="16"/>
                <w:szCs w:val="16"/>
              </w:rPr>
              <w:t>Резюме</w:t>
            </w:r>
            <w:r>
              <w:rPr>
                <w:rFonts w:cs="Arial" w:ascii="Arial" w:hAnsi="Arial"/>
                <w:color w:val="000000"/>
                <w:sz w:val="16"/>
                <w:szCs w:val="16"/>
                <w:lang w:val="en-US"/>
              </w:rPr>
              <w:t xml:space="preserve"> </w:t>
            </w:r>
            <w:r>
              <w:rPr>
                <w:rFonts w:cs="Arial" w:ascii="Arial" w:hAnsi="Arial"/>
                <w:color w:val="000000"/>
                <w:sz w:val="16"/>
                <w:szCs w:val="16"/>
              </w:rPr>
              <w:t>плану</w:t>
            </w:r>
            <w:r>
              <w:rPr>
                <w:rFonts w:cs="Arial" w:ascii="Arial" w:hAnsi="Arial"/>
                <w:color w:val="000000"/>
                <w:sz w:val="16"/>
                <w:szCs w:val="16"/>
                <w:lang w:val="en-US"/>
              </w:rPr>
              <w:t xml:space="preserve"> </w:t>
            </w:r>
            <w:r>
              <w:rPr>
                <w:rFonts w:cs="Arial" w:ascii="Arial" w:hAnsi="Arial"/>
                <w:color w:val="000000"/>
                <w:sz w:val="16"/>
                <w:szCs w:val="16"/>
              </w:rPr>
              <w:t>управління</w:t>
            </w:r>
            <w:r>
              <w:rPr>
                <w:rFonts w:cs="Arial" w:ascii="Arial" w:hAnsi="Arial"/>
                <w:color w:val="000000"/>
                <w:sz w:val="16"/>
                <w:szCs w:val="16"/>
                <w:lang w:val="en-US"/>
              </w:rPr>
              <w:t xml:space="preserve"> </w:t>
            </w:r>
            <w:r>
              <w:rPr>
                <w:rFonts w:cs="Arial" w:ascii="Arial" w:hAnsi="Arial"/>
                <w:color w:val="000000"/>
                <w:sz w:val="16"/>
                <w:szCs w:val="16"/>
              </w:rPr>
              <w:t>ризиками</w:t>
            </w:r>
            <w:r>
              <w:rPr>
                <w:rFonts w:cs="Arial" w:ascii="Arial" w:hAnsi="Arial"/>
                <w:color w:val="000000"/>
                <w:sz w:val="16"/>
                <w:szCs w:val="16"/>
                <w:lang w:val="en-US"/>
              </w:rPr>
              <w:t xml:space="preserve"> </w:t>
            </w:r>
            <w:r>
              <w:rPr>
                <w:rFonts w:cs="Arial" w:ascii="Arial" w:hAnsi="Arial"/>
                <w:color w:val="000000"/>
                <w:sz w:val="16"/>
                <w:szCs w:val="16"/>
              </w:rPr>
              <w:t>версія</w:t>
            </w:r>
            <w:r>
              <w:rPr>
                <w:rFonts w:cs="Arial" w:ascii="Arial" w:hAnsi="Arial"/>
                <w:color w:val="000000"/>
                <w:sz w:val="16"/>
                <w:szCs w:val="16"/>
                <w:lang w:val="en-US"/>
              </w:rPr>
              <w:t xml:space="preserve"> 2.0 </w:t>
            </w:r>
            <w:r>
              <w:rPr>
                <w:rFonts w:cs="Arial" w:ascii="Arial" w:hAnsi="Arial"/>
                <w:color w:val="000000"/>
                <w:sz w:val="16"/>
                <w:szCs w:val="16"/>
              </w:rPr>
              <w:t>додається</w:t>
            </w:r>
            <w:r>
              <w:rPr>
                <w:rFonts w:cs="Arial" w:ascii="Arial" w:hAnsi="Arial"/>
                <w:color w:val="000000"/>
                <w:sz w:val="16"/>
                <w:szCs w:val="16"/>
                <w:lang w:val="en-US"/>
              </w:rPr>
              <w:t xml:space="preserve">. </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короткій</w:t>
            </w:r>
            <w:r>
              <w:rPr>
                <w:rFonts w:cs="Arial" w:ascii="Arial" w:hAnsi="Arial"/>
                <w:color w:val="000000"/>
                <w:sz w:val="16"/>
                <w:szCs w:val="16"/>
                <w:lang w:val="en-US"/>
              </w:rPr>
              <w:t xml:space="preserve"> </w:t>
            </w:r>
            <w:r>
              <w:rPr>
                <w:rFonts w:cs="Arial" w:ascii="Arial" w:hAnsi="Arial"/>
                <w:color w:val="000000"/>
                <w:sz w:val="16"/>
                <w:szCs w:val="16"/>
              </w:rPr>
              <w:t>характеристиці</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тексті</w:t>
            </w:r>
            <w:r>
              <w:rPr>
                <w:rFonts w:cs="Arial" w:ascii="Arial" w:hAnsi="Arial"/>
                <w:color w:val="000000"/>
                <w:sz w:val="16"/>
                <w:szCs w:val="16"/>
                <w:lang w:val="en-US"/>
              </w:rPr>
              <w:t xml:space="preserve"> </w:t>
            </w:r>
            <w:r>
              <w:rPr>
                <w:rFonts w:cs="Arial" w:ascii="Arial" w:hAnsi="Arial"/>
                <w:color w:val="000000"/>
                <w:sz w:val="16"/>
                <w:szCs w:val="16"/>
              </w:rPr>
              <w:t>маркування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генеричних</w:t>
            </w:r>
            <w:r>
              <w:rPr>
                <w:rFonts w:cs="Arial" w:ascii="Arial" w:hAnsi="Arial"/>
                <w:color w:val="000000"/>
                <w:sz w:val="16"/>
                <w:szCs w:val="16"/>
                <w:lang w:val="en-US"/>
              </w:rPr>
              <w:t>/</w:t>
            </w:r>
            <w:r>
              <w:rPr>
                <w:rFonts w:cs="Arial" w:ascii="Arial" w:hAnsi="Arial"/>
                <w:color w:val="000000"/>
                <w:sz w:val="16"/>
                <w:szCs w:val="16"/>
              </w:rPr>
              <w:t>гібридних</w:t>
            </w:r>
            <w:r>
              <w:rPr>
                <w:rFonts w:cs="Arial" w:ascii="Arial" w:hAnsi="Arial"/>
                <w:color w:val="000000"/>
                <w:sz w:val="16"/>
                <w:szCs w:val="16"/>
                <w:lang w:val="en-US"/>
              </w:rPr>
              <w:t>/</w:t>
            </w:r>
            <w:r>
              <w:rPr>
                <w:rFonts w:cs="Arial" w:ascii="Arial" w:hAnsi="Arial"/>
                <w:color w:val="000000"/>
                <w:sz w:val="16"/>
                <w:szCs w:val="16"/>
              </w:rPr>
              <w:t>біоподібних</w:t>
            </w:r>
            <w:r>
              <w:rPr>
                <w:rFonts w:cs="Arial" w:ascii="Arial" w:hAnsi="Arial"/>
                <w:color w:val="000000"/>
                <w:sz w:val="16"/>
                <w:szCs w:val="16"/>
                <w:lang w:val="en-US"/>
              </w:rPr>
              <w:t xml:space="preserve"> </w:t>
            </w:r>
            <w:r>
              <w:rPr>
                <w:rFonts w:cs="Arial" w:ascii="Arial" w:hAnsi="Arial"/>
                <w:color w:val="000000"/>
                <w:sz w:val="16"/>
                <w:szCs w:val="16"/>
              </w:rPr>
              <w:t>лікарських</w:t>
            </w:r>
            <w:r>
              <w:rPr>
                <w:rFonts w:cs="Arial" w:ascii="Arial" w:hAnsi="Arial"/>
                <w:color w:val="000000"/>
                <w:sz w:val="16"/>
                <w:szCs w:val="16"/>
                <w:lang w:val="en-US"/>
              </w:rPr>
              <w:t xml:space="preserve"> </w:t>
            </w:r>
            <w:r>
              <w:rPr>
                <w:rFonts w:cs="Arial" w:ascii="Arial" w:hAnsi="Arial"/>
                <w:color w:val="000000"/>
                <w:sz w:val="16"/>
                <w:szCs w:val="16"/>
              </w:rPr>
              <w:t>засобів</w:t>
            </w:r>
            <w:r>
              <w:rPr>
                <w:rFonts w:cs="Arial" w:ascii="Arial" w:hAnsi="Arial"/>
                <w:color w:val="000000"/>
                <w:sz w:val="16"/>
                <w:szCs w:val="16"/>
                <w:lang w:val="en-US"/>
              </w:rPr>
              <w:t xml:space="preserve"> </w:t>
            </w:r>
            <w:r>
              <w:rPr>
                <w:rFonts w:cs="Arial" w:ascii="Arial" w:hAnsi="Arial"/>
                <w:color w:val="000000"/>
                <w:sz w:val="16"/>
                <w:szCs w:val="16"/>
              </w:rPr>
              <w:t>після</w:t>
            </w:r>
            <w:r>
              <w:rPr>
                <w:rFonts w:cs="Arial" w:ascii="Arial" w:hAnsi="Arial"/>
                <w:color w:val="000000"/>
                <w:sz w:val="16"/>
                <w:szCs w:val="16"/>
                <w:lang w:val="en-US"/>
              </w:rPr>
              <w:t xml:space="preserve"> </w:t>
            </w: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тієї</w:t>
            </w:r>
            <w:r>
              <w:rPr>
                <w:rFonts w:cs="Arial" w:ascii="Arial" w:hAnsi="Arial"/>
                <w:color w:val="000000"/>
                <w:sz w:val="16"/>
                <w:szCs w:val="16"/>
                <w:lang w:val="en-US"/>
              </w:rPr>
              <w:t xml:space="preserve"> </w:t>
            </w:r>
            <w:r>
              <w:rPr>
                <w:rFonts w:cs="Arial" w:ascii="Arial" w:hAnsi="Arial"/>
                <w:color w:val="000000"/>
                <w:sz w:val="16"/>
                <w:szCs w:val="16"/>
              </w:rPr>
              <w:t>самої</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референтний</w:t>
            </w:r>
            <w:r>
              <w:rPr>
                <w:rFonts w:cs="Arial" w:ascii="Arial" w:hAnsi="Arial"/>
                <w:color w:val="000000"/>
                <w:sz w:val="16"/>
                <w:szCs w:val="16"/>
                <w:lang w:val="en-US"/>
              </w:rPr>
              <w:t xml:space="preserve"> </w:t>
            </w:r>
            <w:r>
              <w:rPr>
                <w:rFonts w:cs="Arial" w:ascii="Arial" w:hAnsi="Arial"/>
                <w:color w:val="000000"/>
                <w:sz w:val="16"/>
                <w:szCs w:val="16"/>
              </w:rPr>
              <w:t>препарат</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потребує</w:t>
            </w:r>
            <w:r>
              <w:rPr>
                <w:rFonts w:cs="Arial" w:ascii="Arial" w:hAnsi="Arial"/>
                <w:color w:val="000000"/>
                <w:sz w:val="16"/>
                <w:szCs w:val="16"/>
                <w:lang w:val="en-US"/>
              </w:rPr>
              <w:t xml:space="preserve"> </w:t>
            </w:r>
            <w:r>
              <w:rPr>
                <w:rFonts w:cs="Arial" w:ascii="Arial" w:hAnsi="Arial"/>
                <w:color w:val="000000"/>
                <w:sz w:val="16"/>
                <w:szCs w:val="16"/>
              </w:rPr>
              <w:t>надання</w:t>
            </w:r>
            <w:r>
              <w:rPr>
                <w:rFonts w:cs="Arial" w:ascii="Arial" w:hAnsi="Arial"/>
                <w:color w:val="000000"/>
                <w:sz w:val="16"/>
                <w:szCs w:val="16"/>
                <w:lang w:val="en-US"/>
              </w:rPr>
              <w:t xml:space="preserve"> </w:t>
            </w:r>
            <w:r>
              <w:rPr>
                <w:rFonts w:cs="Arial" w:ascii="Arial" w:hAnsi="Arial"/>
                <w:color w:val="000000"/>
                <w:sz w:val="16"/>
                <w:szCs w:val="16"/>
              </w:rPr>
              <w:t>жодних</w:t>
            </w:r>
            <w:r>
              <w:rPr>
                <w:rFonts w:cs="Arial" w:ascii="Arial" w:hAnsi="Arial"/>
                <w:color w:val="000000"/>
                <w:sz w:val="16"/>
                <w:szCs w:val="16"/>
                <w:lang w:val="en-US"/>
              </w:rPr>
              <w:t xml:space="preserve"> </w:t>
            </w:r>
            <w:r>
              <w:rPr>
                <w:rFonts w:cs="Arial" w:ascii="Arial" w:hAnsi="Arial"/>
                <w:color w:val="000000"/>
                <w:sz w:val="16"/>
                <w:szCs w:val="16"/>
              </w:rPr>
              <w:t>нових</w:t>
            </w:r>
            <w:r>
              <w:rPr>
                <w:rFonts w:cs="Arial" w:ascii="Arial" w:hAnsi="Arial"/>
                <w:color w:val="000000"/>
                <w:sz w:val="16"/>
                <w:szCs w:val="16"/>
                <w:lang w:val="en-US"/>
              </w:rPr>
              <w:t xml:space="preserve"> </w:t>
            </w:r>
            <w:r>
              <w:rPr>
                <w:rFonts w:cs="Arial" w:ascii="Arial" w:hAnsi="Arial"/>
                <w:color w:val="000000"/>
                <w:sz w:val="16"/>
                <w:szCs w:val="16"/>
              </w:rPr>
              <w:t>додаткових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розділи</w:t>
            </w:r>
            <w:r>
              <w:rPr>
                <w:rFonts w:cs="Arial" w:ascii="Arial" w:hAnsi="Arial"/>
                <w:color w:val="000000"/>
                <w:sz w:val="16"/>
                <w:szCs w:val="16"/>
                <w:lang w:val="en-US"/>
              </w:rPr>
              <w:t xml:space="preserve"> "</w:t>
            </w:r>
            <w:r>
              <w:rPr>
                <w:rFonts w:cs="Arial" w:ascii="Arial" w:hAnsi="Arial"/>
                <w:color w:val="000000"/>
                <w:sz w:val="16"/>
                <w:szCs w:val="16"/>
              </w:rPr>
              <w:t>Взаємодія</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іншими</w:t>
            </w:r>
            <w:r>
              <w:rPr>
                <w:rFonts w:cs="Arial" w:ascii="Arial" w:hAnsi="Arial"/>
                <w:color w:val="000000"/>
                <w:sz w:val="16"/>
                <w:szCs w:val="16"/>
                <w:lang w:val="en-US"/>
              </w:rPr>
              <w:t xml:space="preserve"> </w:t>
            </w:r>
            <w:r>
              <w:rPr>
                <w:rFonts w:cs="Arial" w:ascii="Arial" w:hAnsi="Arial"/>
                <w:color w:val="000000"/>
                <w:sz w:val="16"/>
                <w:szCs w:val="16"/>
              </w:rPr>
              <w:t>лікарськими</w:t>
            </w:r>
            <w:r>
              <w:rPr>
                <w:rFonts w:cs="Arial" w:ascii="Arial" w:hAnsi="Arial"/>
                <w:color w:val="000000"/>
                <w:sz w:val="16"/>
                <w:szCs w:val="16"/>
                <w:lang w:val="en-US"/>
              </w:rPr>
              <w:t xml:space="preserve"> </w:t>
            </w:r>
            <w:r>
              <w:rPr>
                <w:rFonts w:cs="Arial" w:ascii="Arial" w:hAnsi="Arial"/>
                <w:color w:val="000000"/>
                <w:sz w:val="16"/>
                <w:szCs w:val="16"/>
              </w:rPr>
              <w:t>засобами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види</w:t>
            </w:r>
            <w:r>
              <w:rPr>
                <w:rFonts w:cs="Arial" w:ascii="Arial" w:hAnsi="Arial"/>
                <w:color w:val="000000"/>
                <w:sz w:val="16"/>
                <w:szCs w:val="16"/>
                <w:lang w:val="en-US"/>
              </w:rPr>
              <w:t xml:space="preserve"> </w:t>
            </w:r>
            <w:r>
              <w:rPr>
                <w:rFonts w:cs="Arial" w:ascii="Arial" w:hAnsi="Arial"/>
                <w:color w:val="000000"/>
                <w:sz w:val="16"/>
                <w:szCs w:val="16"/>
              </w:rPr>
              <w:t>взаємодій</w:t>
            </w:r>
            <w:r>
              <w:rPr>
                <w:rFonts w:cs="Arial" w:ascii="Arial" w:hAnsi="Arial"/>
                <w:color w:val="000000"/>
                <w:sz w:val="16"/>
                <w:szCs w:val="16"/>
                <w:lang w:val="en-US"/>
              </w:rPr>
              <w:t>", "</w:t>
            </w:r>
            <w:r>
              <w:rPr>
                <w:rFonts w:cs="Arial" w:ascii="Arial" w:hAnsi="Arial"/>
                <w:color w:val="000000"/>
                <w:sz w:val="16"/>
                <w:szCs w:val="16"/>
              </w:rPr>
              <w:t>Особливості</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w:t>
            </w:r>
            <w:r>
              <w:rPr>
                <w:rFonts w:cs="Arial" w:ascii="Arial" w:hAnsi="Arial"/>
                <w:color w:val="000000"/>
                <w:sz w:val="16"/>
                <w:szCs w:val="16"/>
              </w:rPr>
              <w:t>Спосіб</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дози</w:t>
            </w:r>
            <w:r>
              <w:rPr>
                <w:rFonts w:cs="Arial" w:ascii="Arial" w:hAnsi="Arial"/>
                <w:color w:val="000000"/>
                <w:sz w:val="16"/>
                <w:szCs w:val="16"/>
                <w:lang w:val="en-US"/>
              </w:rPr>
              <w:t>", "</w:t>
            </w:r>
            <w:r>
              <w:rPr>
                <w:rFonts w:cs="Arial" w:ascii="Arial" w:hAnsi="Arial"/>
                <w:color w:val="000000"/>
                <w:sz w:val="16"/>
                <w:szCs w:val="16"/>
              </w:rPr>
              <w:t>Побічні</w:t>
            </w:r>
            <w:r>
              <w:rPr>
                <w:rFonts w:cs="Arial" w:ascii="Arial" w:hAnsi="Arial"/>
                <w:color w:val="000000"/>
                <w:sz w:val="16"/>
                <w:szCs w:val="16"/>
                <w:lang w:val="en-US"/>
              </w:rPr>
              <w:t xml:space="preserve"> </w:t>
            </w:r>
            <w:r>
              <w:rPr>
                <w:rFonts w:cs="Arial" w:ascii="Arial" w:hAnsi="Arial"/>
                <w:color w:val="000000"/>
                <w:sz w:val="16"/>
                <w:szCs w:val="16"/>
              </w:rPr>
              <w:t>реакції</w:t>
            </w:r>
            <w:r>
              <w:rPr>
                <w:rFonts w:cs="Arial" w:ascii="Arial" w:hAnsi="Arial"/>
                <w:color w:val="000000"/>
                <w:sz w:val="16"/>
                <w:szCs w:val="16"/>
                <w:lang w:val="en-US"/>
              </w:rPr>
              <w:t xml:space="preserve">" </w:t>
            </w:r>
            <w:r>
              <w:rPr>
                <w:rFonts w:cs="Arial" w:ascii="Arial" w:hAnsi="Arial"/>
                <w:color w:val="000000"/>
                <w:sz w:val="16"/>
                <w:szCs w:val="16"/>
              </w:rPr>
              <w:t>згідно</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інформацією</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референтного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Зивокс</w:t>
            </w:r>
            <w:r>
              <w:rPr>
                <w:rFonts w:cs="Arial" w:ascii="Arial" w:hAnsi="Arial"/>
                <w:color w:val="000000"/>
                <w:sz w:val="16"/>
                <w:szCs w:val="16"/>
                <w:lang w:val="en-US"/>
              </w:rPr>
              <w:t xml:space="preserve">, </w:t>
            </w:r>
            <w:r>
              <w:rPr>
                <w:rFonts w:cs="Arial" w:ascii="Arial" w:hAnsi="Arial"/>
                <w:color w:val="000000"/>
                <w:sz w:val="16"/>
                <w:szCs w:val="16"/>
              </w:rPr>
              <w:t>розчин</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інфузій</w:t>
            </w:r>
            <w:r>
              <w:rPr>
                <w:rFonts w:cs="Arial" w:ascii="Arial" w:hAnsi="Arial"/>
                <w:color w:val="000000"/>
                <w:sz w:val="16"/>
                <w:szCs w:val="16"/>
                <w:lang w:val="en-US"/>
              </w:rPr>
              <w:t xml:space="preserve">, 2 </w:t>
            </w:r>
            <w:r>
              <w:rPr>
                <w:rFonts w:cs="Arial" w:ascii="Arial" w:hAnsi="Arial"/>
                <w:color w:val="000000"/>
                <w:sz w:val="16"/>
                <w:szCs w:val="16"/>
              </w:rPr>
              <w:t>мг</w:t>
            </w:r>
            <w:r>
              <w:rPr>
                <w:rFonts w:cs="Arial" w:ascii="Arial" w:hAnsi="Arial"/>
                <w:color w:val="000000"/>
                <w:sz w:val="16"/>
                <w:szCs w:val="16"/>
                <w:lang w:val="en-US"/>
              </w:rPr>
              <w:t>/</w:t>
            </w:r>
            <w:r>
              <w:rPr>
                <w:rFonts w:cs="Arial" w:ascii="Arial" w:hAnsi="Arial"/>
                <w:color w:val="000000"/>
                <w:sz w:val="16"/>
                <w:szCs w:val="16"/>
              </w:rPr>
              <w:t>мл</w:t>
            </w:r>
            <w:r>
              <w:rPr>
                <w:rFonts w:cs="Arial" w:ascii="Arial" w:hAnsi="Arial"/>
                <w:color w:val="000000"/>
                <w:sz w:val="16"/>
                <w:szCs w:val="16"/>
                <w:lang w:val="en-US"/>
              </w:rPr>
              <w:t xml:space="preserve"> </w:t>
            </w:r>
            <w:r>
              <w:rPr>
                <w:rFonts w:cs="Arial" w:ascii="Arial" w:hAnsi="Arial"/>
                <w:color w:val="000000"/>
                <w:sz w:val="16"/>
                <w:szCs w:val="16"/>
              </w:rPr>
              <w:t>по</w:t>
            </w:r>
            <w:r>
              <w:rPr>
                <w:rFonts w:cs="Arial" w:ascii="Arial" w:hAnsi="Arial"/>
                <w:color w:val="000000"/>
                <w:sz w:val="16"/>
                <w:szCs w:val="16"/>
                <w:lang w:val="en-US"/>
              </w:rPr>
              <w:t xml:space="preserve"> 300 </w:t>
            </w:r>
            <w:r>
              <w:rPr>
                <w:rFonts w:cs="Arial" w:ascii="Arial" w:hAnsi="Arial"/>
                <w:color w:val="000000"/>
                <w:sz w:val="16"/>
                <w:szCs w:val="16"/>
              </w:rPr>
              <w:t>мл</w:t>
            </w:r>
            <w:r>
              <w:rPr>
                <w:rFonts w:cs="Arial" w:ascii="Arial" w:hAnsi="Arial"/>
                <w:color w:val="000000"/>
                <w:sz w:val="16"/>
                <w:szCs w:val="16"/>
                <w:lang w:val="en-US"/>
              </w:rPr>
              <w:t xml:space="preserve">, </w:t>
            </w:r>
            <w:r>
              <w:rPr>
                <w:rFonts w:cs="Arial" w:ascii="Arial" w:hAnsi="Arial"/>
                <w:color w:val="000000"/>
                <w:sz w:val="16"/>
                <w:szCs w:val="16"/>
              </w:rPr>
              <w:t>заявник</w:t>
            </w:r>
            <w:r>
              <w:rPr>
                <w:rFonts w:cs="Arial" w:ascii="Arial" w:hAnsi="Arial"/>
                <w:color w:val="000000"/>
                <w:sz w:val="16"/>
                <w:szCs w:val="16"/>
                <w:lang w:val="en-US"/>
              </w:rPr>
              <w:t xml:space="preserve"> Pfizer Inc.).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UA/17022/01/01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ІРИНОТЕКАН АККОРД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irinotecan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іринотекану гідрохлориду тригідрат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L01CE02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20 мг/мл; по 5 мл (100 мг) або по 15 мл (300 мг)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 Аккорд Хелскеа Полска Сп. з о.о. Склад Імпортера, Польща; виробництво лікарського засобу, первинне та вторинне пакування, контроль якості: Інтас Фармасьютікaлс Лімітед, Індія; додаткове вторинне пакування:</w:t>
              <w:br/>
              <w:t>АККОРД ХЕЛСКЕА ЛІМІТЕД, Велика Британiя; Синоптиз Індастріал Сп. з о.о., Польща; контроль якості: Єврофінс Аналітікал Сервісез Хангері Кфт., Угорщина; ФАРМАВАЛІД Лтд. Мікробіологічна лабораторія, Угорщина; вторинне пакування та контроль якості: Аккорд Хелскеа Сінгл Мембер С.А., Греція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 Індія/ Велика Британiя/ Греція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(Campto 20 mg/ml concentrate for soution for infusion Aventis Pharma Limited, United Kingdom (presently Pfizer Limited)). </w:t>
              <w:br/>
              <w:t xml:space="preserve">Введення змін протягом 6-ти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UA/19933/01/01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КАЛЬЦІЙ -Д3 НІКОМЕД З М'ЯТНИМ СМАКОМ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 xml:space="preserve">кальцію карбонат, холекальциферол (вітамін D3), що відповідає холекальциферолу концентрату* </w:t>
              <w:br/>
              <w:t>*Склад холекальциферолу концентрату: холекальциферол, DL-ɑ-токоферол, тригліцериди середнього ланцюга, крохмаль кукурудзяний модифікований, сахароза, натрію аскорбат, кремнію діоксид колоїдний безводний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A12AX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жувальні по 30 або 100 таблеток у флаконі; по 1 флакону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Асіно Фарма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Аскер Контракт Мануфекчерінг АС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CEP 2015-199-Rev 01 для Cholecalciferol concentrate (powder form) від затвердженого виробника DSM Nutritional Products Ltd., Switzerland (затверджено: R1-CEP 2015-199-Rev 00; запропоновано: CEP 2015-199-Rev 01). Зміна назви виробника АФІ на DSM Nutritional Products AG, Switzerland.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зменшення виробництва гранульованого кальцію з 780 кг до 776 кг.</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UA/10610/01/01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КАРБОПЛАТИН 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carboplatin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карбоплатин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L01XA02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5 мл або 15 мл, або 45 мл, або 60 мл, або 100 мл у флаконі; по 1 флакону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контроль та випуск серії: Медак Гезельшафт фюр клініше Шпеціальпрепарате мбХ, Німеччина;</w:t>
              <w:br/>
              <w:t>Виробництво "in bulk", первинне пакування та контроль серій: Онкотек Фарма Продакшн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UA/10829/01/01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levetiracetam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250 мг; по 10 таблеток у блістері; по 3 або 6 блістерів у картонній пачці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"Особливості застосування" щодо безпеки застосування допоміжної речовини, а також редагування тексту у розділі "Побічні реакції".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 "Застосування у період вагітності або годування груддю" згідно рекомендації PRAC.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500 мг; по 10 таблеток у блістері; по 3 або 6 блістерів у картонній пачці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"Особливості застосування" щодо безпеки застосування допоміжної речовини, а також редагування тексту у розділі "Побічні реакції".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 "Застосування у період вагітності або годування груддю" згідно рекомендації PRAC.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1000 мг; по 10 таблеток у блістері; по 3 або 6 блістерів у картонній пачці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"Особливості застосування" щодо безпеки застосування допоміжної речовини, а також редагування тексту у розділі "Побічні реакції". Введення змін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 "Застосування у період вагітності або годування груддю" згідно рекомендації PRAC.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оральний, 100 мг/мл; по 300 мл у флаконі; по 1 флакону з мірним пластиковим шприцом у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НекстФарма САС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"Особливості застосування" щодо безпеки застосування допоміжної речовини, а також редагування тексту у розділі "Побічні реакції".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 "Застосування у період вагітності або годування груддю" згідно рекомендації PRAC.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1000 мг/200 мг; 1 флакон з порошком у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 xml:space="preserve">Діюча редакція: Ambrish Kumar Shivastava. Пропонована редакція: Rahul Somani.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br/>
              <w:t>Діюча редакція: Zinchenko Liudmyla. Пропонована редакція: Zhyliaiev Ihor Volodymyrovych. Зміна контактних даних контактної особи заявника, відповідальної за фармаконагляд в Україні. Рекомендовано до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UA/4469/01/02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500 мг/100 мг in bulk: по 25 флаконів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 xml:space="preserve">Діюча редакція: Ambrish Kumar Shivastava. Пропонована редакція: Rahul Somani.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br/>
              <w:t>Діюча редакція: Zinchenko Liudmyla. Пропонована редакція: Zhyliaiev Ihor Volodymyrovych. Зміна контактних даних контактної особи заявника, відповідальної за фармаконагляд в Україні. Рекомендовано до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UA/11092/01/01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1000 мг/200 мг in bulk: по 25 флаконів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 xml:space="preserve">Діюча редакція: Ambrish Kumar Shivastava. Пропонована редакція: Rahul Somani.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br/>
              <w:t>Діюча редакція: Zinchenko Liudmyla. Пропонована редакція: Zhyliaiev Ihor Volodymyrovych. Зміна контактних даних контактної особи заявника, відповідальної за фармаконагляд в Україні. Рекомендовано до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UA/11092/01/02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500 мг/100 мг; 1 флакон з порошком у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 xml:space="preserve">Діюча редакція: Ambrish Kumar Shivastava. Пропонована редакція: Rahul Somani.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br/>
              <w:t>Діюча редакція: Zinchenko Liudmyla. Пропонована редакція: Zhyliaiev Ihor Volodymyrovych. Зміна контактних даних контактної особи заявника, відповідальної за фармаконагляд в Україні. Рекомендовано до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UA/4469/01/01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КОМБІЦИТРОН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фенілефрину гідрохлорид, феніраміну малеат, кислота аскорбінова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13,60 г в саше; по 10 саше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w:t>
              <w:br/>
              <w:t>подання нового сертифіката відповідності Європейській фармакопеї № CEP 2022-066 - Rev 01 для діючої речовини Ascorbic acid від нового виробника NORTHEAST PHARMACEUTICAL GROUP CO. LTD.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зміна у параметрах специфікації для діючої речовини Ascorbic acid виробника Northeast Pharmaceutical Group Co. Ltd., Китай, а саме для показника «Ідентифікація. рН розчину S» (метод Ph. Eur. / ДФУ 2.2.3) та «Ідентифікація. ІЧ-спектрофотометрія» (метод Ph. Eur. / ДФУ 2.2.24) додається примітка «визначення ідентифікації проводиться на середній пробі».</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UA/19918/01/01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КОРВАЛДИН®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Barbiturates in combination with other drugs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color w:val="000000"/>
                <w:sz w:val="16"/>
                <w:szCs w:val="16"/>
              </w:rPr>
              <w:t>етиловий</w:t>
            </w:r>
            <w:r>
              <w:rPr>
                <w:rFonts w:cs="Arial" w:ascii="Arial" w:hAnsi="Arial"/>
                <w:color w:val="000000"/>
                <w:sz w:val="16"/>
                <w:szCs w:val="16"/>
                <w:lang w:val="en-US"/>
              </w:rPr>
              <w:t xml:space="preserve"> </w:t>
            </w:r>
            <w:r>
              <w:rPr>
                <w:rFonts w:cs="Arial" w:ascii="Arial" w:hAnsi="Arial"/>
                <w:color w:val="000000"/>
                <w:sz w:val="16"/>
                <w:szCs w:val="16"/>
              </w:rPr>
              <w:t>ефір</w:t>
            </w:r>
            <w:r>
              <w:rPr>
                <w:rFonts w:cs="Arial" w:ascii="Arial" w:hAnsi="Arial"/>
                <w:color w:val="000000"/>
                <w:sz w:val="16"/>
                <w:szCs w:val="16"/>
                <w:lang w:val="en-US"/>
              </w:rPr>
              <w:t xml:space="preserve"> </w:t>
            </w:r>
            <w:r>
              <w:rPr>
                <w:rFonts w:cs="Arial" w:ascii="Arial" w:hAnsi="Arial"/>
                <w:color w:val="000000"/>
                <w:sz w:val="16"/>
                <w:szCs w:val="16"/>
              </w:rPr>
              <w:t></w:t>
            </w:r>
            <w:r>
              <w:rPr>
                <w:rFonts w:cs="Arial" w:ascii="Arial" w:hAnsi="Arial"/>
                <w:color w:val="000000"/>
                <w:sz w:val="16"/>
                <w:szCs w:val="16"/>
                <w:lang w:val="en-US"/>
              </w:rPr>
              <w:t>-</w:t>
            </w:r>
            <w:r>
              <w:rPr>
                <w:rStyle w:val="spelle"/>
                <w:rFonts w:cs="Arial" w:ascii="Arial" w:hAnsi="Arial"/>
                <w:color w:val="000000"/>
                <w:sz w:val="16"/>
                <w:szCs w:val="16"/>
              </w:rPr>
              <w:t>бромізовалеріанової</w:t>
            </w:r>
            <w:r>
              <w:rPr>
                <w:rFonts w:cs="Arial" w:ascii="Arial" w:hAnsi="Arial"/>
                <w:color w:val="000000"/>
                <w:sz w:val="16"/>
                <w:szCs w:val="16"/>
                <w:lang w:val="en-US"/>
              </w:rPr>
              <w:t xml:space="preserve"> </w:t>
            </w:r>
            <w:r>
              <w:rPr>
                <w:rFonts w:cs="Arial" w:ascii="Arial" w:hAnsi="Arial"/>
                <w:color w:val="000000"/>
                <w:sz w:val="16"/>
                <w:szCs w:val="16"/>
              </w:rPr>
              <w:t>кислоти</w:t>
            </w:r>
            <w:r>
              <w:rPr>
                <w:rFonts w:cs="Arial" w:ascii="Arial" w:hAnsi="Arial"/>
                <w:color w:val="000000"/>
                <w:sz w:val="16"/>
                <w:szCs w:val="16"/>
                <w:lang w:val="en-US"/>
              </w:rPr>
              <w:t xml:space="preserve">, </w:t>
            </w:r>
            <w:r>
              <w:rPr>
                <w:rFonts w:cs="Arial" w:ascii="Arial" w:hAnsi="Arial"/>
                <w:color w:val="000000"/>
                <w:sz w:val="16"/>
                <w:szCs w:val="16"/>
              </w:rPr>
              <w:t>фенобарбітал</w:t>
            </w:r>
            <w:r>
              <w:rPr>
                <w:rFonts w:cs="Arial" w:ascii="Arial" w:hAnsi="Arial"/>
                <w:color w:val="000000"/>
                <w:sz w:val="16"/>
                <w:szCs w:val="16"/>
                <w:lang w:val="en-US"/>
              </w:rPr>
              <w:t xml:space="preserve">, </w:t>
            </w:r>
            <w:r>
              <w:rPr>
                <w:rFonts w:cs="Arial" w:ascii="Arial" w:hAnsi="Arial"/>
                <w:color w:val="000000"/>
                <w:sz w:val="16"/>
                <w:szCs w:val="16"/>
              </w:rPr>
              <w:t>м</w:t>
            </w:r>
            <w:r>
              <w:rPr>
                <w:rFonts w:cs="Arial" w:ascii="Arial" w:hAnsi="Arial"/>
                <w:color w:val="000000"/>
                <w:sz w:val="16"/>
                <w:szCs w:val="16"/>
                <w:lang w:val="en-US"/>
              </w:rPr>
              <w:t>’</w:t>
            </w:r>
            <w:r>
              <w:rPr>
                <w:rFonts w:cs="Arial" w:ascii="Arial" w:hAnsi="Arial"/>
                <w:color w:val="000000"/>
                <w:sz w:val="16"/>
                <w:szCs w:val="16"/>
              </w:rPr>
              <w:t>яти</w:t>
            </w:r>
            <w:r>
              <w:rPr>
                <w:rFonts w:cs="Arial" w:ascii="Arial" w:hAnsi="Arial"/>
                <w:color w:val="000000"/>
                <w:sz w:val="16"/>
                <w:szCs w:val="16"/>
                <w:lang w:val="en-US"/>
              </w:rPr>
              <w:t xml:space="preserve"> </w:t>
            </w:r>
            <w:r>
              <w:rPr>
                <w:rFonts w:cs="Arial" w:ascii="Arial" w:hAnsi="Arial"/>
                <w:color w:val="000000"/>
                <w:sz w:val="16"/>
                <w:szCs w:val="16"/>
              </w:rPr>
              <w:t>олія</w:t>
            </w:r>
            <w:r>
              <w:rPr>
                <w:rFonts w:cs="Arial" w:ascii="Arial" w:hAnsi="Arial"/>
                <w:color w:val="000000"/>
                <w:sz w:val="16"/>
                <w:szCs w:val="16"/>
                <w:lang w:val="en-US"/>
              </w:rPr>
              <w:t xml:space="preserve">, </w:t>
            </w:r>
            <w:r>
              <w:rPr>
                <w:rFonts w:cs="Arial" w:ascii="Arial" w:hAnsi="Arial"/>
                <w:color w:val="000000"/>
                <w:sz w:val="16"/>
                <w:szCs w:val="16"/>
              </w:rPr>
              <w:t>олія</w:t>
            </w:r>
            <w:r>
              <w:rPr>
                <w:rFonts w:cs="Arial" w:ascii="Arial" w:hAnsi="Arial"/>
                <w:color w:val="000000"/>
                <w:sz w:val="16"/>
                <w:szCs w:val="16"/>
                <w:lang w:val="en-US"/>
              </w:rPr>
              <w:t xml:space="preserve"> </w:t>
            </w:r>
            <w:r>
              <w:rPr>
                <w:rFonts w:cs="Arial" w:ascii="Arial" w:hAnsi="Arial"/>
                <w:color w:val="000000"/>
                <w:sz w:val="16"/>
                <w:szCs w:val="16"/>
              </w:rPr>
              <w:t>хмелю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по 1 флакону в пачці; по 50 мл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щодо безпеки застосування діючої речовини згідно з рекомендацією PRAC. Введення змін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повідомлень про підозрювані побічні реакції.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по 25 мл - без рецепта; по 50 мл – 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UA/2553/01/01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КОРВАЛОЛ® 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етиловий ефір -бромізовалеріанової кислоти, розчин ментолу в ментиловому ефірі кислоти ізовалеріанової, м’яти олія, олія хмелю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N05CX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з пробкою-крапельницею; по 1 флакону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(інші зміни) внесення зміни до розділу 3.2.S.6 «Система упаковка/укупорка» для АФІ Валідол (Розчин ментолу в ментиловому ефірі кислоти ізовалеріанової) виробництва АТ «Фармак», а саме внесення виробника фляг алюмінієвих Tournaire SAS, Франція. Діюча редакція - Фляги алюмінієві </w:t>
              <w:br/>
              <w:t>Виробник АТ "Алюминий Металург Рус", російська федерація" - Пропонована редакція - Фляги алюмінієві - Tournaire SAS, Франція.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(інші зміни) - уніфікація розділу 3.2.S.6. Система контейнер/закупорювальний засіб на матеріал – флягу алюмінієву; внесення змін до специфікації на фляги алюмінієві.</w:t>
              <w:br/>
              <w:t xml:space="preserve">Зміни І типу - Зміни з якості. АФІ. Система контейнер/закупорювальний засіб (інші зміни) - внесення зміни до розділу 3.2.S.6 «Система упаковка/укупорка» для АФІ Валідол (Розчин ментолу в ментиловому ефірі кислоти ізовалеріанової) виробництва АТ «Фармак», а саме вилучення виробника фляг алюмінієвих АТ "Алюминий Металург Рус", російська федерація.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UA/3684/01/01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ЛАНОТАН® 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timolol,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латанопрост, тимололу малеат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S01ED51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по 2,5 мл у флаконі; по 1 флакону у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1998-147-Rev 12 для діючої речовини Timolol maleate від вже затвердженого виробника. В рамках оновленого СЕР змінено назву/адресу власника СЕР (з Teva Pharmaceutical Industries Ltd. на TAPI NL B.V.). Змінено назву однієї з виробничих дільниць (з PLIVA Croatia Ltd. на TAPI Croatia Industries Ltd.), фактичне місце розташування залишено без змін. Затверджено: R1-CEP 1998-147-Rev 11. Запропоновано: CEP 1998-147-Rev 12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UA/14936/01/01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ЛЕВАНА® IC</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левана (моно-[7-бром-2-оксо-5-(2-хлорфеніл)-2,3-дигідро-1Н-бензо[1,4]діазепін-3-іл]сукцинату моногідрату)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N05CD</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0,5 мг; по 10 таблеток у блістері; по 2 блістери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Зміна форми або розмірів лікарської форми (таблетки з негайним вивільненням, капсули, супозиторії та песарії) - Супутня зміна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зміна форми таблетки із плоскоциліндричної форми з фаскою на таблетки трикутної форми з двоопуклою поверхнею, зі скошеними краями, з відповідними змінами за показником «Опис» Специфікації ГЛЗ і методах контролю, відповідно, та супутня зміна: відповідні зміни вносяться в специфікації проміжних продуктів «Таблетки в процесі таблетування» (тести «Опис», «Геометричні розміри» та «Нерозфасовані таблетки» (тест «Опис»). Зміни внесено в розділ "Основні фізико-хімічні властивості" в інструкцію для медичного застосування лікарського засобу. Введення змін протягом 3-х місяців після затвердження.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Супутня зміна - Зміни з якості. Готовий лікарський засіб. Система контейнер/закупорювальний засіб (інші зміни) - збільшення геометричного розміру первинної упаковки (блістера) ЛЗ, та супутня зміна: збільшення геометричного розміру вторинної упаковки (пачки). Матеріали первинної та вторинної упаковки не змінилися. Введення змін протягом 3-х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UA/11175/01/01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ЛЕВАНА® IC</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левана (моно-[7-бром-2-оксо-5-(2-хлорфеніл)-2,3-дигідро-1Н-бензо[1,4]діазепін-3-іл]сукцинату моногідрату)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N05CD</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 мг: по 10 таблеток у блістері; по 1 блістеру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Зміна форми або розмірів лікарської форми (таблетки з негайним вивільненням, капсули, супозиторії та песарії) - Супутня зміна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зміна форми таблетки із плоскоциліндричної форми з фаскою на таблетки трикутної форми з двоопуклою поверхнею, зі скошеними краями, з відповідними змінами за показником «Опис» Специфікації ГЛЗ і методах контролю, відповідно, та супутня зміна: відповідні зміни вносяться в специфікації проміжних продуктів «Таблетки в процесі таблетування» (тести «Опис», «Геометричні розміри» та «Нерозфасовані таблетки» (тест «Опис»). Зміни внесено в розділ "Основні фізико-хімічні властивості" в інструкцію для медичного застосування лікарського засобу. Введення змін протягом 3-х місяців після затвердження.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Супутня зміна - Зміни з якості. Готовий лікарський засіб. Система контейнер/закупорювальний засіб (інші зміни) - збільшення геометричного розміру первинної упаковки (блістера) ЛЗ, та супутня зміна: збільшення геометричного розміру вторинної упаковки (пачки). Матеріали первинної та вторинної упаковки не змінилися. Введення змін протягом 3-х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UA/11175/01/02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ЛЕВАНА® IC</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левана (моно-[7-бром-2-оксо-5-(2-хлорфеніл)-2,3-дигідро-1Н-бензо[1,4]діазепін-3-іл]сукцинату моногідрату)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N05CD</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 мг: по 10 таблеток у блістері; по 1 блістеру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Зміна форми або розмірів лікарської форми (таблетки з негайним вивільненням, капсули, супозиторії та песарії) - Супутня зміна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зміна форми таблетки із плоскоциліндричної форми з фаскою на таблетки трикутної форми з двоопуклою поверхнею, зі скошеними краями, з відповідними змінами за показником «Опис» Специфікації ГЛЗ і методах контролю, відповідно, та супутня зміна: відповідні зміни вносяться в специфікації проміжних продуктів «Таблетки в процесі таблетування» (тести «Опис», «Геометричні розміри» та «Нерозфасовані таблетки» (тест «Опис»). Зміни внесено в розділ "Основні фізико-хімічні властивості" в інструкцію для медичного застосування лікарського засобу. Введення змін протягом 3-х місяців після затвердження.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Супутня зміна - Зміни з якості. Готовий лікарський засіб. Система контейнер/закупорювальний засіб (інші зміни) - збільшення геометричного розміру первинної упаковки (блістера) ЛЗ, та супутня зміна: збільшення геометричного розміру вторинної упаковки (пачки). Матеріали первинної та вторинної упаковки не змінилися. Введення змін протягом 3-х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UA/11175/01/03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ЛЕРКАМЕН® АПФ 10/20</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Enalapril and lercanidipine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лерканідипіну гідрохлорид та еналаприлу малеат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C09BB02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14 таблеток у блістері; по 2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Рекордаті Індустріа Кіміка е Фармачеутика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додавання дільниці відповідальної за quality control retest of Active Substance enalapril maleate LabAnalysis Life Science S.r.l.Via Europa, 5 - 27041 Casanova Lonati (PV) Italy. Зміни І типу - Зміни з якості. АФІ. Виробництво (інші зміни) - додавання розділів реєстраційного досьє 3.2.S.4-Applicant та 3.2.S.5-Applicant для АФІ еналаприлу малеату.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специфікації/методів випробування показником “Particle size” на АФІ Enalapril maleate виробництва Zhejiang Huahai Pharmaceutical Co., Ltd.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застарілого додаткового показника якості “Bulk Density” зі специфікації на АФІ еналаприлу малеату виробництва Dr. Reddy’s Laboratories Ltd.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контролю за залишковими розчинниками Petroleum Ether та Toluene зі специфікації на АФІ еналаприлу малеату виробництва Dr. Reddy’s Laboratories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2000-053-Rev 06 (затверджено: R1-CEP 2000-053- Rev 05) для АФІ Enalapril maleate від уже затвердженого виробника Zhejiang Huahai Pharmaceutical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2000-053-Rev 07 для АФІ Enalapril maleate від уже затвердженого виробника Zhejiang Huahai Pharmaceutical Co., Ltd.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ЛІНЕЗОЛІД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linezolid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лінезолід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J01XX08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5 або по 10 таблеток у блістері; по 1 блістеру у пачці із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UA/21169/01/01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ЛОЦЕРИЛ®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amorolfine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аморолфіну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D01AE16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лак для нігтів лікувальний, 50 мг/мл, по 1,25 мл, або 2,5 мл, або 5 мл у флаконі; по 1 флакону (в комплекті з 30 очищувальними тампонами, 10 шпателями та 30 пилочками для нігтів) в картонній коробці; по 1,25 мл, або 2,5 мл, або 5 мл у флаконі з кришкою з аплікатором; по 1 флакону (в комплекті з 30 очищувальними тампонами та 30 пилочками для нігтів)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Галдерма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ЛАБОРАТОРІЇ ГАЛДЕРМА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 зміна методу випробування допоміжної речовини лікарського засобу - амонійно-метакрилатного сополімеру (тип А).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UA/14681/01/01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МЕДІАТОРН®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ipidacrine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іпідакрину гідрохлориду моногідрат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N07AA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15 мг/мл, по 1 мл в ампулі; по 10 ампул у контурній чарунковій упаковці; по 1 контурній чарунковій упаковці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(інші зміни) - внесення інформації щодо можливості корекції рН в розділ 3.2.Р.3.2. Склад на серію. Оскільки корекція проводиться не в усіх випадках, доповнення про корекцію зазначено у вигляді примітки - "при необхідності - корекція рН 0,1 М розчином хлористоводневої кислоти".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 введення нового виробника ТОВ "ФАРМХІМ", Україна для АФІ Іпідакрину гідрохлориду моногідрат з наданням мастер-файла на АФІ (Версія 1 від квітня 2025). Затверджено: «Menadiona S.L.», Іспанія Запропоновано: «Menadiona S.L.», Іспанія; ТОВ «ФАРМХІМ», Україна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UA/15375/01/01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МЕДОКЛАВ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амоксицилін натрію та клавуланат калію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1 г/0,2 г; 10 флаконів з порошком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w:t>
              <w:br/>
              <w:t>Медокемі Лімітед, Кіпр;</w:t>
              <w:br/>
              <w:t>Виробництво готового лікарського засобу (асептичне наповнення). Стерилізація скляних флаконів і гумових пробок, первинне та вторинне пакування. Контроль стабільності:</w:t>
              <w:br/>
              <w:t>Медокемі (Фа Іст) Лтд., В'єтнам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 В'єтнам</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виробника Медокемі (Фа Іст) Лтд., В'єтнам, що відповідає за виробництво (процес асептичного наповнення) та первинне пакування ГЛЗ. Зазначення функції вже затвердженого виробника.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виробника Медокемі (Фа Іст) Лтд., В'єтнам, що відповідає за вторинне пакування ГЛЗ.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виробника Медокемі (Фа Іст) Лтд., В'єтнам, що відповідає за тестування контролю стабільності ГЛЗ.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 виробництва ГЛЗ.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UA/4428/02/01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МЕДОКЛАВ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амоксицилін натрію та клавуланат калію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1 г/0,2 г; 10 флаконів з порошком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затвердженого розміру серії (без зміни технології виробництва та промислового обладнання). </w:t>
              <w:br/>
              <w:t>Затверджено</w:t>
            </w:r>
            <w:r>
              <w:rPr>
                <w:rFonts w:cs="Arial" w:ascii="Arial" w:hAnsi="Arial"/>
                <w:color w:val="000000"/>
                <w:sz w:val="16"/>
                <w:szCs w:val="16"/>
                <w:lang w:val="en-US"/>
              </w:rPr>
              <w:t xml:space="preserve">: </w:t>
              <w:br/>
              <w:t xml:space="preserve">Minimum batch size: 10kg </w:t>
              <w:br/>
              <w:t xml:space="preserve">Maximum batch size: 100kg </w:t>
              <w:br/>
              <w:br/>
              <w:t xml:space="preserve">Minimum batch size: 5kg </w:t>
              <w:br/>
              <w:t xml:space="preserve">Maximum batch size: 150kg </w:t>
              <w:br/>
              <w:t xml:space="preserve">(Present scope in Cyprus and Greece) </w:t>
              <w:br/>
            </w:r>
            <w:r>
              <w:rPr>
                <w:rFonts w:cs="Arial" w:ascii="Arial" w:hAnsi="Arial"/>
                <w:color w:val="000000"/>
                <w:sz w:val="16"/>
                <w:szCs w:val="16"/>
              </w:rPr>
              <w:t>Запропоновано</w:t>
            </w:r>
            <w:r>
              <w:rPr>
                <w:rFonts w:cs="Arial" w:ascii="Arial" w:hAnsi="Arial"/>
                <w:color w:val="000000"/>
                <w:sz w:val="16"/>
                <w:szCs w:val="16"/>
                <w:lang w:val="en-US"/>
              </w:rPr>
              <w:t xml:space="preserve">: </w:t>
              <w:br/>
              <w:t xml:space="preserve">Minimum batch size: 100kg </w:t>
              <w:br/>
              <w:t xml:space="preserve">Maximum batch size: 250kg </w:t>
              <w:br/>
              <w:br/>
              <w:t xml:space="preserve">Minimum batch size: 100kg </w:t>
              <w:br/>
              <w:t>Maximum batch size: 250kg</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UA/4428/02/01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МЕЛОКСИК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meloxicam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15 мг/1,5 мл; по 1,5 мл в ампулі; по 3 або 5 ампул в контурній чарунковій упаковці; по 1 контурній чарунковій упаковці в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2009-184-Rev 01 від вже затвердженого виробника SUN PHARMACEUTICAL INDUSTRIES LIMITED діючої речовини мелоксикам в зв’язку зі зміною назви виробника проміжного продукту і незначним уточненням написання адреси (затверджено: R1-CEP 2009-184-Rev 00, RAMDEV CHEMICAL PVT. LTD; запропоновано: CEP 2009-184-Rev 01 IPCA LABORATORIES LIMITED).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2009-184-Rev 02 від вже затвердженого виробника SUN PHARMACEUTICAL INDUSTRIES LIMITED діючої речовини мелоксикам в зв’язку зі зміною назви міста де розташоване виробництво діючої речовини, місце виробництва не змінилось.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МЕНОВАЗИН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ментол, новокаїн (прокаїну гідрохлорид), анестезин (бензокаїн)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M02AX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спиртовий по 40 мл у флаконах; по 40 мл у флаконі; по 1 флакону в пачці; по 50 мл у флаконі скляному або полімерному з механічним розпилювачем; по 1 флакону в пачці; по 100 мл у флаконах скляних або полімерних; по 100 мл у флаконі скляному або полімерному; по 1 флакону в пачці; по 200 мл у флаконах скляних, укупорених кришками; по 200 мл у флаконі скляному, укупореному кришкою; по 1 флакону в пачці; по 200 мл у флаконах полімерних, укупорених кришками або насадками та кришками; по 200 мл у флаконі полімерному, укупореному кришкою або насадкою та кришкою;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фабрика "Віола"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Фармацевтична фабрика "Віола"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сертифіката відповідності Європейській фармакопеї № R1-CEP 2012-390 - Rev 01 для діючої речовини ментолу від нового альтернативного виробника БАСФ СЕ, Німеччина/ BASF SE, Germany.</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UA/7484/01/01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МЕТАДОН-ЗН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methadone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метадону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N07BC02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розчин оральний, 5 мг/мл по 200 мл або по 1000 мл у флаконах разом з відповідною кількістю дозуючих пристроїв; </w:t>
              <w:br/>
              <w:t xml:space="preserve">по 200 мл або по 1000 мл у флаконі; по 1 флакону разом з дозуючим пристроєм у коробці з картону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"Харківське фармацевтичне підприємство "Здоров'я народу"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 xml:space="preserve">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"Спосіб застосування та дози", "Побічні реакції" щодо безпеки застосування діючої речовини метадону гідрохлорид відповідно до рекомендацій PRAC.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UA/13189/01/02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МЕТАДОН-ЗН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methadone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метадону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N07BC02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розчин оральний, 1 мг/мл по 200 мл або по 1000 мл у флаконах разом з відповідною кількістю дозуючих пристроїв; </w:t>
              <w:br/>
              <w:t xml:space="preserve">по 200 мл або по 1000 мл у флаконі; по 1 флакону разом з дозуючим пристроєм у коробці з картону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"Харківське фармацевтичне підприємство "Здоров'я народу"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 xml:space="preserve">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"Спосіб застосування та дози", "Побічні реакції" щодо безпеки застосування діючої речовини метадону гідрохлорид відповідно до рекомендацій PRAC.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UA/13189/01/01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МЕТОДЖЕКТ®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methotrexate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метотрексат (у вигляді метотрексату динатрію)</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вторинне пакування, маркування, контроль/випробування серії та за випуск серії:</w:t>
              <w:br/>
              <w:t xml:space="preserve">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Онкотек Фарма Продакшн ГмбХ, Німеччина; виробник, що відповідає за вторинне пакування: Штегеманн ГмбХ &amp; Ко. КГ., Німеччина; Медак Гезельшафт фюр клініше Шпеціальпрепарате мбХ, Німеччина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 xml:space="preserve">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UA/5873/01/02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МІНІРИН МЕЛТ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desmopressin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десмопресину ацетат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оральний по 60 мкг, по 10 ліофілізатів у блістері; по 3 або по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Феррінг Інтернешнл Сентер СА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контроль якості:</w:t>
              <w:br/>
              <w:t>Каталент Ю.К. Свіндон Зідіс Лімітед, Великобританія;</w:t>
              <w:br/>
              <w:t>вторинне пакування:</w:t>
              <w:br/>
              <w:t>Феррінг Інтернешнл Сентер СА, Швейцарія;</w:t>
              <w:br/>
              <w:t>відповідальний за контроль якості, випуск серії:</w:t>
              <w:br/>
              <w:t>Феррінг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Великобританія/ Швейцарія/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вилучення пакування №10(1х10) для лікарського засобу Мінірин Мелт, ліофілізат оральний по 60 мкг, по 120 мкг та по 240 мкг. Зміни внесені в інструкцію для медичного застосування лікарського засобу у розділ «Упаковка», як наслідок – вилучення упаковки певного розміру. Також вилучається інструкція для медичного застосування російською мовою.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UA/5118/02/01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МІНІРИН МЕЛТ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desmopressin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десмопресину ацетат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оральний по 120 мкг, по 10 ліофілізатів у блістері; по 3 або по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Феррінг Інтернешнл Сентер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контроль якості:</w:t>
              <w:br/>
              <w:t>Каталент Ю.К. Свіндон Зідіс Лімітед, Великобританія;</w:t>
              <w:br/>
              <w:t>вторинне пакування:</w:t>
              <w:br/>
              <w:t>Феррінг Інтернешнл Сентер СА, Швейцарія;</w:t>
              <w:br/>
              <w:t>відповідальний за контроль якості, випуск серії:</w:t>
              <w:br/>
              <w:t>Феррінг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Великобританія/ Швейцарія/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вилучення пакування №10(1х10) для лікарського засобу Мінірин Мелт, ліофілізат оральний по 60 мкг, по 120 мкг та по 240 мкг. Зміни внесені в інструкцію для медичного застосування лікарського засобу у розділ «Упаковка», як наслідок – вилучення упаковки певного розміру. Також вилучається інструкція для медичного застосування російською мовою.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UA/5118/02/02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МІНІРИН МЕЛТ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desmopressin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десмопресину ацетат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оральний по 240 мкг, по 10 ліофілізатів у блістері; по 3 або по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Феррінг Інтернешнл Сентер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контроль якості:</w:t>
              <w:br/>
              <w:t>Каталент Ю.К. Свіндон Зідіс Лімітед, Великобританія;</w:t>
              <w:br/>
              <w:t>вторинне пакування:</w:t>
              <w:br/>
              <w:t>Феррінг Інтернешнл Сентер СА, Швейцарія;</w:t>
              <w:br/>
              <w:br/>
              <w:t>відповідальний за контроль якості, випуск серії:</w:t>
              <w:br/>
              <w:t>Феррінг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Великобританія/ Швейцарія/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вилучення пакування №10(1х10) для лікарського засобу Мінірин Мелт, ліофілізат оральний по 60 мкг, по 120 мкг та по 240 мкг. Зміни внесені в інструкцію для медичного застосування лікарського засобу у розділ «Упаковка», як наслідок – вилучення упаковки певного розміру. Також вилучається інструкція для медичного застосування російською мовою.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UA/5118/02/03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МОКСИФЛОКСАЦИН-ФАРМЕКС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моксифлоксацину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J01MA14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400 мг; по 5 таблеток у блістері, по 1 або по 2 блістери в картонній коробці; по 10 таблеток у блістері, по 1 блістеру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додаткового розміру серії , а саме: 24,50 кг або 35,000 тис. таблеток, або 7,000 тис. упаковок №5 (5х1), або 3,500 тис. упаковок №10 (5х2), або 3,500 тис. упаковок №10 (10х1). </w:t>
              <w:br/>
              <w:t xml:space="preserve">Діюча редакція </w:t>
              <w:br/>
              <w:t>Розмір серії складає:</w:t>
              <w:br/>
              <w:t xml:space="preserve">2,00 кг або 2,857 тис. таблеток, або 0,571 тис. упаковок №5 (5х1), або 0,285 тис. упаковок №10 (5х2), або 0,285 тис. упаковок №10 (10х1); </w:t>
              <w:br/>
              <w:t xml:space="preserve">6,00 кг або 8,571 тис. таблеток, або 1,714 тис. упаковок №5 (5х1), або 0,857 тис. упаковок №10 (5х2), або 0,857 тис. упаковок №10 (10х1); </w:t>
              <w:br/>
              <w:t xml:space="preserve">49,00 кг або 70,000 тис. таблеток, або 14,000 тис. упаковок №5 (5х1), або 7,000 тис. упаковок №10 (5х2), або 7,000 тис. упаковок №10 (10х1) </w:t>
              <w:br/>
              <w:t xml:space="preserve">Пропонована редакція </w:t>
              <w:br/>
              <w:t xml:space="preserve">Розмір серії складає: </w:t>
              <w:br/>
              <w:t xml:space="preserve">2,00 кг або 2,857 тис. таблеток, або 0,571 тис. упаковок №5 (5х1), або 0,285 тис. упаковок №10 (5х2), або 0,285 тис. упаковок №10 (10х1); </w:t>
              <w:br/>
              <w:t xml:space="preserve">6,00 кг або 8,571 тис. таблеток, або 1,714 тис. упаковок №5 (5х1), або 0,857 тис. упаковок №10 (5х2), або 0,857 тис. упаковок №10 (10х1); </w:t>
              <w:br/>
              <w:t xml:space="preserve">24,50 кг або 35,000 тис. таблеток, або 7,000 тис. упаковок №5 (5х1), або 3,500 тис. упаковок №10 (5х2), або 3,500 тис. упаковок №10 (10х1); </w:t>
              <w:br/>
              <w:t>49,00 кг або 70,000 тис. таблеток, або 14,000 тис. упаковок №5 (5х1), або 7,000 тис. упаковок №10 (5х2), або 7,000 тис. упаковок №10 (10х1).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UA/16662/01/01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МОРКВИ ДИКОЇ ПЛОДІВ ЕКСТРАКТ РІДКИЙ</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моркви дикої плодів екстракт рідкий (fructuum Dauci sativi)</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екстракт рідкий (субстанція) у бочках полімерних для виробництва нестерильних лікарських форм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 приведення специфікації і методів контролю ЕТАНОЛ (96%) до монографії «ETHANOL (96 PER CENT)», ЄФ, діюче видання. До монографії приводяться показники: «Опис», «Розчинність», «Ідентифікація», «Прозорість», «Кольоровість», «Кислотність або лужність», «Відносна густина», «Леткі домішки», «Оптична густина», «Сухий залишок», «Об'ємна частка етанолу», «Мікробіологічна чистота». Вилучено показник «Важкі метали».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UA/12462/01/01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МОФІЦИН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моксифлоксацин (у вигляді моксифлоксацину гідрохлориду)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J01MA14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400 мг/250 мл, по 250 мл розчину у флаконах, по 1 флакону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ТЕХНОПАК МАНУФЕКЧЕ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АНФАРМ ХЕЛЛАС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2014-101-Rev 02 для діючої речовини Moxifloxacin hydrochloride Monohydrate від вже затвердженого виробника, який змінив назву з ARAGEN LIFE SCIENCES PRIVATE LIMITED, Індія на ARAGEN LIFE SCIENCES LIMITED, Індія. Затверджено: R1-CEP 2014-101-Rev 00 Запропоновано: CEP 2014-101-Rev 02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МУКОФАЛЬК АПЕЛЬСИН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Ispaghula (psylla seeds)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Ispaghula husk (лузга насіння подорожника Plantago ovata Forssk.)</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A06AC01, C10AX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3,25 г/5г; по 5 г гранул у пакеті; по 20 пакетів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Др. Фальк Фарма ГмбХ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кінцевого продукту: Др. Фальк Фарма ГмбХ, Німеччина; виробник дозованої форми та контроль якості: Лозан Фарма ГмбХ, Німеччина; виробники, відповідальні за первинне, вторинне пакування та контроль якості: Ліндофарм ГмбХ, Німеччина; Лозан Фарма ГмбХ, Німеччина; виробники, відповідальні за контроль якості: Хенкель АГ і Ко. КГаА, Німеччина; Лабор ЛС СЕ і Ко. КГ, Німеччина; ІМК - Інститут мікробіологічного забезпечення якості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вилучення посилання на постачальників первинної упаковки з розділу 3.2.P.7 Система контейнер/закупорювальний засіб.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w:t>
              <w:br/>
              <w:t>вилучення незначного показника з специфікації первинної упаковки «Ідентичність: Алюміній» (Identity: Aluminium).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незначного показника з специфікації первинної упаковки «Ширина» (Width).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w:t>
              <w:br/>
              <w:t>вилучення незначного показника з специфікації первинної упаковки «Вага» (Weight).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незначного показника з специфікації первинної упаковки «Контрольні точки» (Control points).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w:t>
              <w:br/>
              <w:t>вилучення незначного показника з специфікації первинної упаковки Wipe-test.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доповнення специфікації первинної упаковки (фольги-саше) параметром: "Grammage" з відповідним методом випробування. Параметр визначається шляхом фізичного огляду. Переглянуто р. 3.2.P.7 «Система контейнер/закупорювальний засіб»; внесено редакційні зміни до специфікації первинної упаковки. Склад первинного пакувального матеріалу та параметри специфікації залишаються незмінними.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UA/6104/01/01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НАФТИЗИН®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naphazoline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нафазоліну нітрат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R01AA08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краплі назальні 0,05 %; по 10 мл у флаконі; по 1 флакону в пачці з картону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Нафазоліну нітрат - LOBA Feinchemie GmbH, Аustria.</w:t>
              <w:br/>
              <w:t>Затверджено:LOBA Feinchemie GmbH, Аustria; АТ «Фармак», Україна</w:t>
              <w:br/>
              <w:t>Запропоновано: АТ «Фармак», Україна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UA/3332/01/01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НАФТИЗИН®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naphazoline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нафазоліну нітрат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R01AA08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краплі назальні 0,1 %; по 10 мл у флаконі; по 1 флакону в пачці з картону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Нафазоліну нітрат - LOBA Feinchemie GmbH, Аustria.</w:t>
              <w:br/>
              <w:t>Затверджено:LOBA Feinchemie GmbH, Аustria; АТ «Фармак», Україна</w:t>
              <w:br/>
              <w:t>Запропоновано: АТ «Фармак», Україна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UA/3332/01/02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НЕБІАР® ПЛЮС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nebivolol and thiazides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небіволол (у формі небівололу гідрохлориду); гідрохлортіазид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C07BB12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мг/12,5 мг; по 10 таблеток у блістері; по 3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 Україна (виробництво (фасування) з продукції in bulk фірми-виробника Файн Фудс енд Фармасьютікалc Н.Т.М. С.П.А., Італiя (виробництво, первинне та вторинне пакування, контроль якості, випуск серії))</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Згідно з наданими матеріалами реєстраційного досьє на ГЛЗ НЕБІАР® ПЛЮС, таблетки, вкриті плівковою оболонкою, по 5 мг/12,5 мг пропонується актуалізувати РД у відповідності до документації виробника продукції in bulk, а саме: оновлення СЕР на АФІ Небівололу гідрохлорид затвердженого виробника АФІ «Hetero Drugs Limited», Індія у зв’язку з отриманням CEP 2021-403-Rev 01 </w:t>
              <w:br/>
              <w:t>Діюча редакція No. R0-CEP 2021-403-Rev 00. Пропонована редакція No. CEP 2021-403-Rev 01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UA/17352/01/01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НЕБІВОЛОЛ/ГІДРОХЛОРТІАЗИД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nebivolol and thiazides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небіволол (у формі небівололу гідрохлориду), гідрохлортіазид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мг/12,5 мг; in bulk: 15 кг ± 10 % таблеток у поліетиленовому пакеті; по 1 пакету в поліетиленовий пакет</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Файн Фудс енд Фармасьютікалc Н.Т.М.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2021-403-Rev 01 для АФІ Небівололу гідрохлорид від вже затвердженого виробника Hetero Drugs Limited, Індія . Затверджено: R0- CEP 2021-403-Rev 00 Запропоновано: CEP 2021-403-Rev 01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UA/17339/01/01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НЕФАМ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nefopam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N02BG06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2 мл в ампулі, по 5 або 10 ампул у пачці; по 2 мл в ампулі, по 5 ампул у блістері, по 1 або 2 блістери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(інші зміни) - оновлення версії ДМФ виробника АФІ Nefopam hydrochloride з версії AP CTD v.8.0 March 2024 до версії AP CTD v.9.0 January 2025.</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UA/18031/01/01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НЕФОПАМ-ЗДОРОВ`Я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nefopam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N02BG06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20 мг/2 мл; по 2 мл в ампулі, по 5 ампул у картонній коробці з перегородкою; по 2 мл в ампулі, по 5 ампул у блістері, по 1 блістеру у коробці з картону; по 2 мл у флаконі; по 5 флаконів у контурній чарунковій упаковці; по 1 контурній чарунковій упаковці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контроль якості, випуск серії:</w:t>
              <w:br/>
              <w:t>Товариство з обмеженою відповідальністю "ФАРМЕКС ГРУП",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UA/17470/01/01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 АРТРОГЕЛЬ</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M02AA26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гель для зовнішнього застосування, 10 мг/г; для виробника КУСУМ ХЕЛТХКЕР ПВТ ЛТД, Індія: по 30 г або 100 г в алюмінієвій або ламінованій тубі; по 1 тубі у картонній упаковці; для виробника ТОВ "КУСУМ", Україна: по 30 г або 100 г в ламінованій тубі; по 1 тубі у картонній упаковці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або виробництво продукції in bulk: </w:t>
              <w:br/>
              <w:t xml:space="preserve">КУСУМ ХЕЛТХКЕР ПВТ ЛТД, Індія; </w:t>
              <w:br/>
              <w:t xml:space="preserve">вторинне пакування, випуск серії з продукції in bulk: </w:t>
              <w:br/>
              <w:t>ТОВ «КУСУМ», Україна;</w:t>
              <w:br/>
              <w:t>контроль якості:</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Затвердження: ТОВ «ГЛЕДФАРМ ЛТД». Запропоновано: ТОВ «КУСУМ».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з ТОВ "ГЛЕДФАРМ ЛТД", Україна на ТОВ "КУСУМ", Україна, без зміни місця виробництва.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 додаткової дільниці, як наслідок - затвердження тексту маркування упаковок лікарського засобу.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ТОВ "КУСУМ", що здійснює вторинне пакування з продукції in bulk, виготовленої виробником КУСУМ ХЕЛТХКЕР ПВТ ЛТД / KUSUM HEALTHCARE PVT LTD в Індії. У зв'язку з введенням додаткового виробника ТОВ "КУСУМ", що знаходиться за адресою: 08039, Україна, Київська область, Бучанський район, Макарівська територіальна громада, село Северинівка, вул. Перемоги, будинок 2В, додаються 2 додаткові торгові упаковки - по 30 г або по 100 г в ламінованій тубі; по 1 тубі у картонній упаковці.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w:t>
              <w:br/>
              <w:t xml:space="preserve">введення додаткової дільниці ТОВ «КУСУМ», що знаходиться за адресою: 02149, Україна, м. Київ, проспект Миколи Бажана, 38, на якій здійснюється контроль/випробування серії.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що знаходиться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У зв'язку з введенням додаткового виробника ТОВ «КУСУМ» додаються 2 додаткові торгові упаковки - по 30 г або по 100 г в ламінованій тубі; по 1 тубі у картонній упаковці.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 додаткової дільниці, як наслідок - затвердження тексту маркування упаковок лікарського засобу. </w:t>
              <w:br/>
              <w:t xml:space="preserve">Введення змін протягом 12-ти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UA/7649/01/01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 АРТРОГЕЛЬ</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гель для зовнішнього застосування, 10 мг/г; in bulk: по 30 г в ламінованій тубі; по 200 туб у картонній упаковці; по 100 г в ламінованій тубі; по 100 туб у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Затвердження: ТОВ «ГЛЕДФАРМ ЛТД». Запропоновано: ТОВ «КУСУМ». Введення змін протягом 12-ти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UA/12014/01/01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M01AX17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100 мг/2 г, in bulk № 350 (1х350): по 2 г в саше, по 350 саше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w:t>
              <w:br/>
              <w:t>Затверджено:</w:t>
              <w:br/>
              <w:t>ТОВ "ГЛЕДФАРМ ЛТД"</w:t>
              <w:br/>
              <w:t>Україна, 02092, м. Київ, вулиця Алма-Атинська, будинок 58</w:t>
              <w:br/>
              <w:t>Запропоновано:</w:t>
              <w:br/>
              <w:t>ТОВ "КУСУМ"</w:t>
              <w:br/>
              <w:t>Україна, 02092, м. Київ, вулиця Алма-Атинська, будинок 58</w:t>
              <w:br/>
              <w:t>Введення змін протягом 12-ти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UA/12051/01/01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M01AX17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100 мг/2 г, по 2 г в саше; по 30 саше в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w:t>
              <w:br/>
              <w:t>виробництво продукції in bulk:</w:t>
              <w:br/>
              <w:t>КУСУМ ХЕЛТХКЕР ПВТ ЛТД, Індія;</w:t>
              <w:br/>
              <w:t>виробництво, первинне пакування, вторинне пакування, контроль якості, випуск серії:</w:t>
              <w:br/>
              <w:t>КУСУМ ХЕЛТХКЕР ПВТ ЛТД, Індія;</w:t>
              <w:br/>
              <w:t>виробництво, первинне пакування, вторинне пакування, контроль якості, випуск серії:</w:t>
              <w:br/>
              <w:t>ТОВ «КУСУМ ФАРМ», Україна;</w:t>
              <w:br/>
              <w:t>вторинне пакування, випуск серії з продукції in bulk:</w:t>
              <w:br/>
              <w:t>ТОВ «КУСУМ», Україна;</w:t>
              <w:br/>
              <w:t>контроль якості:</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w:t>
              <w:br/>
              <w:t>Затверджено:</w:t>
              <w:br/>
              <w:t>ТОВ "ГЛЕДФАРМ ЛТД"</w:t>
              <w:br/>
              <w:t>Україна, 02092, м. Київ, вулиця Алма-Атинська, будинок 58</w:t>
              <w:br/>
              <w:t>Запропоновано:</w:t>
              <w:br/>
              <w:t>ТОВ "КУСУМ"</w:t>
              <w:br/>
              <w:t>Україна, 02092, м. Київ, вулиця Алма-Атинська, будинок 58</w:t>
              <w:br/>
              <w:t>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розділи "Виробник", з відповідними змінами в тексті маркування упаковок.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У зв’язку з виробничою необхідністю вводиться додаткова дільниця ТОВ «КУСУМ» за адресою 02149, Україна, м. Київ, проспект Миколи Бажана, 38, на якій здійснюється контроль/випробування серії.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 додаткової дільниці, як наслідок - затвердження тексту маркування упаковок лікарського засобу. Введення змін протягом 12-ти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UA/4240/03/01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НІФУРОКСАЗИД-СПЕРКО</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nifuroxazide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ніфуроксазид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A07AX03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200 мг по 12 капсул в контейнері; по 1 контейнеру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 Україна (повний цикл виробництва, випуск серії; контроль якості)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альтернативного виробника субстанції ніфуроксазиду JOYOCHEN CO., LTD, Китай (затверджені виробники фірма "Coprima,S.L.", Іспанія, запропоновано: "Coprima,S.L.", Іспанія, «JOYOCHEN CO., LTD», Китай)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UA/8638/01/01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НІЦЕРГОЛІН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ніцерголін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поліетиленових пакетах для фармацевтичного застосування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ВЕЗ Фармахем д.о.о.</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ТАПІ Чех Індастріз с.р.о.</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2003-198 - Rev 05 (затверджено: CEP 2003-198 - Rev 04; запропоновано: CEP 2003-198 - Rev 05). Як наслідок зміна назви виробника. Діюча редакція: Виробник(и) виробники лікарського засобу: Тева Чех Індастріз с.р.о., Чеська республіка Teva Czech Industries s.r.o., Czech Republic. Пропонована редакція: Виробник(и) виробники лікарського засобу: ТАПІ Чех Індастріз с.р.о., Чеська республіка TAPI Czech Industries s.r.o., Czech Republic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UA/15078/01/01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ОЗУРДЕКС®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dexamethasone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дексаметазон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S01BA01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імплантат для інтравітреального введення, 700 мкг, по 1 аплікатору, що містить імплантат, разом з пакетом-поглиначем вологи, у пакеті із фольги; по 1 пакету із фольги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Еббві Дойчленд ГмбХ і Ко. КГ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Аллерган Фармасьютікалз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1996-019 - Rev 09 для АФІ дексаметазон від вже затвердженого виробника EUROAPI France, Франція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UA/12292/01/01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ОМЛОС ДУО</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Tamsulosin and dutasteride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дутастерид та тамсулозину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G04CA52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0,5 мг/0,4 мг; по 30 капсул у флаконі (капсули у поліетиленовому флаконі з кришкою, яка містить осушувач силікагель); по 1 флакону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проміжної продукції (дутастерід капсули желатинові м'які), та готового лікарського засобу; первинна та вторинна упаковка, контроль якості (хімічний/фізичний): ЛАБОРАТОРІОС ЛЕОН ФАРМА С.А., Іспанiя; </w:t>
              <w:br/>
              <w:t xml:space="preserve">вторинне пакування (альтернативний виробник): АТДІС ФАРМА, С.Л., Іспанiя; </w:t>
              <w:br/>
              <w:t xml:space="preserve">контроль якості (мікробіологічна чистота): ЛАБОРАТОРІО ЕЧЕВАРНЕ, С.А., Іспанія; </w:t>
              <w:br/>
              <w:t xml:space="preserve">випуск серії: АЛКАЛОЇД АД Скоп’є, Республіка Пiвнiчна Македонія; </w:t>
              <w:br/>
              <w:t xml:space="preserve">виробництво проміжної продукції (пелети тамсулозину з модифікованим вивільненням): К.О. ЗЕНТІВА С.А., Румунія; </w:t>
              <w:br/>
              <w:t xml:space="preserve">вторинне пакування (альтернативний виробник): МАНАНТІАЛ ІНТЕГРА, С.Л.Ю., Іспанiя; </w:t>
              <w:br/>
              <w:t xml:space="preserve">контроль якості (хімічний/фізичний, мікробіологічна чистота): НЕТФАРМАЛАБ КОНСАЛТІНГ СЕРВІСЕС, Іспанія; </w:t>
              <w:br/>
              <w:t xml:space="preserve">контроль якості (хімічний/фізичний): ФУНДАСІОН ТЕКНАЛІЯ РЕЗЕАРЧ ЕНД ІННОВАТЬОН, Іспанія; </w:t>
              <w:br/>
              <w:t>виробництво проміжної продукції (пелети тамсулозину з модифікованим вивільненням) вторинне та первинне пакування (альтернативний виробник): ЛАБОРАТОРІОС ЛІКОНСА, С.А., Іспанія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Румунія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діючої речовини (дутастерид). Інструкція для медичного застосування лікарського засобу (eCTD-версія 0006). Термін введення змін -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UA/19278/01/01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ОРМАКС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азитроміцин (у формі дигідрату)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250 мг; по 6 капсул у пластиковому контейнері; по 1 контейнеру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 Україна</w:t>
              <w:br/>
              <w:t>повний цикл виробництва, випуск серії;</w:t>
              <w:br/>
              <w:t>контроль якості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"Фармакологічні властивості" (Фармакодинаміка, фармакокінетика),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відповідно до оновленої інформації з безпеки діючої речовини (азитроміцину) згідно з рекомендаціями PRAC. Зміни І типу - Зміни щодо безпеки/ефективності та фармаконагляду (інші зміни).Зміни внесено до інструкції для медичного застосування лікарського засобу до розділу "Побічні реакції" (щодо повідомлення про підозрювані побічні реакції).</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UA/11108/01/01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ПАКЛІТАКСЕЛ "ЕБЕВЕ"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paclitaxel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паклітаксел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L01CD01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розчину для інфузій, 6 мг/мл; по 5 мл (30 мг), або 16,7 мл (100 мг), або 25 мл (150 мг), або 35 мл (210 мг), або 50 мл (300 мг) у флаконі, по 1 флакону в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ЕБЕВЕ Фарма Гес.м.б.Х. Нфг. КГ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ФАРЕВА Унтерах ГмбХ, Австрія; випуск серії: ЕБЕВЕ Фарма Гес.м.б.Х. Нфг. КГ, Австрія; тестування:</w:t>
              <w:br/>
              <w:t>МПЛ Мікробіологішес Прюфлабор ГмбХ, Австрія; тестування: Лабор ЛС СЕ &amp; Ко. КГ, Німеччина; тестування: Зейберсдорф Лабор ГмбХ, Австрія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2019-346-Rev 06 від затвердженого виробника Indena S.p.A., Італія діючої речовини паклітаксел, в зв’язку з переходом на формат СЕР 2.0 відповідно до чинної процедури EDQM для СЕР. (затверджено: R0-CEP 2019-346-Rev 05; запропоновано: CEP 2019-346-Rev 06).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2015-278-Rev 01 від затвердженого виробника SCINOPHARM TAIWAN LTD діючої речовини паклітаксел, в зв’язку зі зміною поштового індексу (затверджено: R1-CEP 2015-278-Rev 00; запропоновано: CEP 2015-278-Rev 01).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UA/0714/01/01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ПАНКРЕАТИН ФОРТЕ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Multienzymes (lipase, protease etc.)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панкреатин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A09AA02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10 таблеток у блістері; по 2, 4, 5 або по 6 блістерів у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"Особливості застосування" та до короткої характеристики лікарського засобу до розділу "4.5 Особливі застереження та запобіжні заходи при застосуванні" відповідно до оновленої інформації щодо безпеки застосування діючої речовини.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UA/0337/01/01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ПАНТЕНОЛ-ТЕВА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декспантенол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D03AX03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мазь 5 %; по 35 г мазі у тубі; по 1 тубі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Меркле ГмбХ, Німеччина; Виробництво нерозфасованої продукції, первинна та вторинна упаковка, контроль якості:</w:t>
              <w:br/>
              <w:t>Меркле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CEP 1997-113-Rev 04 на АФІ Декспантенол від затвердженого виробника DSM Nutritional Products (UK) Limited, UK (затверджено: R1-CEP 1997-113-Rev 03; запропоновано: CEP 1997-113-Rev 04). 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назві</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розділі</w:t>
            </w:r>
            <w:r>
              <w:rPr>
                <w:rFonts w:cs="Arial" w:ascii="Arial" w:hAnsi="Arial"/>
                <w:color w:val="000000"/>
                <w:sz w:val="16"/>
                <w:szCs w:val="16"/>
                <w:lang w:val="en-US"/>
              </w:rPr>
              <w:t xml:space="preserve"> «</w:t>
            </w:r>
            <w:r>
              <w:rPr>
                <w:rFonts w:cs="Arial" w:ascii="Arial" w:hAnsi="Arial"/>
                <w:color w:val="000000"/>
                <w:sz w:val="16"/>
                <w:szCs w:val="16"/>
              </w:rPr>
              <w:t>Склад</w:t>
            </w:r>
            <w:r>
              <w:rPr>
                <w:rFonts w:cs="Arial" w:ascii="Arial" w:hAnsi="Arial"/>
                <w:color w:val="000000"/>
                <w:sz w:val="16"/>
                <w:szCs w:val="16"/>
                <w:lang w:val="en-US"/>
              </w:rPr>
              <w:t xml:space="preserve">» </w:t>
            </w:r>
            <w:r>
              <w:rPr>
                <w:rFonts w:cs="Arial" w:ascii="Arial" w:hAnsi="Arial"/>
                <w:color w:val="000000"/>
                <w:sz w:val="16"/>
                <w:szCs w:val="16"/>
              </w:rPr>
              <w:t>МКЯ</w:t>
            </w:r>
            <w:r>
              <w:rPr>
                <w:rFonts w:cs="Arial" w:ascii="Arial" w:hAnsi="Arial"/>
                <w:color w:val="000000"/>
                <w:sz w:val="16"/>
                <w:szCs w:val="16"/>
                <w:lang w:val="en-US"/>
              </w:rPr>
              <w:t xml:space="preserve"> </w:t>
            </w:r>
            <w:r>
              <w:rPr>
                <w:rFonts w:cs="Arial" w:ascii="Arial" w:hAnsi="Arial"/>
                <w:color w:val="000000"/>
                <w:sz w:val="16"/>
                <w:szCs w:val="16"/>
              </w:rPr>
              <w:t>ЛЗ</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DSM Nutritional Products (UK) Ltd (United Kingdom) </w:t>
            </w:r>
            <w:r>
              <w:rPr>
                <w:rFonts w:cs="Arial" w:ascii="Arial" w:hAnsi="Arial"/>
                <w:color w:val="000000"/>
                <w:sz w:val="16"/>
                <w:szCs w:val="16"/>
              </w:rPr>
              <w:t>на</w:t>
            </w:r>
            <w:r>
              <w:rPr>
                <w:rFonts w:cs="Arial" w:ascii="Arial" w:hAnsi="Arial"/>
                <w:color w:val="000000"/>
                <w:sz w:val="16"/>
                <w:szCs w:val="16"/>
                <w:lang w:val="en-US"/>
              </w:rPr>
              <w:t xml:space="preserve"> DSM NUTRITIONAL PRODUCTS (UK) LIMITED (United Kingdom).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UA/7142/01/01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ПОСТЕРИЗАН ФОРТЕ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shd w:fill="FFFFFF" w:val="clear"/>
              </w:rPr>
              <w:t>стандартизована суспензія культури бактерій (містить 1,0 × 10</w:t>
            </w:r>
            <w:r>
              <w:rPr>
                <w:rFonts w:cs="Arial" w:ascii="Arial" w:hAnsi="Arial"/>
                <w:color w:val="000000"/>
                <w:sz w:val="16"/>
                <w:szCs w:val="16"/>
                <w:vertAlign w:val="superscript"/>
              </w:rPr>
              <w:t>9</w:t>
            </w:r>
            <w:r>
              <w:rPr>
                <w:rFonts w:cs="Arial" w:ascii="Arial" w:hAnsi="Arial"/>
                <w:color w:val="000000"/>
                <w:sz w:val="16"/>
                <w:szCs w:val="16"/>
                <w:shd w:fill="FFFFFF" w:val="clear"/>
              </w:rPr>
              <w:t xml:space="preserve"> E.coli, убитих і законсервованих у зрідженому фенолі), гідрокортизон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C05AA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супозиторії; по 5 супозиторіїв у стрипі; по 2 стрипи в картонній пачці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Др. Каде Фармацевтична Фабрика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Др. Каде Фармацевтична Фабрика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2002-220-Rev 02 для виробника АФІ гідрокортизон PHARMACIA &amp; UPJOHN COMPANY LLC, та, як наслідок, зміна назви виробника АФІ. Зміни вносяться в МКЯ ЛЗ. </w:t>
              <w:br/>
              <w:t xml:space="preserve">Діюча редакція: R1-CEP 2002-220-Rev 01 Pharmacia &amp; Upjohn Company, США Пропонована редакція: R1-CEP 2002-220-Rev 02 </w:t>
              <w:br/>
              <w:t>Pharmacia &amp; Upjohn Company LLC, США.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2019-166-Rev 03 для виробника АФІ гідрокортизон EUROAPI FRANCE (затверджено: R0-CEP 2019-166-Rev 01; запропоновано: CEP 2019-166-Rev 03).</w:t>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w:t>
              <w:br/>
              <w:t>Незначна зміна у методі випробування "Розмір часток" для АФІ гідрокортизон, а саме зміна аналітичного обладнання на аналогічне</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UA/4864/02/02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ПОТЕНЦІАЛЕ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силденафілу цитрат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 мг; по 2 таблетки у блістері; по 1 або по 2 блістери у пачці з картону; по 1 таблетці у блістері; по 1 або по 2, або по 4 блістери у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силденафілу цитрат «Maprimed S.A.», Аргентина. Затверджено</w:t>
            </w:r>
            <w:r>
              <w:rPr>
                <w:rFonts w:cs="Arial" w:ascii="Arial" w:hAnsi="Arial"/>
                <w:color w:val="000000"/>
                <w:sz w:val="16"/>
                <w:szCs w:val="16"/>
                <w:lang w:val="en-US"/>
              </w:rPr>
              <w:t xml:space="preserve">: Maprimed S.A., Argentina </w:t>
            </w:r>
            <w:r>
              <w:rPr>
                <w:rFonts w:cs="Arial" w:ascii="Arial" w:hAnsi="Arial"/>
                <w:color w:val="000000"/>
                <w:sz w:val="16"/>
                <w:szCs w:val="16"/>
              </w:rPr>
              <w:t>або</w:t>
            </w:r>
            <w:r>
              <w:rPr>
                <w:rFonts w:cs="Arial" w:ascii="Arial" w:hAnsi="Arial"/>
                <w:color w:val="000000"/>
                <w:sz w:val="16"/>
                <w:szCs w:val="16"/>
                <w:lang w:val="en-US"/>
              </w:rPr>
              <w:t xml:space="preserve"> MSN Organics Private Limited, India. </w:t>
            </w:r>
            <w:r>
              <w:rPr>
                <w:rFonts w:cs="Arial" w:ascii="Arial" w:hAnsi="Arial"/>
                <w:color w:val="000000"/>
                <w:sz w:val="16"/>
                <w:szCs w:val="16"/>
              </w:rPr>
              <w:t>Запропоновано: MSN Organics Private Limited, India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UA/6415/01/02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ПОТЕНЦІАЛЕ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силденафілу цитрат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 мг; по 2 таблетки у блістері; по 1 або по 2 блістери у пачці з картону; по 1 таблетці у блістері; по 1 або по 2, або по 4 блістери у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силденафілу цитрат «Maprimed S.A.», Аргентина. Затверджено</w:t>
            </w:r>
            <w:r>
              <w:rPr>
                <w:rFonts w:cs="Arial" w:ascii="Arial" w:hAnsi="Arial"/>
                <w:color w:val="000000"/>
                <w:sz w:val="16"/>
                <w:szCs w:val="16"/>
                <w:lang w:val="en-US"/>
              </w:rPr>
              <w:t xml:space="preserve">: Maprimed S.A., Argentina </w:t>
            </w:r>
            <w:r>
              <w:rPr>
                <w:rFonts w:cs="Arial" w:ascii="Arial" w:hAnsi="Arial"/>
                <w:color w:val="000000"/>
                <w:sz w:val="16"/>
                <w:szCs w:val="16"/>
              </w:rPr>
              <w:t>або</w:t>
            </w:r>
            <w:r>
              <w:rPr>
                <w:rFonts w:cs="Arial" w:ascii="Arial" w:hAnsi="Arial"/>
                <w:color w:val="000000"/>
                <w:sz w:val="16"/>
                <w:szCs w:val="16"/>
                <w:lang w:val="en-US"/>
              </w:rPr>
              <w:t xml:space="preserve"> MSN Organics Private Limited, India. </w:t>
            </w:r>
            <w:r>
              <w:rPr>
                <w:rFonts w:cs="Arial" w:ascii="Arial" w:hAnsi="Arial"/>
                <w:color w:val="000000"/>
                <w:sz w:val="16"/>
                <w:szCs w:val="16"/>
              </w:rPr>
              <w:t>Запропоновано: MSN Organics Private Limited, India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UA/6415/01/01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ПРАКСБАЙНД®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idarucizumab</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ідаруцизумаб</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V03AB37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ін`єкцій/інфузій, 2,5 г/50 мл; по 50 мл у флаконі; по 2 флакони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та вторинне пакування, контроль якості та випуск серії: Берінгер Інгельхайм Фарма ГмбХ і Ко. КГ, Німеччина; </w:t>
              <w:br/>
              <w:t>Альтернативна лабораторія для контролю якості протягом випробування стабільності: Кволіті Ассістанс СА, Бельгія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Бельгія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будь-якої частини матеріалу первинної упаковки, що не контактує з готовим лікарським засобом (наприклад колір кришечок з контролем першого відкриття, колір кодових кілець на ампулах, контейнера для голок (різні види пластмаси) (зміна, яка не впливає на коротку характеристику лікарського засобу). Внесення змін до первинної упаковки ГЛЗ: зміна розміру (висоти) знімного ковпачка. Редакційні правки: уточнення матеріалу вентиляційного фільтра контейнера для діючої речовини – з політетрафторетилену (PTFE) на полівініліденфторид (PVDF).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(лікарський засіб є лікарським засобом біологічного/імунологічного походження та зміна вимагає проведення порівняльних досліджень). Додавання альтернативної лінії наповнення готового лікарського засобу SM5 з іншим принципом наповнення та збільшеним розміром серії ГЛЗ. Стерильна виробнича лінія 5 розташована в будівлі F113 вже затвердженого виробника Берінгер Інгельхайм Фарма ГмбХ і Ко.КГ, Біркендорфер Штрассе 65, 88397 Біберах/Рисс, Німеччина; валідований діапазон розміру серії для комерційного виробництва збільшено з 1 683–7 710 до 1 683–11 208 флаконів.</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UA/15467/01/01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10 МГ/10 МГ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мг/10 мг; по 30 або 100 таблеток у контейнері для таблеток; по 1 контейнеру для таблеток у коробці з картону пакувального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br/>
              <w:t>Діюча редакція: Частота подання регулярно оновлюваного звіту з безпеки 5 років. Кінцева дата для включення даних до РОЗБ - 22.10.2025 р. Дата подання - 20.01.2026р. Пропонована редакція: Частота подання регулярно оновлюваного звіту з безпеки 7 років</w:t>
              <w:br/>
              <w:t>Кінцева дата для включення даних до РОЗБ - 22.10.2032 р. Дата подання – 20.01.2033 р. Рекомендовано до затвердження відповідно до періодичності подання регулярно оновлюваних звітів з безпеки лікарських засобів у ЄС.</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UA/15827/01/02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10 МГ/5 МГ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мг/5 мг; по 30 або 100 таблеток у контейнері для таблеток; по 1 контейнеру для таблеток у коробці з картону пакувального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br/>
              <w:t>Діюча редакція: Частота подання регулярно оновлюваного звіту з безпеки 5 років. Кінцева дата для включення даних до РОЗБ - 22.10.2025 р. Дата подання - 20.01.2026р. Пропонована редакція: Частота подання регулярно оновлюваного звіту з безпеки 7 років</w:t>
              <w:br/>
              <w:t>Кінцева дата для включення даних до РОЗБ - 22.10.2032 р. Дата подання – 20.01.2033 р. Рекомендовано до затвердження відповідно до періодичності подання регулярно оновлюваних звітів з безпеки лікарських засобів у ЄС.</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5 МГ/10 МГ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мг/10 мг; по 30 або 100 таблеток у контейнері для таблеток; по 1 контейнеру для таблеток у коробці з картону пакувального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br/>
              <w:t>Діюча редакція: Частота подання регулярно оновлюваного звіту з безпеки 5 років. Кінцева дата для включення даних до РОЗБ - 22.10.2025 р. Дата подання - 20.01.2026р. Пропонована редакція: Частота подання регулярно оновлюваного звіту з безпеки 7 років</w:t>
              <w:br/>
              <w:t>Кінцева дата для включення даних до РОЗБ - 22.10.2032 р. Дата подання – 20.01.2033 р. Рекомендовано до затвердження відповідно до періодичності подання регулярно оновлюваних звітів з безпеки лікарських засобів у ЄС.</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5 МГ/5 МГ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/5 мг; по 10, 30 або 100 таблеток у контейнері для таблеток; по 1 контейнеру для таблеток у коробці з картону пакувального</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w:t>
              <w:br/>
              <w:t>Діюча редакція: Частота подання регулярно оновлюваного звіту з безпеки 5 років. Кінцева дата для включення даних до РОЗБ - 22.10.2025 р. Дата подання - 20.01.2026р. Пропонована редакція: Частота подання регулярно оновлюваного звіту з безпеки 7 років</w:t>
              <w:br/>
              <w:t>Кінцева дата для включення даних до РОЗБ - 22.10.2032 р. Дата подання – 20.01.2033 р. Рекомендовано до затвердження відповідно до періодичності подання регулярно оновлюваних звітів з безпеки лікарських засобів у ЄС.</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ПРОЛІА®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denosumab</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деносумаб</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M05BX04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60 мг/мл; по 1 мл розчину в скляному попередньо наповненому шприці з голкою, закритою ковпачком, із захисним пристроєм від випадкового уколу голкою; по 1 попередньо заповненому шприцу з захисним пристроєм в блістері; по 1 блістеру в картонній коробці; по 1 мл розчину в скляному попередньо заповненому шприці з голкою, закритою ковпачком; по 1 попередньо заповненому шприцу в блістері або без блістера, поміщеному в картонну коробку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Амджен Європа Б.В.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Амджен Мануфекчурінг Лімітед, США; вторинне пакування та випуск серії: Амджен Європа Б.В., Нідерланди</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 Нідерланди</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план управління ризиками версія 33.1</w:t>
              <w:br/>
              <w:t>Зміни внесено до частин:</w:t>
              <w:br/>
              <w:t>І «Загальна інформація»,</w:t>
              <w:br/>
              <w:t>II «Специфікація з безпеки»,</w:t>
              <w:br/>
              <w:t>III «План з фармаконагляду», V «Заходи з мінімізації ризиків»,</w:t>
              <w:br/>
              <w:t>VI «Резюме плану управління ризиками»</w:t>
              <w:br/>
              <w:t>VII «Додатки» у зв'язку з результатами ретроспективного когортного дослідження 20090522, вилучення завершеного дослідження категорії 3 № 20090522 з плану фармаконагляду та необхідності актуалізації профілю безпеки лікарського засобу, видалення та перекласифікації важливих виявлених ризиків, потенційних ризиків.</w:t>
              <w:br/>
              <w:t>Резюме ПУР версія 33.1 погоджена (eCTD послідовність № 0009).</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UA/12077/01/01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ПРОСТАН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finasteride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фінастерид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по 10 таблеток у блістері, по 1 або 3 блістери у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"Побічні реакції" згідно з інформацією щодо медичного застосування референтного лікарського засобу (PROSCAR® 5mg film-coated Tablets).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UA/8262/01/01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ПУРЕГОН®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follitropin beta</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фолітропін бета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G03GA06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833 МО/мл; по 0,420 мл (300 МО/0,36 мл) або 0,780 мл (600 МО/0,72 мл) у картриджі; по 1 картриджу у відкритому пластиковому лотку в комплекті з голками, по 2 комплекти голок – 2 картонні коробки (кожен комплект по 3 голки, кожна голка в індивідуальному пластиковому контейнері) у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Органон Сентрал Іст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та первинна упаковка,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Візуальна інспекція: Веттер Фарма-Фертигунг ГмбХ і Ко. КГ, Німеччина; Контроль якості та тестування стабільності, вторинна упаковка, дозвіл на випуск серії:</w:t>
              <w:br/>
              <w:t>Н.В. Органон, Нідерланди</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Нідерланди</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з MSD Biotech B.V., The Netherlands на N.V. Organon, The Netherlands. Місцезнаходження виробничих дільниць та всі виробничі операції залишаються без змін.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UA/5023/01/01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2,5 мг/12,5 мг, по 10 таблеток у блістері; по 3 блістери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Раміприл, а саме Neuland Laboratories Limited, India, Виробник що залишається (AARTI Pharmalabs Limited, India) виконує ті ж функції що й вилучений.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UA/12569/01/01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мг/25 мг, по 10 таблеток у блістері; по 3 блістери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Раміприл, а саме Neuland Laboratories Limited, India, Виробник що залишається (AARTI Pharmalabs Limited, India) виконує ті ж функції що й вилучений.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UA/12569/01/02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5 мг/12,5 мг; по 10 таблеток у блістері; по 3 блістери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Раміприл, а саме Neuland Laboratories Limited, India, Виробник що залишається (AARTI Pharmalabs Limited, India) виконує ті ж функції що й вилучений.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UA/15545/01/02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10 мг/25 мг; по 10 таблеток у блістері; по 3 блістери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Раміприл, а саме Neuland Laboratories Limited, India, Виробник що залишається (AARTI Pharmalabs Limited, India) виконує ті ж функції що й вилучений.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UA/15545/01/01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РАМІПРИЛ-ДАРНИЦЯ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ramipril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C09AA05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3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РАМІПРИЛ-ДАРНИЦЯ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ramipril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C09AA05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UA/19736/01/02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РАПІРА® ЕФЕРТАБ 600</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шипучі по 600 мг; по 10 таблеток у тубі, по 1 тубі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Е-Фарма Тренто С.П.А.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Приведення адреси виробника ГЛЗ Е-Фарма Тренто С.П.А. у відповідність до оновленого сертифікату GMP, а саме з Фразіоне Равіна - Віа Провіна 2 - Тренто (ТН), Італія/ Frazione Ravina - Via Provina 2 - Trento (TN), Italy на Віа Провіна, 2 - 38123 Тренто (ТН), Італія / Via Provina, 2 - 38123 Trento (TN), Italy. Місцезнаходження виробничої дільниці не змінилось. Зміни внесені в інструкцію для медичного застосування лікарського засобу у розділ «Місцезнаходження виробника та адреса місця провадження його діяльності», відповідні зміни внесені в текст маркування упаковки лікарського засобу. Термін введення змін - протягом 6 місяців після затвердження. Зміни І типу - Зміни щодо безпеки/ефективності та фармаконагляду (інші зміни) - Зміни внесені в інструкцію для медичного застосування лікарського засобу у розділ «Упаковка» (внесення редакційного виправлення). Термін введення змін протягом 6 місяців після затвердження. Зміни І типу - Зміни щодо безпеки/ефективності та фармаконагляду (інші зміни) -</w:t>
              <w:br/>
              <w:t xml:space="preserve">Оновлення тексту маркування упаковки лікарського засобу, зокрема внесення редакційних правок по тексту. </w:t>
              <w:br/>
              <w:t>Термін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UA/19359/01/01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РЕНАЛГАН®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Pitofenone and analgesics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метамізол натрію, пітофенону гідрохлорид, фенпіверинію бромід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A03DA02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або 2 блістери у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w:t>
              <w:br/>
              <w:t>ПрАТ "Технолог",</w:t>
              <w:br/>
              <w:t>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умов відпуску в наказі МОЗ України № 1576 від 13.10.2026 в процесі внесення змін</w:t>
            </w:r>
            <w:r>
              <w:rPr>
                <w:rFonts w:cs="Arial" w:ascii="Arial" w:hAnsi="Arial"/>
                <w:color w:val="000000"/>
                <w:sz w:val="16"/>
                <w:szCs w:val="16"/>
              </w:rPr>
              <w:t xml:space="preserve"> (Зміни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а саме: вилучено інформацію, зазначену російською мовою, із тексту маркування вторинної упаковки, внесено зміни у текст маркування первинної (п. 2, 6) та вторинної (п. 2, 4, 11, 16, 17) упаковки, а також зроблено незначні редакційні правки. Введення змін протягом 6-ти місяців після затвердження). Редакція в наказі - за рецептом. </w:t>
            </w:r>
            <w:r>
              <w:rPr>
                <w:rFonts w:cs="Arial" w:ascii="Arial" w:hAnsi="Arial"/>
                <w:b/>
                <w:color w:val="000000"/>
                <w:sz w:val="16"/>
                <w:szCs w:val="16"/>
              </w:rPr>
              <w:t>Вірна редакція - без рецепта.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b/>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UA/1530/01/01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250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Додавання альтернативної дільниці BioReliance Corporation 9820 Darnestown Road, Rockville, MD 20850, USA відповідальної за контроль якості головного та робочого банку клітин. Проект МКЯ (версія еCTD 0002)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500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Додавання альтернативної дільниці BioReliance Corporation 9820 Darnestown Road, Rockville, MD 20850, USA відповідальної за контроль якості головного та робочого банку клітин. Проект МКЯ (версія еCTD 0002)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1000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Додавання альтернативної дільниці BioReliance Corporation 9820 Darnestown Road, Rockville, MD 20850, USA відповідальної за контроль якості головного та робочого банку клітин. Проект МКЯ (версія еCTD 0002)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2000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Додавання альтернативної дільниці BioReliance Corporation 9820 Darnestown Road, Rockville, MD 20850, USA відповідальної за контроль якості головного та робочого банку клітин. Проект МКЯ (версія еCTD 0002)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3000 МО; 1 попередньо наповнений шприц з ліофілізатом у верхній камері та розчинником по 4 мл у нижній камері, 1 шток поршня, 1 система для інфузії, 2 тампони зі спиртом, 1 пластир, 1 марлева подушечка та 1 ковпачок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при випуску серій та при дослідженні стабільності, маркування, вторинне пакування, випуск серії: Ваєт Фарма С.А., Іспанiя; виробництво лікарського засобу, контроль якості: Веттер Фарма-Фертигунг ГмбХ &amp; Ко. КГ, Німеччина; візуальний контроль лікарського засобу, контроль якості лікарського засобу: Веттер Фарма-Фертигунг ГмбХ &amp; Ко. КГ, Німеччина; візуальний контроль лікарського засобу, контроль якості лікарського засобу: Веттер Фарма-Фертигунг ГмбХ &amp; Ко. КГ, Німеччина; візуальний контроль лікарського засобу: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Додавання альтернативної дільниці BioReliance Corporation 9820 Darnestown Road, Rockville, MD 20850, USA відповідальної за контроль якості головного та робочого банку клітин. Проект МКЯ (версія еCTD 0002)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UA/15929/01/05</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РИСПЕРИДОН-ТЕВА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 мг;</w:t>
              <w:br/>
              <w:t xml:space="preserve">по 10 таблеток у блістері; по 2 або 3, або 6, або 9 блістерів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випробування на однорідність дозованих одиниць методом прямого визначення на розрахунково-ваговий метод. Введення змін протягом 6-ти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UA/20419/01/01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РИСПЕРИДОН-ТЕВА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 мг;</w:t>
              <w:br/>
              <w:t xml:space="preserve">по 10 таблеток у блістері; по 2 або 3, або 6, або 9 блістерів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випробування на однорідність дозованих одиниць методом прямого визначення на розрахунково-ваговий метод. Введення змін протягом 6-ти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UA/20419/01/02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РИСПОЛЕПТ®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 мг; по 10 таблеток в блістері; по 2 або по 6 блістерів у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«Джонсон і Джонсон Україна II»</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Янссен-Сілаг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"Особливості застосування", де додано застереження щодо допоміжної речовини. </w:t>
              <w:br/>
              <w:t>Термін введення змін -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"Побічні реакції" щодо важливості звітування про підозрювані побічні реакції. Термін введення змін -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UA/0692/01/02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lang w:val="uk-UA"/>
              </w:rPr>
            </w:pPr>
            <w:r>
              <w:rPr>
                <w:rFonts w:cs="Arial" w:ascii="Arial" w:hAnsi="Arial"/>
                <w:b/>
                <w:sz w:val="16"/>
                <w:szCs w:val="16"/>
                <w:lang w:val="uk-UA"/>
              </w:rPr>
              <w:t>РИФАМПІЦИН 75 МГ ТА ІЗОНІАЗИД 50 МГ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rifampicin and isoniazid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рифампіцин, ізоніазид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J04AM02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дисперговані по 75 мг/50 мг; по 28 таблеток у стрипі; по 3 стрипи у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Інструкція для медичного застосування лікарського засобу (eCTD версія 0010)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UA/16648/01/01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СЕВІКАР НСТ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Olmesartan medoxomil, amlodipine and hydrochlorothiazide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rPr>
              <w:t>олмесартану</w:t>
            </w:r>
            <w:r>
              <w:rPr>
                <w:rFonts w:cs="Arial" w:ascii="Arial" w:hAnsi="Arial"/>
                <w:sz w:val="16"/>
                <w:szCs w:val="16"/>
                <w:lang w:val="en-US"/>
              </w:rPr>
              <w:t xml:space="preserve"> </w:t>
            </w:r>
            <w:r>
              <w:rPr>
                <w:rFonts w:cs="Arial" w:ascii="Arial" w:hAnsi="Arial"/>
                <w:sz w:val="16"/>
                <w:szCs w:val="16"/>
              </w:rPr>
              <w:t>медоксоміл</w:t>
            </w:r>
            <w:r>
              <w:rPr>
                <w:rFonts w:cs="Arial" w:ascii="Arial" w:hAnsi="Arial"/>
                <w:sz w:val="16"/>
                <w:szCs w:val="16"/>
                <w:lang w:val="en-US"/>
              </w:rPr>
              <w:t xml:space="preserve">, </w:t>
            </w:r>
            <w:r>
              <w:rPr>
                <w:rFonts w:cs="Arial" w:ascii="Arial" w:hAnsi="Arial"/>
                <w:sz w:val="16"/>
                <w:szCs w:val="16"/>
              </w:rPr>
              <w:t>амлодипіну</w:t>
            </w:r>
            <w:r>
              <w:rPr>
                <w:rFonts w:cs="Arial" w:ascii="Arial" w:hAnsi="Arial"/>
                <w:sz w:val="16"/>
                <w:szCs w:val="16"/>
                <w:lang w:val="en-US"/>
              </w:rPr>
              <w:t xml:space="preserve"> </w:t>
            </w:r>
            <w:r>
              <w:rPr>
                <w:rFonts w:cs="Arial" w:ascii="Arial" w:hAnsi="Arial"/>
                <w:sz w:val="16"/>
                <w:szCs w:val="16"/>
              </w:rPr>
              <w:t>бесилат</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гідрохлоротіазид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C09DX03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20 мг/5 мг/12,5 мг; по 14 таблеток у блістері; по 2 блістера у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Даічі Санкіо Юроуп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2004-149 - Rev 08 (затверджено: R1-CEP 2004-149 - Rev 07) для діючої речовини Hydrochlorothiazide від вже затвердженого виробника, змінено назву та адресу власника CEP на TAPI NL B.V., Netherlands. Змінено назву виробника АФІ на TAPI CROATIA INDUSTRIES LTD., адреса фактичного виробничого майданчика не змінилася.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2013-105 - Rev 04 (затверджено: CEP 2013-105 - Rev 03) для діючої речовини Olmesartan medoxomil від вже затвердженого виробника EUROAPI HUNGARY Ltd., Угорщина.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2013-268 - Rev 03 (затверджено: R1-CEP 2013-268 - Rev 02) для діючої речовини Olmesartan medoxomil від вже затвердженого виробника ZHEJIANG TIANYU PHARMACEUTICAL CO., LTD., Китай.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UA/17662/01/01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СЕВІКАР НСТ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lang w:val="en-US"/>
              </w:rPr>
              <w:t>Olmesartan medoxomil, amlodipine and hydrochlorothiazide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lang w:val="en-US"/>
              </w:rPr>
            </w:pPr>
            <w:r>
              <w:rPr>
                <w:rFonts w:cs="Arial" w:ascii="Arial" w:hAnsi="Arial"/>
                <w:sz w:val="16"/>
                <w:szCs w:val="16"/>
              </w:rPr>
              <w:t>олмесартану</w:t>
            </w:r>
            <w:r>
              <w:rPr>
                <w:rFonts w:cs="Arial" w:ascii="Arial" w:hAnsi="Arial"/>
                <w:sz w:val="16"/>
                <w:szCs w:val="16"/>
                <w:lang w:val="en-US"/>
              </w:rPr>
              <w:t xml:space="preserve"> </w:t>
            </w:r>
            <w:r>
              <w:rPr>
                <w:rFonts w:cs="Arial" w:ascii="Arial" w:hAnsi="Arial"/>
                <w:sz w:val="16"/>
                <w:szCs w:val="16"/>
              </w:rPr>
              <w:t>медоксоміл</w:t>
            </w:r>
            <w:r>
              <w:rPr>
                <w:rFonts w:cs="Arial" w:ascii="Arial" w:hAnsi="Arial"/>
                <w:sz w:val="16"/>
                <w:szCs w:val="16"/>
                <w:lang w:val="en-US"/>
              </w:rPr>
              <w:t xml:space="preserve">, </w:t>
            </w:r>
            <w:r>
              <w:rPr>
                <w:rFonts w:cs="Arial" w:ascii="Arial" w:hAnsi="Arial"/>
                <w:sz w:val="16"/>
                <w:szCs w:val="16"/>
              </w:rPr>
              <w:t>амлодипіну</w:t>
            </w:r>
            <w:r>
              <w:rPr>
                <w:rFonts w:cs="Arial" w:ascii="Arial" w:hAnsi="Arial"/>
                <w:sz w:val="16"/>
                <w:szCs w:val="16"/>
                <w:lang w:val="en-US"/>
              </w:rPr>
              <w:t xml:space="preserve"> </w:t>
            </w:r>
            <w:r>
              <w:rPr>
                <w:rFonts w:cs="Arial" w:ascii="Arial" w:hAnsi="Arial"/>
                <w:sz w:val="16"/>
                <w:szCs w:val="16"/>
              </w:rPr>
              <w:t>бесилат</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гідрохлоротіазид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C09DX03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40 мг/10 мг/12,5 мг; по 14 таблеток у блістері; по 2 блістера у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Даічі Санкіо Юроуп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2004-149 - Rev 08 (затверджено: R1-CEP 2004-149 - Rev 07) для діючої речовини Hydrochlorothiazide від вже затвердженого виробника, змінено назву та адресу власника CEP на TAPI NL B.V., Netherlands. Змінено назву виробника АФІ на TAPI CROATIA INDUSTRIES LTD., адреса фактичного виробничого майданчика не змінилася.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2013-105 - Rev 04 (затверджено: CEP 2013-105 - Rev 03) для діючої речовини Olmesartan medoxomil від вже затвердженого виробника EUROAPI HUNGARY Ltd., Угорщина.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2013-268 - Rev 03 (затверджено: R1-CEP 2013-268 - Rev 02) для діючої речовини Olmesartan medoxomil від вже затвердженого виробника ZHEJIANG TIANYU PHARMACEUTICAL CO., LTD., Китай.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UA/17662/01/04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СЕЗОНІЯ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levocetirizine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левоцетиризину дигідрохлорид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R06AE09</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1, по 2, по 3, або по 10 блістерів у коробці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"Представництво БАУМ ФАРМ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ТОВ "АСТРАФАРМ", Україна; Сертифікація серії та видача дозволу на реалізацію (випуск) серії:</w:t>
              <w:br/>
              <w:t>ТОВ «Представництво БАУМ ФАРМ ГМБХ»,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введення періодичності випробування за показником «Мікробіологічна чистота» в Специфікації ГЛЗ, а саме: «тест не є рутинним, виконується для кожної четвертої серії, але не рідше одного разу в рік».</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СІНДЖАРДІ®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 and empagliflozin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емпагліфлозин та метформіну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A10BD20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 мг/1000 мг; по 10 таблеток в блістері; по 6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Берінгер Інгельхайм Фарма ГмбХ і Ко. КГ, Німеччина;</w:t>
              <w:br/>
              <w:t xml:space="preserve">виробництво, контроль якості (за винятком тесту «Мікробіологічна чистота»), первинне та вторинне пакування, випуск серії: </w:t>
              <w:br/>
              <w:t xml:space="preserve">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w:t>
              <w:br/>
              <w:t xml:space="preserve">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 СГС Інститут Фрезеніус ГмбХ, Німеччина; </w:t>
              <w:br/>
              <w:t>Лабор ЛС СЕ енд Ко. КГ, Німеччина; К`юЕйСіЕс ЛТД, Грецiя; альтернативна лабораторія для контролю N-нітрозодиметиламіну (NDMA):</w:t>
              <w:br/>
              <w:t>К'юЕйСіЕс ЛТД, Греція; Солвіас АГ,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Греція/ Франція/ Сполучені Штати Америки/ Швейцарія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допущеної в затвердженій редакції документа Зміни до МКЯ ЛЗ (затверджені Наказом МОЗ України від 31.07.2026 № 1060) та в МКЯ (затверджені Наказом МОЗ України від 07.05.2024 № 794), а саме під час підготовки МКЯ у процесі технічного форматування документу відбулося зміщення таблиці у р. «Склад», унаслідок чого було упущено інформацію щодо виробника діючої речовини метформіну гідрохлориду – FARMHISPANIA S.A, Іспанія, який був затверджений під час процедури внесення змін Наказом МОЗ України від 16.11.2021 № 2537. Виправлення технічної помилки, згідно п.2.4 розділу VI наказу МОЗ України від 26.08.2005р. № 426 (у редакції наказу МОЗ України від 23.07.2015 р № 460) має виключно технічний характер та спрямоване на відновлення упущеної інформації про виробника діючої речовини. Технічна помилка рекомендована до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UA/15724/01/01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СІНДЖАРДІ®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 and empagliflozin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емпагліфлозин та метформіну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A10BD20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12,5 мг/1000 мг; по 10 таблеток в блістері; по 6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Берінгер Інгельхайм Фарма ГмбХ і Ко. КГ, Німеччина;</w:t>
              <w:br/>
              <w:t xml:space="preserve">виробництво, контроль якості (за винятком тесту «Мікробіологічна чистота»), первинне та вторинне пакування, випуск серії: </w:t>
              <w:br/>
              <w:t xml:space="preserve">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w:t>
              <w:br/>
              <w:t xml:space="preserve">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 СГС Інститут Фрезеніус ГмбХ, Німеччина; </w:t>
              <w:br/>
              <w:t>Лабор ЛС СЕ енд Ко. КГ, Німеччина; К`юЕйСіЕс ЛТД, Грецiя; альтернативна лабораторія для контролю N-нітрозодиметиламіну (NDMA):</w:t>
              <w:br/>
              <w:t>К'юЕйСіЕс ЛТД, Греція; Солвіас АГ,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Греція/ Франція/ Сполучені Штати Америки/ Швейцарія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допущеної в затвердженій редакції документа Зміни до МКЯ ЛЗ (затверджені Наказом МОЗ України від 31.07.2026 № 1060) та в МКЯ (затверджені Наказом МОЗ України від 07.05.2024 № 794), а саме під час підготовки МКЯ у процесі технічного форматування документу відбулося зміщення таблиці у р. «Склад», унаслідок чого було упущено інформацію щодо виробника діючої речовини метформіну гідрохлориду – FARMHISPANIA S.A, Іспанія, який був затверджений під час процедури внесення змін Наказом МОЗ України від 16.11.2021 № 2537. Виправлення технічної помилки, згідно п.2.4 розділу VI наказу МОЗ України від 26.08.2005р. № 426 (у редакції наказу МОЗ України від 23.07.2015 р № 460) має виключно технічний характер та спрямоване на відновлення упущеної інформації про виробника діючої речовини. Технічна помилка рекомендована до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UA/15722/01/01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СІНРАЙЗ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C1-inhibitor, plasma derived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інгібітор С1-естерази людини, одержаний з плазми</w:t>
              <w:br/>
              <w:t>донорської крові людини</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B06AC01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МО; по 2 флакони з порошком, 2 флакони з розчинником, 2 пристрої для перенесення з фільтром, 2 одноразових шприци об’ємом 10 мл, 2 набори для венепункції і 2 захисних килимки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Такеда Мануфекчурінг Австрія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дозвіл на випуск серії:</w:t>
              <w:br/>
              <w:t>Такеда Мануфекчурінг Австрія АГ, Австрія;</w:t>
              <w:br/>
              <w:t>виробництво ГЛЗ, первинне та вторинне пакування ГЛЗ, контроль якості серії:</w:t>
              <w:br/>
              <w:t>Такеда Мануфекчурінг Австрія АГ, Австрія;</w:t>
              <w:br/>
              <w:t>контроль якості серії: "Стерильність" та "Ендотоксини":</w:t>
              <w:br/>
              <w:t>Такеда Мануфекчурінг Австрія АГ, Австрія;</w:t>
              <w:br/>
              <w:t>виробництво, первинне пакування та контроль якості розчинника:</w:t>
              <w:br/>
              <w:t>Зігфрід Хамельн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уточнення реєстраційної процедури в наказі МОЗ України № 498 від 13.04.2026 -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на лікарські засоби, для яких отримується дозвіл на випуск серії від офіційного регуляторного органу) - звуження допустимих меж для параметру специфікації «Активність інгібітору С1-естерази»/C1- esterase inhibitor activity з ≥80 МО/мл до 80-185 МО/мл для діючої речовини. Додатково вносяться редакційні зміни до розділів 2.3.S та 3.2.S.4.5.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 зміна назви постачальника пакувального компоненту для флакону з порошком та флакону з розчинником (вода для ін’єкцій) з ISO-Gesellschaft fur Arzneiverpackungen (Industriestrasse 4, 97631 Bad Kоnigshofen im Grabfeld, Germany) на Remy &amp; Geiser GmbH.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незначна зміна у методиці випробування за показником "Цитрати", зокрема: заміна цитратного тест-набору для випробування при випуску готового лікарського засобу. Проект оновлених МКЯ ЛЗ (eCTD версія 0004).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вилучення тесту на важкі метали з розділу 3.2.P.7 Container Closure System (Система контейнер/закупорювальний засіб), у зв’язку з оновленням п. 3.2.9. Гумові закупорювальні засоби для контейнерів з водними лікарськими засобами для парентерального застосування, порошків та ліофілізованих порошків Євр. Фарм. (редакція 11.1).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UA/18748/01/01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СІНРАЙЗ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C1-inhibitor, plasma derived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інгібітор С1-естерази людини, одержаний з плазми</w:t>
              <w:br/>
              <w:t>донорської крові людини</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B06AC01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МО; по 2 флакони з порошком, 2 флакони з розчинником, 2 пристрої для перенесення з фільтром, 2 одноразових шприци об’ємом 10 мл, 2 набори для венепункції і 2 захисних килимки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Такеда Мануфекчурінг Австрія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дозвіл на випуск серії: Такеда Мануфекчурінг Австрія АГ, Австрія; виробництво ГЛЗ, первинне та вторинне пакування ГЛЗ, контроль якості серії: Такеда Мануфекчурінг Австрія АГ, Австрія; контроль якості серії: "Стерильність" та "Ендотоксини": Такеда Мануфекчурінг Австрія АГ, Австрія; виробництво, первинне пакування та контроль якості розчинника: Зігфрід Хамельн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вилучення випробування на алюміній зі специфікації готового лікарського засобу для стерильної води для ін'єкцій відповідно до Євр. Фарм. 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для готового лікарського засобу для стерильної води для ін'єкції відповідно до оновленої Євр. Фарм. 11.1 монографії (169); додавання посилання та пояснення щодо тестування на Інші нерозчинні домішки. </w:t>
              <w:br/>
              <w:t xml:space="preserve">Введення змін протягом 6 місяців після затвердження.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видалення посилання на фармакопею США (Ф. США) для показника "Речовини, що окиснюються" зі специфікації для стерильної води для ін'єкцій. </w:t>
              <w:br/>
              <w:t xml:space="preserve">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нового показника/випробування - Загальний органічний вуглець (Total organic carbon) за Ф. США до специфікації на готовий лікарський засіб для стерильної води для ін'єкцій. </w:t>
              <w:br/>
              <w:t>Введення змін протягом 6 місяців після затвердження. Проект МКЯ ЛЗ (eCTD версія 0013).</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UA/18748/01/01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СМЕКТА® ПОЛУНИЦЯ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діосмектит (смектит діоктаедричний)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A07BC05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3 г; по 3,76 г порошку у пакетику; по 12 пакетиків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ІНДУСТРІ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назви і адреси заявника, оскільки це пов’язано з маркетинговою політикою компанії. Зміни внесено в інструкцію для медичного застосування лікарського засобу у розділ "Заявник, "Місцезнаходження заявника".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назви та адреси виробника, без зміни місця виробництва.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діючої речовини, без змін місця виробництва: Затверджено: BEAUFOUR IPSEN INDUSTRIE. Запропоновано: </w:t>
              <w:br/>
              <w:t>MAYOLY INDUSTRIE. Введення змін протягом 6-ти місяців після затвердження. 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8, 13, 15, 16, 17 та в текст маркування первинної упаковки у пункти 3, 4, 6.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UA/16117/01/01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СМЕКТА® ПОЛУНИЦЯ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діосмектит (смектит діоктаедричний)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A07BC05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порошок для оральної суспензії, 3 г; по 3,76 г порошку у пакетику; по 12 пакетиків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Сільвія Сісмондо / Sylvie Cismondo. Пропонована редакція: Ніколас Феррарі / Nicolas Ferrari.</w:t>
              <w:br/>
              <w:t>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Шапка Олена Володимирівна.</w:t>
              <w:br/>
              <w:t xml:space="preserve">Пропонована редакція: Прасоленко Юлія Валеріївна.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UA/16117/01/01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СМОФЛІПІД 20 %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Fat emulsions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олія соєва рафінована,  тригліцериди середнього ланцюга, олія оливкова рафінована, риб’ячий жир очищений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B05BA02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інфузій; по 100 мл, або по 250 мл, або по 500 мл у флаконі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(інші зміни) додавання риболовних регіонів FAO37 (Середземне та Чорне моря) до вже затверджених регіонів для риб’ячого жиру. </w:t>
              <w:br/>
              <w:t>Затверджено</w:t>
            </w:r>
            <w:r>
              <w:rPr>
                <w:rFonts w:cs="Arial" w:ascii="Arial" w:hAnsi="Arial"/>
                <w:color w:val="000000"/>
                <w:sz w:val="16"/>
                <w:szCs w:val="16"/>
                <w:lang w:val="en-US"/>
              </w:rPr>
              <w:t xml:space="preserve">: </w:t>
              <w:br/>
              <w:t xml:space="preserve">3.2.R.4 Medicinal Products Containing or Using in the Manufacturing Process Materials of Animal and/or Human Origin </w:t>
              <w:br/>
              <w:t xml:space="preserve">Table B </w:t>
              <w:br/>
              <w:t xml:space="preserve">Country of origin of the source animals for the material cited: Fish oil: Water outside South America, Marocco </w:t>
              <w:br/>
            </w:r>
            <w:r>
              <w:rPr>
                <w:rFonts w:cs="Arial" w:ascii="Arial" w:hAnsi="Arial"/>
                <w:color w:val="000000"/>
                <w:sz w:val="16"/>
                <w:szCs w:val="16"/>
              </w:rPr>
              <w:t>Запропоновано</w:t>
            </w:r>
            <w:r>
              <w:rPr>
                <w:rFonts w:cs="Arial" w:ascii="Arial" w:hAnsi="Arial"/>
                <w:color w:val="000000"/>
                <w:sz w:val="16"/>
                <w:szCs w:val="16"/>
                <w:lang w:val="en-US"/>
              </w:rPr>
              <w:t xml:space="preserve">: </w:t>
              <w:br/>
              <w:t xml:space="preserve">3.2.R.4 Medicinal Products Containing or Using in the Manufacturing Process Materials of Animal and/or Human Origin </w:t>
              <w:br/>
              <w:t xml:space="preserve">Table B </w:t>
              <w:br/>
              <w:t xml:space="preserve">Country of origin of the source animals for the material cited Approved fishing regions: FAO87 (South America), FAO34 (Marocco), FAO37 (Mediterranean and Black Sea).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w:t>
            </w:r>
            <w:r>
              <w:rPr>
                <w:rFonts w:cs="Arial" w:ascii="Arial" w:hAnsi="Arial"/>
                <w:color w:val="000000"/>
                <w:sz w:val="16"/>
                <w:szCs w:val="16"/>
              </w:rPr>
              <w:t>ГЕ</w:t>
            </w:r>
            <w:r>
              <w:rPr>
                <w:rFonts w:cs="Arial" w:ascii="Arial" w:hAnsi="Arial"/>
                <w:color w:val="000000"/>
                <w:sz w:val="16"/>
                <w:szCs w:val="16"/>
                <w:lang w:val="en-US"/>
              </w:rPr>
              <w:t>-</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w:t>
            </w:r>
            <w:r>
              <w:rPr>
                <w:rFonts w:cs="Arial" w:ascii="Arial" w:hAnsi="Arial"/>
                <w:color w:val="000000"/>
                <w:sz w:val="16"/>
                <w:szCs w:val="16"/>
              </w:rPr>
              <w:t>монографії</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нового</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вилучення</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вихідного</w:t>
            </w:r>
            <w:r>
              <w:rPr>
                <w:rFonts w:cs="Arial" w:ascii="Arial" w:hAnsi="Arial"/>
                <w:color w:val="000000"/>
                <w:sz w:val="16"/>
                <w:szCs w:val="16"/>
                <w:lang w:val="en-US"/>
              </w:rPr>
              <w:t xml:space="preserve"> </w:t>
            </w:r>
            <w:r>
              <w:rPr>
                <w:rFonts w:cs="Arial" w:ascii="Arial" w:hAnsi="Arial"/>
                <w:color w:val="000000"/>
                <w:sz w:val="16"/>
                <w:szCs w:val="16"/>
              </w:rPr>
              <w:t>матеріалу</w:t>
            </w:r>
            <w:r>
              <w:rPr>
                <w:rFonts w:cs="Arial" w:ascii="Arial" w:hAnsi="Arial"/>
                <w:color w:val="000000"/>
                <w:sz w:val="16"/>
                <w:szCs w:val="16"/>
                <w:lang w:val="en-US"/>
              </w:rPr>
              <w:t>/</w:t>
            </w:r>
            <w:r>
              <w:rPr>
                <w:rFonts w:cs="Arial" w:ascii="Arial" w:hAnsi="Arial"/>
                <w:color w:val="000000"/>
                <w:sz w:val="16"/>
                <w:szCs w:val="16"/>
              </w:rPr>
              <w:t>реагенту</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виробництві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 </w:t>
            </w:r>
            <w:r>
              <w:rPr>
                <w:rFonts w:cs="Arial" w:ascii="Arial" w:hAnsi="Arial"/>
                <w:color w:val="000000"/>
                <w:sz w:val="16"/>
                <w:szCs w:val="16"/>
              </w:rPr>
              <w:t>Оновлений</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олія</w:t>
            </w:r>
            <w:r>
              <w:rPr>
                <w:rFonts w:cs="Arial" w:ascii="Arial" w:hAnsi="Arial"/>
                <w:color w:val="000000"/>
                <w:sz w:val="16"/>
                <w:szCs w:val="16"/>
                <w:lang w:val="en-US"/>
              </w:rPr>
              <w:t xml:space="preserve"> </w:t>
            </w:r>
            <w:r>
              <w:rPr>
                <w:rFonts w:cs="Arial" w:ascii="Arial" w:hAnsi="Arial"/>
                <w:color w:val="000000"/>
                <w:sz w:val="16"/>
                <w:szCs w:val="16"/>
              </w:rPr>
              <w:t>оливкова</w:t>
            </w:r>
            <w:r>
              <w:rPr>
                <w:rFonts w:cs="Arial" w:ascii="Arial" w:hAnsi="Arial"/>
                <w:color w:val="000000"/>
                <w:sz w:val="16"/>
                <w:szCs w:val="16"/>
                <w:lang w:val="en-US"/>
              </w:rPr>
              <w:t xml:space="preserve"> </w:t>
            </w:r>
            <w:r>
              <w:rPr>
                <w:rFonts w:cs="Arial" w:ascii="Arial" w:hAnsi="Arial"/>
                <w:color w:val="000000"/>
                <w:sz w:val="16"/>
                <w:szCs w:val="16"/>
              </w:rPr>
              <w:t>рафінована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Societe Industrielle Des Oleagineux, </w:t>
            </w:r>
            <w:r>
              <w:rPr>
                <w:rFonts w:cs="Arial" w:ascii="Arial" w:hAnsi="Arial"/>
                <w:color w:val="000000"/>
                <w:sz w:val="16"/>
                <w:szCs w:val="16"/>
              </w:rPr>
              <w:t>Франція</w:t>
            </w:r>
            <w:r>
              <w:rPr>
                <w:rFonts w:cs="Arial" w:ascii="Arial" w:hAnsi="Arial"/>
                <w:color w:val="000000"/>
                <w:sz w:val="16"/>
                <w:szCs w:val="16"/>
                <w:lang w:val="en-US"/>
              </w:rPr>
              <w:t xml:space="preserve"> (</w:t>
            </w:r>
            <w:r>
              <w:rPr>
                <w:rFonts w:cs="Arial" w:ascii="Arial" w:hAnsi="Arial"/>
                <w:color w:val="000000"/>
                <w:sz w:val="16"/>
                <w:szCs w:val="16"/>
              </w:rPr>
              <w:t>затверджено</w:t>
            </w:r>
            <w:r>
              <w:rPr>
                <w:rFonts w:cs="Arial" w:ascii="Arial" w:hAnsi="Arial"/>
                <w:color w:val="000000"/>
                <w:sz w:val="16"/>
                <w:szCs w:val="16"/>
                <w:lang w:val="en-US"/>
              </w:rPr>
              <w:t xml:space="preserve">: CEP 2015-167-Rev 01; </w:t>
            </w:r>
            <w:r>
              <w:rPr>
                <w:rFonts w:cs="Arial" w:ascii="Arial" w:hAnsi="Arial"/>
                <w:color w:val="000000"/>
                <w:sz w:val="16"/>
                <w:szCs w:val="16"/>
              </w:rPr>
              <w:t>запропоновано</w:t>
            </w:r>
            <w:r>
              <w:rPr>
                <w:rFonts w:cs="Arial" w:ascii="Arial" w:hAnsi="Arial"/>
                <w:color w:val="000000"/>
                <w:sz w:val="16"/>
                <w:szCs w:val="16"/>
                <w:lang w:val="en-US"/>
              </w:rPr>
              <w:t xml:space="preserve">: CEP 2015-167-Rev 02 ). </w:t>
            </w:r>
            <w:r>
              <w:rPr>
                <w:rFonts w:cs="Arial" w:ascii="Arial" w:hAnsi="Arial"/>
                <w:color w:val="000000"/>
                <w:sz w:val="16"/>
                <w:szCs w:val="16"/>
              </w:rPr>
              <w:t>Уточнено</w:t>
            </w:r>
            <w:r>
              <w:rPr>
                <w:rFonts w:cs="Arial" w:ascii="Arial" w:hAnsi="Arial"/>
                <w:color w:val="000000"/>
                <w:sz w:val="16"/>
                <w:szCs w:val="16"/>
                <w:lang w:val="en-US"/>
              </w:rPr>
              <w:t xml:space="preserve"> </w:t>
            </w:r>
            <w:r>
              <w:rPr>
                <w:rFonts w:cs="Arial" w:ascii="Arial" w:hAnsi="Arial"/>
                <w:color w:val="000000"/>
                <w:sz w:val="16"/>
                <w:szCs w:val="16"/>
              </w:rPr>
              <w:t>назву</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МКЯ</w:t>
            </w:r>
            <w:r>
              <w:rPr>
                <w:rFonts w:cs="Arial" w:ascii="Arial" w:hAnsi="Arial"/>
                <w:color w:val="000000"/>
                <w:sz w:val="16"/>
                <w:szCs w:val="16"/>
                <w:lang w:val="en-US"/>
              </w:rPr>
              <w:t xml:space="preserve"> </w:t>
            </w:r>
            <w:r>
              <w:rPr>
                <w:rFonts w:cs="Arial" w:ascii="Arial" w:hAnsi="Arial"/>
                <w:color w:val="000000"/>
                <w:sz w:val="16"/>
                <w:szCs w:val="16"/>
              </w:rPr>
              <w:t>ЛЗ</w:t>
            </w:r>
            <w:r>
              <w:rPr>
                <w:rFonts w:cs="Arial" w:ascii="Arial" w:hAnsi="Arial"/>
                <w:color w:val="000000"/>
                <w:sz w:val="16"/>
                <w:szCs w:val="16"/>
                <w:lang w:val="en-US"/>
              </w:rPr>
              <w:t xml:space="preserve"> (</w:t>
            </w:r>
            <w:r>
              <w:rPr>
                <w:rFonts w:cs="Arial" w:ascii="Arial" w:hAnsi="Arial"/>
                <w:color w:val="000000"/>
                <w:sz w:val="16"/>
                <w:szCs w:val="16"/>
              </w:rPr>
              <w:t>затверджено</w:t>
            </w:r>
            <w:r>
              <w:rPr>
                <w:rFonts w:cs="Arial" w:ascii="Arial" w:hAnsi="Arial"/>
                <w:color w:val="000000"/>
                <w:sz w:val="16"/>
                <w:szCs w:val="16"/>
                <w:lang w:val="en-US"/>
              </w:rPr>
              <w:t xml:space="preserve">: Societe Industrielle Des Oleagineux, </w:t>
            </w:r>
            <w:r>
              <w:rPr>
                <w:rFonts w:cs="Arial" w:ascii="Arial" w:hAnsi="Arial"/>
                <w:color w:val="000000"/>
                <w:sz w:val="16"/>
                <w:szCs w:val="16"/>
              </w:rPr>
              <w:t>Франція</w:t>
            </w:r>
            <w:r>
              <w:rPr>
                <w:rFonts w:cs="Arial" w:ascii="Arial" w:hAnsi="Arial"/>
                <w:color w:val="000000"/>
                <w:sz w:val="16"/>
                <w:szCs w:val="16"/>
                <w:lang w:val="en-US"/>
              </w:rPr>
              <w:t xml:space="preserve">); </w:t>
            </w:r>
            <w:r>
              <w:rPr>
                <w:rFonts w:cs="Arial" w:ascii="Arial" w:hAnsi="Arial"/>
                <w:color w:val="000000"/>
                <w:sz w:val="16"/>
                <w:szCs w:val="16"/>
              </w:rPr>
              <w:t>запропоновано</w:t>
            </w:r>
            <w:r>
              <w:rPr>
                <w:rFonts w:cs="Arial" w:ascii="Arial" w:hAnsi="Arial"/>
                <w:color w:val="000000"/>
                <w:sz w:val="16"/>
                <w:szCs w:val="16"/>
                <w:lang w:val="en-US"/>
              </w:rPr>
              <w:t xml:space="preserve">: Societe Industrielle Des Oleagineux SIO, </w:t>
            </w:r>
            <w:r>
              <w:rPr>
                <w:rFonts w:cs="Arial" w:ascii="Arial" w:hAnsi="Arial"/>
                <w:color w:val="000000"/>
                <w:sz w:val="16"/>
                <w:szCs w:val="16"/>
              </w:rPr>
              <w:t>Франція</w:t>
            </w:r>
            <w:r>
              <w:rPr>
                <w:rFonts w:cs="Arial" w:ascii="Arial" w:hAnsi="Arial"/>
                <w:color w:val="000000"/>
                <w:sz w:val="16"/>
                <w:szCs w:val="16"/>
                <w:lang w:val="en-US"/>
              </w:rPr>
              <w:t xml:space="preserve">). </w:t>
              <w:br/>
            </w:r>
            <w:r>
              <w:rPr>
                <w:rFonts w:cs="Arial" w:ascii="Arial" w:hAnsi="Arial"/>
                <w:color w:val="000000"/>
                <w:sz w:val="16"/>
                <w:szCs w:val="16"/>
              </w:rPr>
              <w:t>Затверджено</w:t>
            </w:r>
            <w:r>
              <w:rPr>
                <w:rFonts w:cs="Arial" w:ascii="Arial" w:hAnsi="Arial"/>
                <w:color w:val="000000"/>
                <w:sz w:val="16"/>
                <w:szCs w:val="16"/>
                <w:lang w:val="en-US"/>
              </w:rPr>
              <w:t xml:space="preserve">: CEP 2015-167-Rev 01 </w:t>
              <w:br/>
              <w:t xml:space="preserve">SOCIETE INDUSTRIELLE DES OLEAGINEUX </w:t>
              <w:br/>
              <w:t xml:space="preserve">16 rue du General de Gaulle </w:t>
              <w:br/>
              <w:t xml:space="preserve">BP70099 </w:t>
              <w:br/>
              <w:t xml:space="preserve">France-62053 Saint-Laurent Blangy Cedex </w:t>
              <w:br/>
              <w:t xml:space="preserve">SPOR ORG ID: 100018152 </w:t>
              <w:br/>
              <w:t xml:space="preserve">SPOR LOC ID 100026939 </w:t>
              <w:br/>
              <w:t xml:space="preserve">All present manufacturers Olive oil </w:t>
              <w:br/>
              <w:t xml:space="preserve">Manufacture, analysis and packaging of Olive oil </w:t>
              <w:br/>
              <w:t xml:space="preserve">Fresenius Kabi AB </w:t>
              <w:br/>
              <w:t xml:space="preserve">Rapsgatan 7 </w:t>
              <w:br/>
              <w:t xml:space="preserve">Sweden -751 74 Uppsala </w:t>
              <w:br/>
              <w:t xml:space="preserve">Manufacture, analysis and packaging of Olive oil </w:t>
              <w:br/>
              <w:t xml:space="preserve">SOCIETE INDUSTRIELLE DES OLEAGINEUX </w:t>
              <w:br/>
              <w:t xml:space="preserve">16 rue du General de Gaulle </w:t>
              <w:br/>
              <w:t xml:space="preserve">BP70099 </w:t>
              <w:br/>
              <w:t xml:space="preserve">France-62053 Saint-Laurent Blangy Cedex </w:t>
              <w:br/>
            </w:r>
            <w:r>
              <w:rPr>
                <w:rFonts w:cs="Arial" w:ascii="Arial" w:hAnsi="Arial"/>
                <w:color w:val="000000"/>
                <w:sz w:val="16"/>
                <w:szCs w:val="16"/>
              </w:rPr>
              <w:t>Запропоновано</w:t>
            </w:r>
            <w:r>
              <w:rPr>
                <w:rFonts w:cs="Arial" w:ascii="Arial" w:hAnsi="Arial"/>
                <w:color w:val="000000"/>
                <w:sz w:val="16"/>
                <w:szCs w:val="16"/>
                <w:lang w:val="en-US"/>
              </w:rPr>
              <w:t xml:space="preserve">: CEP 2015-167-Rev 02 </w:t>
              <w:br/>
              <w:t xml:space="preserve">SOCIETE INDUSTRIELLE DES OLEAGINEUX SIO </w:t>
              <w:br/>
              <w:t xml:space="preserve">16 Rue du General de Gaulle </w:t>
              <w:br/>
              <w:t xml:space="preserve">France-62223 Saint-Laurent Blangy </w:t>
              <w:br/>
              <w:t xml:space="preserve">SPOR ORG ID: 100018152 </w:t>
              <w:br/>
              <w:t xml:space="preserve">SPOR LOC ID 100094230 </w:t>
              <w:br/>
              <w:t xml:space="preserve">All proposed manufacturers Olive oil Manufacture, analysis and packaging of Olive oil </w:t>
              <w:br/>
              <w:t xml:space="preserve">Fresenius Kabi AB </w:t>
              <w:br/>
              <w:t xml:space="preserve">Rapsgatan 7 </w:t>
              <w:br/>
              <w:t xml:space="preserve">Sweden -751 74 Uppsala Manufacture, analysis and packaging of Olive oil </w:t>
              <w:br/>
              <w:t xml:space="preserve">SOCIETE INDUSTRIELLE DES OLEAGINEUX SIO </w:t>
              <w:br/>
              <w:t xml:space="preserve">16 Rue du General de Gaulle </w:t>
              <w:br/>
              <w:t xml:space="preserve">France-62223 Saint-Laurent Blangy. </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w:t>
            </w:r>
            <w:r>
              <w:rPr>
                <w:rFonts w:cs="Arial" w:ascii="Arial" w:hAnsi="Arial"/>
                <w:color w:val="000000"/>
                <w:sz w:val="16"/>
                <w:szCs w:val="16"/>
              </w:rPr>
              <w:t>ГЕ</w:t>
            </w:r>
            <w:r>
              <w:rPr>
                <w:rFonts w:cs="Arial" w:ascii="Arial" w:hAnsi="Arial"/>
                <w:color w:val="000000"/>
                <w:sz w:val="16"/>
                <w:szCs w:val="16"/>
                <w:lang w:val="en-US"/>
              </w:rPr>
              <w:t>-</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w:t>
            </w:r>
            <w:r>
              <w:rPr>
                <w:rFonts w:cs="Arial" w:ascii="Arial" w:hAnsi="Arial"/>
                <w:color w:val="000000"/>
                <w:sz w:val="16"/>
                <w:szCs w:val="16"/>
              </w:rPr>
              <w:t>монографії</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нового</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вилучення</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вихідного</w:t>
            </w:r>
            <w:r>
              <w:rPr>
                <w:rFonts w:cs="Arial" w:ascii="Arial" w:hAnsi="Arial"/>
                <w:color w:val="000000"/>
                <w:sz w:val="16"/>
                <w:szCs w:val="16"/>
                <w:lang w:val="en-US"/>
              </w:rPr>
              <w:t xml:space="preserve"> </w:t>
            </w:r>
            <w:r>
              <w:rPr>
                <w:rFonts w:cs="Arial" w:ascii="Arial" w:hAnsi="Arial"/>
                <w:color w:val="000000"/>
                <w:sz w:val="16"/>
                <w:szCs w:val="16"/>
              </w:rPr>
              <w:t>матеріалу</w:t>
            </w:r>
            <w:r>
              <w:rPr>
                <w:rFonts w:cs="Arial" w:ascii="Arial" w:hAnsi="Arial"/>
                <w:color w:val="000000"/>
                <w:sz w:val="16"/>
                <w:szCs w:val="16"/>
                <w:lang w:val="en-US"/>
              </w:rPr>
              <w:t>/</w:t>
            </w:r>
            <w:r>
              <w:rPr>
                <w:rFonts w:cs="Arial" w:ascii="Arial" w:hAnsi="Arial"/>
                <w:color w:val="000000"/>
                <w:sz w:val="16"/>
                <w:szCs w:val="16"/>
              </w:rPr>
              <w:t>реагенту</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виробництві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 </w:t>
            </w:r>
            <w:r>
              <w:rPr>
                <w:rFonts w:cs="Arial" w:ascii="Arial" w:hAnsi="Arial"/>
                <w:color w:val="000000"/>
                <w:sz w:val="16"/>
                <w:szCs w:val="16"/>
              </w:rPr>
              <w:t>Оновлений</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затверджено</w:t>
            </w:r>
            <w:r>
              <w:rPr>
                <w:rFonts w:cs="Arial" w:ascii="Arial" w:hAnsi="Arial"/>
                <w:color w:val="000000"/>
                <w:sz w:val="16"/>
                <w:szCs w:val="16"/>
                <w:lang w:val="en-US"/>
              </w:rPr>
              <w:t xml:space="preserve">: CEP 2011-115-Rev 02; </w:t>
            </w:r>
            <w:r>
              <w:rPr>
                <w:rFonts w:cs="Arial" w:ascii="Arial" w:hAnsi="Arial"/>
                <w:color w:val="000000"/>
                <w:sz w:val="16"/>
                <w:szCs w:val="16"/>
              </w:rPr>
              <w:t>запропоновано</w:t>
            </w:r>
            <w:r>
              <w:rPr>
                <w:rFonts w:cs="Arial" w:ascii="Arial" w:hAnsi="Arial"/>
                <w:color w:val="000000"/>
                <w:sz w:val="16"/>
                <w:szCs w:val="16"/>
                <w:lang w:val="en-US"/>
              </w:rPr>
              <w:t xml:space="preserve">: CEP 2011-115-Rev 03)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олія</w:t>
            </w:r>
            <w:r>
              <w:rPr>
                <w:rFonts w:cs="Arial" w:ascii="Arial" w:hAnsi="Arial"/>
                <w:color w:val="000000"/>
                <w:sz w:val="16"/>
                <w:szCs w:val="16"/>
                <w:lang w:val="en-US"/>
              </w:rPr>
              <w:t xml:space="preserve"> </w:t>
            </w:r>
            <w:r>
              <w:rPr>
                <w:rFonts w:cs="Arial" w:ascii="Arial" w:hAnsi="Arial"/>
                <w:color w:val="000000"/>
                <w:sz w:val="16"/>
                <w:szCs w:val="16"/>
              </w:rPr>
              <w:t>соєва</w:t>
            </w:r>
            <w:r>
              <w:rPr>
                <w:rFonts w:cs="Arial" w:ascii="Arial" w:hAnsi="Arial"/>
                <w:color w:val="000000"/>
                <w:sz w:val="16"/>
                <w:szCs w:val="16"/>
                <w:lang w:val="en-US"/>
              </w:rPr>
              <w:t xml:space="preserve"> </w:t>
            </w:r>
            <w:r>
              <w:rPr>
                <w:rFonts w:cs="Arial" w:ascii="Arial" w:hAnsi="Arial"/>
                <w:color w:val="000000"/>
                <w:sz w:val="16"/>
                <w:szCs w:val="16"/>
              </w:rPr>
              <w:t>рафінована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Societe Industrielle Des Oleagineux, </w:t>
            </w:r>
            <w:r>
              <w:rPr>
                <w:rFonts w:cs="Arial" w:ascii="Arial" w:hAnsi="Arial"/>
                <w:color w:val="000000"/>
                <w:sz w:val="16"/>
                <w:szCs w:val="16"/>
              </w:rPr>
              <w:t>Франція</w:t>
            </w:r>
            <w:r>
              <w:rPr>
                <w:rFonts w:cs="Arial" w:ascii="Arial" w:hAnsi="Arial"/>
                <w:color w:val="000000"/>
                <w:sz w:val="16"/>
                <w:szCs w:val="16"/>
                <w:lang w:val="en-US"/>
              </w:rPr>
              <w:t xml:space="preserve">. </w:t>
            </w:r>
            <w:r>
              <w:rPr>
                <w:rFonts w:cs="Arial" w:ascii="Arial" w:hAnsi="Arial"/>
                <w:color w:val="000000"/>
                <w:sz w:val="16"/>
                <w:szCs w:val="16"/>
              </w:rPr>
              <w:t>Уточнено</w:t>
            </w:r>
            <w:r>
              <w:rPr>
                <w:rFonts w:cs="Arial" w:ascii="Arial" w:hAnsi="Arial"/>
                <w:color w:val="000000"/>
                <w:sz w:val="16"/>
                <w:szCs w:val="16"/>
                <w:lang w:val="en-US"/>
              </w:rPr>
              <w:t xml:space="preserve"> </w:t>
            </w:r>
            <w:r>
              <w:rPr>
                <w:rFonts w:cs="Arial" w:ascii="Arial" w:hAnsi="Arial"/>
                <w:color w:val="000000"/>
                <w:sz w:val="16"/>
                <w:szCs w:val="16"/>
              </w:rPr>
              <w:t>назву</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МКЯ</w:t>
            </w:r>
            <w:r>
              <w:rPr>
                <w:rFonts w:cs="Arial" w:ascii="Arial" w:hAnsi="Arial"/>
                <w:color w:val="000000"/>
                <w:sz w:val="16"/>
                <w:szCs w:val="16"/>
                <w:lang w:val="en-US"/>
              </w:rPr>
              <w:t xml:space="preserve"> </w:t>
            </w:r>
            <w:r>
              <w:rPr>
                <w:rFonts w:cs="Arial" w:ascii="Arial" w:hAnsi="Arial"/>
                <w:color w:val="000000"/>
                <w:sz w:val="16"/>
                <w:szCs w:val="16"/>
              </w:rPr>
              <w:t>ЛЗ</w:t>
            </w:r>
            <w:r>
              <w:rPr>
                <w:rFonts w:cs="Arial" w:ascii="Arial" w:hAnsi="Arial"/>
                <w:color w:val="000000"/>
                <w:sz w:val="16"/>
                <w:szCs w:val="16"/>
                <w:lang w:val="en-US"/>
              </w:rPr>
              <w:t xml:space="preserve"> (</w:t>
            </w:r>
            <w:r>
              <w:rPr>
                <w:rFonts w:cs="Arial" w:ascii="Arial" w:hAnsi="Arial"/>
                <w:color w:val="000000"/>
                <w:sz w:val="16"/>
                <w:szCs w:val="16"/>
              </w:rPr>
              <w:t>затверджено</w:t>
            </w:r>
            <w:r>
              <w:rPr>
                <w:rFonts w:cs="Arial" w:ascii="Arial" w:hAnsi="Arial"/>
                <w:color w:val="000000"/>
                <w:sz w:val="16"/>
                <w:szCs w:val="16"/>
                <w:lang w:val="en-US"/>
              </w:rPr>
              <w:t xml:space="preserve">: Societe Industrielle Des Oleagineux, </w:t>
            </w:r>
            <w:r>
              <w:rPr>
                <w:rFonts w:cs="Arial" w:ascii="Arial" w:hAnsi="Arial"/>
                <w:color w:val="000000"/>
                <w:sz w:val="16"/>
                <w:szCs w:val="16"/>
              </w:rPr>
              <w:t>Франція</w:t>
            </w:r>
            <w:r>
              <w:rPr>
                <w:rFonts w:cs="Arial" w:ascii="Arial" w:hAnsi="Arial"/>
                <w:color w:val="000000"/>
                <w:sz w:val="16"/>
                <w:szCs w:val="16"/>
                <w:lang w:val="en-US"/>
              </w:rPr>
              <w:t xml:space="preserve">); </w:t>
            </w:r>
            <w:r>
              <w:rPr>
                <w:rFonts w:cs="Arial" w:ascii="Arial" w:hAnsi="Arial"/>
                <w:color w:val="000000"/>
                <w:sz w:val="16"/>
                <w:szCs w:val="16"/>
              </w:rPr>
              <w:t>запропоновано</w:t>
            </w:r>
            <w:r>
              <w:rPr>
                <w:rFonts w:cs="Arial" w:ascii="Arial" w:hAnsi="Arial"/>
                <w:color w:val="000000"/>
                <w:sz w:val="16"/>
                <w:szCs w:val="16"/>
                <w:lang w:val="en-US"/>
              </w:rPr>
              <w:t xml:space="preserve">: Societe Industrielle Des Oleagineux SIO, </w:t>
            </w:r>
            <w:r>
              <w:rPr>
                <w:rFonts w:cs="Arial" w:ascii="Arial" w:hAnsi="Arial"/>
                <w:color w:val="000000"/>
                <w:sz w:val="16"/>
                <w:szCs w:val="16"/>
              </w:rPr>
              <w:t>Франція</w:t>
            </w:r>
            <w:r>
              <w:rPr>
                <w:rFonts w:cs="Arial" w:ascii="Arial" w:hAnsi="Arial"/>
                <w:color w:val="000000"/>
                <w:sz w:val="16"/>
                <w:szCs w:val="16"/>
                <w:lang w:val="en-US"/>
              </w:rPr>
              <w:t xml:space="preserve">). </w:t>
              <w:br/>
            </w:r>
            <w:r>
              <w:rPr>
                <w:rFonts w:cs="Arial" w:ascii="Arial" w:hAnsi="Arial"/>
                <w:color w:val="000000"/>
                <w:sz w:val="16"/>
                <w:szCs w:val="16"/>
              </w:rPr>
              <w:t>Затверджено</w:t>
            </w:r>
            <w:r>
              <w:rPr>
                <w:rFonts w:cs="Arial" w:ascii="Arial" w:hAnsi="Arial"/>
                <w:color w:val="000000"/>
                <w:sz w:val="16"/>
                <w:szCs w:val="16"/>
                <w:lang w:val="en-US"/>
              </w:rPr>
              <w:t xml:space="preserve">: CEP 2011-115-Rev 02 </w:t>
              <w:br/>
              <w:t xml:space="preserve">SOCIETE INDUSTRIELLE DES OLEAGINEUX </w:t>
              <w:br/>
              <w:t xml:space="preserve">16 rue du General de Gaulle </w:t>
              <w:br/>
              <w:t xml:space="preserve">BP70099 </w:t>
              <w:br/>
              <w:t xml:space="preserve">France-62053 Saint-Laurent Blangy Cedex </w:t>
              <w:br/>
              <w:t xml:space="preserve">SPOR ORG ID: 100018152 </w:t>
              <w:br/>
              <w:t xml:space="preserve">SPOR LOC ID 100026939 </w:t>
              <w:br/>
              <w:t xml:space="preserve">All present manufacturers Soya-bean oil </w:t>
              <w:br/>
              <w:t xml:space="preserve">Manufacture, analysis and packaging of Soya-bean oil </w:t>
              <w:br/>
              <w:t xml:space="preserve">Fresenius Kabi AB </w:t>
              <w:br/>
              <w:t xml:space="preserve">Rapsgatan 7 </w:t>
              <w:br/>
              <w:t xml:space="preserve">Sweden -751 74 Uppsala </w:t>
              <w:br/>
              <w:t xml:space="preserve">Manufacture, analysis and packaging of Soya-bean oil </w:t>
              <w:br/>
              <w:t xml:space="preserve">Fresenius Kabi SSPC </w:t>
              <w:br/>
              <w:t xml:space="preserve">No 16 Beizha Road </w:t>
              <w:br/>
              <w:t xml:space="preserve">Mashan China - 214092 Wuxi </w:t>
              <w:br/>
              <w:t xml:space="preserve">Manufacture, analysis and packaging of Soya-bean oil </w:t>
              <w:br/>
              <w:t xml:space="preserve">SOCIETE INDUSTRIELLE DES OLEAGINEUX </w:t>
              <w:br/>
              <w:t xml:space="preserve">16 rue du General de Gaulle </w:t>
              <w:br/>
              <w:t xml:space="preserve">BP70099 </w:t>
              <w:br/>
              <w:t xml:space="preserve">France-62053 Saint-Laurent Blangy Cedex </w:t>
              <w:br/>
            </w:r>
            <w:r>
              <w:rPr>
                <w:rFonts w:cs="Arial" w:ascii="Arial" w:hAnsi="Arial"/>
                <w:color w:val="000000"/>
                <w:sz w:val="16"/>
                <w:szCs w:val="16"/>
              </w:rPr>
              <w:t>Запропоновано</w:t>
            </w:r>
            <w:r>
              <w:rPr>
                <w:rFonts w:cs="Arial" w:ascii="Arial" w:hAnsi="Arial"/>
                <w:color w:val="000000"/>
                <w:sz w:val="16"/>
                <w:szCs w:val="16"/>
                <w:lang w:val="en-US"/>
              </w:rPr>
              <w:t xml:space="preserve">: CEP 2011-115-Rev 03 </w:t>
              <w:br/>
              <w:t xml:space="preserve">SOCIETE INDUSTRIELLE DES OLEAGINEUX SIO </w:t>
              <w:br/>
              <w:t xml:space="preserve">16 Rue du General de Gaulle </w:t>
              <w:br/>
              <w:t xml:space="preserve">France-62223 Saint-Laurent Blangy </w:t>
              <w:br/>
              <w:t xml:space="preserve">SPOR ORG ID: 100018152 </w:t>
              <w:br/>
              <w:t xml:space="preserve">SPOR LOC ID 100094230 </w:t>
              <w:br/>
              <w:t xml:space="preserve">All proposed manufacturers Soya-bean oil </w:t>
              <w:br/>
              <w:t xml:space="preserve">Manufacture, analysis and packaging of Soya-bean oil </w:t>
              <w:br/>
              <w:t xml:space="preserve">Fresenius Kabi AB </w:t>
              <w:br/>
              <w:t xml:space="preserve">Rapsgatan 7 </w:t>
              <w:br/>
              <w:t xml:space="preserve">Sweden -751 74 Uppsala </w:t>
              <w:br/>
              <w:t xml:space="preserve">Manufacture, analysis and packaging of Soya-bean oil </w:t>
              <w:br/>
              <w:t xml:space="preserve">Fresenius Kabi SSPC </w:t>
              <w:br/>
              <w:t xml:space="preserve">No 16 Beizha Road </w:t>
              <w:br/>
              <w:t xml:space="preserve">Mashan </w:t>
              <w:br/>
              <w:t xml:space="preserve">China - 214092 Wuxi </w:t>
              <w:br/>
              <w:t xml:space="preserve">Manufacture, analysis and packaging of Soya-bean oil </w:t>
              <w:br/>
              <w:t xml:space="preserve">SOCIETE INDUSTRIELLE DES OLEAGINEUX SIO </w:t>
              <w:br/>
              <w:t xml:space="preserve">16 Rue du General de Gaulle </w:t>
              <w:br/>
              <w:t xml:space="preserve">France-62223 Saint-Laurent Blangy. </w:t>
              <w:br/>
            </w:r>
            <w:r>
              <w:rPr>
                <w:rFonts w:cs="Arial" w:ascii="Arial" w:hAnsi="Arial"/>
                <w:color w:val="000000"/>
                <w:sz w:val="16"/>
                <w:szCs w:val="16"/>
              </w:rPr>
              <w:t>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незначна зміна у затвердженому методі випробування допоміжної речовини (фосфоліпіди яєчного жовтка): Зміна у визначенні концентрацій NL, PE, PC, LPC та SPH у стандартному зразку з методу Фармакопеї США «limit of nonphosphatidyl lipids» на внутрішній аналітичний метод компанії.</w:t>
              <w:b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br/>
              <w:t>3.2.P.4.2</w:t>
              <w:br/>
              <w:t>Egg phospholipid-lipid clases-HPLC-212106</w:t>
              <w:br/>
              <w:t>3. Standards, Reagents and Devices</w:t>
              <w:br/>
              <w:t>3.1 Standard</w:t>
              <w:br/>
              <w:t>Certified Egg yolk phospholipid standard</w:t>
              <w:br/>
              <w:t>Concentrations of PE, PC, LPC and SPH are certified using “Assay” method in USP-NF monograph for Egg</w:t>
              <w:br/>
              <w:t>Phospholipids (mean concentration of duplicate determinations during 6 days for each component).</w:t>
              <w:br/>
              <w:t>USP standards of PE, PC and LPC are used for certification. SPH standard from Sigma (or equivalent) is</w:t>
              <w:br/>
              <w:t>used for certification.</w:t>
              <w:br/>
              <w:t>Concentration of NL is certified using the “Limit of nonphosphatidyl lipids” method in USPNF monograph</w:t>
              <w:br/>
              <w:t>for Egg Phospholipids (mean concentration of 6 determinations).</w:t>
              <w:br/>
              <w:t>Purity and expiry date for certified Egg yolk phospholipid standard: according to its corresponding</w:t>
              <w:br/>
              <w:t>certificate of analysis. Store at - 20 °C under nitrogen.</w:t>
              <w:br/>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br/>
              <w:t>3.2.P.4.2</w:t>
              <w:br/>
              <w:t>Egg phospholipid-lipid clases-HPLC-212106</w:t>
              <w:br/>
              <w:t>3. Standards, Reagents and Devices</w:t>
              <w:br/>
              <w:t>3.1 Standard</w:t>
              <w:br/>
              <w:t>Certified Egg yolk phospholipid standard</w:t>
              <w:br/>
              <w:t>Concentrations of NL, PE, PC, LPC and SPH are certified according to valid SOP, 6-fold determinations are</w:t>
              <w:br/>
              <w:t>performed.</w:t>
              <w:br/>
              <w:t>Purity and expiry date for certified Egg yolk phospholipid standard: according to its corresponding</w:t>
              <w:br/>
              <w:t>certificate of analysis. Store at - 20 °C.</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допоміжних</w:t>
            </w:r>
            <w:r>
              <w:rPr>
                <w:rFonts w:cs="Arial" w:ascii="Arial" w:hAnsi="Arial"/>
                <w:color w:val="000000"/>
                <w:sz w:val="16"/>
                <w:szCs w:val="16"/>
                <w:lang w:val="en-US"/>
              </w:rPr>
              <w:t xml:space="preserve"> </w:t>
            </w:r>
            <w:r>
              <w:rPr>
                <w:rFonts w:cs="Arial" w:ascii="Arial" w:hAnsi="Arial"/>
                <w:color w:val="000000"/>
                <w:sz w:val="16"/>
                <w:szCs w:val="16"/>
              </w:rPr>
              <w:t>речовин</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незначні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затверджених</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випробувань</w:t>
            </w:r>
            <w:r>
              <w:rPr>
                <w:rFonts w:cs="Arial" w:ascii="Arial" w:hAnsi="Arial"/>
                <w:color w:val="000000"/>
                <w:sz w:val="16"/>
                <w:szCs w:val="16"/>
                <w:lang w:val="en-US"/>
              </w:rPr>
              <w:t xml:space="preserve">) </w:t>
            </w:r>
            <w:r>
              <w:rPr>
                <w:rFonts w:cs="Arial" w:ascii="Arial" w:hAnsi="Arial"/>
                <w:color w:val="000000"/>
                <w:sz w:val="16"/>
                <w:szCs w:val="16"/>
              </w:rPr>
              <w:t>незначна</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затвердженому</w:t>
            </w:r>
            <w:r>
              <w:rPr>
                <w:rFonts w:cs="Arial" w:ascii="Arial" w:hAnsi="Arial"/>
                <w:color w:val="000000"/>
                <w:sz w:val="16"/>
                <w:szCs w:val="16"/>
                <w:lang w:val="en-US"/>
              </w:rPr>
              <w:t xml:space="preserve"> </w:t>
            </w:r>
            <w:r>
              <w:rPr>
                <w:rFonts w:cs="Arial" w:ascii="Arial" w:hAnsi="Arial"/>
                <w:color w:val="000000"/>
                <w:sz w:val="16"/>
                <w:szCs w:val="16"/>
              </w:rPr>
              <w:t>методі</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фосфоліпіди</w:t>
            </w:r>
            <w:r>
              <w:rPr>
                <w:rFonts w:cs="Arial" w:ascii="Arial" w:hAnsi="Arial"/>
                <w:color w:val="000000"/>
                <w:sz w:val="16"/>
                <w:szCs w:val="16"/>
                <w:lang w:val="en-US"/>
              </w:rPr>
              <w:t xml:space="preserve"> </w:t>
            </w:r>
            <w:r>
              <w:rPr>
                <w:rFonts w:cs="Arial" w:ascii="Arial" w:hAnsi="Arial"/>
                <w:color w:val="000000"/>
                <w:sz w:val="16"/>
                <w:szCs w:val="16"/>
              </w:rPr>
              <w:t>яєчного</w:t>
            </w:r>
            <w:r>
              <w:rPr>
                <w:rFonts w:cs="Arial" w:ascii="Arial" w:hAnsi="Arial"/>
                <w:color w:val="000000"/>
                <w:sz w:val="16"/>
                <w:szCs w:val="16"/>
                <w:lang w:val="en-US"/>
              </w:rPr>
              <w:t xml:space="preserve"> </w:t>
            </w:r>
            <w:r>
              <w:rPr>
                <w:rFonts w:cs="Arial" w:ascii="Arial" w:hAnsi="Arial"/>
                <w:color w:val="000000"/>
                <w:sz w:val="16"/>
                <w:szCs w:val="16"/>
              </w:rPr>
              <w:t>жовтка</w:t>
            </w:r>
            <w:r>
              <w:rPr>
                <w:rFonts w:cs="Arial" w:ascii="Arial" w:hAnsi="Arial"/>
                <w:color w:val="000000"/>
                <w:sz w:val="16"/>
                <w:szCs w:val="16"/>
                <w:lang w:val="en-US"/>
              </w:rPr>
              <w:t xml:space="preserve">): </w:t>
            </w:r>
            <w:r>
              <w:rPr>
                <w:rFonts w:cs="Arial" w:ascii="Arial" w:hAnsi="Arial"/>
                <w:color w:val="000000"/>
                <w:sz w:val="16"/>
                <w:szCs w:val="16"/>
              </w:rPr>
              <w:t>Шість</w:t>
            </w:r>
            <w:r>
              <w:rPr>
                <w:rFonts w:cs="Arial" w:ascii="Arial" w:hAnsi="Arial"/>
                <w:color w:val="000000"/>
                <w:sz w:val="16"/>
                <w:szCs w:val="16"/>
                <w:lang w:val="en-US"/>
              </w:rPr>
              <w:t xml:space="preserve"> </w:t>
            </w:r>
            <w:r>
              <w:rPr>
                <w:rFonts w:cs="Arial" w:ascii="Arial" w:hAnsi="Arial"/>
                <w:color w:val="000000"/>
                <w:sz w:val="16"/>
                <w:szCs w:val="16"/>
              </w:rPr>
              <w:t>ін</w:t>
            </w:r>
            <w:r>
              <w:rPr>
                <w:rFonts w:cs="Arial" w:ascii="Arial" w:hAnsi="Arial"/>
                <w:color w:val="000000"/>
                <w:sz w:val="16"/>
                <w:szCs w:val="16"/>
                <w:lang w:val="en-US"/>
              </w:rPr>
              <w:t>’</w:t>
            </w:r>
            <w:r>
              <w:rPr>
                <w:rFonts w:cs="Arial" w:ascii="Arial" w:hAnsi="Arial"/>
                <w:color w:val="000000"/>
                <w:sz w:val="16"/>
                <w:szCs w:val="16"/>
              </w:rPr>
              <w:t>єкцій</w:t>
            </w:r>
            <w:r>
              <w:rPr>
                <w:rFonts w:cs="Arial" w:ascii="Arial" w:hAnsi="Arial"/>
                <w:color w:val="000000"/>
                <w:sz w:val="16"/>
                <w:szCs w:val="16"/>
                <w:lang w:val="en-US"/>
              </w:rPr>
              <w:t xml:space="preserve"> </w:t>
            </w:r>
            <w:r>
              <w:rPr>
                <w:rFonts w:cs="Arial" w:ascii="Arial" w:hAnsi="Arial"/>
                <w:color w:val="000000"/>
                <w:sz w:val="16"/>
                <w:szCs w:val="16"/>
              </w:rPr>
              <w:t>наприкінці</w:t>
            </w:r>
            <w:r>
              <w:rPr>
                <w:rFonts w:cs="Arial" w:ascii="Arial" w:hAnsi="Arial"/>
                <w:color w:val="000000"/>
                <w:sz w:val="16"/>
                <w:szCs w:val="16"/>
                <w:lang w:val="en-US"/>
              </w:rPr>
              <w:t xml:space="preserve"> </w:t>
            </w:r>
            <w:r>
              <w:rPr>
                <w:rFonts w:cs="Arial" w:ascii="Arial" w:hAnsi="Arial"/>
                <w:color w:val="000000"/>
                <w:sz w:val="16"/>
                <w:szCs w:val="16"/>
              </w:rPr>
              <w:t>аналітичного</w:t>
            </w:r>
            <w:r>
              <w:rPr>
                <w:rFonts w:cs="Arial" w:ascii="Arial" w:hAnsi="Arial"/>
                <w:color w:val="000000"/>
                <w:sz w:val="16"/>
                <w:szCs w:val="16"/>
                <w:lang w:val="en-US"/>
              </w:rPr>
              <w:t xml:space="preserve"> </w:t>
            </w:r>
            <w:r>
              <w:rPr>
                <w:rFonts w:cs="Arial" w:ascii="Arial" w:hAnsi="Arial"/>
                <w:color w:val="000000"/>
                <w:sz w:val="16"/>
                <w:szCs w:val="16"/>
              </w:rPr>
              <w:t>методу</w:t>
            </w:r>
            <w:r>
              <w:rPr>
                <w:rFonts w:cs="Arial" w:ascii="Arial" w:hAnsi="Arial"/>
                <w:color w:val="000000"/>
                <w:sz w:val="16"/>
                <w:szCs w:val="16"/>
                <w:lang w:val="en-US"/>
              </w:rPr>
              <w:t xml:space="preserve"> </w:t>
            </w:r>
            <w:r>
              <w:rPr>
                <w:rFonts w:cs="Arial" w:ascii="Arial" w:hAnsi="Arial"/>
                <w:color w:val="000000"/>
                <w:sz w:val="16"/>
                <w:szCs w:val="16"/>
              </w:rPr>
              <w:t>буде</w:t>
            </w:r>
            <w:r>
              <w:rPr>
                <w:rFonts w:cs="Arial" w:ascii="Arial" w:hAnsi="Arial"/>
                <w:color w:val="000000"/>
                <w:sz w:val="16"/>
                <w:szCs w:val="16"/>
                <w:lang w:val="en-US"/>
              </w:rPr>
              <w:t xml:space="preserve"> </w:t>
            </w:r>
            <w:r>
              <w:rPr>
                <w:rFonts w:cs="Arial" w:ascii="Arial" w:hAnsi="Arial"/>
                <w:color w:val="000000"/>
                <w:sz w:val="16"/>
                <w:szCs w:val="16"/>
              </w:rPr>
              <w:t>вилучено</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Перевірки</w:t>
            </w:r>
            <w:r>
              <w:rPr>
                <w:rFonts w:cs="Arial" w:ascii="Arial" w:hAnsi="Arial"/>
                <w:color w:val="000000"/>
                <w:sz w:val="16"/>
                <w:szCs w:val="16"/>
                <w:lang w:val="en-US"/>
              </w:rPr>
              <w:t xml:space="preserve"> </w:t>
            </w:r>
            <w:r>
              <w:rPr>
                <w:rFonts w:cs="Arial" w:ascii="Arial" w:hAnsi="Arial"/>
                <w:color w:val="000000"/>
                <w:sz w:val="16"/>
                <w:szCs w:val="16"/>
              </w:rPr>
              <w:t>придатності</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br/>
            </w: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br/>
              <w:t>3.2.P.4.2</w:t>
              <w:br/>
              <w:t>Egg phospholipid-lipid clases-HPLC-212106</w:t>
              <w:br/>
              <w:t>6. System Suitability Test</w:t>
              <w:br/>
              <w:t>Perform test 6.1 and 6.2 at the beginning and the end of the analytical run</w:t>
              <w:br/>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br/>
              <w:t>3.2.P.4.2</w:t>
              <w:br/>
              <w:t>Egg phospholipid-lipid clases-HPLC-212106</w:t>
              <w:br/>
              <w:t>6. System Suitability Test</w:t>
              <w:br/>
              <w:t xml:space="preserve">Perform test 6.1 and 6.2 in the beginning of the analytical run. </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допоміжних</w:t>
            </w:r>
            <w:r>
              <w:rPr>
                <w:rFonts w:cs="Arial" w:ascii="Arial" w:hAnsi="Arial"/>
                <w:color w:val="000000"/>
                <w:sz w:val="16"/>
                <w:szCs w:val="16"/>
                <w:lang w:val="en-US"/>
              </w:rPr>
              <w:t xml:space="preserve"> </w:t>
            </w:r>
            <w:r>
              <w:rPr>
                <w:rFonts w:cs="Arial" w:ascii="Arial" w:hAnsi="Arial"/>
                <w:color w:val="000000"/>
                <w:sz w:val="16"/>
                <w:szCs w:val="16"/>
              </w:rPr>
              <w:t>речовин</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додавання</w:t>
            </w:r>
            <w:r>
              <w:rPr>
                <w:rFonts w:cs="Arial" w:ascii="Arial" w:hAnsi="Arial"/>
                <w:color w:val="000000"/>
                <w:sz w:val="16"/>
                <w:szCs w:val="16"/>
                <w:lang w:val="en-US"/>
              </w:rPr>
              <w:t xml:space="preserve"> </w:t>
            </w:r>
            <w:r>
              <w:rPr>
                <w:rFonts w:cs="Arial" w:ascii="Arial" w:hAnsi="Arial"/>
                <w:color w:val="000000"/>
                <w:sz w:val="16"/>
                <w:szCs w:val="16"/>
              </w:rPr>
              <w:t>географічного</w:t>
            </w:r>
            <w:r>
              <w:rPr>
                <w:rFonts w:cs="Arial" w:ascii="Arial" w:hAnsi="Arial"/>
                <w:color w:val="000000"/>
                <w:sz w:val="16"/>
                <w:szCs w:val="16"/>
                <w:lang w:val="en-US"/>
              </w:rPr>
              <w:t xml:space="preserve"> </w:t>
            </w:r>
            <w:r>
              <w:rPr>
                <w:rFonts w:cs="Arial" w:ascii="Arial" w:hAnsi="Arial"/>
                <w:color w:val="000000"/>
                <w:sz w:val="16"/>
                <w:szCs w:val="16"/>
              </w:rPr>
              <w:t>джерела</w:t>
            </w:r>
            <w:r>
              <w:rPr>
                <w:rFonts w:cs="Arial" w:ascii="Arial" w:hAnsi="Arial"/>
                <w:color w:val="000000"/>
                <w:sz w:val="16"/>
                <w:szCs w:val="16"/>
                <w:lang w:val="en-US"/>
              </w:rPr>
              <w:t xml:space="preserve"> </w:t>
            </w:r>
            <w:r>
              <w:rPr>
                <w:rFonts w:cs="Arial" w:ascii="Arial" w:hAnsi="Arial"/>
                <w:color w:val="000000"/>
                <w:sz w:val="16"/>
                <w:szCs w:val="16"/>
              </w:rPr>
              <w:t>походження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Фосфоліпіди</w:t>
            </w:r>
            <w:r>
              <w:rPr>
                <w:rFonts w:cs="Arial" w:ascii="Arial" w:hAnsi="Arial"/>
                <w:color w:val="000000"/>
                <w:sz w:val="16"/>
                <w:szCs w:val="16"/>
                <w:lang w:val="en-US"/>
              </w:rPr>
              <w:t xml:space="preserve"> </w:t>
            </w:r>
            <w:r>
              <w:rPr>
                <w:rFonts w:cs="Arial" w:ascii="Arial" w:hAnsi="Arial"/>
                <w:color w:val="000000"/>
                <w:sz w:val="16"/>
                <w:szCs w:val="16"/>
              </w:rPr>
              <w:t>яєчного</w:t>
            </w:r>
            <w:r>
              <w:rPr>
                <w:rFonts w:cs="Arial" w:ascii="Arial" w:hAnsi="Arial"/>
                <w:color w:val="000000"/>
                <w:sz w:val="16"/>
                <w:szCs w:val="16"/>
                <w:lang w:val="en-US"/>
              </w:rPr>
              <w:t xml:space="preserve"> </w:t>
            </w:r>
            <w:r>
              <w:rPr>
                <w:rFonts w:cs="Arial" w:ascii="Arial" w:hAnsi="Arial"/>
                <w:color w:val="000000"/>
                <w:sz w:val="16"/>
                <w:szCs w:val="16"/>
              </w:rPr>
              <w:t>жовтка</w:t>
            </w:r>
            <w:r>
              <w:rPr>
                <w:rFonts w:cs="Arial" w:ascii="Arial" w:hAnsi="Arial"/>
                <w:color w:val="000000"/>
                <w:sz w:val="16"/>
                <w:szCs w:val="16"/>
                <w:lang w:val="en-US"/>
              </w:rPr>
              <w:t xml:space="preserve"> (PL90), </w:t>
            </w:r>
            <w:r>
              <w:rPr>
                <w:rFonts w:cs="Arial" w:ascii="Arial" w:hAnsi="Arial"/>
                <w:color w:val="000000"/>
                <w:sz w:val="16"/>
                <w:szCs w:val="16"/>
              </w:rPr>
              <w:t>яка</w:t>
            </w:r>
            <w:r>
              <w:rPr>
                <w:rFonts w:cs="Arial" w:ascii="Arial" w:hAnsi="Arial"/>
                <w:color w:val="000000"/>
                <w:sz w:val="16"/>
                <w:szCs w:val="16"/>
                <w:lang w:val="en-US"/>
              </w:rPr>
              <w:t xml:space="preserve"> </w:t>
            </w:r>
            <w:r>
              <w:rPr>
                <w:rFonts w:cs="Arial" w:ascii="Arial" w:hAnsi="Arial"/>
                <w:color w:val="000000"/>
                <w:sz w:val="16"/>
                <w:szCs w:val="16"/>
              </w:rPr>
              <w:t>малоймовірно</w:t>
            </w:r>
            <w:r>
              <w:rPr>
                <w:rFonts w:cs="Arial" w:ascii="Arial" w:hAnsi="Arial"/>
                <w:color w:val="000000"/>
                <w:sz w:val="16"/>
                <w:szCs w:val="16"/>
                <w:lang w:val="en-US"/>
              </w:rPr>
              <w:t xml:space="preserve"> </w:t>
            </w:r>
            <w:r>
              <w:rPr>
                <w:rFonts w:cs="Arial" w:ascii="Arial" w:hAnsi="Arial"/>
                <w:color w:val="000000"/>
                <w:sz w:val="16"/>
                <w:szCs w:val="16"/>
              </w:rPr>
              <w:t>становить</w:t>
            </w:r>
            <w:r>
              <w:rPr>
                <w:rFonts w:cs="Arial" w:ascii="Arial" w:hAnsi="Arial"/>
                <w:color w:val="000000"/>
                <w:sz w:val="16"/>
                <w:szCs w:val="16"/>
                <w:lang w:val="en-US"/>
              </w:rPr>
              <w:t xml:space="preserve"> </w:t>
            </w:r>
            <w:r>
              <w:rPr>
                <w:rFonts w:cs="Arial" w:ascii="Arial" w:hAnsi="Arial"/>
                <w:color w:val="000000"/>
                <w:sz w:val="16"/>
                <w:szCs w:val="16"/>
              </w:rPr>
              <w:t>будь</w:t>
            </w:r>
            <w:r>
              <w:rPr>
                <w:rFonts w:cs="Arial" w:ascii="Arial" w:hAnsi="Arial"/>
                <w:color w:val="000000"/>
                <w:sz w:val="16"/>
                <w:szCs w:val="16"/>
                <w:lang w:val="en-US"/>
              </w:rPr>
              <w:t>-</w:t>
            </w:r>
            <w:r>
              <w:rPr>
                <w:rFonts w:cs="Arial" w:ascii="Arial" w:hAnsi="Arial"/>
                <w:color w:val="000000"/>
                <w:sz w:val="16"/>
                <w:szCs w:val="16"/>
              </w:rPr>
              <w:t>який</w:t>
            </w:r>
            <w:r>
              <w:rPr>
                <w:rFonts w:cs="Arial" w:ascii="Arial" w:hAnsi="Arial"/>
                <w:color w:val="000000"/>
                <w:sz w:val="16"/>
                <w:szCs w:val="16"/>
                <w:lang w:val="en-US"/>
              </w:rPr>
              <w:t xml:space="preserve"> </w:t>
            </w:r>
            <w:r>
              <w:rPr>
                <w:rFonts w:cs="Arial" w:ascii="Arial" w:hAnsi="Arial"/>
                <w:color w:val="000000"/>
                <w:sz w:val="16"/>
                <w:szCs w:val="16"/>
              </w:rPr>
              <w:t>ризик</w:t>
            </w:r>
            <w:r>
              <w:rPr>
                <w:rFonts w:cs="Arial" w:ascii="Arial" w:hAnsi="Arial"/>
                <w:color w:val="000000"/>
                <w:sz w:val="16"/>
                <w:szCs w:val="16"/>
                <w:lang w:val="en-US"/>
              </w:rPr>
              <w:t xml:space="preserve"> </w:t>
            </w:r>
            <w:r>
              <w:rPr>
                <w:rFonts w:cs="Arial" w:ascii="Arial" w:hAnsi="Arial"/>
                <w:color w:val="000000"/>
                <w:sz w:val="16"/>
                <w:szCs w:val="16"/>
              </w:rPr>
              <w:t>передачі</w:t>
            </w:r>
            <w:r>
              <w:rPr>
                <w:rFonts w:cs="Arial" w:ascii="Arial" w:hAnsi="Arial"/>
                <w:color w:val="000000"/>
                <w:sz w:val="16"/>
                <w:szCs w:val="16"/>
                <w:lang w:val="en-US"/>
              </w:rPr>
              <w:t xml:space="preserve"> </w:t>
            </w:r>
            <w:r>
              <w:rPr>
                <w:rFonts w:cs="Arial" w:ascii="Arial" w:hAnsi="Arial"/>
                <w:color w:val="000000"/>
                <w:sz w:val="16"/>
                <w:szCs w:val="16"/>
              </w:rPr>
              <w:t>збудників</w:t>
            </w:r>
            <w:r>
              <w:rPr>
                <w:rFonts w:cs="Arial" w:ascii="Arial" w:hAnsi="Arial"/>
                <w:color w:val="000000"/>
                <w:sz w:val="16"/>
                <w:szCs w:val="16"/>
                <w:lang w:val="en-US"/>
              </w:rPr>
              <w:t xml:space="preserve"> </w:t>
            </w:r>
            <w:r>
              <w:rPr>
                <w:rFonts w:cs="Arial" w:ascii="Arial" w:hAnsi="Arial"/>
                <w:color w:val="000000"/>
                <w:sz w:val="16"/>
                <w:szCs w:val="16"/>
              </w:rPr>
              <w:t>губчатої</w:t>
            </w:r>
            <w:r>
              <w:rPr>
                <w:rFonts w:cs="Arial" w:ascii="Arial" w:hAnsi="Arial"/>
                <w:color w:val="000000"/>
                <w:sz w:val="16"/>
                <w:szCs w:val="16"/>
                <w:lang w:val="en-US"/>
              </w:rPr>
              <w:t xml:space="preserve"> </w:t>
            </w:r>
            <w:r>
              <w:rPr>
                <w:rFonts w:cs="Arial" w:ascii="Arial" w:hAnsi="Arial"/>
                <w:color w:val="000000"/>
                <w:sz w:val="16"/>
                <w:szCs w:val="16"/>
              </w:rPr>
              <w:t>енцефалопатії</w:t>
            </w:r>
            <w:r>
              <w:rPr>
                <w:rFonts w:cs="Arial" w:ascii="Arial" w:hAnsi="Arial"/>
                <w:color w:val="000000"/>
                <w:sz w:val="16"/>
                <w:szCs w:val="16"/>
                <w:lang w:val="en-US"/>
              </w:rPr>
              <w:t xml:space="preserve"> </w:t>
            </w:r>
            <w:r>
              <w:rPr>
                <w:rFonts w:cs="Arial" w:ascii="Arial" w:hAnsi="Arial"/>
                <w:color w:val="000000"/>
                <w:sz w:val="16"/>
                <w:szCs w:val="16"/>
              </w:rPr>
              <w:t>тварин</w:t>
            </w:r>
            <w:r>
              <w:rPr>
                <w:rFonts w:cs="Arial" w:ascii="Arial" w:hAnsi="Arial"/>
                <w:color w:val="000000"/>
                <w:sz w:val="16"/>
                <w:szCs w:val="16"/>
                <w:lang w:val="en-US"/>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UA/13846/01/01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СОЛПАДЕЇН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кофеїн, кодеїну фосфату гемігідрат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12 таблеток у блістері; по 1 блістеру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Халеон ЮК Трейдінг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ГлаксоСмітКлайн Дангарван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"Спосіб застосування та дози", "Побічні реакції" відповідно до оновленої інформації щодо безпеки застосування діючої речовини згідно з рекомендацією PRAC.</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UA/4740/03/01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СОТАЛОЛ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sotalol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соталолу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C07AA07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по 80 мг по 10 таблеток у блістері; по 5 блістерів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включення домішки N нітрозо соталол до специфікації випуску готового лікарського засобу в рамках виконання вимог ЕМА щодо управління ризиками нітрозамінових домішок.</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UA/4449/01/02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СОТАЛОЛ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sotalol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соталолу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C07AA07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по 160 мг по 10 таблеток у блістері; по 5 блістерів у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первинне і вторинне пакування, випуск серії:</w:t>
              <w:br/>
              <w:t>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включення домішки N нітрозо соталол до специфікації випуску готового лікарського засобу в рамках виконання вимог ЕМА щодо управління ризиками нітрозамінових домішок.</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UA/4449/01/03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СОТАЛОЛ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sotalol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соталолу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C07AA07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 мг; по 10 таблеток у блістері; по 5 блістерів у картонній коробці або по 25 таблеток у блістері; по 2 блістери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включення домішки N нітрозо соталол до специфікації випуску готового лікарського засобу в рамках виконання вимог ЕМА щодо управління ризиками нітрозамінових домішок.</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UA/4449/01/01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СТОРВАС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кальцієва сіль аторвастатину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або по 9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у МКЯ ЛЗ (затверджені Наказом МОЗ України від 15.09.2016 № 973), допущеної при процедурі перереєстрації ГЛЗ у 2016 р. у розділі Специфікація за показником «Ізопропиловий спирт» було невірно зазначено критерії прийнятності. Зазначене виправлення відповідає архівним матеріалам реєстраційного досьє та рекомендована до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UA/0778/01/02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СТРЕПСІЛС® БЕЗ ЦУКРУ, ЗІ СМАКОМ ЛИМОНА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R02AA03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льодяники; по 8 льодяників у блістері; по 2 блістери в картонній коробці; по 12 льодяників у блістері; по 1 або по 2 блістери в картонній коробці </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UA/4927/01/01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СТРЕПСІЛС® З ВІТАМІНОМ С ЗІ СМАКОМ АПЕЛЬСИНА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 натрію аскорбат; аскорбінова кислота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R02AA03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2 блістери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UA/7436/01/01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ТАНАКАН®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Ginkgo folium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Гінкго (Ginkgo biloba L.) (сухий екстракт листя, очищений і кількісно визначений)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N06DX02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 мг; по 15 таблеток у блістері; по 2 або 6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br/>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назви і адреси заявника, оскільки це пов’язано з маркетинговою політикою компанії. Зміни внесено в інструкцію для медичного застосування лікарського засобу у розділи "Заявник", "Місцезнаходження заявника".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назви та адреси виробника, без зміни місця виробництва.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8, 13, 16, 17 та в текст маркування первинної упаковки у пункти 3, 4, 6.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UA/9822/01/01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ТАНАКАН®</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Ginkgo folium</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Гінкго (Ginkgo biloba L.) (сухий екстракт листя, очищений і кількісно визначений)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N06DX02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 мг; по 15 таблеток у блістері; по 2 або 6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ІНДУСТРІ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Діюча редакція: Сільвія Сісмондо / Sylvie Cismondo. Пропонована редакція: Ніколас Феррарі / Nicolas Ferrari. </w:t>
              <w:br/>
              <w:t xml:space="preserve">Зміна контактних даних уповноваженої особи заявника, відповідальної за здійснення фармаконагляду. Зміна контактної особи заявника, відповідальної за здійснення фармаконагляду в Україні. Діюча редакція: Шапка Олена Володимирівна. </w:t>
              <w:br/>
              <w:t>Пропонована редакція: Прасоленко Юлія Валеріївна.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UA/9822/01/01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ТАНТУМ ВЕРДЕ®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A01AD02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ротової порожнини, 1,5 мг/мл; по 120 мл або 240 мл у флаконі з мірним стаканчиком; по 1 флакону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Азіенде Кіміке Ріуніте Анжеліні Франческо А.К.Р.А.Ф.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Азіенде Кіміке Ріуніте Анжеліні Франческо А.К.Р.А.Ф.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Внесення змін до специфікації лікарського засобу щодо показника «Об’єм наповнення» у зв’язку з додаванням нового розміру упаковки (флакон 240 мл).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UA/3920/01/01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5 мг; по 5 або 20 капсул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 мг; по 5 або 20 капсул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100 мг; по 5 або 20 капсул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140 мг; по 5 капсул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180 мг; по 5 капсул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UA/13562/01/05</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250 мг; по 5 капсул у флаконі, по 1 флакону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UA/13562/01/06</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ТЕЦЕНТРИК®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atezolizumab</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атезолізумаб </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L01FF05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1200 мг/20 мл; по 20 мл у флаконі; по 1 флакону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випробування контролю якості:</w:t>
              <w:br/>
              <w:t xml:space="preserve">Рош Діагностикс ГмбХ, Німеччина; Виробництво нерозфасованої продукції, первинне пакування, вторинне пакування, випробування контролю якості, випуск серії: Ф.Хоффманн-Ля Рош Лтд, Швейцарія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в інструкцію для медичного застосування лікарського засобу до розділу "Побічні реакції" щодо побічних реакцій з боку серця та теносиновіту.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в інструкцію для медичного застосування лікарського засобу до розділу "Побічні реакції" щодо нейтропенії, а також перенесено інформацію щодо гематофагоцитарного лімфогістіоцитозу та підвищення рівня креатинфосфокінази в крові до окремого підрозділу "Інші побічні реакції, які спостерігалися в клінічних дослідженнях або про які відомо з постмаркетингового досвіду".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UA/15872/01/01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ТИМОДРОПС 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Timolol,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дорзоламіду гідрохлорид і тимололу малеат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S01ED51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дорзоламіду 2% та тимололу 5%; по 5 мл у флаконі-крапельниці; по 1 або по 3 флакони-крапельниці в коробці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(дорзоламід).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UA/20266/01/01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Т-МЕКСАТ®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Ethylmethylhydroxypiridine succinate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sz w:val="16"/>
                <w:szCs w:val="16"/>
                <w:lang w:eastAsia="en-US"/>
              </w:rPr>
              <w:t>етилметилгідроксипіридину сукцинат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sz w:val="16"/>
                <w:szCs w:val="16"/>
                <w:lang w:eastAsia="en-US"/>
              </w:rPr>
              <w:t>N07X 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5 ампул у блістері, по 2 блістери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"БФК "САЛЮТАРІС"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 - Зміни внесено щодо назви лікарського засобу. Затверджено: Т-МЕКСАТ (T-MEKSAT) Запропоновано: Т-МЕКСАТ® (T-MEKSAT)®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UA/20667/01/01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ТОККАТА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толперизону гідрохлорид, лідокаїну гідрохлориду моногідрат</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M03BX04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 мл в ампулі; по 5 ампул у блістері; по 1 або по 2 блістери у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"Спосіб застосування та дози", "Побічні реакції" згідно з інформацією щодо медичного застосування референтного лікарського засобу (МІДОКАЛМ (MYDOCALM), розчин для ін'єкцій).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UA/16510/01/01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ТОЛПЕРІЛ-ЗДОРОВ'Я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толперизону гідрохлорид, лідокаїну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M03BX04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 мл в ампулі; по 5 ампул у блістері; по 1 блістеру у коробці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Вилучення упаковки по 1 мл в ампулі; по 5 ампул у картонній коробці з перегородкою, з відповідними змінами до розділу «Упаковка». </w:t>
              <w:br/>
              <w:t>Зміни внесено в розділ "Упаковка" в інструкцію для медичного застосування у зв'язку з вилученням певного розміру упаковки та як наслідок - вилучення тесту маркування відповідної упаковки лікарського засобу.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UA/19576/01/01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або 3, або 9, або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виробництво за повним циклом: Лек С.А., Польща; 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Давід Джон Левіс / David John Lewis, B.Sc (Hons), Ph.D. </w:t>
              <w:br/>
              <w:t xml:space="preserve">Пропонована редакція: Kotal Mohamed Ali / Котал Мохамед Алі. </w:t>
              <w:br/>
              <w:t xml:space="preserve">Зміна контактних даних уповноваженої особи, відповідальної за здійснення фармаконагляду. </w:t>
              <w:br/>
              <w:t xml:space="preserve">Зміна контактної особи заявника, відповідальної за здійснення фармаконагляду в Україні. </w:t>
              <w:br/>
              <w:t xml:space="preserve">Діюча редакція: Орлов В’ячеслав Вікторович. </w:t>
              <w:br/>
              <w:t xml:space="preserve">Пропонована редакція: Танасова Зоряна Миколаївна / Tanasova Zoriana. </w:t>
              <w:br/>
              <w:t>Зміна контактних даних контактної особи заявника, відповідальної за здійснення фармаконагляду в Україні.</w:t>
              <w:br/>
              <w:t xml:space="preserve">Зміна місця здійснення основної діяльності з фармаконагляду. </w:t>
              <w:br/>
              <w:t>Зміна місцезнаходження мастер-файла системи фармаконагляду та його номера.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2 або 3, або 9, або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Німеччина; виробництво за повним циклом: Лек С.А., Польща; </w:t>
              <w:br/>
              <w:t>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Давід Джон Левіс / David John Lewis, B.Sc (Hons), Ph.D. </w:t>
              <w:br/>
              <w:t xml:space="preserve">Пропонована редакція: Kotal Mohamed Ali / Котал Мохамед Алі. </w:t>
              <w:br/>
              <w:t xml:space="preserve">Зміна контактних даних уповноваженої особи, відповідальної за здійснення фармаконагляду. </w:t>
              <w:br/>
              <w:t xml:space="preserve">Зміна контактної особи заявника, відповідальної за здійснення фармаконагляду в Україні. </w:t>
              <w:br/>
              <w:t xml:space="preserve">Діюча редакція: Орлов В’ячеслав Вікторович. </w:t>
              <w:br/>
              <w:t xml:space="preserve">Пропонована редакція: Танасова Зоряна Миколаївна / Tanasova Zoriana. </w:t>
              <w:br/>
              <w:t>Зміна контактних даних контактної особи заявника, відповідальної за здійснення фармаконагляду в Україні.</w:t>
              <w:br/>
              <w:t xml:space="preserve">Зміна місця здійснення основної діяльності з фармаконагляду. </w:t>
              <w:br/>
              <w:t>Зміна місцезнаходження мастер-файла системи фармаконагляду та його номера.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2 або 3, або 9, або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Лек С.А., Польща; первинне та вторинне пакування, випуск серії:</w:t>
              <w:br/>
              <w:t>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Давід Джон Левіс / David John Lewis, B.Sc (Hons), Ph.D. </w:t>
              <w:br/>
              <w:t xml:space="preserve">Пропонована редакція: Kotal Mohamed Ali / Котал Мохамед Алі. </w:t>
              <w:br/>
              <w:t xml:space="preserve">Зміна контактних даних уповноваженої особи, відповідальної за здійснення фармаконагляду. </w:t>
              <w:br/>
              <w:t xml:space="preserve">Зміна контактної особи заявника, відповідальної за здійснення фармаконагляду в Україні. </w:t>
              <w:br/>
              <w:t xml:space="preserve">Діюча редакція: Орлов В’ячеслав Вікторович. </w:t>
              <w:br/>
              <w:t xml:space="preserve">Пропонована редакція: Танасова Зоряна Миколаївна / Tanasova Zoriana. </w:t>
              <w:br/>
              <w:t>Зміна контактних даних контактної особи заявника, відповідальної за здійснення фармаконагляду в Україні.</w:t>
              <w:br/>
              <w:t xml:space="preserve">Зміна місця здійснення основної діяльності з фармаконагляду. </w:t>
              <w:br/>
              <w:t>Зміна місцезнаходження мастер-файла системи фармаконагляду та його номера.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UA/9619/01/05</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2 або 3, або 9, або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Німеччина; виробництво за повним циклом: Лек С.А., Польща; </w:t>
              <w:br/>
              <w:t>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Давід Джон Левіс / David John Lewis, B.Sc (Hons), Ph.D. </w:t>
              <w:br/>
              <w:t xml:space="preserve">Пропонована редакція: Kotal Mohamed Ali / Котал Мохамед Алі. </w:t>
              <w:br/>
              <w:t xml:space="preserve">Зміна контактних даних уповноваженої особи, відповідальної за здійснення фармаконагляду. </w:t>
              <w:br/>
              <w:t xml:space="preserve">Зміна контактної особи заявника, відповідальної за здійснення фармаконагляду в Україні. </w:t>
              <w:br/>
              <w:t xml:space="preserve">Діюча редакція: Орлов В’ячеслав Вікторович. </w:t>
              <w:br/>
              <w:t xml:space="preserve">Пропонована редакція: Танасова Зоряна Миколаївна / Tanasova Zoriana. </w:t>
              <w:br/>
              <w:t>Зміна контактних даних контактної особи заявника, відповідальної за здійснення фармаконагляду в Україні.</w:t>
              <w:br/>
              <w:t xml:space="preserve">Зміна місця здійснення основної діяльності з фармаконагляду. </w:t>
              <w:br/>
              <w:t>Зміна місцезнаходження мастер-файла системи фармаконагляду та його номера.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UA/9619/01/06</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200 мг по 10 таблеток у блістері; по 2 або 3, або 9, або 10 блістерів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Німеччина; виробництво за повним циклом: Лек С.А., Польща; </w:t>
              <w:br/>
              <w:t>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Давід Джон Левіс / David John Lewis, B.Sc (Hons), Ph.D. </w:t>
              <w:br/>
              <w:t xml:space="preserve">Пропонована редакція: Kotal Mohamed Ali / Котал Мохамед Алі. </w:t>
              <w:br/>
              <w:t xml:space="preserve">Зміна контактних даних уповноваженої особи, відповідальної за здійснення фармаконагляду. </w:t>
              <w:br/>
              <w:t xml:space="preserve">Зміна контактної особи заявника, відповідальної за здійснення фармаконагляду в Україні. </w:t>
              <w:br/>
              <w:t xml:space="preserve">Діюча редакція: Орлов В’ячеслав Вікторович. </w:t>
              <w:br/>
              <w:t xml:space="preserve">Пропонована редакція: Танасова Зоряна Миколаївна / Tanasova Zoriana. </w:t>
              <w:br/>
              <w:t>Зміна контактних даних контактної особи заявника, відповідальної за здійснення фармаконагляду в Україні.</w:t>
              <w:br/>
              <w:t xml:space="preserve">Зміна місця здійснення основної діяльності з фармаконагляду. </w:t>
              <w:br/>
              <w:t>Зміна місцезнаходження мастер-файла системи фармаконагляду та його номера.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UA/9619/01/07</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ТРАНЕКСАМОВА КИСЛОТА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в блістері; по 1 блістеру в пачці; по 5 мл в ампулі; по 5 ампул в блістері; по 2 блістери в пачці; по 5 мл в ампулі; по 5 ампул в блістері; по 10 блістерів в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"Особливості застосування", "Застосування у період вагітності або годування груддю" згідно з інформацією щодо медичного застосування референтного лікарського засобу (Циклокапрон, розчин для ін'єкцій, 100 мг/мл, Pfizer Limited).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розділи "Протипоказання", "Особливості застосування", "Спосіб застосування та дози", "Побічні реакції" та до п.7 тексту маркування вторинної упаковки лікарського засобу, відповідно до оновленої інформації з безпеки діючої речовини. </w:t>
              <w:br/>
              <w:t>Супутня зміна</w:t>
              <w:br/>
              <w:t xml:space="preserve">-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 </w:t>
              <w:br/>
              <w:t xml:space="preserve">Заявником надано оновлений план управління ризиками версія 2.2. </w:t>
              <w:br/>
              <w:t xml:space="preserve">Зміни внесено до частин: </w:t>
              <w:br/>
              <w:t>І «Загальна інформація»,</w:t>
              <w:br/>
              <w:t xml:space="preserve">II «Специфікація з безпеки», </w:t>
              <w:br/>
              <w:t xml:space="preserve">III «План з фармаконагляду», </w:t>
              <w:br/>
              <w:t xml:space="preserve">V «Заходи з мінімізації ризиків», </w:t>
              <w:br/>
              <w:t xml:space="preserve">VI «Резюме плану управління ризиками», </w:t>
              <w:br/>
              <w:t xml:space="preserve">VII «Додатки» у зв’язку з додаванням нової інформації щодо проблеми з безпеки, оновленням рутинних та впровадженням додаткових заходів з мінімізації ризиків на підставі рекомендації PRAC. </w:t>
              <w:br/>
              <w:t>Резюме Плану управління ризиками версія 2.2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UA/17082/01/01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УЛЬТРАВІСТ 300</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iopromide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йопромід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V08AB05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та інфузій, 300 мг/мл; по 100 мл у флаконі; по 1 флакону у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продукції in-bulk, первинне пакування, вторинне пакування, контроль серії, випуск серії:</w:t>
              <w:br/>
              <w:t>Байєр АГ, Німеччина; виробництво продукції in-bulk, первинне пакування, вторинне пакування, контроль серії, випуск серії:</w:t>
              <w:br/>
              <w:t>Берлімед, С.А., Іспанiя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Іспанiя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оновлений СЕР 2020 273 – Rev 01 для АФІ від вже затвердженого виробника Divi's Laboratories Limited, Unit-1. </w:t>
              <w:br/>
              <w:t>Затверджена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br/>
              <w:t>R0-CEP 2020-273 - Rev 00</w:t>
              <w:br/>
              <w:t>Synthesis of iodopromide: Divi's Laboratories Limited, Unit-1</w:t>
              <w:br/>
              <w:t xml:space="preserve">Quality control testing: </w:t>
              <w:br/>
              <w:t>Bayer AG , Bergkamen</w:t>
              <w:br/>
              <w:t xml:space="preserve">Release: </w:t>
              <w:br/>
              <w:t>Bayer AG , Bergkamen</w:t>
              <w:br/>
              <w:t>Site: Bayer AG, Bergkamen</w:t>
              <w:br/>
              <w:t>Bayer AG</w:t>
              <w:br/>
              <w:t>Ernst-Schering-Stra</w:t>
            </w:r>
            <w:r>
              <w:rPr>
                <w:rFonts w:cs="Arial" w:ascii="Arial" w:hAnsi="Arial"/>
                <w:color w:val="000000"/>
                <w:sz w:val="16"/>
                <w:szCs w:val="16"/>
              </w:rPr>
              <w:t>β</w:t>
            </w:r>
            <w:r>
              <w:rPr>
                <w:rFonts w:cs="Arial" w:ascii="Arial" w:hAnsi="Arial"/>
                <w:color w:val="000000"/>
                <w:sz w:val="16"/>
                <w:szCs w:val="16"/>
                <w:lang w:val="en-US"/>
              </w:rPr>
              <w:t>e 14</w:t>
              <w:br/>
              <w:t>59192 Bergkamen</w:t>
              <w:br/>
              <w:t>Germany</w:t>
              <w:br/>
              <w:t>GPS Coordinates first/main entrance: N 51° 37.317 ՛, E 7° 37.677 ՛</w:t>
              <w:br/>
              <w:t>Site: Divi's Laboratories Limited, Unit-1</w:t>
              <w:br/>
              <w:t>Lingojigudem Village, Choutuppal Mandal,</w:t>
              <w:br/>
              <w:t>Yadadri Bhuvanagiri District,</w:t>
              <w:br/>
              <w:t>Telangana</w:t>
              <w:br/>
              <w:t>508 252, Lingojigudem, India</w:t>
              <w:br/>
              <w:t>GPS Coordinates first/main entrance: 17°14'29.36"N , 78° 56'2.41"E</w:t>
              <w:br/>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br/>
              <w:t>CEP 2020-273 - Rev 01</w:t>
              <w:br/>
              <w:t>Synthesis of iodopromide: Divi's Laboratories Limited</w:t>
              <w:br/>
              <w:t xml:space="preserve">Quality control testing: </w:t>
              <w:br/>
              <w:t>Bayer AG , Bergkamen</w:t>
              <w:br/>
              <w:t>Bayer AG , Bergkamen</w:t>
              <w:br/>
              <w:t>Divi's Laboratories Limited</w:t>
              <w:br/>
              <w:t>Site: Bayer AG, Bergkamen</w:t>
              <w:br/>
              <w:t>Bayer AG</w:t>
              <w:br/>
              <w:t>Ernst-Schering-Stra</w:t>
            </w:r>
            <w:r>
              <w:rPr>
                <w:rFonts w:cs="Arial" w:ascii="Arial" w:hAnsi="Arial"/>
                <w:color w:val="000000"/>
                <w:sz w:val="16"/>
                <w:szCs w:val="16"/>
              </w:rPr>
              <w:t>β</w:t>
            </w:r>
            <w:r>
              <w:rPr>
                <w:rFonts w:cs="Arial" w:ascii="Arial" w:hAnsi="Arial"/>
                <w:color w:val="000000"/>
                <w:sz w:val="16"/>
                <w:szCs w:val="16"/>
                <w:lang w:val="en-US"/>
              </w:rPr>
              <w:t>e 14</w:t>
              <w:br/>
              <w:t>59192 Bergkamen</w:t>
              <w:br/>
              <w:t>Germany</w:t>
              <w:br/>
              <w:t xml:space="preserve">GPS Coordinates first/main entrance: N 51° 37.317 </w:t>
            </w:r>
            <w:r>
              <w:rPr>
                <w:rFonts w:cs="Arial" w:ascii="Arial" w:hAnsi="Arial"/>
                <w:color w:val="000000"/>
                <w:sz w:val="16"/>
                <w:szCs w:val="16"/>
              </w:rPr>
              <w:t>՛</w:t>
            </w:r>
            <w:r>
              <w:rPr>
                <w:rFonts w:cs="Arial" w:ascii="Arial" w:hAnsi="Arial"/>
                <w:color w:val="000000"/>
                <w:sz w:val="16"/>
                <w:szCs w:val="16"/>
                <w:lang w:val="en-US"/>
              </w:rPr>
              <w:t>, E 7° 37.677 ՛</w:t>
              <w:br/>
              <w:t>Organisation ID: ORG-100000011</w:t>
              <w:br/>
              <w:t>Location ID: LOC-100017510</w:t>
              <w:br/>
              <w:t>Site: Divi's Laboratories Limited</w:t>
              <w:br/>
              <w:t>Divi's Laboratories Limited</w:t>
              <w:br/>
              <w:t>Unit-1 Lingojigudem Village</w:t>
              <w:br/>
              <w:t>Choutuppal Mandal</w:t>
              <w:br/>
              <w:t>Yadadri Bhuvanagiri District</w:t>
              <w:br/>
              <w:t>Nalgonda</w:t>
              <w:br/>
              <w:t>Telangana</w:t>
              <w:br/>
              <w:t>508 252</w:t>
              <w:br/>
              <w:t>India</w:t>
              <w:br/>
              <w:t>GPS Coordinates first/main entrance: 17°14'29.36"N , 78° 56'2.41"E</w:t>
              <w:br/>
              <w:t>Organisation ID: ORG-100011666</w:t>
              <w:br/>
              <w:t>Location ID: LOC-100018632</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UA/1986/01/01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в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СЕПТОДОНТ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Діюча редакція: ТОВ "Санофі-Авентіс Україна", Україна. Пропонована редакція: СЕПТОДОНТ, Франція.</w:t>
              <w:br/>
              <w:t xml:space="preserve">У зв'язку зі зміною заявника (власника реєстраційного посвідчення) внесено зміни в інструкцію для медичного застосування, а саме вилучено розділ "Заявник", та як наслідок - внесено зміни у текст маркування упаковки лікарськго засобу.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Варфоломєєва Іванна Олександрівна. Пропонована редакція: Рудольфе Ле Пайє / Rodolphe Le Paillier. Зміна контактних даних уповноваженої особи заявника, відповідальної за фармаконагляд. Введення контактної особи заявника, відповідальної за фармаконагляд в Україні. </w:t>
              <w:br/>
              <w:t>Пропонована редакція: Нікітченкова Любов Іванівна. Введення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в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СЕПТОДОНТ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w:t>
            </w:r>
          </w:p>
          <w:p>
            <w:pPr>
              <w:pStyle w:val="Normal"/>
              <w:jc w:val="center"/>
              <w:rPr/>
            </w:pPr>
            <w:r>
              <w:rPr>
                <w:rFonts w:cs="Arial" w:ascii="Arial" w:hAnsi="Arial"/>
                <w:sz w:val="16"/>
                <w:szCs w:val="16"/>
                <w:lang w:val="uk-UA"/>
              </w:rPr>
              <w:t xml:space="preserve">Зміни І типу - Зміни з якості. </w:t>
            </w:r>
            <w:r>
              <w:rPr>
                <w:rFonts w:cs="Arial" w:ascii="Arial" w:hAnsi="Arial"/>
                <w:sz w:val="16"/>
                <w:szCs w:val="16"/>
              </w:rPr>
              <w:t>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заміна дільниці, відповідальної за виробництво лікарського засобу в картриджах з Sanofi-Aventis Deutschland GmbH, Germany на Laboratorios Inibsa S.A., Spain.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заміна дільниці, відповідальної за контроль якості лікарського засобу в картриджах з Sanofi-Aventis Deutschland GmbH, Germany на Laboratorios Inibsa S.A., Spain.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дільниці, відповідальної за випуск серії ЛЗ в катриджах (не включаючи аналітичні випробування) з Sanofi-Aventis Deutschland GmbH, Germany на SEPTODONT, France. Зміни внесено в розділи "Виробник" та "Місцезнаходження виробника та адреса місця провадження його діяльності" в інструкцію для медичного застосування у зв'язку з заміною виробничої дільниці, відповідальної за випуск серії лікарського засобу в картриджах, та як наслідок - зміни внесено до розділу "Упаковка". Відповідні зміни внесено у текст маркування упаковки лікарського засобу.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Sanofi-Aventis Deutschland GmbH, Germany, відповідальної за виробництво лікарського засобу в ампулах. Зміни внесено в розділи "Виробник" та "Місцезнаходження виробника та адреса місця провадження його діяльності" в інструкцію для медичного застосування у зв'язку з вилученням виробничої дільниці, відповідальної за виробництво лікарського засобу в ампулах, та як наслідок - зміни внесено до розділу "Упаковка". Відповідні зміни внесено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заміна дільниці, відповідальної за вторинне пакування лікарського засобу в картриджах з Sanofi-Aventis Deutschland GmbH, Germany на Laboratorios Inibsa S.A., Spain.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в процесі виробництва ЛЗ, а саме Стадія додавання компонентів скорочена, а перетворення на адреналіну гідрохлорид не виконується окремо. Також на новій виробничій дільниці незначно відрізняється порядок додавання вихідних матеріалів. На стадії попередньої фільтрації включений додатковий мембранний фільтр з розміром пор 0,45 мкм.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зміни в процесі виробництва ЛЗ, а саме збільшення максимального часу витримки (holding time) профільтрованого нерозфасованого розчину в ємкості перед наповненням в картриджі з 4 до 14 днів на дільниці виробництва картриджів Санофі-Авентіс Дойчланд ГмбХ, Німеччина.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зміни в процесі виробництва ЛЗ, а саме скорочення часу виробництва на дільниці виробництва лікарського засобу в картриджах Laboratorios Inibsa S.A., Spain. Таким чином час витримки (holding time) після фільтрації більше не застосовується. Максимальний час зберігання для розчину перед фільтрацією складатиме 7 днів, а наповнення після фільтрації буде виконуватись в межах максимум 72 годин.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 звуження меж, встановлених у специфікаціях, під час виробництва готового лікарського засобу для біонавантаження з не більше 100 КУО/10 мл до ≤10 КУО/100 мл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осмоляльності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виходу за зважуванням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виходу за розрахунком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об’єму наповнення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додавання випробування біонавантаження, під час виробництва готового лікарського засобу після попередньої фільтрації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додавання випробування pH перед додаванням адреналіну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додавання випробування на герметичність картриджів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допоміжних речовин (інші зміни) - адаптація розділу 3.2.Р.4.Контроль допоміжних речовин на дільниці виробництва лікарського засобу в картриджах Laboratorios Inibsa S.A., Spain для описання відповідності допоміжних речовин монографіям Євр.Фарм. Введення змін протягом 6-ти місяців після затвердження.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Заміна однієї допоміжної речовини на іншу з тими самими функціональними характеристиками та на тому самому рівні - зміна в складі ЛЗ, а саме заміна емульсії силіконової олії, що використовувалась попереднім виробником лікарського засобу в картриджах, на емульсію силіконової олії, що буде використовуватись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випробування ідентифікації натрію метабісульфіту до специфікації ГЛЗ на дільниці виробництва лікарського засобу в картриджах Laboratorios Inibsa S.A., Spain, що відповідає вимогам Guideline on excipients in the dossier for application for marketing authorisation of a medicinal product.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додаткового випробування ідентифікації діючої речовини адреналіну методом колориметрії до специфікації ГЛЗ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метода для ідентифікації артикаїну гідрохлориду (ТШХ)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метода ВЕРХ для ідентифікації, визначення кількісного вмісту та домішок артикаїну гідрохлориду на новий метод ВЕРХ для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затвердженого метода йодометрії, що використовується для кількісного визначення натрію метабісульфіту на новий метод йодометрії для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затвердженого метода ВЕРХ, що використовується для ідентифікації та визначення кількісного вмісту адреналіну гідрохлориду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 вилучення альтернативного метода для визначення видимих часток (електронний підрахунок)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 вилучення альтернативного метода полярографії для кількісного визначення натрію метабісульфіту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 вилучення гель-тромб методу визначення бактеріальних ендотоксинів на дільниці виробництва лікарського засобу в картриджах Laboratorios Inibsa S.A., Spain. Випробування буде проводитися за допомогою хромогенного кінетичного методу.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для методу випробування за показником Механічні домішки (невидимі частки)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(інші зміни) - зміна опису для випробування стерильності на дільниці виробництва лікарського засобу в картриджах Laboratorios Inibsa S.A., Spain. Метод випробування не змінюється, оскільки він є фармакопейним. Видаляється посилання на Фарм. США, а також опис методу адаптується для зазначення тільки картриджів. Кількість розчину для промивання приведена у відповідність до монографії Євр. Фарм. 2.6.1.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Вилучення первинної упаковки, що не призводить до повного вилучення лікарського засобу з певною силою дії або у певній лікарській формі - вилучення альтернативних плунжерів та ущільнення з гуми типу ІІ на дільниці виробництва лікарського засобу в картриджах Laboratorios Inibsa S.A., Spain., (бромбутиловий каучук І і ІІ класу).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 зміна кольору плунжеру з білого або кремового на сірий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додавання специфікації для контролю плунжерів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додавання специфікації для контролю кришки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додавання специфікації для контролю картриджів на дільниці виробництва лікарського засобу в картриджах Laboratorios Inibsa S.A., Spain.</w:t>
            </w:r>
          </w:p>
          <w:p>
            <w:pPr>
              <w:pStyle w:val="Normal"/>
              <w:jc w:val="center"/>
              <w:rPr>
                <w:rFonts w:ascii="Arial" w:hAnsi="Arial" w:cs="Arial"/>
                <w:color w:val="000000"/>
                <w:sz w:val="16"/>
                <w:szCs w:val="16"/>
              </w:rPr>
            </w:pPr>
            <w:r>
              <w:rPr>
                <w:rFonts w:cs="Arial" w:ascii="Arial" w:hAnsi="Arial"/>
                <w:sz w:val="16"/>
                <w:szCs w:val="16"/>
              </w:rPr>
              <w:t>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монографії Євр. Фарм. СЕР № R1-CEP 2013-266-Rev 00 для адреналіну від затвердженого виробника CAMBREX PROFARMACO MILANO S.R.L., Italy (затверджено: CEP № R0-CEP 2013-266 - Rev 02).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монографії Євр. Фарм. СЕР № R1-CEP 2013-266-Rev 01 для адреналіну від затвердженого виробника CAMBREX PROFARMACO MILANO S.R.L., Italy (затверджено: CEP № R1-CEP 2013-266 - Rev 00).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монографії Євр. Фарм.СЕР № R1-CEP 2016-232-Rev 00 для адреналіну від затвердженого виробника SYN-TECH CHEM. &amp; PHARM. CO., LTD., Taiwan (затверджено: CEP № R0-CEP 2016-232-Rev 00).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діючої речовини адреналіну компанії Берінгер Інгельхайм Фарма ГмбХ енд Ко.КГ, Німеччина.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незначна зміна методу ВЕРХ, що використовується новим виробником лікарського засобу в картриджах компанією Laboratorios Inibsa S.A., Spain для контролю супровідних речовин в діючій речовині адреналіні. Введення змін протягом 6-ти місяців після затвердження. Зміни І типу - Зміни з якості. Готовий лікарський засіб. (інші зміни) - додавання номерів монографій Євр. Фарм. для діючих речовин та допоміжних речовин та внесенні редакторських правок до розділу 3.2.Р.1 для лікарського засобу в картриджах для нового виробника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 переклад тексту МКЯ на українську мову. Введення змін протягом 6-ти місяців після затвердження.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зміна меж специфікації АФІ артикаїну гідрохлориду виробника лікарського засобу в картриджах компанією Laboratorios Inibsa S.A., Spain., за показником бактеріальні ендотоксини. Затверджено: ≤0.14 IU/mg. Запропоновано: ≤0.2 IU/mg. Введення змін протягом 6-ти місяців після затвердження.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(зміна стосується всіх інших лікарських форм сукупного (комплексного) виробничого процесу) - введення додаткового розміру серії (2000 л) на додаток до затверджених розмірів серії (від 300 л до 750 л) з метою адаптації потужностей нової виробничої дільниці для лікарського засобу в картриджах Laboratorios Inibsa S.A., Spain.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в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СЕПТОДОНТ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 Лабораторіос Інібса С.А., Іспанія; Випуск серії для препарату в картриджах: СЕПТОДОНТ, Франція; Виробництво, первинне та вторинне пакування, маркування, контроль якості та випуск серії для препарату в ампулах: ДЕЛЬФАРМ ДІЖОН, Франція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Зміни внесено у текст маркування первинної (п. 3, 4, 6) та вторинної (п. 8, 13, 17) упаковки лікарського засобу. Введення змін протягом 6-ти місяців після затвердження.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Санофі-Авентіс Дойчланд ГмбХ, Німеччина: №100 (10х10): по 2 мл в ампулі; по 10 ампул у картонній чарунковій упаковці; по 1 картонній чарунковій упаковці в картонній коробці; по 10 картонних коробок, обтягнених плівкою цифленовою;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 Німеччина;</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 - Зміни внесено до Інструкції для медичного застосування лікарського засобу до розділів "Фармакологічні властивості" ("Доклінічні дані з безпеки"),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"Передозування", "Побічні реакції". Введення змін протягом 6 місяців після затвердження. Зміни І типу - Зміни щодо безпеки/ефективності та фармаконагляду.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 - Зміни внесено до Інструкції для медичного застосування лікарського засобу до розділів "Фармакологічні властивості" ("Фармакодинаміка" та "Фармакокінетика"), "Показання" (конкретизація інформації), "Спосіб застосування та дози" (конкретизація інформації), "Діти" (конкретизація інформації) та відповідні зміни в тексті маркування вторинної упаковки лікарського засобу в п 5. </w:t>
              <w:br/>
              <w:t>Введення змін протягом 6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розділу "Побічні реакції" (щодо важливості звітування про побічні реакції).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lang w:val="ru-RU"/>
              </w:rPr>
            </w:pPr>
            <w:r>
              <w:rPr>
                <w:rFonts w:cs="Arial" w:ascii="Arial" w:hAnsi="Arial"/>
                <w:color w:val="000000"/>
                <w:sz w:val="16"/>
                <w:szCs w:val="16"/>
                <w:lang w:val="ru-RU"/>
              </w:rPr>
              <w:t>розчин для ін'єкцій, Для виробника СЕПТОДОНТ, Франція.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СЕПТОДОНТ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pPr>
            <w:r>
              <w:rPr>
                <w:rFonts w:cs="Arial" w:ascii="Arial" w:hAnsi="Arial"/>
                <w:color w:val="000000"/>
                <w:sz w:val="16"/>
                <w:szCs w:val="16"/>
                <w:lang w:val="ru-RU"/>
              </w:rPr>
              <w:t>Франц</w:t>
            </w:r>
            <w:r>
              <w:rPr>
                <w:rFonts w:cs="Arial" w:ascii="Arial" w:hAnsi="Arial"/>
                <w:color w:val="000000"/>
                <w:sz w:val="16"/>
                <w:szCs w:val="16"/>
              </w:rPr>
              <w:t>i</w:t>
            </w:r>
            <w:r>
              <w:rPr>
                <w:rFonts w:cs="Arial" w:ascii="Arial" w:hAnsi="Arial"/>
                <w:color w:val="000000"/>
                <w:sz w:val="16"/>
                <w:szCs w:val="16"/>
                <w:lang w:val="ru-RU"/>
              </w:rPr>
              <w:t>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Іспанія/</w:t>
            </w:r>
          </w:p>
          <w:p>
            <w:pPr>
              <w:pStyle w:val="1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jc w:val="center"/>
              <w:rPr>
                <w:rFonts w:ascii="Arial" w:hAnsi="Arial" w:cs="Arial"/>
                <w:color w:val="000000"/>
                <w:sz w:val="16"/>
                <w:szCs w:val="16"/>
              </w:rPr>
            </w:pPr>
            <w:r>
              <w:rPr>
                <w:rFonts w:cs="Arial" w:ascii="Arial" w:hAnsi="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заміна дільниці, відповідальної за виробництво лікарського засобу в картриджах з Sanofi-Aventis Deutschland GmbH, Germany на Laboratorios Inibsa S.A., Spain.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заміна дільниці, відповідальної за контроль якості лікарського засобу в картриджах з Sanofi-Aventis Deutschland GmbH, Germany на Laboratorios Inibsa S.A., Spain.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заміна дільниці, відповідальної за випуск серії ЛЗ в катриджах (не включаючи аналітичні випробування) з Sanofi-Aventis Deutschland GmbH, Germany на SEPTODONT, France. Зміни внесено в розділи "Виробник" та "Місцезнаходження виробника та адреса місця провадження його діяльності" в інструкцію для медичного застосування у зв'язку з заміною виробничої дільниці, відповідальної за випуск серії лікарського засобу в картриджах, та як наслідок - зміни внесено до розділу "Упаковка". Відповідні зміни внесено у текст маркування упаковки лікарського засобу.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Sanofi-Aventis Deutschland GmbH, Germany, відповідальної за виробництво лікарського засобу в ампулах. Зміни внесено в розділи "Виробник" та "Місцезнаходження виробника та адреса місця провадження його діяльності" в інструкцію для медичного застосування у зв'язку з вилученням виробничої дільниці, відповідальної за виробництво лікарського засобу в ампулах, та як наслідок - зміни внесено до розділу "Упаковка". Відповідні зміни внесено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заміна дільниці, відповідальної за вторинне пакування лікарського засобу в картриджах з Sanofi-Aventis Deutschland GmbH, Germany на Laboratorios Inibsa S.A., Spain.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в процесі виробництва ЛЗ, а саме Стадія додавання компонентів скорочена, а перетворення на адреналіну гідрохлорид не виконується окремо. Також на новій виробничій дільниці незначно відрізняється порядок додавання вихідних матеріалів. На стадії попередньої фільтрації включений додатковий мембранний фільтр з розміром пор 0,45 мкм.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зміни в процесі виробництва ЛЗ, а саме збільшення максимального часу витримки (holding time) профільтрованого нерозфасованого розчину в ємкості перед наповненням в картриджі з 4 до 14 днів на дільниці виробництва картриджів Санофі-Авентіс ДойчландГмбХ, Німеччина.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зміни в процесі виробництва ЛЗ, а саме скорочення часу виробництва на дільниці виробництва лікарського засобу в картриджах Laboratorios Inibsa S.A., Spain. Таким чином час витримки (holding time) після фільтрації більше не застосовується. Максимальний час зберігання для розчину перед фільтрацією складатиме 7 днів, а наповнення після фільтрації буде виконуватись в межах максимум 72 годин.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 звуження меж, встановлених у специфікаціях, під час виробництва готового лікарського засобу для біонавантаження з не більше 100 КУО/10 мл до ≤10 КУО/100 мл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осмоляльності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виходу за зважуванням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виходу за розрахунком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видалення контролю об’єму наповнення в процесі виробництва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додавання випробування біонавантаження, під час виробництва готового лікарського засобу після попередньої фільтрації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додавання випробування pH перед додаванням адреналіну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додавання випробування на герметичність картриджів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допоміжних речовин (інші зміни) - адаптація розділу 3.2.Р.4. Контроль допоміжних речовин на дільниці виробництва лікарського засобу в картриджах Laboratorios Inibsa S.A., Spain для описання відповідності допоміжних речовин монографіям Євр.Фарм. Введення змін протягом 6-ти місяців після затвердження.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Заміна однієї допоміжної речовини на іншу з тими самими функціональними характеристиками та на тому самому рівні - зміна в складі ЛЗ, а саме заміна емульсії силіконової олії, що використовувалась попереднім виробником лікарського засобу в картриджах, на емульсію силіконової олії, що буде використовуватись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випробування ідентифікації натрію метабісульфіту до специфікації ГЛЗ на дільниці виробництва лікарського засобу в картриджах Laboratorios Inibsa S.A., Spain, що відповідає вимогам Guideline on excipients in the dossier for application for marketing authorisation of a medicinal product.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додаткового випробування ідентифікації діючої речовини адреналіну методом колориметрії до специфікації ГЛЗ на дільниці виробництва лікарського засобу у картриджах та ампулах у відповідності вимог ICH Q6A.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методу для ідентифікації артикаїну гідрохлориду (ТШХ)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метода ВЕРХ для ідентифікації, визначення кількісного вмісту та домішок артикаїну гідрохлориду на новий метод ВЕРХ для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затвердженого метода йодометрії, що використовується для кількісного визначення натрію метабісульфіту на новий метод йодометрії для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затвердженого метода ВЕРХ, що використовується для ідентифікації та визначення кількісного вмісту адреналіну гідрохлориду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 вилучення альтернативного метода для визначення видимих часток (електронний підрахунок)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 вилучення альтернативного метода полярографії для кількісного визначення натрію метабісульфіту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 вилучення гель-тромб методу визначення бактеріальних ендотоксинів на дільниці виробництва лікарського засобу в картриджах Laboratorios Inibsa S.A., Spain. Випробування буде проводитися за допомогою хромогенного кінетичного методу.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для методу випробування за показником Механічні домішки (невидимі частки)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(інші зміни) - зміна опису для випробування стерильності на дільниці виробництва лікарського засобу в картриджах Laboratorios Inibsa S.A., Spain. Метод випробування не змінюється, оскільки він є фармакопейним. Видаляється посилання на Фарм. США, а також опис методу адаптується для зазначення тільки картриджів. Кількість розчину для промивання приведена у відповідність до монографії Євр. Фарм. 2.6.1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Вилучення первинної упаковки, що не призводить до повного вилучення лікарського засобу з певною силою дії або у певній лікарській формі - вилучення альтернативних плунжерів та ущільнення з гуми типу ІІ на дільниці виробництва лікарського засобу в картриджах Laboratorios Inibsa S.A., Spain., (бромбутиловий каучук І і ІІ класу).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 зміна кольору плунжеру з білого або кремового на сірий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додавання специфікації для контролю плунжерів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додавання специфікації для контролю кришки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додавання специфікації для контролю картриджів на дільниці виробництва лікарського засобу в картриджах Laboratorios Inibsa S.A., Spain.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монографії Євр. Фарм. СЕР № R1-CEP 2013-266-Rev 00 для адреналіну від затвердженого виробника CAMBREX PROFARMACO MILANO S.R.L., Italy (затверджено: CEP № R0-CEP 2013-266 - Rev 02).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монографії Євр. Фарм. СЕР № R1-CEP 2013-266-Rev 01 для адреналіну від затвердженого виробника CAMBREX PROFARMACO MILANO S.R.L., Italy (затверджено: CEP № R1-CEP 2013-266 - Rev 00).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монографії Євр. Фарм.СЕР № R1-CEP 2016-232-Rev 00 для адреналіну від затвердженого виробника SYN-TECH CHEM. &amp; PHARM. CO., LTD., Taiwan (затверджено: CEP № R0-CEP 2016-232-Rev 00).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діючої речовини адреналіну компанії Берінгер Інгельхайм Фарма ГмбХ енд Ко.КГ, Німеччина.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незначна зміна методу ВЕРХ, що використовується новим виробником лікарського засобу в картриджах компанією Laboratorios Inibsa S.A., Spain для контролю супровідних речовин в діючій речовині адреналіні. Введення змін протягом 6-ти місяців після затвердження. Зміни І типу - Зміни з якості. Готовий лікарський засіб. (інші зміни) - додавання номерів монографій Євр. Фарм. для діючих речовин та допоміжних речовин та внесенні редакторських правок до розділу 3.2.Р.1 для лікарського засобу в картриджах для нового виробника Laboratorios Inibsa S.A., Spain.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 переклад тексту МКЯ на українську мову. Введення змін протягом 6-ти місяців після затвердження.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зміна меж специфікації АФІ артикаїну гідрохлориду виробника лікарського засобу в картриджах компанією Laboratorios Inibsa S.A., Spain., за показником бактеріальні ендотоксини. Затверджено: ≤0.14 IU/mg Запропоновано: ≤0.2 IU/mg Введення змін протягом 6-ти місяців після затвердження.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(зміна стосується всіх інших лікарських форм сукупного (комплексного) виробничого процесу) - введення додаткового розміру серії - 2000 л (1 111 111 картриджів) на додаток до затверджених розмірів серії (від 300 л (166 666 картриджів) до 750 л (420 000 картриджів) ) з метою адаптації потужностей нової виробничої дільниці для лікарського засобу в картриджах Laboratorios Inibsa S.A., Spain.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lang w:val="ru-RU"/>
              </w:rPr>
            </w:pPr>
            <w:r>
              <w:rPr>
                <w:rFonts w:cs="Arial" w:ascii="Arial" w:hAnsi="Arial"/>
                <w:color w:val="000000"/>
                <w:sz w:val="16"/>
                <w:szCs w:val="16"/>
                <w:lang w:val="ru-RU"/>
              </w:rPr>
              <w:t>розчин для ін'єкцій, Для виробника СЕПТОДОНТ, Франція.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СЕПТОДОНТ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Діюча редакція: ТОВ "Санофі-Авентіс Україна", Україна. Пропонована редакція: СЕПТОДОНТ, Франція. У зв'язку зі зміною заявника (власника реєстраційного посвідчення) внесено зміни в інструкцію для медичного застосування, а саме вилучено розділ "Заявник", та як наслідок - внесено зміни у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Варфоломєєва Іванна Олександрівна. </w:t>
              <w:br/>
              <w:t xml:space="preserve">Пропонована редакція: Рудольфе Ле Пайє / Rodolphe Le Paillier. </w:t>
            </w:r>
            <w:r>
              <w:rPr>
                <w:rFonts w:cs="Arial" w:ascii="Arial" w:hAnsi="Arial"/>
                <w:color w:val="000000"/>
                <w:sz w:val="16"/>
                <w:szCs w:val="16"/>
                <w:lang w:val="ru-RU"/>
              </w:rPr>
              <w:t xml:space="preserve">Зміна контактних даних уповноваженої особи заявника, відповідальної за фармаконагляд. Введення контактної особи заявника, відповідальної за фармаконагляд в Україні. </w:t>
            </w:r>
            <w:r>
              <w:rPr>
                <w:rFonts w:cs="Arial" w:ascii="Arial" w:hAnsi="Arial"/>
                <w:color w:val="000000"/>
                <w:sz w:val="16"/>
                <w:szCs w:val="16"/>
              </w:rPr>
              <w:t>Пропонована редакція: Нікітченкова Любов Іванівна. Введення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СЕПТОДОНТ,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 Лабораторіос Інібса С.А., Іспанія; Випуск серії для препарату в картриджах: СЕПТОДОНТ, Франція; Виробництво, первинне та вторинне пакування, маркування, контроль якості та випуск серії для препарату в ампулах: ДЕЛЬФАРМ ДІЖОН, Франція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у текст маркування первинної (п. 3, 4, 6) та вторинної (п. 8, 13, 16, 17) упаковки лікарського засобу. Введення змін протягом 6-ти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eastAsia="MS Mincho;Yu Gothic UI" w:cs="Arial" w:ascii="Arial" w:hAnsi="Arial"/>
                <w:iCs/>
                <w:sz w:val="16"/>
                <w:szCs w:val="16"/>
                <w:lang w:eastAsia="ru-RU"/>
              </w:rPr>
              <w:t>артикаїн гідрохлорид, епінефрин (адреналін)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Санофі-Авентіс Дойчланд ГмбХ, Німеччина: ампули: № 100 (10х10): по 2 мл в ампулі; по 10 ампул у картонній чарунковій упаковці; по 1 картонній чарунковій упаковці в картонній коробці; по 10 картонних коробок, обтягнених плівкою цифленовою;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 Німеччина;</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 - Зміни внесено до Інструкції для медичного застосування лікарського засобу до розділів "Фармакологічні властивості" ("Доклінічні дані з безпеки"),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"Передозування", "Побічні реакції". Введення змін протягом 6 місяців після затвердження. Зміни І типу - Зміни щодо безпеки/ефективності та фармаконагляду. Зміна(и) у короткій характеристиці лікарського засобу, тексті маркування або інструкції для медичного застосування для лікарського засобу, ліцензованого у ЄС за процедурою взаємного визнання (лікарський засіб не входить до сфери дії процедури взаємного визнання, але зміна вноситься як результат процедури і від власника торгової ліцензії не вимагається надання жодних нових додаткових даних) - Зміни внесено до Інструкції для медичного застосування лікарського засобу до розділів "Фармакологічні властивості" ("Фармакодинаміка" та "Фармакокінетика"), "Показання" (конкретизація інформації), "Спосіб застосування та дози" (конкретизація інформації), "Діти" (конкретизація інформації) та відповідні зміни в тексті маркування вторинної упаковки лікарського засобу в п 5. </w:t>
              <w:br/>
              <w:t>Введення змін протягом 6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до розділу "Побічні реакції" (щодо важливості звітування про побічні реакції). Введення змін протягом 6 місяців після затвердження.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ФАРМАСУЛІН® Н NP</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insulin (human)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інсулін людський біосинтетичний (ДНК-рекомбінантний)</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100 МО/мл; по 3 мл в картриджі; по 5 картриджів у блістері; по 1 блістеру в пачці з картону; по 5 мл або по 10 мл у флаконі; по 1 флакону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Зміни до розділу 3.2.Р.3.2. Склад на серію, а саме зміна теоретичного виходу продукту. </w:t>
              <w:br/>
              <w:t xml:space="preserve">Затверджено: </w:t>
              <w:br/>
              <w:t xml:space="preserve">Склад на серію на 200 л розчину </w:t>
              <w:br/>
              <w:t xml:space="preserve">Теоретична кількість </w:t>
              <w:br/>
              <w:t xml:space="preserve">58,82 тис. картриджів по 3 мл </w:t>
              <w:br/>
              <w:t xml:space="preserve">19,32 тис. флаконів по 10 мл </w:t>
              <w:br/>
              <w:t xml:space="preserve">38,61 тис. флаконів по 5 мл </w:t>
              <w:br/>
              <w:t xml:space="preserve">Запропоновано: </w:t>
              <w:br/>
              <w:t xml:space="preserve">Склад на серію на 200 л розчину </w:t>
              <w:br/>
              <w:t xml:space="preserve">Теоретична кількість </w:t>
              <w:br/>
              <w:t xml:space="preserve">62,50 тис. картриджів по 3 мл </w:t>
              <w:br/>
              <w:t xml:space="preserve">19,32 тис. флаконів по 10 мл </w:t>
              <w:br/>
              <w:t>38,61 тис. флаконів по 5 мл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UA/2320/01/01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ФЛАВОВІР®</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pacing w:before="0" w:after="240"/>
              <w:rPr>
                <w:rFonts w:ascii="Arial" w:hAnsi="Arial" w:cs="Arial"/>
                <w:color w:val="000000"/>
                <w:sz w:val="16"/>
                <w:szCs w:val="16"/>
              </w:rPr>
            </w:pPr>
            <w:r>
              <w:rPr>
                <w:rFonts w:cs="Arial" w:ascii="Arial" w:hAnsi="Arial"/>
                <w:sz w:val="16"/>
                <w:szCs w:val="16"/>
              </w:rPr>
              <w:t>екстракт Протефлазід із трави Щучки дернистої (Herba Deschampsia caespitosa L.) та трави Війника наземного (Herba Calamagrostis epigeios L.)</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sz w:val="16"/>
                <w:szCs w:val="16"/>
              </w:rPr>
              <w:t>L03AX, J05AX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по 10 мл або по 30 мл, або по 50 мл у скляному світлозахисному флаконі, закупореному кришкою для флаконів з пробкою-крапельницею з контролем першого відкриття або кришкою для флаконів з пробкою-крапельницею з контролем першого відкриття та захистом від дітей; по 1 флакону в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(доповнення специфікації новим показником з відповідним методом випробування) - Приведення показника якості «Ідентифікація» етанолу 96 %, який використовується в процесі виробництва як розчинник екстракції, у повну відповідність з вимогами діючого видання ДФУ.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UA/5510/02/01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ФЛОГЕНЗИМ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Trypsin, combinations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бромелаїн, трипсин, рутин</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M09AB52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таблеток у блістері; по 2, по 5 або по 10 блістерів у картонній коробці; по 800 таблеток у банках</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Фарма ГмбХ і Ко. КГ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Eмульсіонсгезелльшафт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 відображення виробника проміжного продукту (Crude Rutoside (Intermediate)) який завжди був, але не відображався у досьє та оновлення виробничої частини досьє (Linqu Tianli Biological Products Co., Ltd. No.5009, Dongzhen Road Dongcheng District Linqu Shandong China). Зміни І типу - Зміни з якості. АФІ. Виробництво. Зміни в процесі виробництва АФІ (інші зміни) - оновлення блок-схеми та опис виробничого процесу для на АФІ рутозиду без зміни принципу виробничого процесу. Зміни І типу - Зміни з якості. АФІ. Виробництво. Зміни випробувань або допустимих меж у процесі виробництва АФІ, що встановлені у специфікаціях (інші зміни) -</w:t>
              <w:br/>
              <w:t xml:space="preserve">включення до досьє всього відповідного внутрішньопроцесного контролю (IPC) (оновлення розділу 3.2.S.2) для АФІ рутозиду.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UA/2843/01/01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ФЛЮОРОУРАЦИЛ МЕДАК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fluorouracil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флюороурацил</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L01BC02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5 мл, або по 10 мл, або по 20 мл, або по 100 мл розчину у флаконі; по 1 флакону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вторинне пакування, маркування, контроль/випробування серії та за випуск серії: Медак Гезельшафт фюр клініше Шпеціальпрепарате мбХ, Німеччина; виробник, що відповідає за випуск форми in bulk, маркування, первинне та вторинне пакування, контроль/випробування серії: Онкомед меньюфекчерінг, а.с., Чеська Республіка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Чеська Республіка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заявника, відповідальної за фармаконагляд в Україні. 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UA/8091/01/01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ФУНГІСОЛ</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naftifine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нафтифіну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D01AE22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нашкірний, 10 мг/мл; по 10 мл, 20 мл у флаконі; по 1 флакону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(інші зміни) - оновлення ASMF для діючої речовини нафтифіну гідрохлориду затвердженого виробника OLON S.P.A, Італiя Затверджено: ASMF v.4.5 Запропоновано: ASMF v.5.0</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UA/19256/01/01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АНТИКОЛД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парацетамол, кофеїн, фенілефрину гідрохлорид, хлорфеніраміну малеат </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 таблетки у блістері; по 1 блістеру в картонній пачці; по 4 таблетки у блістері; по 1 блістеру в картонній пачці; по 10 пачок у груповій картонній упаковці; по 4 таблетки у блістері; по 1 блістеру в картонній пачці; по 20 пачок у груповій картонній упаковці; по 10 таблеток у блістері; по 1 блістеру в картонній пачці; по 10 таблеток у блістері; по 1 блістеру в картонній пачці; по 10 пачок у груповій картонній упаковці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 Медітоп Фармасьютікал Лтд., Угорщина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 Зміни внесено до частин: ІІ «Специфікація з безпеки» V «Заходи з мінімізації ризиків» VI «Резюме плану управління ризиками» VII «Додатки» у зв'язку із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2.0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UA/9824/01/01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АНТИКОЛД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парацетамол, кофеїн, фенілефрину гідрохлорид, хлорфеніраміну малеат </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in bulk: по 5000 таблеток у подвійному поліетиленовому пакеті в контейнері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 Медітоп Фармасьютікал Лтд., Угорщина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 Зміни внесено до частин: ІІ «Специфікація з безпеки» V «Заходи з мінімізації ризиків» VI «Резюме плану управління ризиками» VII «Додатки» у зв'язку із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2.0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UA/9664/01/01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АНТИКОЛД НЕО ДЛЯ ДІТЕЙ</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левоцетиризину дигідрохлорид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з малиновим смаком; по 2,5 г порошку в саше; по 6 саше у картонній пачці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Алпекс Фарма СА, Швейцарія; первинне та вторинне пакування:</w:t>
              <w:br/>
              <w:t>Ламп Сан Просперо СПА, Італія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 Італія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 Зміни внесено до частин: ІІ «Специфікація з безпеки» V «Заходи з мінімізації ризиків» VI «Резюме плану управління ризиками» VII «Додатки» у зв'язку із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2.0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UA/17806/01/01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ЕФЕКТ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ментол, камфора, тимол, метилсаліцилат, олія евкаліптова, олія терпентинова</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R07A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мазь; по 20 г або 40 г у тубі; по 1 тубі в пачці з картону</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2.0. Зміни внесено до частин: ІІ «Специфікація з безпеки» V «Заходи з мінімізації ризиків»</w:t>
              <w:br/>
              <w:t>VI «Резюме плану управління ризиками» VII «Додатки» у зв'язку із зміною формату відповідно до вимог Evaluation Guidance on the format of the risk management plan (RMP) in the EU – in integrated format. 31 October 2018 EMA/164014/2018 Rev.2.0.1 accompanying GVP Module V Rev.2 Human Medicines). Резюме Плану управління ризиками версія 2.0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UA/11390/01/01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b/>
                <w:i/>
                <w:i/>
                <w:color w:val="000000"/>
                <w:sz w:val="16"/>
                <w:szCs w:val="16"/>
                <w:lang w:val="en-US"/>
              </w:rPr>
            </w:pPr>
            <w:r>
              <w:rPr>
                <w:rFonts w:cs="Arial" w:ascii="Arial" w:hAnsi="Arial"/>
                <w:b/>
                <w:sz w:val="16"/>
                <w:szCs w:val="16"/>
              </w:rPr>
              <w:t>ХЛОРГЕКСИДИНУ ДИГІДРОХЛОРИД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sz w:val="16"/>
                <w:szCs w:val="16"/>
              </w:rPr>
              <w:t>chlorhexidine</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b/>
                <w:color w:val="000000"/>
                <w:sz w:val="16"/>
                <w:szCs w:val="16"/>
              </w:rPr>
              <w:t>хлоргексидину дигідрохлорид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мішках поліетиленових для фармацевтичного застосування</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ЮНІЛАБ КЕМІКАЛЗ ЕНД ФАРМАСЬЮТІКАЛЗ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написання діючої речовини в наказі МОЗ України № 1576 від 13.10.2026 в процесі реєстрації. </w:t>
            </w:r>
            <w:r>
              <w:rPr>
                <w:rFonts w:cs="Arial" w:ascii="Arial" w:hAnsi="Arial"/>
                <w:color w:val="000000"/>
                <w:sz w:val="16"/>
                <w:szCs w:val="16"/>
              </w:rPr>
              <w:t xml:space="preserve">Редакція в наказі - Субстанція містить не менше 98,0 % і не більше 101,0 % Хлоргексидину дигідрохлориду, у перерахунку на суху речовину. </w:t>
            </w:r>
            <w:r>
              <w:rPr>
                <w:rFonts w:cs="Arial" w:ascii="Arial" w:hAnsi="Arial"/>
                <w:b/>
                <w:color w:val="000000"/>
                <w:sz w:val="16"/>
                <w:szCs w:val="16"/>
              </w:rPr>
              <w:t>Вірна редакція - хлоргексидину дигідрохлорид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1"/>
              <w:tabs>
                <w:tab w:val="clear" w:pos="708"/>
                <w:tab w:val="left" w:pos="12600" w:leader="none"/>
              </w:tabs>
              <w:jc w:val="center"/>
              <w:rPr>
                <w:rFonts w:ascii="Arial" w:hAnsi="Arial" w:cs="Arial"/>
                <w:sz w:val="16"/>
                <w:szCs w:val="16"/>
              </w:rPr>
            </w:pPr>
            <w:r>
              <w:rPr>
                <w:rFonts w:cs="Arial" w:ascii="Arial" w:hAnsi="Arial"/>
                <w:sz w:val="16"/>
                <w:szCs w:val="16"/>
              </w:rPr>
              <w:t>UA/21476/01/01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ЦЕЛЕБРЕКС®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celecoxib</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целекоксиб</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M01AH01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200 мг; по 10 капсул у блістері; по 1, або по 2, або по 3 блістери у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контроль/випробування серії: Віатріс Фармасютікалз ЛЛС, Пуерто Ріко; Пакування, контроль/випробування серії, випуск серії, маркування: Пфайзер Менюфекчуринг Дойчленд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Пуерто Ріко/ Німеччина</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UA/4463/01/02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ЦУКРОЛІТ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850 мг, по 10 таблеток у блістері; по 3 блістери в картонній коробці або по 10 таблеток у блістері; по 5 блістерів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первинна та вторинна упаковка, контроль серії, випуск серії:</w:t>
              <w:br/>
              <w:t>САГ МАНУФАКТУРІНГ, С.Л.У.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1.1 </w:t>
              <w:br/>
              <w:t xml:space="preserve">Зміни внесено до частин: І «Загальна інформація» </w:t>
              <w:br/>
              <w:t xml:space="preserve">ІІ «Специфікація з безпеки» </w:t>
              <w:br/>
              <w:t xml:space="preserve">ІІІ «План з фармаконагляду» </w:t>
              <w:br/>
              <w:t xml:space="preserve">VI «Резюме плану управління ризиками» </w:t>
              <w:br/>
              <w:t xml:space="preserve">VII «Додатки» (додатки 1-8) </w:t>
              <w:br/>
              <w:t xml:space="preserve">у зв’язку з оновленням інформації з безпеки діючої речовини metformin відповідно до актуальної референтної інформації. </w:t>
              <w:br/>
              <w:t>Резюме Плану управління ризиками версія 1.1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UA/20457/01/02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ЦУКРОЛІТ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10 таблеток у блістері; по 3 блістери в картонній коробці або по 10 таблеток у блістері; по 5 блістерів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первинна та вторинна упаковка, контроль серії, випуск серії:</w:t>
              <w:br/>
              <w:t>САГ МАНУФАКТУРІНГ, С.Л.У.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1.1 </w:t>
              <w:br/>
              <w:t xml:space="preserve">Зміни внесено до частин: І «Загальна інформація» </w:t>
              <w:br/>
              <w:t xml:space="preserve">ІІ «Специфікація з безпеки» </w:t>
              <w:br/>
              <w:t xml:space="preserve">ІІІ «План з фармаконагляду» </w:t>
              <w:br/>
              <w:t xml:space="preserve">VI «Резюме плану управління ризиками» </w:t>
              <w:br/>
              <w:t xml:space="preserve">VII «Додатки» (додатки 1-8) </w:t>
              <w:br/>
              <w:t xml:space="preserve">у зв’язку з оновленням інформації з безпеки діючої речовини metformin відповідно до актуальної референтної інформації. </w:t>
              <w:br/>
              <w:t>Резюме Плану управління ризиками версія 1.1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UA/20457/01/03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1"/>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13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ЦУКРОЛІТ</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3 блістери в картонній коробці або по 10 таблеток у блістері; по 5 блістерів в картонній коробці</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первинна та вторинна упаковка, контроль серії, випуск серії:</w:t>
              <w:br/>
              <w:t>САГ МАНУФАКТУРІНГ, С.Л.У.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97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1.1 </w:t>
              <w:br/>
              <w:t xml:space="preserve">Зміни внесено до частин: І «Загальна інформація» </w:t>
              <w:br/>
              <w:t xml:space="preserve">ІІ «Специфікація з безпеки» </w:t>
              <w:br/>
              <w:t xml:space="preserve">ІІІ «План з фармаконагляду» </w:t>
              <w:br/>
              <w:t xml:space="preserve">VI «Резюме плану управління ризиками» </w:t>
              <w:br/>
              <w:t xml:space="preserve">VII «Додатки» (додатки 1-8) </w:t>
              <w:br/>
              <w:t xml:space="preserve">у зв’язку з оновленням інформації з безпеки діючої речовини metformin відповідно до актуальної референтної інформації. </w:t>
              <w:br/>
              <w:t>Резюме Плану управління ризиками версія 1.1 додається.</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UA/20457/01/01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17">
        <w:r>
          <w:rPr>
            <w:rStyle w:val="Hyperlink"/>
            <w:i/>
            <w:color w:val="000000"/>
            <w:szCs w:val="16"/>
          </w:rPr>
          <w:t>https://www.whocc.no/atc_ddd_index/</w:t>
        </w:r>
      </w:hyperlink>
      <w:r>
        <w:rPr>
          <w:rStyle w:val="Hyperlink"/>
          <w:i/>
          <w:color w:val="000000"/>
          <w:szCs w:val="16"/>
        </w:rPr>
        <w:t>)</w:t>
      </w:r>
    </w:p>
    <w:p>
      <w:pPr>
        <w:pStyle w:val="Normal"/>
        <w:ind w:right="2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11"/>
        <w:rPr>
          <w:rStyle w:val="cs7864ebcf1"/>
          <w:color w:val="000000"/>
          <w:sz w:val="16"/>
          <w:szCs w:val="16"/>
        </w:rPr>
      </w:pPr>
      <w:r>
        <w:rPr>
          <w:rFonts w:cs="Arial" w:ascii="Arial" w:hAnsi="Arial"/>
          <w:i/>
          <w:sz w:val="16"/>
          <w:szCs w:val="16"/>
        </w:rPr>
      </w:r>
    </w:p>
    <w:p>
      <w:pPr>
        <w:pStyle w:val="11"/>
        <w:rPr>
          <w:rStyle w:val="cs7864ebcf1"/>
          <w:color w:val="000000"/>
          <w:sz w:val="16"/>
          <w:szCs w:val="16"/>
        </w:rPr>
      </w:pPr>
      <w:r>
        <w:rPr/>
      </w:r>
    </w:p>
    <w:p>
      <w:pPr>
        <w:pStyle w:val="11"/>
        <w:rPr>
          <w:rStyle w:val="cs7864ebcf1"/>
          <w:color w:val="000000"/>
          <w:sz w:val="16"/>
          <w:szCs w:val="16"/>
        </w:rPr>
      </w:pPr>
      <w:r>
        <w:rPr/>
      </w:r>
    </w:p>
    <w:p>
      <w:pPr>
        <w:pStyle w:val="11"/>
        <w:rPr>
          <w:rStyle w:val="cs7864ebcf1"/>
          <w:color w:val="000000"/>
          <w:sz w:val="16"/>
          <w:szCs w:val="16"/>
        </w:rPr>
      </w:pPr>
      <w:r>
        <w:rPr/>
      </w:r>
    </w:p>
    <w:p>
      <w:pPr>
        <w:pStyle w:val="11"/>
        <w:rPr/>
      </w:pPr>
      <w:r>
        <w:rPr>
          <w:rStyle w:val="cs7864ebcf1"/>
          <w:color w:val="000000"/>
          <w:sz w:val="28"/>
          <w:szCs w:val="28"/>
        </w:rPr>
        <w:t>Начальник</w:t>
      </w:r>
    </w:p>
    <w:p>
      <w:pPr>
        <w:sectPr>
          <w:headerReference w:type="default" r:id="rId18"/>
          <w:headerReference w:type="first" r:id="rId19"/>
          <w:footerReference w:type="default" r:id="rId20"/>
          <w:footerReference w:type="first" r:id="rId21"/>
          <w:type w:val="nextPage"/>
          <w:pgSz w:orient="landscape" w:w="16838" w:h="11906"/>
          <w:pgMar w:left="1077" w:right="1134" w:gutter="0" w:header="709" w:top="907" w:footer="709" w:bottom="907"/>
          <w:pgNumType w:fmt="decimal"/>
          <w:formProt w:val="false"/>
          <w:titlePg/>
          <w:textDirection w:val="lrTb"/>
          <w:docGrid w:type="default" w:linePitch="360" w:charSpace="0"/>
        </w:sectPr>
        <w:pStyle w:val="11"/>
        <w:rPr>
          <w:rStyle w:val="cs7864ebcf1"/>
          <w:color w:val="000000"/>
          <w:sz w:val="28"/>
          <w:szCs w:val="28"/>
        </w:rPr>
      </w:pPr>
      <w:r>
        <w:rPr>
          <w:rStyle w:val="cs7864ebcf1"/>
          <w:color w:val="000000"/>
          <w:sz w:val="28"/>
          <w:szCs w:val="28"/>
        </w:rPr>
        <w:t>Фармацевтичного управління                                                                                                             Олександр ГРІЦЕНКО</w:t>
      </w:r>
    </w:p>
    <w:p>
      <w:pPr>
        <w:pStyle w:val="Normal"/>
        <w:tabs>
          <w:tab w:val="clear" w:pos="708"/>
          <w:tab w:val="left" w:pos="1985" w:leader="none"/>
        </w:tabs>
        <w:rPr>
          <w:rStyle w:val="cs7864ebcf1"/>
          <w:b/>
          <w:color w:val="000000"/>
          <w:sz w:val="28"/>
          <w:szCs w:val="28"/>
          <w:lang w:val="uk-UA"/>
        </w:rPr>
      </w:pPr>
      <w:r>
        <w:rPr/>
      </w:r>
    </w:p>
    <w:tbl>
      <w:tblPr>
        <w:tblW w:w="3828" w:type="dxa"/>
        <w:jc w:val="left"/>
        <w:tblInd w:w="11448" w:type="dxa"/>
        <w:tblLayout w:type="fixed"/>
        <w:tblCellMar>
          <w:top w:w="0" w:type="dxa"/>
          <w:left w:w="108" w:type="dxa"/>
          <w:bottom w:w="0" w:type="dxa"/>
          <w:right w:w="108" w:type="dxa"/>
        </w:tblCellMar>
      </w:tblPr>
      <w:tblGrid>
        <w:gridCol w:w="3828"/>
      </w:tblGrid>
      <w:tr>
        <w:trPr/>
        <w:tc>
          <w:tcPr>
            <w:tcW w:w="3828" w:type="dxa"/>
            <w:tcBorders/>
          </w:tcPr>
          <w:p>
            <w:pPr>
              <w:pStyle w:val="Heading4"/>
              <w:tabs>
                <w:tab w:val="clear" w:pos="708"/>
                <w:tab w:val="left" w:pos="12600" w:leader="none"/>
              </w:tabs>
              <w:spacing w:before="0" w:after="0"/>
              <w:ind w:hanging="0" w:left="0"/>
              <w:jc w:val="both"/>
              <w:rPr>
                <w:sz w:val="18"/>
                <w:szCs w:val="18"/>
              </w:rPr>
            </w:pPr>
            <w:r>
              <w:rPr>
                <w:sz w:val="18"/>
                <w:szCs w:val="18"/>
              </w:rPr>
              <w:t>Додаток 4</w:t>
            </w:r>
          </w:p>
          <w:p>
            <w:pPr>
              <w:pStyle w:val="Heading4"/>
              <w:tabs>
                <w:tab w:val="clear" w:pos="708"/>
                <w:tab w:val="left" w:pos="12600" w:leader="none"/>
              </w:tabs>
              <w:spacing w:before="0" w:after="0"/>
              <w:ind w:hanging="0" w:left="0"/>
              <w:jc w:val="both"/>
              <w:rPr>
                <w:sz w:val="18"/>
                <w:szCs w:val="18"/>
              </w:rPr>
            </w:pPr>
            <w:r>
              <w:rPr>
                <w:sz w:val="18"/>
                <w:szCs w:val="18"/>
              </w:rPr>
              <w:t>до наказу Міністерства охорони</w:t>
            </w:r>
          </w:p>
          <w:p>
            <w:pPr>
              <w:pStyle w:val="Heading4"/>
              <w:tabs>
                <w:tab w:val="clear" w:pos="708"/>
                <w:tab w:val="left" w:pos="12600" w:leader="none"/>
              </w:tabs>
              <w:spacing w:before="0" w:after="0"/>
              <w:ind w:hanging="0" w:left="0"/>
              <w:jc w:val="both"/>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clear" w:pos="708"/>
                <w:tab w:val="left" w:pos="12600" w:leader="none"/>
              </w:tabs>
              <w:jc w:val="both"/>
              <w:rPr>
                <w:rFonts w:ascii="Arial" w:hAnsi="Arial" w:cs="Arial"/>
                <w:b/>
                <w:sz w:val="18"/>
                <w:szCs w:val="18"/>
              </w:rPr>
            </w:pPr>
            <w:r>
              <w:rPr>
                <w:b/>
                <w:iCs/>
                <w:sz w:val="18"/>
                <w:szCs w:val="18"/>
                <w:u w:val="single"/>
              </w:rPr>
              <w:t>від_29 жовтня 2026 року № 1696</w:t>
            </w:r>
          </w:p>
        </w:tc>
      </w:tr>
    </w:tbl>
    <w:p>
      <w:pPr>
        <w:pStyle w:val="Normal"/>
        <w:tabs>
          <w:tab w:val="clear" w:pos="708"/>
          <w:tab w:val="left" w:pos="12600" w:leader="none"/>
        </w:tabs>
        <w:rPr>
          <w:rFonts w:ascii="Arial" w:hAnsi="Arial" w:cs="Arial"/>
          <w:sz w:val="18"/>
          <w:szCs w:val="18"/>
        </w:rPr>
      </w:pPr>
      <w:r>
        <w:rPr>
          <w:rFonts w:cs="Arial" w:ascii="Arial" w:hAnsi="Arial"/>
          <w:sz w:val="18"/>
          <w:szCs w:val="18"/>
        </w:rPr>
      </w:r>
    </w:p>
    <w:p>
      <w:pPr>
        <w:pStyle w:val="Normal"/>
        <w:jc w:val="center"/>
        <w:rPr>
          <w:b/>
          <w:sz w:val="28"/>
          <w:szCs w:val="28"/>
        </w:rPr>
      </w:pPr>
      <w:r>
        <w:rPr>
          <w:b/>
          <w:sz w:val="28"/>
          <w:szCs w:val="28"/>
        </w:rPr>
        <w:t>ПЕРЕЛІК</w:t>
      </w:r>
    </w:p>
    <w:p>
      <w:pPr>
        <w:pStyle w:val="Normal"/>
        <w:jc w:val="center"/>
        <w:rPr>
          <w:rFonts w:ascii="Arial" w:hAnsi="Arial" w:cs="Arial"/>
        </w:rPr>
      </w:pPr>
      <w:r>
        <w:rPr>
          <w:b/>
          <w:sz w:val="28"/>
          <w:szCs w:val="28"/>
        </w:rPr>
        <w:t>ЛІКАРСЬКИХ ЗАСОБІВ, ЯКИМ ВІДМОВЛЕНО В ДЕРЖАВНІЙ РЕЄСТРАЦІЇ, ПЕРЕРЕЄСТРАЦІЇ АБО У ВНЕСЕННІ ЗМІН ДО РЕЄСТРАЦІЙНИХ МАТЕРІАЛІВ</w:t>
      </w:r>
    </w:p>
    <w:p>
      <w:pPr>
        <w:pStyle w:val="Normal"/>
        <w:jc w:val="center"/>
        <w:rPr>
          <w:rFonts w:ascii="Arial" w:hAnsi="Arial" w:cs="Arial"/>
        </w:rPr>
      </w:pPr>
      <w:r>
        <w:rPr>
          <w:rFonts w:cs="Arial" w:ascii="Arial" w:hAnsi="Arial"/>
        </w:rPr>
      </w:r>
    </w:p>
    <w:tbl>
      <w:tblPr>
        <w:tblW w:w="15047" w:type="dxa"/>
        <w:jc w:val="left"/>
        <w:tblInd w:w="87" w:type="dxa"/>
        <w:tblLayout w:type="fixed"/>
        <w:tblCellMar>
          <w:top w:w="0" w:type="dxa"/>
          <w:left w:w="108" w:type="dxa"/>
          <w:bottom w:w="0" w:type="dxa"/>
          <w:right w:w="108" w:type="dxa"/>
        </w:tblCellMar>
      </w:tblPr>
      <w:tblGrid>
        <w:gridCol w:w="547"/>
        <w:gridCol w:w="1601"/>
        <w:gridCol w:w="1701"/>
        <w:gridCol w:w="1275"/>
        <w:gridCol w:w="851"/>
        <w:gridCol w:w="1559"/>
        <w:gridCol w:w="851"/>
        <w:gridCol w:w="1417"/>
        <w:gridCol w:w="5245"/>
      </w:tblGrid>
      <w:tr>
        <w:trPr/>
        <w:tc>
          <w:tcPr>
            <w:tcW w:w="547" w:type="dxa"/>
            <w:tcBorders>
              <w:top w:val="single" w:sz="4" w:space="0" w:color="000000"/>
              <w:left w:val="single" w:sz="4" w:space="0" w:color="000000"/>
              <w:bottom w:val="single" w:sz="4" w:space="0" w:color="000000"/>
              <w:right w:val="single" w:sz="4"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601" w:type="dxa"/>
            <w:tcBorders>
              <w:top w:val="single" w:sz="4" w:space="0" w:color="000000"/>
              <w:left w:val="single" w:sz="4"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Назва лікарського засобу</w:t>
            </w:r>
          </w:p>
        </w:tc>
        <w:tc>
          <w:tcPr>
            <w:tcW w:w="1701"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Форма випуску</w:t>
            </w:r>
          </w:p>
        </w:tc>
        <w:tc>
          <w:tcPr>
            <w:tcW w:w="1275"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Заявник</w:t>
            </w:r>
          </w:p>
        </w:tc>
        <w:tc>
          <w:tcPr>
            <w:tcW w:w="851"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Країна</w:t>
            </w:r>
          </w:p>
        </w:tc>
        <w:tc>
          <w:tcPr>
            <w:tcW w:w="1559"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Виробник</w:t>
            </w:r>
          </w:p>
        </w:tc>
        <w:tc>
          <w:tcPr>
            <w:tcW w:w="851"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Країна</w:t>
            </w:r>
          </w:p>
        </w:tc>
        <w:tc>
          <w:tcPr>
            <w:tcW w:w="1417"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Підстава</w:t>
            </w:r>
          </w:p>
        </w:tc>
        <w:tc>
          <w:tcPr>
            <w:tcW w:w="5245"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Процедура</w:t>
            </w:r>
          </w:p>
        </w:tc>
      </w:tr>
      <w:tr>
        <w:trPr>
          <w:trHeight w:val="557" w:hRule="atLeast"/>
        </w:trPr>
        <w:tc>
          <w:tcPr>
            <w:tcW w:w="547"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napToGrid w:val="false"/>
              <w:rPr>
                <w:rFonts w:ascii="Arial" w:hAnsi="Arial" w:cs="Arial"/>
                <w:b/>
                <w:sz w:val="16"/>
                <w:szCs w:val="16"/>
                <w:lang w:eastAsia="en-US"/>
              </w:rPr>
            </w:pPr>
            <w:r>
              <w:rPr>
                <w:rFonts w:cs="Arial" w:ascii="Arial" w:hAnsi="Arial"/>
                <w:b/>
                <w:i/>
                <w:sz w:val="16"/>
                <w:szCs w:val="16"/>
                <w:lang w:eastAsia="en-US"/>
              </w:rPr>
            </w:r>
          </w:p>
        </w:tc>
        <w:tc>
          <w:tcPr>
            <w:tcW w:w="1601"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sz w:val="16"/>
                <w:szCs w:val="16"/>
              </w:rPr>
            </w:pPr>
            <w:r>
              <w:rPr>
                <w:rFonts w:cs="Arial" w:ascii="Arial" w:hAnsi="Arial"/>
                <w:b/>
                <w:sz w:val="16"/>
                <w:szCs w:val="16"/>
              </w:rPr>
              <w:t xml:space="preserve">6-МЕТИЛУРАЦИЛ </w:t>
            </w:r>
          </w:p>
        </w:tc>
        <w:tc>
          <w:tcPr>
            <w:tcW w:w="1701"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16"/>
                <w:szCs w:val="16"/>
              </w:rPr>
            </w:pPr>
            <w:r>
              <w:rPr>
                <w:rFonts w:cs="Arial" w:ascii="Arial" w:hAnsi="Arial"/>
                <w:sz w:val="16"/>
                <w:szCs w:val="16"/>
              </w:rPr>
              <w:t xml:space="preserve">порошок (субстанція) у подвійних пакетах з плівки поліетиленової </w:t>
            </w:r>
          </w:p>
          <w:p>
            <w:pPr>
              <w:pStyle w:val="Normal"/>
              <w:jc w:val="both"/>
              <w:rPr>
                <w:rFonts w:ascii="Arial" w:hAnsi="Arial" w:cs="Arial"/>
                <w:sz w:val="16"/>
                <w:szCs w:val="16"/>
              </w:rPr>
            </w:pPr>
            <w:r>
              <w:rPr>
                <w:rFonts w:cs="Arial" w:ascii="Arial" w:hAnsi="Arial"/>
                <w:sz w:val="16"/>
                <w:szCs w:val="16"/>
              </w:rPr>
            </w:r>
          </w:p>
        </w:tc>
        <w:tc>
          <w:tcPr>
            <w:tcW w:w="127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t>АТ "Лубнифарм"</w:t>
            </w:r>
          </w:p>
          <w:p>
            <w:pPr>
              <w:pStyle w:val="Normal"/>
              <w:jc w:val="center"/>
              <w:rPr>
                <w:rFonts w:ascii="Arial" w:hAnsi="Arial" w:cs="Arial"/>
                <w:sz w:val="16"/>
                <w:szCs w:val="16"/>
              </w:rPr>
            </w:pPr>
            <w:r>
              <w:rPr>
                <w:rFonts w:cs="Arial" w:ascii="Arial" w:hAnsi="Arial"/>
                <w:sz w:val="16"/>
                <w:szCs w:val="16"/>
              </w:rPr>
            </w:r>
          </w:p>
        </w:tc>
        <w:tc>
          <w:tcPr>
            <w:tcW w:w="85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t>Україна</w:t>
            </w:r>
          </w:p>
        </w:tc>
        <w:tc>
          <w:tcPr>
            <w:tcW w:w="1559" w:type="dxa"/>
            <w:tcBorders>
              <w:top w:val="single" w:sz="4" w:space="0" w:color="000000"/>
              <w:left w:val="single" w:sz="4" w:space="0" w:color="000000"/>
              <w:bottom w:val="single" w:sz="4" w:space="0" w:color="000000"/>
              <w:right w:val="single" w:sz="4" w:space="0" w:color="000000"/>
            </w:tcBorders>
          </w:tcPr>
          <w:p>
            <w:pPr>
              <w:pStyle w:val="51"/>
              <w:ind w:hanging="0" w:right="0"/>
              <w:jc w:val="center"/>
              <w:rPr>
                <w:rFonts w:cs="Arial"/>
                <w:b w:val="false"/>
                <w:iCs/>
                <w:sz w:val="16"/>
                <w:szCs w:val="16"/>
                <w:lang w:val="uk-UA"/>
              </w:rPr>
            </w:pPr>
            <w:r>
              <w:rPr>
                <w:rFonts w:cs="Arial"/>
                <w:b w:val="false"/>
                <w:sz w:val="16"/>
                <w:szCs w:val="16"/>
                <w:lang w:val="uk-UA"/>
              </w:rPr>
              <w:t>Шицзячжуан Джинчі Кемікал Індастрі Ко., Лтд, Китай (всі етапи виробництва, включаючи конроль якості)</w:t>
            </w:r>
          </w:p>
        </w:tc>
        <w:tc>
          <w:tcPr>
            <w:tcW w:w="851" w:type="dxa"/>
            <w:tcBorders>
              <w:top w:val="single" w:sz="4" w:space="0" w:color="000000"/>
              <w:left w:val="single" w:sz="4" w:space="0" w:color="000000"/>
              <w:bottom w:val="single" w:sz="4" w:space="0" w:color="000000"/>
              <w:right w:val="single" w:sz="4" w:space="0" w:color="000000"/>
            </w:tcBorders>
          </w:tcPr>
          <w:p>
            <w:pPr>
              <w:pStyle w:val="BodyTextIndent"/>
              <w:spacing w:before="0" w:after="0"/>
              <w:ind w:left="0" w:right="0"/>
              <w:jc w:val="both"/>
              <w:rPr>
                <w:rFonts w:ascii="Arial" w:hAnsi="Arial" w:cs="Arial"/>
                <w:b/>
                <w:sz w:val="16"/>
                <w:szCs w:val="16"/>
              </w:rPr>
            </w:pPr>
            <w:r>
              <w:rPr>
                <w:rFonts w:cs="Arial" w:ascii="Arial" w:hAnsi="Arial"/>
                <w:sz w:val="16"/>
                <w:szCs w:val="16"/>
              </w:rPr>
              <w:t>Китай</w:t>
            </w:r>
          </w:p>
        </w:tc>
        <w:tc>
          <w:tcPr>
            <w:tcW w:w="1417" w:type="dxa"/>
            <w:tcBorders>
              <w:top w:val="single" w:sz="4" w:space="0" w:color="000000"/>
              <w:left w:val="single" w:sz="4" w:space="0" w:color="000000"/>
              <w:bottom w:val="single" w:sz="4" w:space="0" w:color="000000"/>
              <w:right w:val="single" w:sz="4" w:space="0" w:color="000000"/>
            </w:tcBorders>
          </w:tcPr>
          <w:p>
            <w:pPr>
              <w:pStyle w:val="410"/>
              <w:ind w:hanging="0" w:right="0"/>
              <w:jc w:val="left"/>
              <w:rPr>
                <w:rFonts w:cs="Arial"/>
                <w:b w:val="false"/>
                <w:iCs/>
                <w:sz w:val="16"/>
                <w:szCs w:val="16"/>
                <w:lang w:val="ru-RU"/>
              </w:rPr>
            </w:pPr>
            <w:r>
              <w:rPr>
                <w:rFonts w:cs="Arial"/>
                <w:b w:val="false"/>
                <w:iCs/>
                <w:sz w:val="16"/>
                <w:szCs w:val="16"/>
              </w:rPr>
              <w:t>засідання НТР № 40 від 08.10.2026</w:t>
            </w:r>
          </w:p>
        </w:tc>
        <w:tc>
          <w:tcPr>
            <w:tcW w:w="5245" w:type="dxa"/>
            <w:tcBorders>
              <w:top w:val="single" w:sz="4" w:space="0" w:color="000000"/>
              <w:left w:val="single" w:sz="4" w:space="0" w:color="000000"/>
              <w:bottom w:val="single" w:sz="4" w:space="0" w:color="000000"/>
              <w:right w:val="single" w:sz="4" w:space="0" w:color="000000"/>
            </w:tcBorders>
          </w:tcPr>
          <w:p>
            <w:pPr>
              <w:pStyle w:val="BodyTextIndent"/>
              <w:spacing w:before="0" w:after="0"/>
              <w:ind w:left="0" w:right="0"/>
              <w:jc w:val="both"/>
              <w:rPr>
                <w:rFonts w:ascii="Arial" w:hAnsi="Arial" w:cs="Arial"/>
                <w:b/>
                <w:sz w:val="16"/>
                <w:szCs w:val="16"/>
              </w:rPr>
            </w:pPr>
            <w:r>
              <w:rPr>
                <w:rFonts w:cs="Arial" w:ascii="Arial" w:hAnsi="Arial"/>
                <w:b/>
                <w:sz w:val="16"/>
                <w:szCs w:val="16"/>
                <w:lang w:val="uk-UA"/>
              </w:rPr>
              <w:t>Відмовити у затвердженні</w:t>
            </w:r>
            <w:r>
              <w:rPr>
                <w:rFonts w:cs="Arial" w:ascii="Arial" w:hAnsi="Arial"/>
                <w:b/>
                <w:sz w:val="16"/>
                <w:szCs w:val="16"/>
                <w:lang w:eastAsia="en-US"/>
              </w:rPr>
              <w:t xml:space="preserve"> </w:t>
            </w:r>
            <w:r>
              <w:rPr>
                <w:rFonts w:cs="Arial" w:ascii="Arial" w:hAnsi="Arial"/>
                <w:b/>
                <w:sz w:val="16"/>
                <w:szCs w:val="16"/>
              </w:rPr>
              <w:t xml:space="preserve">- </w:t>
            </w:r>
            <w:r>
              <w:rPr>
                <w:rFonts w:cs="Arial" w:ascii="Arial" w:hAnsi="Arial"/>
                <w:sz w:val="16"/>
                <w:szCs w:val="16"/>
              </w:rPr>
              <w:t>перереєстрація на необмежений термін, оскільки Сертифікат аналізу на АФІ 6-МЕТИЛУРАЦИЛ від затвердженого виробника не відповідає вимогам затвердженої специфікації, оскільки в сертифікаті аналізу відсутні показники: ідентифікація, сечовина, супровідні домішки та мікробіологічна чистота. Крім того, зазначений критерій прийнятності для показника «Хлориди» у сертифікаті (не більше 0,015%) не відповідає вимогам затвердженої специфікації (не більше 0,01%)</w:t>
            </w:r>
          </w:p>
        </w:tc>
      </w:tr>
    </w:tbl>
    <w:p>
      <w:pPr>
        <w:pStyle w:val="11"/>
        <w:rPr/>
      </w:pPr>
      <w:r>
        <w:rPr/>
      </w:r>
    </w:p>
    <w:p>
      <w:pPr>
        <w:pStyle w:val="11"/>
        <w:rPr/>
      </w:pPr>
      <w:r>
        <w:rPr/>
      </w:r>
    </w:p>
    <w:p>
      <w:pPr>
        <w:pStyle w:val="11"/>
        <w:rPr>
          <w:b/>
          <w:bCs/>
          <w:sz w:val="28"/>
          <w:szCs w:val="28"/>
        </w:rPr>
      </w:pPr>
      <w:r>
        <w:rPr>
          <w:b/>
          <w:bCs/>
          <w:sz w:val="28"/>
          <w:szCs w:val="28"/>
        </w:rPr>
        <w:t>Начальник</w:t>
      </w:r>
    </w:p>
    <w:p>
      <w:pPr>
        <w:pStyle w:val="11"/>
        <w:rPr>
          <w:b/>
          <w:bCs/>
          <w:sz w:val="28"/>
          <w:szCs w:val="28"/>
        </w:rPr>
      </w:pPr>
      <w:r>
        <w:rPr>
          <w:b/>
          <w:bCs/>
          <w:sz w:val="28"/>
          <w:szCs w:val="28"/>
        </w:rPr>
        <w:t>Фармацевтичного управління                                                                                                               Олександр ГРІЦЕНКО</w:t>
      </w:r>
    </w:p>
    <w:p>
      <w:pPr>
        <w:pStyle w:val="11"/>
        <w:rPr>
          <w:rStyle w:val="cs7864ebcf1"/>
          <w:color w:val="000000"/>
          <w:sz w:val="16"/>
          <w:szCs w:val="16"/>
        </w:rPr>
      </w:pPr>
      <w:r>
        <w:rPr>
          <w:b/>
          <w:bCs/>
          <w:sz w:val="28"/>
          <w:szCs w:val="28"/>
        </w:rPr>
      </w:r>
    </w:p>
    <w:p>
      <w:pPr>
        <w:pStyle w:val="33"/>
        <w:spacing w:before="0" w:after="0"/>
        <w:ind w:left="0" w:right="0"/>
        <w:rPr>
          <w:rStyle w:val="cs7864ebcf1"/>
          <w:b/>
          <w:color w:val="000000"/>
          <w:sz w:val="28"/>
          <w:szCs w:val="28"/>
          <w:lang w:val="uk-UA"/>
        </w:rPr>
      </w:pPr>
      <w:r>
        <w:rPr/>
      </w:r>
    </w:p>
    <w:sectPr>
      <w:headerReference w:type="default" r:id="rId22"/>
      <w:headerReference w:type="first" r:id="rId23"/>
      <w:footerReference w:type="default" r:id="rId24"/>
      <w:footerReference w:type="first" r:id="rId25"/>
      <w:type w:val="nextPage"/>
      <w:pgSz w:orient="landscape" w:w="16838" w:h="11906"/>
      <w:pgMar w:left="1077" w:right="1134" w:gutter="0" w:header="709" w:top="907" w:footer="709" w:bottom="90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uk-UA"/>
      </w:rPr>
    </w:pPr>
    <w:r>
      <w:rPr>
        <w:lang w:val="uk-UA"/>
      </w:rPr>
    </w:r>
  </w:p>
  <w:p>
    <w:pPr>
      <w:pStyle w:val="Footer"/>
      <w:rPr>
        <w:lang w:val="uk-UA"/>
      </w:rPr>
    </w:pPr>
    <w:r>
      <w:rPr>
        <w:lang w:val="uk-UA"/>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64135" cy="146685"/>
              <wp:effectExtent l="0" t="0" r="0" b="0"/>
              <wp:wrapSquare wrapText="bothSides"/>
              <wp:docPr id="2" name="Frame1"/>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238.45pt;mso-position-horizontal:center;mso-position-horizontal-relative:margin">
              <v:fill opacity="0f"/>
              <v:textbox inset="0in,0in,0in,0in">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 w:val="center" w:pos="7313" w:leader="none"/>
        <w:tab w:val="left" w:pos="11844" w:leader="none"/>
      </w:tabs>
      <w:rPr/>
    </w:pPr>
    <w:r>
      <w:rPr/>
      <w:tab/>
      <w:tab/>
    </w:r>
    <w:r>
      <w:rPr/>
      <w:fldChar w:fldCharType="begin"/>
    </w:r>
    <w:r>
      <w:rPr/>
      <w:instrText xml:space="preserve"> PAGE </w:instrText>
    </w:r>
    <w:r>
      <w:rPr/>
      <w:fldChar w:fldCharType="separate"/>
    </w:r>
    <w:r>
      <w:rPr/>
      <w:t>7</w:t>
    </w:r>
    <w:r>
      <w:rPr/>
      <w:fldChar w:fldCharType="end"/>
    </w:r>
    <w:r>
      <w:rPr/>
      <w:tab/>
      <w:tab/>
      <w:t>Продовження додатка 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 w:val="center" w:pos="7313" w:leader="none"/>
        <w:tab w:val="left" w:pos="12240" w:leader="none"/>
      </w:tabs>
      <w:rPr/>
    </w:pPr>
    <w:r>
      <w:rPr/>
      <w:tab/>
      <w:tab/>
    </w:r>
    <w:r>
      <w:rPr/>
      <w:fldChar w:fldCharType="begin"/>
    </w:r>
    <w:r>
      <w:rPr/>
      <w:instrText xml:space="preserve"> PAGE </w:instrText>
    </w:r>
    <w:r>
      <w:rPr/>
      <w:fldChar w:fldCharType="separate"/>
    </w:r>
    <w:r>
      <w:rPr/>
      <w:t>19</w:t>
    </w:r>
    <w:r>
      <w:rPr/>
      <w:fldChar w:fldCharType="end"/>
    </w:r>
    <w:r>
      <w:rPr/>
      <w:tab/>
      <w:t xml:space="preserve">                                                                          Продовження додатка 2</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08"/>
        <w:tab w:val="center" w:pos="7313" w:leader="none"/>
        <w:tab w:val="left" w:pos="12228" w:leader="none"/>
      </w:tabs>
      <w:rPr/>
    </w:pPr>
    <w:r>
      <w:rPr/>
      <w:tab/>
      <w:tab/>
    </w:r>
    <w:r>
      <w:rPr/>
      <w:fldChar w:fldCharType="begin"/>
    </w:r>
    <w:r>
      <w:rPr/>
      <w:instrText xml:space="preserve"> PAGE </w:instrText>
    </w:r>
    <w:r>
      <w:rPr/>
      <w:fldChar w:fldCharType="separate"/>
    </w:r>
    <w:r>
      <w:rPr/>
      <w:t>253</w:t>
    </w:r>
    <w:r>
      <w:rPr/>
      <w:fldChar w:fldCharType="end"/>
    </w:r>
    <w:r>
      <w:rPr/>
      <w:tab/>
      <w:t xml:space="preserve">                                                                         Продовження додатка 3</w: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right"/>
      <w:pPr>
        <w:tabs>
          <w:tab w:val="num" w:pos="0"/>
        </w:tabs>
        <w:ind w:left="720" w:hanging="360"/>
      </w:pPr>
      <w:rPr/>
    </w:lvl>
  </w:abstractNum>
  <w:abstractNum w:abstractNumId="3">
    <w:lvl w:ilvl="0">
      <w:start w:val="1"/>
      <w:numFmt w:val="decimal"/>
      <w:lvlText w:val="%1."/>
      <w:lvlJc w:val="left"/>
      <w:pPr>
        <w:tabs>
          <w:tab w:val="num" w:pos="360"/>
        </w:tabs>
        <w:ind w:left="360" w:hanging="360"/>
      </w:pPr>
    </w:lvl>
  </w:abstractNum>
  <w:abstractNum w:abstractNumId="4">
    <w:lvl w:ilvl="0">
      <w:start w:val="1"/>
      <w:numFmt w:val="decimal"/>
      <w:lvlText w:val="%1."/>
      <w:lvlJc w:val="right"/>
      <w:pPr>
        <w:tabs>
          <w:tab w:val="num" w:pos="0"/>
        </w:tabs>
        <w:ind w:left="720" w:hanging="360"/>
      </w:pPr>
      <w:rPr/>
    </w:lvl>
  </w:abstractNum>
  <w:abstractNum w:abstractNumId="5">
    <w:lvl w:ilvl="0">
      <w:start w:val="1"/>
      <w:numFmt w:val="decimal"/>
      <w:lvlText w:val="%1."/>
      <w:lvlJc w:val="right"/>
      <w:pPr>
        <w:tabs>
          <w:tab w:val="num" w:pos="0"/>
        </w:tabs>
        <w:ind w:left="72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8"/>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en-US"/>
    </w:rPr>
  </w:style>
  <w:style w:type="paragraph" w:styleId="Heading2">
    <w:name w:val="heading 2"/>
    <w:basedOn w:val="Normal"/>
    <w:next w:val="11"/>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BodyText"/>
    <w:qFormat/>
    <w:pPr>
      <w:numPr>
        <w:ilvl w:val="5"/>
        <w:numId w:val="1"/>
      </w:numPr>
      <w:spacing w:before="240" w:after="60"/>
      <w:outlineLvl w:val="5"/>
    </w:pPr>
    <w:rPr>
      <w:b/>
      <w:bCs/>
      <w:sz w:val="22"/>
      <w:szCs w:val="22"/>
      <w:lang w:val="en-U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WW8Num14z0">
    <w:name w:val="WW8Num14z0"/>
    <w:qFormat/>
    <w:rPr/>
  </w:style>
  <w:style w:type="character" w:styleId="WW8Num15z0">
    <w:name w:val="WW8Num15z0"/>
    <w:qFormat/>
    <w:rPr/>
  </w:style>
  <w:style w:type="character" w:styleId="WW8Num16z0">
    <w:name w:val="WW8Num16z0"/>
    <w:qFormat/>
    <w:rPr/>
  </w:style>
  <w:style w:type="character" w:styleId="WW8Num17z0">
    <w:name w:val="WW8Num17z0"/>
    <w:qFormat/>
    <w:rPr/>
  </w:style>
  <w:style w:type="character" w:styleId="WW8Num18z0">
    <w:name w:val="WW8Num18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style>
  <w:style w:type="character" w:styleId="WW8Num24z0">
    <w:name w:val="WW8Num24z0"/>
    <w:qFormat/>
    <w:rPr/>
  </w:style>
  <w:style w:type="character" w:styleId="WW8Num25z0">
    <w:name w:val="WW8Num25z0"/>
    <w:qFormat/>
    <w:rPr/>
  </w:style>
  <w:style w:type="character" w:styleId="WW8Num26z0">
    <w:name w:val="WW8Num26z0"/>
    <w:qFormat/>
    <w:rPr/>
  </w:style>
  <w:style w:type="character" w:styleId="WW8Num27z0">
    <w:name w:val="WW8Num27z0"/>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Hyperlink">
    <w:name w:val="Hyper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lang w:val="uk-UA"/>
    </w:rPr>
  </w:style>
  <w:style w:type="character" w:styleId="6">
    <w:name w:val="Заголовок 6 Знак"/>
    <w:qFormat/>
    <w:rPr>
      <w:rFonts w:ascii="Times New Roman" w:hAnsi="Times New Roman" w:cs="Times New Roman"/>
      <w:b/>
      <w:bCs/>
      <w:sz w:val="22"/>
      <w:szCs w:val="22"/>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lang w:val="uk-UA"/>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
    <w:name w:val="line number"/>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lang w:val="uk-UA"/>
    </w:rPr>
  </w:style>
  <w:style w:type="character" w:styleId="Style16">
    <w:name w:val="Тема примечания Знак"/>
    <w:qFormat/>
    <w:rPr>
      <w:rFonts w:ascii="Times New Roman" w:hAnsi="Times New Roman" w:eastAsia="Times New Roman" w:cs="Times New Roman"/>
      <w:b/>
      <w:bCs/>
      <w:lang w:val="uk-UA"/>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en-US"/>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FollowedHyperlink">
    <w:name w:val="FollowedHyper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character" w:styleId="csab6e07694">
    <w:name w:val="csab6e07694"/>
    <w:qFormat/>
    <w:rPr>
      <w:rFonts w:ascii="Arial" w:hAnsi="Arial" w:cs="Arial"/>
      <w:b w:val="false"/>
      <w:bCs w:val="false"/>
      <w:i w:val="false"/>
      <w:iCs w:val="false"/>
      <w:color w:val="000000"/>
      <w:sz w:val="18"/>
      <w:szCs w:val="18"/>
      <w:shd w:fill="auto" w:val="clear"/>
    </w:rPr>
  </w:style>
  <w:style w:type="paragraph" w:styleId="Heading">
    <w:name w:val="Heading"/>
    <w:basedOn w:val="Normal"/>
    <w:next w:val="BodyText"/>
    <w:qFormat/>
    <w:pPr/>
    <w:rPr>
      <w:sz w:val="24"/>
      <w:szCs w:val="24"/>
      <w:lang w:val="en-US"/>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hanging="0" w:left="283" w:right="0"/>
    </w:pPr>
    <w:rPr>
      <w:sz w:val="16"/>
      <w:szCs w:val="16"/>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rPr/>
  </w:style>
  <w:style w:type="paragraph" w:styleId="Footer">
    <w:name w:val="footer"/>
    <w:basedOn w:val="Normal"/>
    <w:pPr/>
    <w:rPr/>
  </w:style>
  <w:style w:type="paragraph" w:styleId="11">
    <w:name w:val="Обычный1"/>
    <w:basedOn w:val="Normal"/>
    <w:qFormat/>
    <w:pPr/>
    <w:rPr>
      <w:rFonts w:eastAsia="Times New Roman"/>
      <w:sz w:val="24"/>
      <w:szCs w:val="24"/>
      <w:lang w:val="uk-UA"/>
    </w:rPr>
  </w:style>
  <w:style w:type="paragraph" w:styleId="111">
    <w:name w:val="Обычный11"/>
    <w:basedOn w:val="Normal"/>
    <w:qFormat/>
    <w:pPr/>
    <w:rPr>
      <w:rFonts w:eastAsia="Times New Roman"/>
      <w:sz w:val="24"/>
      <w:szCs w:val="24"/>
      <w:lang w:val="uk-UA"/>
    </w:rPr>
  </w:style>
  <w:style w:type="paragraph" w:styleId="msolistparagraph">
    <w:name w:val="msolistparagraph"/>
    <w:basedOn w:val="Normal"/>
    <w:qFormat/>
    <w:pPr>
      <w:spacing w:before="0" w:after="0"/>
      <w:ind w:hanging="0" w:left="720" w:right="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2">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BodyTextIndent">
    <w:name w:val="Body Text Indent"/>
    <w:basedOn w:val="Normal"/>
    <w:pPr>
      <w:spacing w:before="0" w:after="120"/>
      <w:ind w:hanging="0" w:left="283" w:right="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left="0" w:right="0"/>
      <w:jc w:val="both"/>
    </w:pPr>
    <w:rPr>
      <w:rFonts w:ascii="Arial" w:hAnsi="Arial" w:eastAsia="Times New Roman" w:cs="Arial"/>
      <w:b/>
      <w:sz w:val="18"/>
      <w:lang w:val="uk-UA"/>
    </w:rPr>
  </w:style>
  <w:style w:type="paragraph" w:styleId="35">
    <w:name w:val="Основной текст с отступом3"/>
    <w:basedOn w:val="Normal"/>
    <w:qFormat/>
    <w:pPr>
      <w:ind w:firstLine="708" w:left="0" w:right="0"/>
      <w:jc w:val="both"/>
    </w:pPr>
    <w:rPr>
      <w:rFonts w:ascii="Arial" w:hAnsi="Arial" w:eastAsia="Times New Roman" w:cs="Arial"/>
      <w:b/>
      <w:sz w:val="18"/>
      <w:lang w:val="uk-UA"/>
    </w:rPr>
  </w:style>
  <w:style w:type="paragraph" w:styleId="42">
    <w:name w:val="Основной текст с отступом4"/>
    <w:basedOn w:val="Normal"/>
    <w:qFormat/>
    <w:pPr>
      <w:ind w:firstLine="708" w:left="0" w:right="0"/>
      <w:jc w:val="both"/>
    </w:pPr>
    <w:rPr>
      <w:rFonts w:ascii="Arial" w:hAnsi="Arial" w:eastAsia="Times New Roman" w:cs="Arial"/>
      <w:b/>
      <w:sz w:val="18"/>
      <w:lang w:val="uk-UA"/>
    </w:rPr>
  </w:style>
  <w:style w:type="paragraph" w:styleId="5">
    <w:name w:val="Основной текст с отступом5"/>
    <w:basedOn w:val="Normal"/>
    <w:qFormat/>
    <w:pPr>
      <w:ind w:firstLine="708" w:left="0" w:right="0"/>
      <w:jc w:val="both"/>
    </w:pPr>
    <w:rPr>
      <w:rFonts w:ascii="Arial" w:hAnsi="Arial" w:eastAsia="Times New Roman" w:cs="Arial"/>
      <w:b/>
      <w:sz w:val="18"/>
      <w:lang w:val="uk-UA"/>
    </w:rPr>
  </w:style>
  <w:style w:type="paragraph" w:styleId="cse71256d6">
    <w:name w:val="cse71256d6"/>
    <w:basedOn w:val="Normal"/>
    <w:qFormat/>
    <w:pPr>
      <w:ind w:hanging="0" w:left="1440" w:right="0"/>
    </w:pPr>
    <w:rPr>
      <w:rFonts w:eastAsia="Times New Roman"/>
      <w:sz w:val="24"/>
      <w:szCs w:val="24"/>
      <w:lang w:val="uk-UA"/>
    </w:rPr>
  </w:style>
  <w:style w:type="paragraph" w:styleId="61">
    <w:name w:val="Основной текст с отступом6"/>
    <w:basedOn w:val="Normal"/>
    <w:qFormat/>
    <w:pPr>
      <w:ind w:firstLine="708" w:left="0" w:right="0"/>
      <w:jc w:val="both"/>
    </w:pPr>
    <w:rPr>
      <w:rFonts w:ascii="Arial" w:hAnsi="Arial" w:eastAsia="Times New Roman" w:cs="Arial"/>
      <w:b/>
      <w:sz w:val="18"/>
      <w:lang w:val="uk-UA"/>
    </w:rPr>
  </w:style>
  <w:style w:type="paragraph" w:styleId="7">
    <w:name w:val="Основной текст с отступом7"/>
    <w:basedOn w:val="Normal"/>
    <w:qFormat/>
    <w:pPr>
      <w:ind w:firstLine="708" w:left="0" w:right="0"/>
      <w:jc w:val="both"/>
    </w:pPr>
    <w:rPr>
      <w:rFonts w:ascii="Arial" w:hAnsi="Arial" w:eastAsia="Times New Roman" w:cs="Arial"/>
      <w:b/>
      <w:sz w:val="18"/>
      <w:lang w:val="uk-UA"/>
    </w:rPr>
  </w:style>
  <w:style w:type="paragraph" w:styleId="8">
    <w:name w:val="Основной текст с отступом8"/>
    <w:basedOn w:val="Normal"/>
    <w:qFormat/>
    <w:pPr>
      <w:ind w:firstLine="708" w:left="0" w:right="0"/>
      <w:jc w:val="both"/>
    </w:pPr>
    <w:rPr>
      <w:rFonts w:ascii="Arial" w:hAnsi="Arial" w:eastAsia="Times New Roman" w:cs="Arial"/>
      <w:b/>
      <w:sz w:val="18"/>
      <w:lang w:val="uk-UA"/>
    </w:rPr>
  </w:style>
  <w:style w:type="paragraph" w:styleId="9">
    <w:name w:val="Основной текст с отступом9"/>
    <w:basedOn w:val="Normal"/>
    <w:qFormat/>
    <w:pPr>
      <w:ind w:firstLine="708" w:left="0" w:right="0"/>
      <w:jc w:val="both"/>
    </w:pPr>
    <w:rPr>
      <w:rFonts w:ascii="Arial" w:hAnsi="Arial" w:eastAsia="Times New Roman" w:cs="Arial"/>
      <w:b/>
      <w:sz w:val="18"/>
      <w:lang w:val="uk-UA"/>
    </w:rPr>
  </w:style>
  <w:style w:type="paragraph" w:styleId="112">
    <w:name w:val="Основной текст с отступом11"/>
    <w:basedOn w:val="Normal"/>
    <w:qFormat/>
    <w:pPr>
      <w:ind w:firstLine="708" w:left="0" w:right="0"/>
      <w:jc w:val="both"/>
    </w:pPr>
    <w:rPr>
      <w:rFonts w:ascii="Arial" w:hAnsi="Arial" w:eastAsia="Times New Roman" w:cs="Arial"/>
      <w:b/>
      <w:sz w:val="18"/>
      <w:lang w:val="uk-UA"/>
    </w:rPr>
  </w:style>
  <w:style w:type="paragraph" w:styleId="10">
    <w:name w:val="Основной текст с отступом10"/>
    <w:basedOn w:val="Normal"/>
    <w:qFormat/>
    <w:pPr>
      <w:ind w:firstLine="708" w:left="0" w:right="0"/>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left="0" w:right="0"/>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left="0" w:right="0"/>
      <w:jc w:val="both"/>
    </w:pPr>
    <w:rPr>
      <w:rFonts w:ascii="Arial" w:hAnsi="Arial" w:eastAsia="Times New Roman" w:cs="Arial"/>
      <w:b/>
      <w:sz w:val="18"/>
      <w:lang w:val="uk-UA"/>
    </w:rPr>
  </w:style>
  <w:style w:type="paragraph" w:styleId="13">
    <w:name w:val="Основной текст с отступом13"/>
    <w:basedOn w:val="Normal"/>
    <w:qFormat/>
    <w:pPr>
      <w:ind w:firstLine="708" w:left="0" w:right="0"/>
      <w:jc w:val="both"/>
    </w:pPr>
    <w:rPr>
      <w:rFonts w:ascii="Arial" w:hAnsi="Arial" w:eastAsia="Times New Roman" w:cs="Arial"/>
      <w:b/>
      <w:sz w:val="18"/>
      <w:lang w:val="uk-UA"/>
    </w:rPr>
  </w:style>
  <w:style w:type="paragraph" w:styleId="141">
    <w:name w:val="Основной текст с отступом14"/>
    <w:basedOn w:val="Normal"/>
    <w:qFormat/>
    <w:pPr>
      <w:ind w:firstLine="708" w:left="0" w:right="0"/>
      <w:jc w:val="both"/>
    </w:pPr>
    <w:rPr>
      <w:rFonts w:ascii="Arial" w:hAnsi="Arial" w:eastAsia="Times New Roman" w:cs="Arial"/>
      <w:b/>
      <w:sz w:val="18"/>
      <w:lang w:val="uk-UA"/>
    </w:rPr>
  </w:style>
  <w:style w:type="paragraph" w:styleId="15">
    <w:name w:val="Основной текст с отступом15"/>
    <w:basedOn w:val="Normal"/>
    <w:qFormat/>
    <w:pPr>
      <w:ind w:firstLine="708" w:left="0" w:right="0"/>
      <w:jc w:val="both"/>
    </w:pPr>
    <w:rPr>
      <w:rFonts w:ascii="Arial" w:hAnsi="Arial" w:eastAsia="Times New Roman" w:cs="Arial"/>
      <w:b/>
      <w:sz w:val="18"/>
      <w:lang w:val="uk-UA"/>
    </w:rPr>
  </w:style>
  <w:style w:type="paragraph" w:styleId="16">
    <w:name w:val="Основной текст с отступом16"/>
    <w:basedOn w:val="Normal"/>
    <w:qFormat/>
    <w:pPr>
      <w:ind w:firstLine="708" w:left="0" w:right="0"/>
      <w:jc w:val="both"/>
    </w:pPr>
    <w:rPr>
      <w:rFonts w:ascii="Arial" w:hAnsi="Arial" w:eastAsia="Times New Roman" w:cs="Arial"/>
      <w:b/>
      <w:sz w:val="18"/>
      <w:lang w:val="uk-UA"/>
    </w:rPr>
  </w:style>
  <w:style w:type="paragraph" w:styleId="17">
    <w:name w:val="Основной текст с отступом17"/>
    <w:basedOn w:val="Normal"/>
    <w:qFormat/>
    <w:pPr>
      <w:ind w:firstLine="708" w:left="0" w:right="0"/>
      <w:jc w:val="both"/>
    </w:pPr>
    <w:rPr>
      <w:rFonts w:ascii="Arial" w:hAnsi="Arial" w:eastAsia="Times New Roman" w:cs="Arial"/>
      <w:b/>
      <w:sz w:val="18"/>
      <w:lang w:val="uk-UA"/>
    </w:rPr>
  </w:style>
  <w:style w:type="paragraph" w:styleId="18">
    <w:name w:val="Основной текст с отступом18"/>
    <w:basedOn w:val="Normal"/>
    <w:qFormat/>
    <w:pPr>
      <w:ind w:firstLine="708" w:left="0" w:right="0"/>
      <w:jc w:val="both"/>
    </w:pPr>
    <w:rPr>
      <w:rFonts w:ascii="Arial" w:hAnsi="Arial" w:eastAsia="Times New Roman" w:cs="Arial"/>
      <w:b/>
      <w:sz w:val="18"/>
      <w:lang w:val="uk-UA"/>
    </w:rPr>
  </w:style>
  <w:style w:type="paragraph" w:styleId="19">
    <w:name w:val="Основной текст с отступом19"/>
    <w:basedOn w:val="Normal"/>
    <w:qFormat/>
    <w:pPr>
      <w:ind w:firstLine="708" w:left="0" w:right="0"/>
      <w:jc w:val="both"/>
    </w:pPr>
    <w:rPr>
      <w:rFonts w:ascii="Arial" w:hAnsi="Arial" w:eastAsia="Times New Roman" w:cs="Arial"/>
      <w:b/>
      <w:sz w:val="18"/>
      <w:lang w:val="uk-UA"/>
    </w:rPr>
  </w:style>
  <w:style w:type="paragraph" w:styleId="20">
    <w:name w:val="Основной текст с отступом20"/>
    <w:basedOn w:val="Normal"/>
    <w:qFormat/>
    <w:pPr>
      <w:ind w:firstLine="708" w:left="0" w:right="0"/>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left="0" w:right="0"/>
      <w:jc w:val="both"/>
    </w:pPr>
    <w:rPr>
      <w:rFonts w:ascii="Arial" w:hAnsi="Arial" w:eastAsia="Times New Roman" w:cs="Arial"/>
      <w:b/>
      <w:sz w:val="18"/>
      <w:lang w:val="uk-UA"/>
    </w:rPr>
  </w:style>
  <w:style w:type="paragraph" w:styleId="231">
    <w:name w:val="Основной текст с отступом23"/>
    <w:basedOn w:val="Normal"/>
    <w:qFormat/>
    <w:pPr>
      <w:ind w:firstLine="708" w:left="0" w:right="0"/>
      <w:jc w:val="both"/>
    </w:pPr>
    <w:rPr>
      <w:rFonts w:ascii="Arial" w:hAnsi="Arial" w:eastAsia="Times New Roman" w:cs="Arial"/>
      <w:b/>
      <w:sz w:val="18"/>
      <w:lang w:val="uk-UA"/>
    </w:rPr>
  </w:style>
  <w:style w:type="paragraph" w:styleId="26">
    <w:name w:val="Основной текст с отступом26"/>
    <w:basedOn w:val="Normal"/>
    <w:qFormat/>
    <w:pPr>
      <w:ind w:firstLine="708" w:left="0" w:right="0"/>
      <w:jc w:val="both"/>
    </w:pPr>
    <w:rPr>
      <w:rFonts w:ascii="Arial" w:hAnsi="Arial" w:eastAsia="Times New Roman" w:cs="Arial"/>
      <w:b/>
      <w:sz w:val="18"/>
      <w:lang w:val="uk-UA"/>
    </w:rPr>
  </w:style>
  <w:style w:type="paragraph" w:styleId="28">
    <w:name w:val="Основной текст с отступом28"/>
    <w:basedOn w:val="Normal"/>
    <w:qFormat/>
    <w:pPr>
      <w:ind w:firstLine="708" w:left="0" w:right="0"/>
      <w:jc w:val="both"/>
    </w:pPr>
    <w:rPr>
      <w:rFonts w:ascii="Arial" w:hAnsi="Arial" w:eastAsia="Times New Roman" w:cs="Arial"/>
      <w:b/>
      <w:sz w:val="18"/>
      <w:lang w:val="uk-UA"/>
    </w:rPr>
  </w:style>
  <w:style w:type="paragraph" w:styleId="29">
    <w:name w:val="Основной текст с отступом29"/>
    <w:basedOn w:val="Normal"/>
    <w:qFormat/>
    <w:pPr>
      <w:ind w:firstLine="708" w:left="0" w:right="0"/>
      <w:jc w:val="both"/>
    </w:pPr>
    <w:rPr>
      <w:rFonts w:ascii="Arial" w:hAnsi="Arial" w:eastAsia="Times New Roman" w:cs="Arial"/>
      <w:b/>
      <w:sz w:val="18"/>
      <w:lang w:val="uk-UA"/>
    </w:rPr>
  </w:style>
  <w:style w:type="paragraph" w:styleId="311">
    <w:name w:val="Основной текст с отступом31"/>
    <w:basedOn w:val="Normal"/>
    <w:qFormat/>
    <w:pPr>
      <w:ind w:firstLine="708" w:left="0" w:right="0"/>
      <w:jc w:val="both"/>
    </w:pPr>
    <w:rPr>
      <w:rFonts w:ascii="Arial" w:hAnsi="Arial" w:eastAsia="Times New Roman" w:cs="Arial"/>
      <w:b/>
      <w:sz w:val="18"/>
      <w:lang w:val="uk-UA"/>
    </w:rPr>
  </w:style>
  <w:style w:type="paragraph" w:styleId="321">
    <w:name w:val="Основной текст с отступом32"/>
    <w:basedOn w:val="Normal"/>
    <w:qFormat/>
    <w:pPr>
      <w:ind w:firstLine="708" w:left="0" w:right="0"/>
      <w:jc w:val="both"/>
    </w:pPr>
    <w:rPr>
      <w:rFonts w:ascii="Arial" w:hAnsi="Arial" w:eastAsia="Times New Roman" w:cs="Arial"/>
      <w:b/>
      <w:sz w:val="18"/>
      <w:lang w:val="uk-UA"/>
    </w:rPr>
  </w:style>
  <w:style w:type="paragraph" w:styleId="331">
    <w:name w:val="Основной текст с отступом33"/>
    <w:basedOn w:val="Normal"/>
    <w:qFormat/>
    <w:pPr>
      <w:ind w:firstLine="708" w:left="0" w:right="0"/>
      <w:jc w:val="both"/>
    </w:pPr>
    <w:rPr>
      <w:rFonts w:ascii="Arial" w:hAnsi="Arial" w:eastAsia="Times New Roman" w:cs="Arial"/>
      <w:b/>
      <w:sz w:val="18"/>
      <w:lang w:val="uk-UA"/>
    </w:rPr>
  </w:style>
  <w:style w:type="paragraph" w:styleId="351">
    <w:name w:val="Основной текст с отступом35"/>
    <w:basedOn w:val="Normal"/>
    <w:qFormat/>
    <w:pPr>
      <w:ind w:firstLine="708" w:left="0" w:right="0"/>
      <w:jc w:val="both"/>
    </w:pPr>
    <w:rPr>
      <w:rFonts w:ascii="Arial" w:hAnsi="Arial" w:eastAsia="Times New Roman" w:cs="Arial"/>
      <w:b/>
      <w:sz w:val="18"/>
      <w:lang w:val="uk-UA"/>
    </w:rPr>
  </w:style>
  <w:style w:type="paragraph" w:styleId="341">
    <w:name w:val="Основной текст с отступом34"/>
    <w:basedOn w:val="Normal"/>
    <w:qFormat/>
    <w:pPr>
      <w:ind w:firstLine="708" w:left="0" w:right="0"/>
      <w:jc w:val="both"/>
    </w:pPr>
    <w:rPr>
      <w:rFonts w:ascii="Arial" w:hAnsi="Arial" w:eastAsia="Times New Roman" w:cs="Arial"/>
      <w:b/>
      <w:sz w:val="18"/>
      <w:lang w:val="uk-UA"/>
    </w:rPr>
  </w:style>
  <w:style w:type="paragraph" w:styleId="36">
    <w:name w:val="Основной текст с отступом36"/>
    <w:basedOn w:val="Normal"/>
    <w:qFormat/>
    <w:pPr>
      <w:ind w:firstLine="708" w:left="0" w:right="0"/>
      <w:jc w:val="both"/>
    </w:pPr>
    <w:rPr>
      <w:rFonts w:ascii="Arial" w:hAnsi="Arial" w:eastAsia="Times New Roman" w:cs="Arial"/>
      <w:b/>
      <w:sz w:val="18"/>
      <w:lang w:val="uk-UA"/>
    </w:rPr>
  </w:style>
  <w:style w:type="paragraph" w:styleId="37">
    <w:name w:val="Основной текст с отступом37"/>
    <w:basedOn w:val="Normal"/>
    <w:qFormat/>
    <w:pPr>
      <w:ind w:firstLine="708" w:left="0" w:right="0"/>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bidi w:val="0"/>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left="0" w:right="0"/>
      <w:jc w:val="both"/>
    </w:pPr>
    <w:rPr>
      <w:rFonts w:ascii="Arial" w:hAnsi="Arial" w:eastAsia="Times New Roman" w:cs="Arial"/>
      <w:b/>
      <w:sz w:val="18"/>
      <w:lang w:val="uk-UA"/>
    </w:rPr>
  </w:style>
  <w:style w:type="paragraph" w:styleId="39">
    <w:name w:val="Основной текст с отступом39"/>
    <w:basedOn w:val="Normal"/>
    <w:qFormat/>
    <w:pPr>
      <w:ind w:firstLine="708" w:left="0" w:right="0"/>
      <w:jc w:val="both"/>
    </w:pPr>
    <w:rPr>
      <w:rFonts w:ascii="Arial" w:hAnsi="Arial" w:eastAsia="Times New Roman" w:cs="Arial"/>
      <w:b/>
      <w:sz w:val="18"/>
      <w:lang w:val="uk-UA"/>
    </w:rPr>
  </w:style>
  <w:style w:type="paragraph" w:styleId="40">
    <w:name w:val="Основной текст с отступом40"/>
    <w:basedOn w:val="Normal"/>
    <w:qFormat/>
    <w:pPr>
      <w:ind w:firstLine="708" w:left="0" w:right="0"/>
      <w:jc w:val="both"/>
    </w:pPr>
    <w:rPr>
      <w:rFonts w:ascii="Arial" w:hAnsi="Arial" w:eastAsia="Times New Roman" w:cs="Arial"/>
      <w:b/>
      <w:sz w:val="18"/>
      <w:lang w:val="uk-UA"/>
    </w:rPr>
  </w:style>
  <w:style w:type="paragraph" w:styleId="412">
    <w:name w:val="Основной текст с отступом41"/>
    <w:basedOn w:val="Normal"/>
    <w:qFormat/>
    <w:pPr>
      <w:ind w:firstLine="708" w:left="0" w:right="0"/>
      <w:jc w:val="both"/>
    </w:pPr>
    <w:rPr>
      <w:rFonts w:ascii="Arial" w:hAnsi="Arial" w:eastAsia="Times New Roman" w:cs="Arial"/>
      <w:b/>
      <w:sz w:val="18"/>
      <w:lang w:val="uk-UA"/>
    </w:rPr>
  </w:style>
  <w:style w:type="paragraph" w:styleId="421">
    <w:name w:val="Основной текст с отступом42"/>
    <w:basedOn w:val="Normal"/>
    <w:qFormat/>
    <w:pPr>
      <w:ind w:firstLine="708" w:left="0" w:right="0"/>
      <w:jc w:val="both"/>
    </w:pPr>
    <w:rPr>
      <w:rFonts w:ascii="Arial" w:hAnsi="Arial" w:eastAsia="Times New Roman" w:cs="Arial"/>
      <w:b/>
      <w:sz w:val="18"/>
      <w:lang w:val="uk-UA"/>
    </w:rPr>
  </w:style>
  <w:style w:type="paragraph" w:styleId="43">
    <w:name w:val="Основной текст с отступом43"/>
    <w:basedOn w:val="Normal"/>
    <w:qFormat/>
    <w:pPr>
      <w:ind w:firstLine="708" w:left="0" w:right="0"/>
      <w:jc w:val="both"/>
    </w:pPr>
    <w:rPr>
      <w:rFonts w:ascii="Arial" w:hAnsi="Arial" w:eastAsia="Times New Roman" w:cs="Arial"/>
      <w:b/>
      <w:sz w:val="18"/>
      <w:lang w:val="uk-UA"/>
    </w:rPr>
  </w:style>
  <w:style w:type="paragraph" w:styleId="44">
    <w:name w:val="Основной текст с отступом44"/>
    <w:basedOn w:val="Normal"/>
    <w:qFormat/>
    <w:pPr>
      <w:ind w:firstLine="708" w:left="0" w:right="0"/>
      <w:jc w:val="both"/>
    </w:pPr>
    <w:rPr>
      <w:rFonts w:ascii="Arial" w:hAnsi="Arial" w:eastAsia="Times New Roman" w:cs="Arial"/>
      <w:b/>
      <w:sz w:val="18"/>
      <w:lang w:val="uk-UA"/>
    </w:rPr>
  </w:style>
  <w:style w:type="paragraph" w:styleId="45">
    <w:name w:val="Основной текст с отступом45"/>
    <w:basedOn w:val="Normal"/>
    <w:qFormat/>
    <w:pPr>
      <w:ind w:firstLine="708" w:left="0" w:right="0"/>
      <w:jc w:val="both"/>
    </w:pPr>
    <w:rPr>
      <w:rFonts w:ascii="Arial" w:hAnsi="Arial" w:eastAsia="Times New Roman" w:cs="Arial"/>
      <w:b/>
      <w:sz w:val="18"/>
      <w:lang w:val="uk-UA"/>
    </w:rPr>
  </w:style>
  <w:style w:type="paragraph" w:styleId="46">
    <w:name w:val="Основной текст с отступом46"/>
    <w:basedOn w:val="Normal"/>
    <w:qFormat/>
    <w:pPr>
      <w:ind w:firstLine="708" w:left="0" w:right="0"/>
      <w:jc w:val="both"/>
    </w:pPr>
    <w:rPr>
      <w:rFonts w:ascii="Arial" w:hAnsi="Arial" w:eastAsia="Times New Roman" w:cs="Arial"/>
      <w:b/>
      <w:sz w:val="18"/>
      <w:lang w:val="uk-UA"/>
    </w:rPr>
  </w:style>
  <w:style w:type="paragraph" w:styleId="47">
    <w:name w:val="Основной текст с отступом47"/>
    <w:basedOn w:val="Normal"/>
    <w:qFormat/>
    <w:pPr>
      <w:ind w:firstLine="708" w:left="0" w:right="0"/>
      <w:jc w:val="both"/>
    </w:pPr>
    <w:rPr>
      <w:rFonts w:ascii="Arial" w:hAnsi="Arial" w:eastAsia="Times New Roman" w:cs="Arial"/>
      <w:b/>
      <w:sz w:val="18"/>
      <w:lang w:val="uk-UA"/>
    </w:rPr>
  </w:style>
  <w:style w:type="paragraph" w:styleId="48">
    <w:name w:val="Основной текст с отступом48"/>
    <w:basedOn w:val="Normal"/>
    <w:qFormat/>
    <w:pPr>
      <w:ind w:firstLine="708" w:left="0" w:right="0"/>
      <w:jc w:val="both"/>
    </w:pPr>
    <w:rPr>
      <w:rFonts w:ascii="Arial" w:hAnsi="Arial" w:eastAsia="Times New Roman" w:cs="Arial"/>
      <w:b/>
      <w:sz w:val="18"/>
      <w:lang w:val="uk-UA"/>
    </w:rPr>
  </w:style>
  <w:style w:type="paragraph" w:styleId="49">
    <w:name w:val="Основной текст с отступом49"/>
    <w:basedOn w:val="Normal"/>
    <w:qFormat/>
    <w:pPr>
      <w:ind w:firstLine="708" w:left="0" w:right="0"/>
      <w:jc w:val="both"/>
    </w:pPr>
    <w:rPr>
      <w:rFonts w:ascii="Arial" w:hAnsi="Arial" w:eastAsia="Times New Roman" w:cs="Arial"/>
      <w:b/>
      <w:sz w:val="18"/>
      <w:lang w:val="uk-UA"/>
    </w:rPr>
  </w:style>
  <w:style w:type="paragraph" w:styleId="50">
    <w:name w:val="Основной текст с отступом50"/>
    <w:basedOn w:val="Normal"/>
    <w:qFormat/>
    <w:pPr>
      <w:ind w:firstLine="708" w:left="0" w:right="0"/>
      <w:jc w:val="both"/>
    </w:pPr>
    <w:rPr>
      <w:rFonts w:ascii="Arial" w:hAnsi="Arial" w:eastAsia="Times New Roman" w:cs="Arial"/>
      <w:b/>
      <w:sz w:val="18"/>
      <w:lang w:val="uk-UA"/>
    </w:rPr>
  </w:style>
  <w:style w:type="paragraph" w:styleId="52">
    <w:name w:val="Основной текст с отступом52"/>
    <w:basedOn w:val="Normal"/>
    <w:qFormat/>
    <w:pPr>
      <w:ind w:firstLine="708" w:left="0" w:right="0"/>
      <w:jc w:val="both"/>
    </w:pPr>
    <w:rPr>
      <w:rFonts w:ascii="Arial" w:hAnsi="Arial" w:eastAsia="Times New Roman" w:cs="Arial"/>
      <w:b/>
      <w:sz w:val="18"/>
      <w:lang w:val="uk-UA"/>
    </w:rPr>
  </w:style>
  <w:style w:type="paragraph" w:styleId="53">
    <w:name w:val="Основной текст с отступом53"/>
    <w:basedOn w:val="Normal"/>
    <w:qFormat/>
    <w:pPr>
      <w:ind w:firstLine="708" w:left="0" w:right="0"/>
      <w:jc w:val="both"/>
    </w:pPr>
    <w:rPr>
      <w:rFonts w:ascii="Arial" w:hAnsi="Arial" w:eastAsia="Times New Roman" w:cs="Arial"/>
      <w:b/>
      <w:sz w:val="18"/>
      <w:lang w:val="uk-UA"/>
    </w:rPr>
  </w:style>
  <w:style w:type="paragraph" w:styleId="54">
    <w:name w:val="Основной текст с отступом54"/>
    <w:basedOn w:val="Normal"/>
    <w:qFormat/>
    <w:pPr>
      <w:ind w:firstLine="708" w:left="0" w:right="0"/>
      <w:jc w:val="both"/>
    </w:pPr>
    <w:rPr>
      <w:rFonts w:ascii="Arial" w:hAnsi="Arial" w:eastAsia="Times New Roman" w:cs="Arial"/>
      <w:b/>
      <w:sz w:val="18"/>
      <w:lang w:val="uk-UA"/>
    </w:rPr>
  </w:style>
  <w:style w:type="paragraph" w:styleId="57">
    <w:name w:val="Основной текст с отступом57"/>
    <w:basedOn w:val="Normal"/>
    <w:qFormat/>
    <w:pPr>
      <w:ind w:firstLine="708" w:left="0" w:right="0"/>
      <w:jc w:val="both"/>
    </w:pPr>
    <w:rPr>
      <w:rFonts w:ascii="Arial" w:hAnsi="Arial" w:eastAsia="Times New Roman" w:cs="Arial"/>
      <w:b/>
      <w:sz w:val="18"/>
      <w:lang w:val="uk-UA"/>
    </w:rPr>
  </w:style>
  <w:style w:type="paragraph" w:styleId="59">
    <w:name w:val="Основной текст с отступом59"/>
    <w:basedOn w:val="Normal"/>
    <w:qFormat/>
    <w:pPr>
      <w:ind w:firstLine="708" w:left="0" w:right="0"/>
      <w:jc w:val="both"/>
    </w:pPr>
    <w:rPr>
      <w:rFonts w:ascii="Arial" w:hAnsi="Arial" w:eastAsia="Times New Roman" w:cs="Arial"/>
      <w:b/>
      <w:sz w:val="18"/>
      <w:lang w:val="uk-UA"/>
    </w:rPr>
  </w:style>
  <w:style w:type="paragraph" w:styleId="60">
    <w:name w:val="Основной текст с отступом60"/>
    <w:basedOn w:val="Normal"/>
    <w:qFormat/>
    <w:pPr>
      <w:ind w:firstLine="708" w:left="0" w:right="0"/>
      <w:jc w:val="both"/>
    </w:pPr>
    <w:rPr>
      <w:rFonts w:ascii="Arial" w:hAnsi="Arial" w:eastAsia="Times New Roman" w:cs="Arial"/>
      <w:b/>
      <w:sz w:val="18"/>
      <w:lang w:val="uk-UA"/>
    </w:rPr>
  </w:style>
  <w:style w:type="paragraph" w:styleId="611">
    <w:name w:val="Основной текст с отступом61"/>
    <w:basedOn w:val="Normal"/>
    <w:qFormat/>
    <w:pPr>
      <w:ind w:firstLine="708" w:left="0" w:right="0"/>
      <w:jc w:val="both"/>
    </w:pPr>
    <w:rPr>
      <w:rFonts w:ascii="Arial" w:hAnsi="Arial" w:eastAsia="Times New Roman" w:cs="Arial"/>
      <w:b/>
      <w:sz w:val="18"/>
      <w:lang w:val="uk-UA"/>
    </w:rPr>
  </w:style>
  <w:style w:type="paragraph" w:styleId="25">
    <w:name w:val="Обычный2"/>
    <w:qFormat/>
    <w:pPr>
      <w:widowControl/>
      <w:bidi w:val="0"/>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bidi w:val="0"/>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1">
    <w:name w:val="Body Text Indent1"/>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left="0" w:right="0"/>
      <w:jc w:val="both"/>
    </w:pPr>
    <w:rPr>
      <w:rFonts w:ascii="Arial" w:hAnsi="Arial" w:eastAsia="Times New Roman" w:cs="Arial"/>
      <w:b/>
      <w:sz w:val="18"/>
      <w:lang w:val="uk-UA"/>
    </w:rPr>
  </w:style>
  <w:style w:type="paragraph" w:styleId="64">
    <w:name w:val="Основной текст с отступом64"/>
    <w:basedOn w:val="Normal"/>
    <w:qFormat/>
    <w:pPr>
      <w:ind w:firstLine="708" w:left="0" w:right="0"/>
      <w:jc w:val="both"/>
    </w:pPr>
    <w:rPr>
      <w:rFonts w:ascii="Arial" w:hAnsi="Arial" w:eastAsia="Times New Roman" w:cs="Arial"/>
      <w:b/>
      <w:sz w:val="18"/>
      <w:lang w:val="uk-UA"/>
    </w:rPr>
  </w:style>
  <w:style w:type="paragraph" w:styleId="63">
    <w:name w:val="Основной текст с отступом63"/>
    <w:basedOn w:val="Normal"/>
    <w:qFormat/>
    <w:pPr>
      <w:ind w:firstLine="708" w:left="0" w:right="0"/>
      <w:jc w:val="both"/>
    </w:pPr>
    <w:rPr>
      <w:rFonts w:ascii="Arial" w:hAnsi="Arial" w:eastAsia="Times New Roman" w:cs="Arial"/>
      <w:b/>
      <w:sz w:val="18"/>
      <w:lang w:val="uk-UA"/>
    </w:rPr>
  </w:style>
  <w:style w:type="paragraph" w:styleId="65">
    <w:name w:val="Основной текст с отступом65"/>
    <w:basedOn w:val="Normal"/>
    <w:qFormat/>
    <w:pPr>
      <w:ind w:firstLine="708" w:left="0" w:right="0"/>
      <w:jc w:val="both"/>
    </w:pPr>
    <w:rPr>
      <w:rFonts w:ascii="Arial" w:hAnsi="Arial" w:eastAsia="Times New Roman" w:cs="Arial"/>
      <w:b/>
      <w:sz w:val="18"/>
      <w:lang w:val="uk-UA"/>
    </w:rPr>
  </w:style>
  <w:style w:type="paragraph" w:styleId="66">
    <w:name w:val="Основной текст с отступом66"/>
    <w:basedOn w:val="Normal"/>
    <w:qFormat/>
    <w:pPr>
      <w:ind w:firstLine="708" w:left="0" w:right="0"/>
      <w:jc w:val="both"/>
    </w:pPr>
    <w:rPr>
      <w:rFonts w:ascii="Arial" w:hAnsi="Arial" w:eastAsia="Times New Roman" w:cs="Arial"/>
      <w:b/>
      <w:sz w:val="18"/>
      <w:lang w:val="uk-UA"/>
    </w:rPr>
  </w:style>
  <w:style w:type="paragraph" w:styleId="67">
    <w:name w:val="Основной текст с отступом67"/>
    <w:basedOn w:val="Normal"/>
    <w:qFormat/>
    <w:pPr>
      <w:ind w:firstLine="708" w:left="0" w:right="0"/>
      <w:jc w:val="both"/>
    </w:pPr>
    <w:rPr>
      <w:rFonts w:ascii="Arial" w:hAnsi="Arial" w:eastAsia="Times New Roman" w:cs="Arial"/>
      <w:b/>
      <w:sz w:val="18"/>
      <w:lang w:val="uk-UA"/>
    </w:rPr>
  </w:style>
  <w:style w:type="paragraph" w:styleId="68">
    <w:name w:val="Основной текст с отступом68"/>
    <w:basedOn w:val="Normal"/>
    <w:qFormat/>
    <w:pPr>
      <w:ind w:firstLine="708" w:left="0" w:right="0"/>
      <w:jc w:val="both"/>
    </w:pPr>
    <w:rPr>
      <w:rFonts w:ascii="Arial" w:hAnsi="Arial" w:eastAsia="Times New Roman" w:cs="Arial"/>
      <w:b/>
      <w:sz w:val="18"/>
      <w:lang w:val="uk-UA"/>
    </w:rPr>
  </w:style>
  <w:style w:type="paragraph" w:styleId="69">
    <w:name w:val="Основной текст с отступом69"/>
    <w:basedOn w:val="Normal"/>
    <w:qFormat/>
    <w:pPr>
      <w:ind w:firstLine="708" w:left="0" w:right="0"/>
      <w:jc w:val="both"/>
    </w:pPr>
    <w:rPr>
      <w:rFonts w:ascii="Arial" w:hAnsi="Arial" w:eastAsia="Times New Roman" w:cs="Arial"/>
      <w:b/>
      <w:sz w:val="18"/>
      <w:lang w:val="uk-UA"/>
    </w:rPr>
  </w:style>
  <w:style w:type="paragraph" w:styleId="70">
    <w:name w:val="Основной текст с отступом70"/>
    <w:basedOn w:val="Normal"/>
    <w:qFormat/>
    <w:pPr>
      <w:ind w:firstLine="708" w:left="0" w:right="0"/>
      <w:jc w:val="both"/>
    </w:pPr>
    <w:rPr>
      <w:rFonts w:ascii="Arial" w:hAnsi="Arial" w:eastAsia="Times New Roman" w:cs="Arial"/>
      <w:b/>
      <w:sz w:val="18"/>
      <w:lang w:val="uk-UA"/>
    </w:rPr>
  </w:style>
  <w:style w:type="paragraph" w:styleId="71">
    <w:name w:val="Основной текст с отступом71"/>
    <w:basedOn w:val="Normal"/>
    <w:qFormat/>
    <w:pPr>
      <w:ind w:firstLine="708" w:left="0" w:right="0"/>
      <w:jc w:val="both"/>
    </w:pPr>
    <w:rPr>
      <w:rFonts w:ascii="Arial" w:hAnsi="Arial" w:eastAsia="Times New Roman" w:cs="Arial"/>
      <w:b/>
      <w:sz w:val="18"/>
      <w:lang w:val="uk-UA"/>
    </w:rPr>
  </w:style>
  <w:style w:type="paragraph" w:styleId="72">
    <w:name w:val="Основной текст с отступом72"/>
    <w:basedOn w:val="Normal"/>
    <w:qFormat/>
    <w:pPr>
      <w:ind w:firstLine="708" w:left="0" w:right="0"/>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en-US"/>
    </w:rPr>
  </w:style>
  <w:style w:type="paragraph" w:styleId="73">
    <w:name w:val="Основной текст с отступом73"/>
    <w:basedOn w:val="Normal"/>
    <w:qFormat/>
    <w:pPr>
      <w:ind w:firstLine="708" w:left="0" w:right="0"/>
      <w:jc w:val="both"/>
    </w:pPr>
    <w:rPr>
      <w:rFonts w:ascii="Arial" w:hAnsi="Arial" w:eastAsia="Times New Roman" w:cs="Arial"/>
      <w:b/>
      <w:sz w:val="18"/>
      <w:lang w:val="uk-UA"/>
    </w:rPr>
  </w:style>
  <w:style w:type="paragraph" w:styleId="74">
    <w:name w:val="Основной текст с отступом74"/>
    <w:basedOn w:val="Normal"/>
    <w:qFormat/>
    <w:pPr>
      <w:ind w:firstLine="708" w:left="0" w:right="0"/>
      <w:jc w:val="both"/>
    </w:pPr>
    <w:rPr>
      <w:rFonts w:ascii="Arial" w:hAnsi="Arial" w:eastAsia="Times New Roman" w:cs="Arial"/>
      <w:b/>
      <w:sz w:val="18"/>
      <w:lang w:val="uk-UA"/>
    </w:rPr>
  </w:style>
  <w:style w:type="paragraph" w:styleId="75">
    <w:name w:val="Основной текст с отступом75"/>
    <w:basedOn w:val="Normal"/>
    <w:qFormat/>
    <w:pPr>
      <w:ind w:firstLine="708" w:left="0" w:right="0"/>
      <w:jc w:val="both"/>
    </w:pPr>
    <w:rPr>
      <w:rFonts w:ascii="Arial" w:hAnsi="Arial" w:eastAsia="Times New Roman" w:cs="Arial"/>
      <w:b/>
      <w:sz w:val="18"/>
      <w:lang w:val="uk-UA"/>
    </w:rPr>
  </w:style>
  <w:style w:type="paragraph" w:styleId="76">
    <w:name w:val="Основной текст с отступом76"/>
    <w:basedOn w:val="Normal"/>
    <w:qFormat/>
    <w:pPr>
      <w:ind w:firstLine="708" w:left="0" w:right="0"/>
      <w:jc w:val="both"/>
    </w:pPr>
    <w:rPr>
      <w:rFonts w:ascii="Arial" w:hAnsi="Arial" w:eastAsia="Times New Roman" w:cs="Arial"/>
      <w:b/>
      <w:sz w:val="18"/>
      <w:lang w:val="uk-UA"/>
    </w:rPr>
  </w:style>
  <w:style w:type="paragraph" w:styleId="77">
    <w:name w:val="Основной текст с отступом77"/>
    <w:basedOn w:val="Normal"/>
    <w:qFormat/>
    <w:pPr>
      <w:ind w:firstLine="708" w:left="0" w:right="0"/>
      <w:jc w:val="both"/>
    </w:pPr>
    <w:rPr>
      <w:rFonts w:ascii="Arial" w:hAnsi="Arial" w:eastAsia="Times New Roman" w:cs="Arial"/>
      <w:b/>
      <w:sz w:val="18"/>
      <w:lang w:val="uk-UA"/>
    </w:rPr>
  </w:style>
  <w:style w:type="paragraph" w:styleId="78">
    <w:name w:val="Основной текст с отступом78"/>
    <w:basedOn w:val="Normal"/>
    <w:qFormat/>
    <w:pPr>
      <w:ind w:firstLine="708" w:left="0" w:right="0"/>
      <w:jc w:val="both"/>
    </w:pPr>
    <w:rPr>
      <w:rFonts w:ascii="Arial" w:hAnsi="Arial" w:eastAsia="Times New Roman" w:cs="Arial"/>
      <w:b/>
      <w:sz w:val="18"/>
      <w:lang w:val="uk-UA"/>
    </w:rPr>
  </w:style>
  <w:style w:type="paragraph" w:styleId="79">
    <w:name w:val="Основной текст с отступом79"/>
    <w:basedOn w:val="Normal"/>
    <w:qFormat/>
    <w:pPr>
      <w:ind w:firstLine="708" w:left="0" w:right="0"/>
      <w:jc w:val="both"/>
    </w:pPr>
    <w:rPr>
      <w:rFonts w:ascii="Arial" w:hAnsi="Arial" w:eastAsia="Times New Roman" w:cs="Arial"/>
      <w:b/>
      <w:sz w:val="18"/>
      <w:lang w:val="uk-UA"/>
    </w:rPr>
  </w:style>
  <w:style w:type="paragraph" w:styleId="81">
    <w:name w:val="Основной текст с отступом81"/>
    <w:basedOn w:val="Normal"/>
    <w:qFormat/>
    <w:pPr>
      <w:ind w:firstLine="708" w:left="0" w:right="0"/>
      <w:jc w:val="both"/>
    </w:pPr>
    <w:rPr>
      <w:rFonts w:ascii="Arial" w:hAnsi="Arial" w:eastAsia="Times New Roman" w:cs="Arial"/>
      <w:b/>
      <w:sz w:val="18"/>
      <w:lang w:val="uk-UA"/>
    </w:rPr>
  </w:style>
  <w:style w:type="paragraph" w:styleId="82">
    <w:name w:val="Основной текст с отступом82"/>
    <w:basedOn w:val="Normal"/>
    <w:qFormat/>
    <w:pPr>
      <w:ind w:firstLine="708" w:left="0" w:right="0"/>
      <w:jc w:val="both"/>
    </w:pPr>
    <w:rPr>
      <w:rFonts w:ascii="Arial" w:hAnsi="Arial" w:eastAsia="Times New Roman" w:cs="Arial"/>
      <w:b/>
      <w:sz w:val="18"/>
      <w:lang w:val="uk-UA"/>
    </w:rPr>
  </w:style>
  <w:style w:type="paragraph" w:styleId="84">
    <w:name w:val="Основной текст с отступом84"/>
    <w:basedOn w:val="Normal"/>
    <w:qFormat/>
    <w:pPr>
      <w:ind w:firstLine="708" w:left="0" w:right="0"/>
      <w:jc w:val="both"/>
    </w:pPr>
    <w:rPr>
      <w:rFonts w:ascii="Arial" w:hAnsi="Arial" w:eastAsia="Times New Roman" w:cs="Arial"/>
      <w:b/>
      <w:sz w:val="18"/>
      <w:lang w:val="uk-UA"/>
    </w:rPr>
  </w:style>
  <w:style w:type="paragraph" w:styleId="85">
    <w:name w:val="Основной текст с отступом85"/>
    <w:basedOn w:val="Normal"/>
    <w:qFormat/>
    <w:pPr>
      <w:ind w:firstLine="708" w:left="0" w:right="0"/>
      <w:jc w:val="both"/>
    </w:pPr>
    <w:rPr>
      <w:rFonts w:ascii="Arial" w:hAnsi="Arial" w:eastAsia="Times New Roman" w:cs="Arial"/>
      <w:b/>
      <w:sz w:val="18"/>
      <w:lang w:val="uk-UA"/>
    </w:rPr>
  </w:style>
  <w:style w:type="paragraph" w:styleId="86">
    <w:name w:val="Основной текст с отступом86"/>
    <w:basedOn w:val="Normal"/>
    <w:qFormat/>
    <w:pPr>
      <w:ind w:firstLine="708" w:left="0" w:right="0"/>
      <w:jc w:val="both"/>
    </w:pPr>
    <w:rPr>
      <w:rFonts w:ascii="Arial" w:hAnsi="Arial" w:eastAsia="Times New Roman" w:cs="Arial"/>
      <w:b/>
      <w:sz w:val="18"/>
      <w:lang w:val="uk-UA"/>
    </w:rPr>
  </w:style>
  <w:style w:type="paragraph" w:styleId="87">
    <w:name w:val="Основной текст с отступом87"/>
    <w:basedOn w:val="Normal"/>
    <w:qFormat/>
    <w:pPr>
      <w:ind w:firstLine="708" w:left="0" w:right="0"/>
      <w:jc w:val="both"/>
    </w:pPr>
    <w:rPr>
      <w:rFonts w:ascii="Arial" w:hAnsi="Arial" w:eastAsia="Times New Roman" w:cs="Arial"/>
      <w:b/>
      <w:sz w:val="18"/>
      <w:lang w:val="uk-UA"/>
    </w:rPr>
  </w:style>
  <w:style w:type="paragraph" w:styleId="88">
    <w:name w:val="Основной текст с отступом88"/>
    <w:basedOn w:val="Normal"/>
    <w:qFormat/>
    <w:pPr>
      <w:ind w:firstLine="708" w:left="0" w:right="0"/>
      <w:jc w:val="both"/>
    </w:pPr>
    <w:rPr>
      <w:rFonts w:ascii="Arial" w:hAnsi="Arial" w:eastAsia="Times New Roman" w:cs="Arial"/>
      <w:b/>
      <w:sz w:val="18"/>
      <w:lang w:val="uk-UA"/>
    </w:rPr>
  </w:style>
  <w:style w:type="paragraph" w:styleId="89">
    <w:name w:val="Основной текст с отступом89"/>
    <w:basedOn w:val="Normal"/>
    <w:qFormat/>
    <w:pPr>
      <w:ind w:firstLine="708" w:left="0" w:right="0"/>
      <w:jc w:val="both"/>
    </w:pPr>
    <w:rPr>
      <w:rFonts w:ascii="Arial" w:hAnsi="Arial" w:eastAsia="Times New Roman" w:cs="Arial"/>
      <w:b/>
      <w:sz w:val="18"/>
      <w:lang w:val="uk-UA"/>
    </w:rPr>
  </w:style>
  <w:style w:type="paragraph" w:styleId="91">
    <w:name w:val="Основной текст с отступом91"/>
    <w:basedOn w:val="Normal"/>
    <w:qFormat/>
    <w:pPr>
      <w:ind w:firstLine="708" w:left="0" w:right="0"/>
      <w:jc w:val="both"/>
    </w:pPr>
    <w:rPr>
      <w:rFonts w:ascii="Arial" w:hAnsi="Arial" w:eastAsia="Times New Roman" w:cs="Arial"/>
      <w:b/>
      <w:sz w:val="18"/>
      <w:lang w:val="uk-UA"/>
    </w:rPr>
  </w:style>
  <w:style w:type="paragraph" w:styleId="92">
    <w:name w:val="Основной текст с отступом92"/>
    <w:basedOn w:val="Normal"/>
    <w:qFormat/>
    <w:pPr>
      <w:ind w:firstLine="708" w:left="0" w:right="0"/>
      <w:jc w:val="both"/>
    </w:pPr>
    <w:rPr>
      <w:rFonts w:ascii="Arial" w:hAnsi="Arial" w:eastAsia="Times New Roman" w:cs="Arial"/>
      <w:b/>
      <w:sz w:val="18"/>
      <w:lang w:val="uk-UA"/>
    </w:rPr>
  </w:style>
  <w:style w:type="paragraph" w:styleId="93">
    <w:name w:val="Основной текст с отступом93"/>
    <w:basedOn w:val="Normal"/>
    <w:qFormat/>
    <w:pPr>
      <w:ind w:firstLine="708" w:left="0" w:right="0"/>
      <w:jc w:val="both"/>
    </w:pPr>
    <w:rPr>
      <w:rFonts w:ascii="Arial" w:hAnsi="Arial" w:eastAsia="Times New Roman" w:cs="Arial"/>
      <w:b/>
      <w:sz w:val="18"/>
      <w:lang w:val="uk-UA"/>
    </w:rPr>
  </w:style>
  <w:style w:type="paragraph" w:styleId="94">
    <w:name w:val="Основной текст с отступом94"/>
    <w:basedOn w:val="Normal"/>
    <w:qFormat/>
    <w:pPr>
      <w:ind w:firstLine="708" w:left="0" w:right="0"/>
      <w:jc w:val="both"/>
    </w:pPr>
    <w:rPr>
      <w:rFonts w:ascii="Arial" w:hAnsi="Arial" w:eastAsia="Times New Roman" w:cs="Arial"/>
      <w:b/>
      <w:sz w:val="18"/>
      <w:lang w:val="uk-UA"/>
    </w:rPr>
  </w:style>
  <w:style w:type="paragraph" w:styleId="95">
    <w:name w:val="Основной текст с отступом95"/>
    <w:basedOn w:val="Normal"/>
    <w:qFormat/>
    <w:pPr>
      <w:ind w:firstLine="708" w:left="0" w:right="0"/>
      <w:jc w:val="both"/>
    </w:pPr>
    <w:rPr>
      <w:rFonts w:ascii="Arial" w:hAnsi="Arial" w:eastAsia="Times New Roman" w:cs="Arial"/>
      <w:b/>
      <w:sz w:val="18"/>
      <w:lang w:val="uk-UA"/>
    </w:rPr>
  </w:style>
  <w:style w:type="paragraph" w:styleId="97">
    <w:name w:val="Основной текст с отступом97"/>
    <w:basedOn w:val="Normal"/>
    <w:qFormat/>
    <w:pPr>
      <w:ind w:firstLine="708" w:left="0" w:right="0"/>
      <w:jc w:val="both"/>
    </w:pPr>
    <w:rPr>
      <w:rFonts w:ascii="Arial" w:hAnsi="Arial" w:eastAsia="Times New Roman" w:cs="Arial"/>
      <w:b/>
      <w:sz w:val="18"/>
      <w:lang w:val="uk-UA"/>
    </w:rPr>
  </w:style>
  <w:style w:type="paragraph" w:styleId="99">
    <w:name w:val="Основной текст с отступом99"/>
    <w:basedOn w:val="Normal"/>
    <w:qFormat/>
    <w:pPr>
      <w:ind w:firstLine="708" w:left="0" w:right="0"/>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left="0" w:right="0"/>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left="0" w:right="0"/>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left="0" w:right="0"/>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left="0" w:right="0"/>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left="0" w:right="0"/>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left="0" w:right="0"/>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left="0" w:right="0"/>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left="0" w:right="0"/>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left="0" w:right="0"/>
      <w:jc w:val="both"/>
    </w:pPr>
    <w:rPr>
      <w:rFonts w:ascii="Arial" w:hAnsi="Arial" w:eastAsia="Times New Roman" w:cs="Arial"/>
      <w:b/>
      <w:sz w:val="18"/>
      <w:lang w:val="uk-UA"/>
    </w:rPr>
  </w:style>
  <w:style w:type="paragraph" w:styleId="1121">
    <w:name w:val="Основной текст с отступом112"/>
    <w:basedOn w:val="Normal"/>
    <w:qFormat/>
    <w:pPr>
      <w:ind w:firstLine="708" w:left="0" w:right="0"/>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left="0" w:right="0"/>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left="0" w:right="0"/>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left="0" w:right="0"/>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left="0" w:right="0"/>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left="0" w:right="0"/>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left="0" w:right="0"/>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left="0" w:right="0"/>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left="0" w:right="0"/>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left="0" w:right="0"/>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left="0" w:right="0"/>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left="0" w:right="0"/>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left="0" w:right="0"/>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left="0" w:right="0"/>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left="0" w:right="0"/>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left="0" w:right="0"/>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left="0" w:right="0"/>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left="0" w:right="0"/>
      <w:jc w:val="both"/>
    </w:pPr>
    <w:rPr>
      <w:rFonts w:ascii="Arial" w:hAnsi="Arial" w:eastAsia="Times New Roman" w:cs="Arial"/>
      <w:b/>
      <w:sz w:val="18"/>
      <w:lang w:val="uk-UA"/>
    </w:rPr>
  </w:style>
  <w:style w:type="paragraph" w:styleId="131">
    <w:name w:val="Основной текст с отступом131"/>
    <w:basedOn w:val="Normal"/>
    <w:qFormat/>
    <w:pPr>
      <w:ind w:firstLine="708" w:left="0" w:right="0"/>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left="0" w:right="0"/>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left="0" w:right="0"/>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left="0" w:right="0"/>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left="0" w:right="0"/>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left="0" w:right="0"/>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left="0" w:right="0"/>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left="0" w:right="0"/>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left="0" w:right="0"/>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left="0" w:right="0"/>
      <w:jc w:val="both"/>
    </w:pPr>
    <w:rPr>
      <w:rFonts w:ascii="Arial" w:hAnsi="Arial" w:eastAsia="Times New Roman" w:cs="Arial"/>
      <w:b/>
      <w:sz w:val="18"/>
      <w:lang w:val="uk-UA"/>
    </w:rPr>
  </w:style>
  <w:style w:type="paragraph" w:styleId="Arial92">
    <w:name w:val="Arial9(без отступов)"/>
    <w:qFormat/>
    <w:pPr>
      <w:widowControl/>
      <w:bidi w:val="0"/>
      <w:ind w:hanging="0" w:left="-113" w:right="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hanging="0" w:left="720" w:right="0"/>
      <w:contextualSpacing/>
    </w:pPr>
    <w:rPr>
      <w:rFonts w:ascii="Arial" w:hAnsi="Arial" w:eastAsia="Times New Roman" w:cs="Arial"/>
      <w:sz w:val="28"/>
    </w:rPr>
  </w:style>
  <w:style w:type="paragraph" w:styleId="Arial93">
    <w:name w:val="Arial9(жирн)"/>
    <w:qFormat/>
    <w:pPr>
      <w:keepNext w:val="true"/>
      <w:widowControl/>
      <w:tabs>
        <w:tab w:val="clear" w:pos="708"/>
        <w:tab w:val="left" w:pos="210" w:leader="none"/>
      </w:tabs>
      <w:autoSpaceDE w:val="false"/>
      <w:bidi w:val="0"/>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en-US"/>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Style28">
    <w:name w:val="Название"/>
    <w:basedOn w:val="Normal"/>
    <w:qFormat/>
    <w:pPr/>
    <w:rPr>
      <w:rFonts w:ascii="Cambria" w:hAnsi="Cambria" w:cs="Cambria"/>
      <w:color w:val="17365D"/>
      <w:spacing w:val="5"/>
      <w:lang w:val="en-US"/>
    </w:rPr>
  </w:style>
  <w:style w:type="paragraph" w:styleId="210">
    <w:name w:val="Верхній колонтитул2"/>
    <w:basedOn w:val="Normal"/>
    <w:qFormat/>
    <w:pPr/>
    <w:rPr>
      <w:rFonts w:ascii="Calibri" w:hAnsi="Calibri" w:cs="Calibri"/>
      <w:lang w:val="en-US"/>
    </w:rPr>
  </w:style>
  <w:style w:type="paragraph" w:styleId="213">
    <w:name w:val="Нижній колонтитул2"/>
    <w:basedOn w:val="Normal"/>
    <w:qFormat/>
    <w:pPr/>
    <w:rPr>
      <w:rFonts w:ascii="Calibri" w:hAnsi="Calibri" w:cs="Calibri"/>
      <w:lang w:val="en-US"/>
    </w:rPr>
  </w:style>
  <w:style w:type="paragraph" w:styleId="214">
    <w:name w:val="Назва2"/>
    <w:basedOn w:val="Normal"/>
    <w:qFormat/>
    <w:pPr/>
    <w:rPr>
      <w:rFonts w:ascii="Calibri Light" w:hAnsi="Calibri Light" w:cs="Calibri Light"/>
      <w:spacing w:val="-10"/>
      <w:lang w:val="en-US"/>
    </w:rPr>
  </w:style>
  <w:style w:type="paragraph" w:styleId="223">
    <w:name w:val="Основний текст 22"/>
    <w:basedOn w:val="Normal"/>
    <w:qFormat/>
    <w:pPr/>
    <w:rPr>
      <w:rFonts w:ascii="Calibri" w:hAnsi="Calibri" w:cs="Calibri"/>
      <w:lang w:val="en-US"/>
    </w:rPr>
  </w:style>
  <w:style w:type="paragraph" w:styleId="215">
    <w:name w:val="Текст у виносці2"/>
    <w:basedOn w:val="Normal"/>
    <w:qFormat/>
    <w:pPr/>
    <w:rPr>
      <w:rFonts w:ascii="Segoe UI" w:hAnsi="Segoe UI" w:cs="Segoe UI"/>
      <w:lang w:val="en-US"/>
    </w:rPr>
  </w:style>
  <w:style w:type="paragraph" w:styleId="143">
    <w:name w:val="Основной текст с отступом143"/>
    <w:basedOn w:val="Normal"/>
    <w:qFormat/>
    <w:pPr>
      <w:ind w:firstLine="708" w:left="0" w:right="0"/>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left="0" w:right="0"/>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left="0" w:right="0"/>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left="0" w:right="0"/>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left="0" w:right="0"/>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left="0" w:right="0"/>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clear" w:pos="708"/>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left="0" w:right="0"/>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left="0" w:right="0"/>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left="0" w:right="0"/>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left="0" w:right="0"/>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left="0" w:right="0"/>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left="0" w:right="0"/>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left="0" w:right="0"/>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left="0" w:right="0"/>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left="0" w:right="0"/>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left="0" w:right="0"/>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left="0" w:right="0"/>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left="0" w:right="0"/>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left="0" w:right="0"/>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left="0" w:right="0"/>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left="0" w:right="0"/>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left="0" w:right="0"/>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left="0" w:right="0"/>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left="0" w:right="0"/>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left="0" w:right="0"/>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left="0" w:right="0"/>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left="0" w:right="0"/>
      <w:jc w:val="both"/>
    </w:pPr>
    <w:rPr>
      <w:rFonts w:ascii="Arial" w:hAnsi="Arial" w:eastAsia="Times New Roman" w:cs="Arial"/>
      <w:b/>
      <w:sz w:val="18"/>
      <w:lang w:val="en-US"/>
    </w:rPr>
  </w:style>
  <w:style w:type="paragraph" w:styleId="123">
    <w:name w:val="Верхній колонтитул1"/>
    <w:basedOn w:val="Normal"/>
    <w:qFormat/>
    <w:pPr/>
    <w:rPr>
      <w:rFonts w:ascii="Calibri" w:hAnsi="Calibri" w:cs="Calibri"/>
      <w:lang w:val="en-US"/>
    </w:rPr>
  </w:style>
  <w:style w:type="paragraph" w:styleId="134">
    <w:name w:val="Нижній колонтитул1"/>
    <w:basedOn w:val="Normal"/>
    <w:qFormat/>
    <w:pPr/>
    <w:rPr>
      <w:rFonts w:ascii="Calibri" w:hAnsi="Calibri" w:cs="Calibri"/>
      <w:lang w:val="en-US"/>
    </w:rPr>
  </w:style>
  <w:style w:type="paragraph" w:styleId="146">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1">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left="0" w:right="0"/>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left="0" w:right="0"/>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left="0" w:right="0"/>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left="0" w:right="0"/>
      <w:jc w:val="both"/>
    </w:pPr>
    <w:rPr>
      <w:rFonts w:ascii="Arial" w:hAnsi="Arial" w:eastAsia="Times New Roman" w:cs="Arial"/>
      <w:b/>
      <w:sz w:val="18"/>
      <w:lang w:val="en-US"/>
    </w:rPr>
  </w:style>
  <w:style w:type="paragraph" w:styleId="152">
    <w:name w:val="Основний текст з відступом1"/>
    <w:basedOn w:val="Normal"/>
    <w:qFormat/>
    <w:pPr>
      <w:ind w:firstLine="708" w:left="0" w:right="0"/>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left="0" w:right="0"/>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left="0" w:right="0"/>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left="0" w:right="0"/>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left="0" w:right="0"/>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left="0" w:right="0"/>
      <w:jc w:val="both"/>
    </w:pPr>
    <w:rPr>
      <w:rFonts w:ascii="Arial" w:hAnsi="Arial" w:eastAsia="Times New Roman" w:cs="Arial"/>
      <w:b/>
      <w:sz w:val="18"/>
      <w:lang w:val="en-US"/>
    </w:rPr>
  </w:style>
  <w:style w:type="paragraph" w:styleId="219">
    <w:name w:val="Основной текст с отступом219"/>
    <w:basedOn w:val="Normal"/>
    <w:qFormat/>
    <w:pPr>
      <w:ind w:firstLine="708" w:left="0" w:right="0"/>
      <w:jc w:val="both"/>
    </w:pPr>
    <w:rPr>
      <w:rFonts w:ascii="Arial" w:hAnsi="Arial" w:eastAsia="Times New Roman" w:cs="Arial"/>
      <w:b/>
      <w:sz w:val="18"/>
      <w:lang w:val="en-US"/>
    </w:rPr>
  </w:style>
  <w:style w:type="paragraph" w:styleId="220">
    <w:name w:val="Основной текст с отступом220"/>
    <w:basedOn w:val="Normal"/>
    <w:qFormat/>
    <w:pPr>
      <w:ind w:firstLine="708" w:left="0" w:right="0"/>
      <w:jc w:val="both"/>
    </w:pPr>
    <w:rPr>
      <w:rFonts w:ascii="Arial" w:hAnsi="Arial" w:eastAsia="Times New Roman" w:cs="Arial"/>
      <w:b/>
      <w:sz w:val="18"/>
      <w:lang w:val="en-US"/>
    </w:rPr>
  </w:style>
  <w:style w:type="paragraph" w:styleId="Style29">
    <w:name w:val="Без интервала"/>
    <w:qFormat/>
    <w:pPr>
      <w:widowControl/>
      <w:bidi w:val="0"/>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left="0" w:right="0"/>
      <w:jc w:val="both"/>
    </w:pPr>
    <w:rPr>
      <w:rFonts w:ascii="Arial" w:hAnsi="Arial" w:eastAsia="Times New Roman" w:cs="Arial"/>
      <w:b/>
      <w:sz w:val="18"/>
      <w:lang w:val="en-US"/>
    </w:rPr>
  </w:style>
  <w:style w:type="paragraph" w:styleId="2231">
    <w:name w:val="Основной текст с отступом223"/>
    <w:basedOn w:val="Normal"/>
    <w:qFormat/>
    <w:pPr>
      <w:ind w:firstLine="708" w:left="0" w:right="0"/>
      <w:jc w:val="both"/>
    </w:pPr>
    <w:rPr>
      <w:rFonts w:ascii="Arial" w:hAnsi="Arial" w:eastAsia="Times New Roman" w:cs="Arial"/>
      <w:b/>
      <w:sz w:val="18"/>
      <w:lang w:val="en-US"/>
    </w:rPr>
  </w:style>
  <w:style w:type="paragraph" w:styleId="410">
    <w:name w:val="Основний текст з відступом4"/>
    <w:basedOn w:val="Normal"/>
    <w:qFormat/>
    <w:pPr>
      <w:ind w:firstLine="708" w:left="0" w:right="0"/>
      <w:jc w:val="both"/>
    </w:pPr>
    <w:rPr>
      <w:rFonts w:ascii="Arial" w:hAnsi="Arial" w:eastAsia="Times New Roman" w:cs="Arial"/>
      <w:b/>
      <w:sz w:val="18"/>
      <w:lang w:val="en-US"/>
    </w:rPr>
  </w:style>
  <w:style w:type="paragraph" w:styleId="51">
    <w:name w:val="Основний текст з відступом5"/>
    <w:basedOn w:val="Normal"/>
    <w:qFormat/>
    <w:pPr>
      <w:ind w:firstLine="708" w:left="0" w:right="0"/>
      <w:jc w:val="both"/>
    </w:pPr>
    <w:rPr>
      <w:rFonts w:ascii="Arial" w:hAnsi="Arial" w:eastAsia="Times New Roman" w:cs="Arial"/>
      <w:b/>
      <w:sz w:val="18"/>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www.whocc.no/atc_ddd_index/" TargetMode="Externa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yperlink" Target="https://www.whocc.no/atc_ddd_index/" TargetMode="Externa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hyperlink" Target="https://www.whocc.no/atc_ddd_index/" TargetMode="Externa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2026-10-30T11:16:00Z</dcterms:created>
  <dc:creator>Valentina</dc:creator>
  <dc:description/>
  <cp:keywords/>
  <dc:language>en-US</dc:language>
  <cp:lastModifiedBy>Кунцевич Олена Іванівна</cp:lastModifiedBy>
  <cp:lastPrinted>2024-04-04T11:09:00Z</cp:lastPrinted>
  <dcterms:modified xsi:type="dcterms:W3CDTF">2026-10-30T11:20:00Z</dcterms:modified>
  <cp:revision>11</cp:revision>
  <dc:subject/>
  <dc:title/>
</cp:coreProperties>
</file>