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>ПЕРЕЛІК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ЛІКАРСЬКИХ ЗАСОБІВ ЩОДО ЯКИХ ЗАВЕРШЕНО РОЗГЛЯД РЕЄСТРАЦІЙНИХ МАТЕРІАЛІВ ПРО ВНЕСЕННЯ ЗМІН ДО РЕЄСТРАЦІЙНИХ МАТЕРІАЛІВ ПРОТЯГОМ ДІЇ РЕЄСТРАЦІЙНОГО ПОСВІДЧЕННЯ НА ЛІКАРСЬКІ ЗАСОБИ,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ЯКІ ЗАРЕЄСТРОВАНІ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 xml:space="preserve">КОМПЕТЕНТНИМИ ОРГАНАМИ 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СПОЛУЧЕНИХ ШТАТІВ АМЕРИКИ, </w:t>
      </w:r>
      <w:r>
        <w:rPr>
          <w:rFonts w:cs="Arial" w:ascii="Arial" w:hAnsi="Arial"/>
          <w:b/>
          <w:sz w:val="24"/>
          <w:szCs w:val="24"/>
          <w:lang w:val="uk-UA" w:eastAsia="ru-RU"/>
        </w:rPr>
        <w:t>ВЕЛИКОЇ БРИТАНІЇ</w:t>
      </w:r>
      <w:r>
        <w:rPr>
          <w:rFonts w:cs="Arial" w:ascii="Arial" w:hAnsi="Arial"/>
          <w:sz w:val="24"/>
          <w:szCs w:val="24"/>
          <w:lang w:val="uk-UA" w:eastAsia="ru-RU"/>
        </w:rPr>
        <w:t xml:space="preserve">, </w:t>
      </w:r>
      <w:r>
        <w:rPr>
          <w:rFonts w:eastAsia="Times New Roman" w:cs="Arial" w:ascii="Arial" w:hAnsi="Arial"/>
          <w:b/>
          <w:sz w:val="24"/>
          <w:szCs w:val="24"/>
          <w:lang w:val="uk-UA"/>
        </w:rPr>
        <w:t>ШВЕЙЦАРСЬКОЇ КОНФЕДЕРАЦІЇ</w:t>
      </w:r>
      <w:r>
        <w:rPr>
          <w:rFonts w:eastAsia="Times New Roman" w:cs="Arial" w:ascii="Arial" w:hAnsi="Arial"/>
          <w:b/>
          <w:sz w:val="24"/>
          <w:szCs w:val="24"/>
          <w:lang w:val="uk-UA" w:eastAsia="uk-UA"/>
        </w:rPr>
        <w:t xml:space="preserve">, ЯПОНІЇ, АВСТРАЛІЇ, КАНАДИ, ЛІКАРСЬКИХ ЗАСОБІВ, ЩО ЗА ЦЕНТРАЛІЗОВАНОЮ ПРОЦЕДУРОЮ ЗАРЕЄСТРОВАНІ КОМПЕТЕНТНИМ ОРГАНОМ </w:t>
      </w: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  <w:t>ЄВРОПЕЙСЬКОГО СОЮЗУ</w:t>
      </w:r>
    </w:p>
    <w:p>
      <w:pPr>
        <w:pStyle w:val="Normal"/>
        <w:spacing w:lineRule="auto" w:line="240" w:before="0" w:after="0"/>
        <w:jc w:val="center"/>
        <w:rPr>
          <w:rFonts w:ascii="Arial" w:hAnsi="Arial" w:eastAsia="Times New Roman" w:cs="Arial"/>
          <w:b/>
          <w:b/>
          <w:sz w:val="24"/>
          <w:szCs w:val="24"/>
          <w:u w:val="single"/>
          <w:lang w:val="uk-UA" w:eastAsia="uk-UA"/>
        </w:rPr>
      </w:pPr>
      <w:r>
        <w:rPr>
          <w:rFonts w:eastAsia="Times New Roman" w:cs="Arial" w:ascii="Arial" w:hAnsi="Arial"/>
          <w:b/>
          <w:sz w:val="24"/>
          <w:szCs w:val="24"/>
          <w:u w:val="single"/>
          <w:lang w:val="uk-UA" w:eastAsia="uk-UA"/>
        </w:rPr>
      </w:r>
    </w:p>
    <w:tbl>
      <w:tblPr>
        <w:tblW w:w="15745" w:type="dxa"/>
        <w:jc w:val="left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561"/>
        <w:gridCol w:w="1282"/>
        <w:gridCol w:w="992"/>
        <w:gridCol w:w="993"/>
        <w:gridCol w:w="708"/>
        <w:gridCol w:w="1843"/>
        <w:gridCol w:w="1276"/>
        <w:gridCol w:w="1134"/>
        <w:gridCol w:w="1417"/>
        <w:gridCol w:w="1134"/>
        <w:gridCol w:w="1701"/>
        <w:gridCol w:w="1134"/>
        <w:gridCol w:w="1570"/>
      </w:tblGrid>
      <w:tr>
        <w:trPr>
          <w:tblHeader w:val="true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№</w:t>
            </w:r>
            <w:r>
              <w:rPr>
                <w:rFonts w:eastAsia="Arial" w:cs="Arial" w:ascii="Arial" w:hAnsi="Arial"/>
                <w:b/>
                <w:i/>
                <w:sz w:val="16"/>
                <w:szCs w:val="16"/>
                <w:lang w:val="uk-UA" w:eastAsia="uk-UA"/>
              </w:rPr>
              <w:t xml:space="preserve"> </w:t>
            </w: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п/п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Назва лікарського засобу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Міжнародна непатентована назва*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Назва діючої речовини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160"/>
              <w:jc w:val="center"/>
              <w:rPr>
                <w:rFonts w:ascii="Arial" w:hAnsi="Arial" w:cs="Arial"/>
                <w:b/>
                <w:b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b/>
                <w:i/>
                <w:sz w:val="16"/>
                <w:szCs w:val="16"/>
              </w:rPr>
              <w:t>Код АТХ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Форма випуску (лікарська форма, упаковка)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Країна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Умови відпуску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BFBFBF" w:val="clear"/>
            <w:tcMar>
              <w:left w:w="103" w:type="dxa"/>
            </w:tcMar>
          </w:tcPr>
          <w:p>
            <w:pPr>
              <w:pStyle w:val="Normal"/>
              <w:tabs>
                <w:tab w:val="left" w:pos="12600" w:leader="none"/>
              </w:tabs>
              <w:spacing w:lineRule="auto" w:line="240" w:before="0" w:after="0"/>
              <w:jc w:val="center"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uk-UA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uk-UA"/>
              </w:rPr>
              <w:t>Номер реєстраційного посвідчення</w:t>
            </w:r>
          </w:p>
        </w:tc>
      </w:tr>
      <w:tr>
        <w:trPr>
          <w:trHeight w:val="433" w:hRule="atLeast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numPr>
                <w:ilvl w:val="0"/>
                <w:numId w:val="1"/>
              </w:numPr>
              <w:tabs>
                <w:tab w:val="left" w:pos="12600" w:leader="none"/>
              </w:tabs>
              <w:snapToGrid w:val="false"/>
              <w:spacing w:lineRule="auto" w:line="240" w:before="0" w:after="0"/>
              <w:contextualSpacing/>
              <w:rPr>
                <w:rFonts w:ascii="Arial" w:hAnsi="Arial" w:eastAsia="Times New Roman" w:cs="Arial"/>
                <w:b/>
                <w:b/>
                <w:i/>
                <w:i/>
                <w:sz w:val="16"/>
                <w:szCs w:val="16"/>
                <w:lang w:val="uk-UA" w:eastAsia="ru-RU"/>
              </w:rPr>
            </w:pPr>
            <w:r>
              <w:rPr>
                <w:rFonts w:eastAsia="Times New Roman" w:cs="Arial" w:ascii="Arial" w:hAnsi="Arial"/>
                <w:b/>
                <w:i/>
                <w:sz w:val="16"/>
                <w:szCs w:val="16"/>
                <w:lang w:val="uk-UA" w:eastAsia="ru-RU"/>
              </w:rPr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  <w:lang w:val="uk-UA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ЛАМЗЕДЕ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Velmanase alfa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велманаза альфа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A16AB15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порошок для розчину для інфузій, 10 мг; по 10 мг у флаконі з маркуванням англійською мовою; по 1 флакону в картонній коробці з маркуванням німецькою мовою зі стикером українською мовою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К'єзі Фармас'ютікелз ГмбХ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Австрія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виробництво лікарського засобу, випробування при випуску, випробування на стабільність, первинне пакування:</w:t>
              <w:br/>
              <w:t>Патеон Італія С.п.А., Італiя;</w:t>
              <w:br/>
              <w:t>випробування при випуску, випуск серії, вторинне пакування, зберігання та дистрибуція:</w:t>
              <w:br/>
              <w:t>К'єзі Фармацеутиці С.п.А., Італія;</w:t>
              <w:br/>
              <w:t>випробування при випуску: лише невидимі частки:</w:t>
              <w:br/>
              <w:t xml:space="preserve">Конфарма Франція - Гомбург, Францiя; </w:t>
              <w:br/>
              <w:t>ЛАЛ-тест, невидимі частки, випробування цілісності системи контейнер/закупорювальний засіб:</w:t>
              <w:br/>
              <w:t>Єврофінс Біолаб Срл, Італія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>Італiя/ Францiя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/>
            </w:pPr>
            <w:r>
              <w:rPr>
                <w:rFonts w:cs="Arial" w:ascii="Arial" w:hAnsi="Arial"/>
                <w:color w:val="000000"/>
                <w:sz w:val="16"/>
                <w:szCs w:val="16"/>
              </w:rPr>
              <w:t xml:space="preserve">Type IB – Q.I.a.2.z.: To introduce the following changes in the manufacturing process of the active substance: removal of Country of Origin for Raw Materials used in Ex-Cell 302 Medium. </w:t>
              <w:br/>
              <w:t>Type IB – Q.I.a.2.z.: To introduce the following changes in the manufacturing process of the active substance: Tightening of Storage Conditions for the buffer; Tris_057_20mM_pH7.5.</w:t>
              <w:br/>
              <w:t>Type IB – Q.I.a.2.z.: To introduce the following changes in the manufacturing process of the active substance: Deletion of Antifoam Addition in the upstream manufacturing process.</w:t>
              <w:br/>
              <w:t>Type IB – Q.I.b.1.z: To introduce the following changes in the specifications of the raw materials: Removal of endotoxin and microbiological testing from the specification of a sodium hydroxide solution used in the manufacture of the active substance (gap compliance).</w:t>
              <w:br/>
              <w:t xml:space="preserve">Type IB – Q.I.b.1.z: To introduce the following changes in the specifications of the raw materials: update of the Microbiological Specifications for WFI System, Sampling Frequencies, and Sampling Points to introduce a minimum weekly sampling frequency for points of use when no compounding activities are performed, or alternatively for the corresponding sampling points where direct sampling is not feasible. </w:t>
              <w:br/>
              <w:t xml:space="preserve">Type IB – Q.I.b.1.z: To introduce the following changes in the specifications of the raw materials: Alignment of Purified Water specification with Ph.Eur 11.4 (removal of nitrates test from the Purified Water and Water for Injection monographs). </w:t>
              <w:br/>
              <w:t>Type IA – E.4.c. To change the manufacturer of two non-biologic non compendial raw material (Capto MMC and Butyl Sepharose 4 FF) used in the downstream process of the active substance velmanase alfa from GE Healthcare to Cytvia.</w:t>
              <w:br/>
              <w:t>The MAH took the opportunity to introduce editorial changes in 3.2.S.2.3 section.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FFFFFF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ind w:left="-185" w:hanging="0"/>
              <w:jc w:val="center"/>
              <w:rPr>
                <w:rFonts w:ascii="Arial" w:hAnsi="Arial" w:cs="Arial"/>
                <w:i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 xml:space="preserve">за </w:t>
            </w:r>
          </w:p>
          <w:p>
            <w:pPr>
              <w:pStyle w:val="Style18"/>
              <w:tabs>
                <w:tab w:val="left" w:pos="12600" w:leader="none"/>
              </w:tabs>
              <w:spacing w:lineRule="auto" w:line="276"/>
              <w:ind w:left="-185" w:hanging="0"/>
              <w:jc w:val="center"/>
              <w:rPr>
                <w:rFonts w:ascii="Arial" w:hAnsi="Arial" w:cs="Arial"/>
                <w:b/>
                <w:b/>
                <w:i/>
                <w:i/>
                <w:color w:val="000000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  <w:t>рецептом</w:t>
            </w:r>
          </w:p>
        </w:tc>
        <w:tc>
          <w:tcPr>
            <w:tcW w:w="1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tcMar>
              <w:left w:w="103" w:type="dxa"/>
            </w:tcMar>
          </w:tcPr>
          <w:p>
            <w:pPr>
              <w:pStyle w:val="Style18"/>
              <w:tabs>
                <w:tab w:val="left" w:pos="12600" w:leader="none"/>
              </w:tabs>
              <w:spacing w:lineRule="auto" w:line="276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UA/18519/01/01</w:t>
            </w:r>
          </w:p>
        </w:tc>
      </w:tr>
    </w:tbl>
    <w:p>
      <w:pPr>
        <w:pStyle w:val="Normal"/>
        <w:spacing w:lineRule="auto" w:line="240" w:before="0" w:after="0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sectPr>
      <w:footerReference w:type="default" r:id="rId2"/>
      <w:footerReference w:type="first" r:id="rId3"/>
      <w:type w:val="nextPage"/>
      <w:pgSz w:orient="landscape" w:w="16838" w:h="11906"/>
      <w:pgMar w:left="851" w:right="851" w:header="0" w:top="1134" w:footer="709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/>
    </w:pPr>
    <w:r>
      <w:rPr/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tabs>
        <w:tab w:val="center" w:pos="4844" w:leader="none"/>
        <w:tab w:val="right" w:pos="9689" w:leader="none"/>
      </w:tabs>
      <w:spacing w:before="0" w:after="160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36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2"/>
  <w:defaultTabStop w:val="720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lineRule="auto" w:line="256" w:before="0" w:after="16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cs="Times New Roman"/>
    </w:rPr>
  </w:style>
  <w:style w:type="character" w:styleId="Style14">
    <w:name w:val="Основной шрифт абзаца"/>
    <w:qFormat/>
    <w:rPr/>
  </w:style>
  <w:style w:type="character" w:styleId="Style15">
    <w:name w:val="Текст выноски Знак"/>
    <w:qFormat/>
    <w:rPr>
      <w:rFonts w:ascii="Segoe UI" w:hAnsi="Segoe UI" w:cs="Segoe UI"/>
      <w:sz w:val="18"/>
      <w:szCs w:val="18"/>
    </w:rPr>
  </w:style>
  <w:style w:type="character" w:styleId="InternetLink">
    <w:name w:val="Internet Link"/>
    <w:rPr>
      <w:color w:val="0000FF"/>
      <w:u w:val="single"/>
    </w:rPr>
  </w:style>
  <w:style w:type="character" w:styleId="Style16">
    <w:name w:val="Верхний колонтитул Знак"/>
    <w:qFormat/>
    <w:rPr>
      <w:sz w:val="22"/>
      <w:szCs w:val="22"/>
    </w:rPr>
  </w:style>
  <w:style w:type="character" w:styleId="Style17">
    <w:name w:val="Нижний колонтитул Знак"/>
    <w:qFormat/>
    <w:rPr>
      <w:sz w:val="22"/>
      <w:szCs w:val="22"/>
    </w:rPr>
  </w:style>
  <w:style w:type="character" w:styleId="2">
    <w:name w:val="Основной текст (2)_"/>
    <w:qFormat/>
    <w:rPr>
      <w:sz w:val="22"/>
      <w:szCs w:val="22"/>
      <w:shd w:fill="FFFFFF" w:val="clear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8">
    <w:name w:val="Звичайний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Style19">
    <w:name w:val="Текст выноски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Footer">
    <w:name w:val="Footer"/>
    <w:basedOn w:val="Normal"/>
    <w:pPr>
      <w:tabs>
        <w:tab w:val="center" w:pos="4844" w:leader="none"/>
        <w:tab w:val="right" w:pos="9689" w:leader="none"/>
      </w:tabs>
    </w:pPr>
    <w:rPr/>
  </w:style>
  <w:style w:type="paragraph" w:styleId="21">
    <w:name w:val="Основной текст (2)1"/>
    <w:basedOn w:val="Normal"/>
    <w:qFormat/>
    <w:pPr>
      <w:widowControl w:val="false"/>
      <w:shd w:fill="FFFFFF" w:val="clear"/>
      <w:spacing w:lineRule="exact" w:line="250" w:before="0" w:after="480"/>
      <w:ind w:hanging="600"/>
      <w:jc w:val="both"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LibreOffice/5.3.6.1$Linux_X86_64 LibreOffice_project/30$Build-1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2026-10-12T09:02:00Z</dcterms:created>
  <dc:creator>RePack by Diakov</dc:creator>
  <dc:description/>
  <dc:language>ru-RU</dc:language>
  <cp:lastModifiedBy>Сайчук Світлана Анатоліївна</cp:lastModifiedBy>
  <cp:lastPrinted>2022-04-14T11:34:00Z</cp:lastPrinted>
  <dcterms:modified xsi:type="dcterms:W3CDTF">2026-10-12T15:09:00Z</dcterms:modified>
  <cp:revision>4</cp:revision>
  <dc:subject/>
  <dc:title/>
</cp:coreProperties>
</file>