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styles.xml" ContentType="application/vnd.openxmlformats-officedocument.wordprocessingml.styles+xml"/>
  <Override PartName="/word/numbering.xml" ContentType="application/vnd.openxmlformats-officedocument.wordprocessingml.numbering+xml"/>
  <Override PartName="/word/document.xml" ContentType="application/vnd.openxmlformats-officedocument.wordprocessingml.document.main+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W w:w="3825" w:type="dxa"/>
        <w:jc w:val="left"/>
        <w:tblInd w:w="11448" w:type="dxa"/>
        <w:tblBorders/>
        <w:tblCellMar>
          <w:top w:w="0" w:type="dxa"/>
          <w:left w:w="108" w:type="dxa"/>
          <w:bottom w:w="0" w:type="dxa"/>
          <w:right w:w="108" w:type="dxa"/>
        </w:tblCellMar>
      </w:tblPr>
      <w:tblGrid>
        <w:gridCol w:w="3825"/>
      </w:tblGrid>
      <w:tr>
        <w:trPr>
          <w:trHeight w:val="711" w:hRule="atLeast"/>
        </w:trPr>
        <w:tc>
          <w:tcPr>
            <w:tcW w:w="3825" w:type="dxa"/>
            <w:tcBorders/>
            <w:shd w:fill="auto" w:val="clear"/>
          </w:tcPr>
          <w:p>
            <w:pPr>
              <w:pStyle w:val="Heading4"/>
              <w:numPr>
                <w:ilvl w:val="3"/>
                <w:numId w:val="1"/>
              </w:numPr>
              <w:tabs>
                <w:tab w:val="left" w:pos="12600" w:leader="none"/>
              </w:tabs>
              <w:jc w:val="left"/>
              <w:rPr>
                <w:rFonts w:cs="Arial"/>
                <w:sz w:val="16"/>
                <w:szCs w:val="16"/>
              </w:rPr>
            </w:pPr>
            <w:r>
              <w:rPr>
                <w:rFonts w:cs="Arial"/>
                <w:sz w:val="16"/>
                <w:szCs w:val="16"/>
              </w:rPr>
              <w:t>Додаток</w:t>
            </w:r>
            <w:r>
              <w:rPr>
                <w:rFonts w:cs="Arial"/>
                <w:sz w:val="16"/>
                <w:szCs w:val="16"/>
                <w:lang w:val="ru-RU"/>
              </w:rPr>
              <w:t xml:space="preserve"> 1</w:t>
            </w:r>
          </w:p>
          <w:p>
            <w:pPr>
              <w:pStyle w:val="Heading4"/>
              <w:numPr>
                <w:ilvl w:val="3"/>
                <w:numId w:val="1"/>
              </w:numPr>
              <w:tabs>
                <w:tab w:val="left" w:pos="12600" w:leader="none"/>
              </w:tabs>
              <w:jc w:val="left"/>
              <w:rPr>
                <w:rFonts w:cs="Arial"/>
                <w:sz w:val="16"/>
                <w:szCs w:val="16"/>
              </w:rPr>
            </w:pPr>
            <w:r>
              <w:rPr>
                <w:rFonts w:cs="Arial"/>
                <w:sz w:val="16"/>
                <w:szCs w:val="16"/>
              </w:rPr>
              <w:t>до Наказу Міністерства охорони</w:t>
            </w:r>
          </w:p>
          <w:p>
            <w:pPr>
              <w:pStyle w:val="Heading4"/>
              <w:numPr>
                <w:ilvl w:val="3"/>
                <w:numId w:val="1"/>
              </w:numPr>
              <w:tabs>
                <w:tab w:val="left" w:pos="12600" w:leader="none"/>
              </w:tabs>
              <w:jc w:val="left"/>
              <w:rPr>
                <w:rFonts w:cs="Arial"/>
                <w:sz w:val="16"/>
                <w:szCs w:val="16"/>
              </w:rPr>
            </w:pPr>
            <w:r>
              <w:rPr>
                <w:rFonts w:cs="Arial"/>
                <w:sz w:val="16"/>
                <w:szCs w:val="16"/>
              </w:rPr>
              <w:t>здоров’я України</w:t>
            </w:r>
          </w:p>
          <w:p>
            <w:pPr>
              <w:pStyle w:val="Heading4"/>
              <w:numPr>
                <w:ilvl w:val="3"/>
                <w:numId w:val="1"/>
              </w:numPr>
              <w:tabs>
                <w:tab w:val="left" w:pos="12600" w:leader="none"/>
              </w:tabs>
              <w:jc w:val="left"/>
              <w:rPr>
                <w:rFonts w:cs="Arial"/>
                <w:sz w:val="16"/>
                <w:szCs w:val="16"/>
              </w:rPr>
            </w:pPr>
            <w:r>
              <w:rPr>
                <w:rFonts w:cs="Arial"/>
                <w:sz w:val="16"/>
                <w:szCs w:val="16"/>
              </w:rPr>
              <w:t>____________________ № _______</w:t>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rFonts w:ascii="Arial" w:hAnsi="Arial" w:cs="Arial"/>
          <w:b/>
          <w:b/>
        </w:rPr>
      </w:pPr>
      <w:r>
        <w:rPr>
          <w:rFonts w:cs="Arial" w:ascii="Arial" w:hAnsi="Arial"/>
          <w:b/>
          <w:caps/>
        </w:rPr>
        <w:t>ПЕРЕЛІК</w:t>
      </w:r>
    </w:p>
    <w:p>
      <w:pPr>
        <w:pStyle w:val="Normal"/>
        <w:keepNext w:val="true"/>
        <w:numPr>
          <w:ilvl w:val="0"/>
          <w:numId w:val="0"/>
        </w:numPr>
        <w:jc w:val="center"/>
        <w:outlineLvl w:val="3"/>
        <w:rPr>
          <w:rFonts w:ascii="Arial" w:hAnsi="Arial" w:cs="Arial"/>
          <w:b/>
          <w:b/>
          <w:caps/>
        </w:rPr>
      </w:pPr>
      <w:r>
        <w:rPr>
          <w:rFonts w:cs="Arial" w:ascii="Arial" w:hAnsi="Arial"/>
          <w:b/>
          <w:caps/>
        </w:rPr>
        <w:t xml:space="preserve">ЛІКАРСЬКИХ ЗАСОБІВ, що пропонуються до державної реєстрації </w:t>
      </w:r>
    </w:p>
    <w:p>
      <w:pPr>
        <w:pStyle w:val="Normal"/>
        <w:keepNext w:val="true"/>
        <w:numPr>
          <w:ilvl w:val="0"/>
          <w:numId w:val="0"/>
        </w:numPr>
        <w:jc w:val="center"/>
        <w:outlineLvl w:val="3"/>
        <w:rPr>
          <w:rFonts w:ascii="Arial" w:hAnsi="Arial" w:cs="Arial"/>
          <w:b/>
          <w:b/>
          <w:caps/>
        </w:rPr>
      </w:pPr>
      <w:r>
        <w:rPr>
          <w:rFonts w:cs="Arial" w:ascii="Arial" w:hAnsi="Arial"/>
          <w:b/>
          <w:caps/>
        </w:rPr>
      </w:r>
    </w:p>
    <w:tbl>
      <w:tblPr>
        <w:tblW w:w="16028"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276"/>
        <w:gridCol w:w="1134"/>
        <w:gridCol w:w="992"/>
        <w:gridCol w:w="851"/>
        <w:gridCol w:w="1701"/>
        <w:gridCol w:w="1134"/>
        <w:gridCol w:w="1134"/>
        <w:gridCol w:w="1276"/>
        <w:gridCol w:w="1134"/>
        <w:gridCol w:w="1275"/>
        <w:gridCol w:w="1134"/>
        <w:gridCol w:w="993"/>
        <w:gridCol w:w="1427"/>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27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1275"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АДАПАЛЕН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adapalene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адапален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lang w:val="en-US"/>
              </w:rPr>
            </w:pPr>
            <w:r>
              <w:rPr>
                <w:rFonts w:cs="Arial" w:ascii="Arial" w:hAnsi="Arial"/>
                <w:sz w:val="16"/>
                <w:szCs w:val="16"/>
                <w:lang w:val="en-US"/>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ТОВ "АРТЕРІУМ ЛТД" </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lang w:val="en-US"/>
              </w:rPr>
            </w:pPr>
            <w:r>
              <w:rPr>
                <w:rFonts w:cs="Arial" w:ascii="Arial" w:hAnsi="Arial"/>
                <w:sz w:val="16"/>
                <w:szCs w:val="16"/>
              </w:rPr>
              <w:t>АЛІВУС ЛАЙФ САЙЄНСІЗ ЛІМІТЕД</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UA/21405/01/01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sz w:val="16"/>
                <w:szCs w:val="16"/>
                <w:lang w:val="en-US"/>
              </w:rPr>
            </w:pPr>
            <w:r>
              <w:rPr>
                <w:rFonts w:cs="Arial" w:ascii="Arial" w:hAnsi="Arial"/>
                <w:b/>
                <w:sz w:val="16"/>
                <w:szCs w:val="16"/>
              </w:rPr>
              <w:t>БЕНЗОЇЛУ ПЕРОКСИД, ВОДНИЙ</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benzoyl peroxide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дибензоїлу пероксид (бензойний пероксиангідрид)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аморфний або гранульований 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ТОВ "АРТЕРІУМ ЛТД"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Кембрекс, Карлскуга АБ</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Швеція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 xml:space="preserve">реєстрація на 5 років </w:t>
            </w:r>
          </w:p>
          <w:p>
            <w:pPr>
              <w:pStyle w:val="112"/>
              <w:tabs>
                <w:tab w:val="left" w:pos="12600" w:leader="none"/>
              </w:tabs>
              <w:jc w:val="center"/>
              <w:rPr>
                <w:rFonts w:ascii="Arial" w:hAnsi="Arial" w:cs="Arial"/>
                <w:sz w:val="16"/>
                <w:szCs w:val="16"/>
              </w:rPr>
            </w:pPr>
            <w:r>
              <w:rPr>
                <w:rFonts w:cs="Arial" w:ascii="Arial" w:hAnsi="Arial"/>
                <w:sz w:val="16"/>
                <w:szCs w:val="16"/>
              </w:rPr>
            </w:r>
          </w:p>
          <w:p>
            <w:pPr>
              <w:pStyle w:val="112"/>
              <w:tabs>
                <w:tab w:val="left" w:pos="12600" w:leader="none"/>
              </w:tabs>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ind w:left="-185" w:hanging="0"/>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UA/21406/01/01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sz w:val="16"/>
                <w:szCs w:val="16"/>
                <w:lang w:val="ru-RU"/>
              </w:rPr>
            </w:pPr>
            <w:r>
              <w:rPr>
                <w:rFonts w:cs="Arial" w:ascii="Arial" w:hAnsi="Arial"/>
                <w:b/>
                <w:sz w:val="16"/>
                <w:szCs w:val="16"/>
                <w:lang w:val="ru-RU"/>
              </w:rPr>
              <w:t>ВАКСІГРИП® ВАКЦИНА ДЛЯ ПРОФІЛАКТИКИ ГРИПУ ТРИВАЛЕНТНА (ІНАКТИВОВАНА, З РОЗЩЕПЛЕНОГО ВІРУСУ)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lang w:val="en-US"/>
              </w:rPr>
            </w:pPr>
            <w:r>
              <w:rPr>
                <w:rFonts w:cs="Arial" w:ascii="Arial" w:hAnsi="Arial"/>
                <w:sz w:val="16"/>
                <w:szCs w:val="16"/>
                <w:lang w:val="en-US"/>
              </w:rPr>
              <w:t>influenza, inactivated, split virus or surface antigen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вірус грипу (інактивований, розщеплений) таких штамів*:</w:t>
            </w:r>
          </w:p>
          <w:p>
            <w:pPr>
              <w:pStyle w:val="112"/>
              <w:tabs>
                <w:tab w:val="left" w:pos="12600" w:leader="none"/>
              </w:tabs>
              <w:rPr>
                <w:rFonts w:ascii="Arial" w:hAnsi="Arial" w:cs="Arial"/>
                <w:sz w:val="16"/>
                <w:szCs w:val="16"/>
              </w:rPr>
            </w:pPr>
            <w:r>
              <w:rPr>
                <w:rFonts w:cs="Arial" w:ascii="Arial" w:hAnsi="Arial"/>
                <w:sz w:val="16"/>
                <w:szCs w:val="16"/>
              </w:rPr>
              <w:t xml:space="preserve">A/Victoria/4897/2022 (H1N1)pdm09 - подібний (A/Victoria/4897/2022, </w:t>
            </w:r>
          </w:p>
          <w:p>
            <w:pPr>
              <w:pStyle w:val="112"/>
              <w:tabs>
                <w:tab w:val="left" w:pos="12600" w:leader="none"/>
              </w:tabs>
              <w:rPr>
                <w:rFonts w:ascii="Arial" w:hAnsi="Arial" w:cs="Arial"/>
                <w:sz w:val="16"/>
                <w:szCs w:val="16"/>
              </w:rPr>
            </w:pPr>
            <w:r>
              <w:rPr>
                <w:rFonts w:cs="Arial" w:ascii="Arial" w:hAnsi="Arial"/>
                <w:sz w:val="16"/>
                <w:szCs w:val="16"/>
              </w:rPr>
              <w:t>IVR-238)  15 мкг ГА**;</w:t>
            </w:r>
          </w:p>
          <w:p>
            <w:pPr>
              <w:pStyle w:val="112"/>
              <w:tabs>
                <w:tab w:val="left" w:pos="12600" w:leader="none"/>
              </w:tabs>
              <w:rPr>
                <w:rFonts w:ascii="Arial" w:hAnsi="Arial" w:cs="Arial"/>
                <w:sz w:val="16"/>
                <w:szCs w:val="16"/>
              </w:rPr>
            </w:pPr>
            <w:r>
              <w:rPr>
                <w:rFonts w:cs="Arial" w:ascii="Arial" w:hAnsi="Arial"/>
                <w:sz w:val="16"/>
                <w:szCs w:val="16"/>
              </w:rPr>
              <w:t xml:space="preserve">A/Croatia/10136RV/2023 (H3N2) - подібний (A/Croatia/10136RV/2023, </w:t>
            </w:r>
          </w:p>
          <w:p>
            <w:pPr>
              <w:pStyle w:val="112"/>
              <w:tabs>
                <w:tab w:val="left" w:pos="12600" w:leader="none"/>
              </w:tabs>
              <w:rPr>
                <w:rFonts w:ascii="Arial" w:hAnsi="Arial" w:cs="Arial"/>
                <w:sz w:val="16"/>
                <w:szCs w:val="16"/>
              </w:rPr>
            </w:pPr>
            <w:r>
              <w:rPr>
                <w:rFonts w:cs="Arial" w:ascii="Arial" w:hAnsi="Arial"/>
                <w:sz w:val="16"/>
                <w:szCs w:val="16"/>
              </w:rPr>
              <w:t>X-425A)  15 мкг ГА**;</w:t>
            </w:r>
          </w:p>
          <w:p>
            <w:pPr>
              <w:pStyle w:val="112"/>
              <w:tabs>
                <w:tab w:val="left" w:pos="12600" w:leader="none"/>
              </w:tabs>
              <w:rPr>
                <w:rFonts w:ascii="Arial" w:hAnsi="Arial" w:cs="Arial"/>
                <w:sz w:val="16"/>
                <w:szCs w:val="16"/>
              </w:rPr>
            </w:pPr>
            <w:r>
              <w:rPr>
                <w:rFonts w:cs="Arial" w:ascii="Arial" w:hAnsi="Arial"/>
                <w:sz w:val="16"/>
                <w:szCs w:val="16"/>
              </w:rPr>
              <w:t xml:space="preserve">B/Austria/1359417/2021 - подібний (B/Michigan/01/2021, дикий тип)                     </w:t>
            </w:r>
          </w:p>
          <w:p>
            <w:pPr>
              <w:pStyle w:val="112"/>
              <w:tabs>
                <w:tab w:val="left" w:pos="12600" w:leader="none"/>
              </w:tabs>
              <w:rPr>
                <w:rFonts w:ascii="Arial" w:hAnsi="Arial" w:cs="Arial"/>
                <w:sz w:val="16"/>
                <w:szCs w:val="16"/>
              </w:rPr>
            </w:pPr>
            <w:r>
              <w:rPr>
                <w:rFonts w:cs="Arial" w:ascii="Arial" w:hAnsi="Arial"/>
                <w:sz w:val="16"/>
                <w:szCs w:val="16"/>
              </w:rPr>
              <w:t>15 мкг ГА**.</w:t>
            </w:r>
          </w:p>
          <w:p>
            <w:pPr>
              <w:pStyle w:val="112"/>
              <w:tabs>
                <w:tab w:val="left" w:pos="12600" w:leader="none"/>
              </w:tabs>
              <w:rPr>
                <w:rFonts w:ascii="Arial" w:hAnsi="Arial" w:cs="Arial"/>
                <w:sz w:val="16"/>
                <w:szCs w:val="16"/>
              </w:rPr>
            </w:pPr>
            <w:r>
              <w:rPr>
                <w:rFonts w:cs="Arial" w:ascii="Arial" w:hAnsi="Arial"/>
                <w:sz w:val="16"/>
                <w:szCs w:val="16"/>
              </w:rPr>
              <w:t>* культивовані на курячих ембріонах здорових курей</w:t>
            </w:r>
          </w:p>
          <w:p>
            <w:pPr>
              <w:pStyle w:val="112"/>
              <w:tabs>
                <w:tab w:val="left" w:pos="12600" w:leader="none"/>
              </w:tabs>
              <w:rPr>
                <w:rFonts w:ascii="Arial" w:hAnsi="Arial" w:cs="Arial"/>
                <w:sz w:val="16"/>
                <w:szCs w:val="16"/>
              </w:rPr>
            </w:pPr>
            <w:r>
              <w:rPr>
                <w:rFonts w:cs="Arial" w:ascii="Arial" w:hAnsi="Arial"/>
                <w:sz w:val="16"/>
                <w:szCs w:val="16"/>
              </w:rPr>
              <w:t>** гемаглютинін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J07BB02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pPr>
            <w:r>
              <w:rPr>
                <w:rFonts w:cs="Arial" w:ascii="Arial" w:hAnsi="Arial"/>
                <w:sz w:val="16"/>
                <w:szCs w:val="16"/>
              </w:rPr>
              <w:t xml:space="preserve">суспензія для ін’єкцій по 0,5 мл (1 доза); по 1 попередньо заповненому шприцу по 0,5 мл (1 доза) з прикріпленою голкою, що містить суспензію для ін’єкцій; по 1 або по 10 попередньо заповнених шприців у картонній коробці. </w:t>
            </w:r>
            <w:r>
              <w:rPr>
                <w:rFonts w:cs="Arial" w:ascii="Arial" w:hAnsi="Arial"/>
                <w:sz w:val="16"/>
                <w:szCs w:val="16"/>
                <w:lang w:val="ru-RU"/>
              </w:rPr>
              <w:t>По 1 попередньо заповненому шприцу по 0,5 мл (1 доза) з окремою голкою, що містить суспензію для ін’єкцій; по 1 попередньо заповненому шприцу в комплекті з окремою голкою в картонній коробці. По 1 попередньо заповненому шприцу по 0,5 мл (1 доза) з окремою голкою із захисним механізмом, що містить суспензію для ін’єкцій; по 1 попередньо заповненому шприцу в комплекті з окремою голкою із захисним механізмом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lang w:val="ru-RU"/>
              </w:rPr>
            </w:pPr>
            <w:r>
              <w:rPr>
                <w:rFonts w:cs="Arial" w:ascii="Arial" w:hAnsi="Arial"/>
                <w:sz w:val="16"/>
                <w:szCs w:val="16"/>
                <w:lang w:val="ru-RU"/>
              </w:rPr>
              <w:t>Санофі Вінтроп Індастрі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Францiя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виробництво готового нерозфасованого продукту, заповнення, первинне та вторинне пакування, контроль якості, випуск серії:</w:t>
              <w:br/>
              <w:t xml:space="preserve">Санофі Вінтроп Індастрі, Франція; </w:t>
            </w:r>
          </w:p>
          <w:p>
            <w:pPr>
              <w:pStyle w:val="112"/>
              <w:tabs>
                <w:tab w:val="left" w:pos="12600" w:leader="none"/>
              </w:tabs>
              <w:jc w:val="center"/>
              <w:rPr>
                <w:rFonts w:ascii="Arial" w:hAnsi="Arial" w:cs="Arial"/>
                <w:sz w:val="16"/>
                <w:szCs w:val="16"/>
              </w:rPr>
            </w:pPr>
            <w:r>
              <w:rPr>
                <w:rFonts w:cs="Arial" w:ascii="Arial" w:hAnsi="Arial"/>
                <w:sz w:val="16"/>
                <w:szCs w:val="16"/>
              </w:rPr>
              <w:br/>
              <w:t>заповнення, первинне та вторинне пакування, контроль якості:</w:t>
              <w:br/>
              <w:t>Санофі Вінтроп Індастрі, Франція;</w:t>
            </w:r>
          </w:p>
          <w:p>
            <w:pPr>
              <w:pStyle w:val="112"/>
              <w:tabs>
                <w:tab w:val="left" w:pos="12600" w:leader="none"/>
              </w:tabs>
              <w:jc w:val="center"/>
              <w:rPr>
                <w:rFonts w:ascii="Arial" w:hAnsi="Arial" w:cs="Arial"/>
                <w:sz w:val="16"/>
                <w:szCs w:val="16"/>
              </w:rPr>
            </w:pPr>
            <w:r>
              <w:rPr>
                <w:rFonts w:cs="Arial" w:ascii="Arial" w:hAnsi="Arial"/>
                <w:sz w:val="16"/>
                <w:szCs w:val="16"/>
              </w:rPr>
              <w:br/>
              <w:t>вторинне пакування, випуск серії:</w:t>
              <w:br/>
              <w:t>Санофі Вінтроп Індастрі, Франція;</w:t>
            </w:r>
          </w:p>
          <w:p>
            <w:pPr>
              <w:pStyle w:val="112"/>
              <w:tabs>
                <w:tab w:val="left" w:pos="12600" w:leader="none"/>
              </w:tabs>
              <w:jc w:val="center"/>
              <w:rPr>
                <w:rFonts w:ascii="Arial" w:hAnsi="Arial" w:cs="Arial"/>
                <w:sz w:val="16"/>
                <w:szCs w:val="16"/>
              </w:rPr>
            </w:pPr>
            <w:r>
              <w:rPr>
                <w:rFonts w:cs="Arial" w:ascii="Arial" w:hAnsi="Arial"/>
                <w:sz w:val="16"/>
                <w:szCs w:val="16"/>
              </w:rPr>
              <w:br/>
              <w:t>вторинне пакування:</w:t>
              <w:br/>
              <w:t>Кюне + Нагель Кфт., Угорщина;</w:t>
            </w:r>
          </w:p>
          <w:p>
            <w:pPr>
              <w:pStyle w:val="112"/>
              <w:tabs>
                <w:tab w:val="left" w:pos="12600" w:leader="none"/>
              </w:tabs>
              <w:jc w:val="center"/>
              <w:rPr>
                <w:rFonts w:ascii="Arial" w:hAnsi="Arial" w:cs="Arial"/>
                <w:sz w:val="16"/>
                <w:szCs w:val="16"/>
              </w:rPr>
            </w:pPr>
            <w:r>
              <w:rPr>
                <w:rFonts w:cs="Arial" w:ascii="Arial" w:hAnsi="Arial"/>
                <w:sz w:val="16"/>
                <w:szCs w:val="16"/>
              </w:rPr>
              <w:br/>
              <w:t>випуск серій:</w:t>
              <w:br/>
              <w:t>Санофі-Авентіс Зрт., Угорщина;</w:t>
            </w:r>
          </w:p>
          <w:p>
            <w:pPr>
              <w:pStyle w:val="112"/>
              <w:tabs>
                <w:tab w:val="left" w:pos="12600" w:leader="none"/>
              </w:tabs>
              <w:jc w:val="center"/>
              <w:rPr>
                <w:rFonts w:ascii="Arial" w:hAnsi="Arial" w:cs="Arial"/>
                <w:sz w:val="16"/>
                <w:szCs w:val="16"/>
              </w:rPr>
            </w:pPr>
            <w:r>
              <w:rPr>
                <w:rFonts w:cs="Arial" w:ascii="Arial" w:hAnsi="Arial"/>
                <w:sz w:val="16"/>
                <w:szCs w:val="16"/>
              </w:rPr>
              <w:br/>
              <w:t>контроль якості (шприци):</w:t>
              <w:br/>
              <w:t>Інтернешнл Драг Девелопмент Експерт, Франція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Франція/</w:t>
            </w:r>
          </w:p>
          <w:p>
            <w:pPr>
              <w:pStyle w:val="112"/>
              <w:tabs>
                <w:tab w:val="left" w:pos="12600" w:leader="none"/>
              </w:tabs>
              <w:jc w:val="center"/>
              <w:rPr>
                <w:rFonts w:ascii="Arial" w:hAnsi="Arial" w:cs="Arial"/>
                <w:sz w:val="16"/>
                <w:szCs w:val="16"/>
              </w:rPr>
            </w:pPr>
            <w:r>
              <w:rPr>
                <w:rFonts w:cs="Arial" w:ascii="Arial" w:hAnsi="Arial"/>
                <w:sz w:val="16"/>
                <w:szCs w:val="16"/>
              </w:rPr>
              <w:t>Угорщина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реєстрація на 5 років</w:t>
              <w:br/>
              <w:br/>
            </w:r>
          </w:p>
          <w:p>
            <w:pPr>
              <w:pStyle w:val="112"/>
              <w:tabs>
                <w:tab w:val="left" w:pos="12600" w:leader="none"/>
              </w:tabs>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b/>
                <w:b/>
                <w:sz w:val="16"/>
                <w:szCs w:val="16"/>
              </w:rPr>
            </w:pPr>
            <w:r>
              <w:rPr>
                <w:rFonts w:cs="Arial" w:ascii="Arial" w:hAnsi="Arial"/>
                <w:b/>
                <w:sz w:val="16"/>
                <w:szCs w:val="16"/>
              </w:rPr>
              <w:t>UA/214</w:t>
            </w:r>
            <w:r>
              <w:rPr>
                <w:rFonts w:cs="Arial" w:ascii="Arial" w:hAnsi="Arial"/>
                <w:b/>
                <w:sz w:val="16"/>
                <w:szCs w:val="16"/>
                <w:lang w:val="en-US"/>
              </w:rPr>
              <w:t>1</w:t>
            </w:r>
            <w:r>
              <w:rPr>
                <w:rFonts w:cs="Arial" w:ascii="Arial" w:hAnsi="Arial"/>
                <w:b/>
                <w:sz w:val="16"/>
                <w:szCs w:val="16"/>
              </w:rPr>
              <w:t>4/01/0</w:t>
            </w:r>
            <w:r>
              <w:rPr>
                <w:rFonts w:cs="Arial" w:ascii="Arial" w:hAnsi="Arial"/>
                <w:b/>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ВІНДИКТА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duloxetine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дулоксетин у формі дулоксетину гідрохлориду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N06AX21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кишковорозчинні, тверді, по 30 мг, по 10 капсул у блістері; по 3 (10х3)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"Сандоз Україна"</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випуск серії:</w:t>
              <w:br/>
              <w:t>Салютас Фарма ГмбХ, Німеччина;</w:t>
              <w:br/>
              <w:br/>
              <w:t>виробництво за повним циклом:</w:t>
              <w:br/>
              <w:t>Фарматен Інтернешенал С.А., Греція;</w:t>
            </w:r>
          </w:p>
          <w:p>
            <w:pPr>
              <w:pStyle w:val="Normal"/>
              <w:tabs>
                <w:tab w:val="left" w:pos="12600" w:leader="none"/>
              </w:tabs>
              <w:jc w:val="center"/>
              <w:rPr>
                <w:rFonts w:ascii="Arial" w:hAnsi="Arial" w:cs="Arial"/>
                <w:sz w:val="16"/>
                <w:szCs w:val="16"/>
              </w:rPr>
            </w:pPr>
            <w:r>
              <w:rPr>
                <w:rFonts w:cs="Arial" w:ascii="Arial" w:hAnsi="Arial"/>
                <w:sz w:val="16"/>
                <w:szCs w:val="16"/>
              </w:rPr>
              <w:br/>
              <w:t>первинне та вторинне пакування, тестування, випуск серій:</w:t>
              <w:br/>
              <w:t>Фарматен С.А., Греція</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 Греція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UA/2140</w:t>
            </w:r>
            <w:r>
              <w:rPr>
                <w:rFonts w:cs="Arial" w:ascii="Arial" w:hAnsi="Arial"/>
                <w:sz w:val="16"/>
                <w:szCs w:val="16"/>
                <w:lang w:val="en-US"/>
              </w:rPr>
              <w:t>7</w:t>
            </w:r>
            <w:r>
              <w:rPr>
                <w:rFonts w:cs="Arial" w:ascii="Arial" w:hAnsi="Arial"/>
                <w:sz w:val="16"/>
                <w:szCs w:val="16"/>
              </w:rPr>
              <w:t>/01/01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ВІНДИКТА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duloxetine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дулоксетин у формі дулоксетину гідрохлориду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N06AX21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кишковорозчинні, тверді, по 60 мг, по 10 капсул у блістері; по 3 (10х3)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"Сандоз Україна"</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випуск серії:</w:t>
              <w:br/>
              <w:t>Салютас Фарма ГмбХ, Німеччина;</w:t>
              <w:br/>
              <w:br/>
              <w:t>виробництво за повним циклом:</w:t>
              <w:br/>
              <w:t>Фарматен Інтернешенал С.А., Греція;</w:t>
            </w:r>
          </w:p>
          <w:p>
            <w:pPr>
              <w:pStyle w:val="Normal"/>
              <w:tabs>
                <w:tab w:val="left" w:pos="12600" w:leader="none"/>
              </w:tabs>
              <w:jc w:val="center"/>
              <w:rPr>
                <w:rFonts w:ascii="Arial" w:hAnsi="Arial" w:cs="Arial"/>
                <w:sz w:val="16"/>
                <w:szCs w:val="16"/>
              </w:rPr>
            </w:pPr>
            <w:r>
              <w:rPr>
                <w:rFonts w:cs="Arial" w:ascii="Arial" w:hAnsi="Arial"/>
                <w:sz w:val="16"/>
                <w:szCs w:val="16"/>
              </w:rPr>
              <w:br/>
              <w:t>первинне та вторинне пакування, тестування, випуск серій:</w:t>
              <w:br/>
              <w:t>Фарматен С.А., Греція</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 Греція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UA/2140</w:t>
            </w:r>
            <w:r>
              <w:rPr>
                <w:rFonts w:cs="Arial" w:ascii="Arial" w:hAnsi="Arial"/>
                <w:sz w:val="16"/>
                <w:szCs w:val="16"/>
                <w:lang w:val="en-US"/>
              </w:rPr>
              <w:t>7</w:t>
            </w:r>
            <w:r>
              <w:rPr>
                <w:rFonts w:cs="Arial" w:ascii="Arial" w:hAnsi="Arial"/>
                <w:sz w:val="16"/>
                <w:szCs w:val="16"/>
              </w:rPr>
              <w:t>/01/0</w:t>
            </w:r>
            <w:r>
              <w:rPr>
                <w:rFonts w:cs="Arial" w:ascii="Arial" w:hAnsi="Arial"/>
                <w:sz w:val="16"/>
                <w:szCs w:val="16"/>
                <w:lang w:val="en-US"/>
              </w:rPr>
              <w:t>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lang w:val="en-US"/>
              </w:rPr>
            </w:pPr>
            <w:r>
              <w:rPr>
                <w:rFonts w:cs="Arial" w:ascii="Arial" w:hAnsi="Arial"/>
                <w:b/>
                <w:sz w:val="16"/>
                <w:szCs w:val="16"/>
                <w:lang w:val="en-US"/>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ЛОРНОКСИКАМ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lornoxicam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лорноксикам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M01AC05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по 8 мг у флаконах; по 5 флаконів у контурній чарунковій упаковці; по 1 контурній чарунковій упаковці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ТОВАРИСТВО З ОБМЕЖЕНОЮ ВІДПОВІДАЛЬНІСТЮ «КОРПОРАЦІЯ «ЗДОРОВ’Я»</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Товариство з обмеженою відповідальністю "ФАРМЕКС ГРУП"</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br/>
            </w:r>
          </w:p>
          <w:p>
            <w:pPr>
              <w:pStyle w:val="Normal"/>
              <w:tabs>
                <w:tab w:val="left" w:pos="12600" w:leader="none"/>
              </w:tabs>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UA/2140</w:t>
            </w:r>
            <w:r>
              <w:rPr>
                <w:rFonts w:cs="Arial" w:ascii="Arial" w:hAnsi="Arial"/>
                <w:sz w:val="16"/>
                <w:szCs w:val="16"/>
                <w:lang w:val="en-US"/>
              </w:rPr>
              <w:t>8</w:t>
            </w:r>
            <w:r>
              <w:rPr>
                <w:rFonts w:cs="Arial" w:ascii="Arial" w:hAnsi="Arial"/>
                <w:sz w:val="16"/>
                <w:szCs w:val="16"/>
              </w:rPr>
              <w:t>/01/0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lang w:val="en-US"/>
              </w:rPr>
            </w:pPr>
            <w:r>
              <w:rPr>
                <w:rFonts w:cs="Arial" w:ascii="Arial" w:hAnsi="Arial"/>
                <w:b/>
                <w:sz w:val="16"/>
                <w:szCs w:val="16"/>
                <w:lang w:val="en-US"/>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РИВАРОКСАБАН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rivaroxaban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ривароксабан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"АРТЕРІУМ ЛТД"</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та випуск АФІ:</w:t>
              <w:br/>
              <w:t xml:space="preserve">МОЕХС КАТАЛАНА, С.Л., Іспанія; </w:t>
              <w:br/>
              <w:br/>
              <w:t>мікронізація АФІ:</w:t>
              <w:br/>
              <w:t>Лаб-Сервіс С.А.С., Франція;</w:t>
              <w:br/>
              <w:br/>
              <w:t>контроль розміру часток:</w:t>
              <w:br/>
              <w:t>Наномол Технолоджіс С.Л., Іспанія</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Іспанія/ Франція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реєстрація на 5 років.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lang w:val="ru-RU"/>
              </w:rPr>
            </w:pPr>
            <w:r>
              <w:rPr>
                <w:rFonts w:cs="Arial" w:ascii="Arial" w:hAnsi="Arial"/>
                <w:sz w:val="16"/>
                <w:szCs w:val="16"/>
              </w:rPr>
              <w:t>UA/2140</w:t>
            </w:r>
            <w:r>
              <w:rPr>
                <w:rFonts w:cs="Arial" w:ascii="Arial" w:hAnsi="Arial"/>
                <w:sz w:val="16"/>
                <w:szCs w:val="16"/>
                <w:lang w:val="en-US"/>
              </w:rPr>
              <w:t>9</w:t>
            </w:r>
            <w:r>
              <w:rPr>
                <w:rFonts w:cs="Arial" w:ascii="Arial" w:hAnsi="Arial"/>
                <w:sz w:val="16"/>
                <w:szCs w:val="16"/>
              </w:rPr>
              <w:t>/01/0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lang w:val="ru-RU"/>
              </w:rPr>
            </w:pPr>
            <w:r>
              <w:rPr>
                <w:rFonts w:cs="Arial" w:ascii="Arial" w:hAnsi="Arial"/>
                <w:b/>
                <w:sz w:val="16"/>
                <w:szCs w:val="16"/>
                <w:lang w:val="ru-RU"/>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РУПАТАДИНУ ФУМАРАТ</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Rupatadine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рупатадину фумарат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lang w:val="en-US"/>
              </w:rPr>
            </w:pPr>
            <w:r>
              <w:rPr>
                <w:rFonts w:cs="Arial" w:ascii="Arial" w:hAnsi="Arial"/>
                <w:sz w:val="16"/>
                <w:szCs w:val="16"/>
                <w:lang w:val="en-US"/>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(субстанція) у мішках подвійних поліетиленових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ВАСУДХА ФАРМА ХЕМ ЛІМІТЕД </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реєстрація на 5 років.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UA/214</w:t>
            </w:r>
            <w:r>
              <w:rPr>
                <w:rFonts w:cs="Arial" w:ascii="Arial" w:hAnsi="Arial"/>
                <w:sz w:val="16"/>
                <w:szCs w:val="16"/>
                <w:lang w:val="en-US"/>
              </w:rPr>
              <w:t>10</w:t>
            </w:r>
            <w:r>
              <w:rPr>
                <w:rFonts w:cs="Arial" w:ascii="Arial" w:hAnsi="Arial"/>
                <w:sz w:val="16"/>
                <w:szCs w:val="16"/>
              </w:rPr>
              <w:t>/01/0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lang w:val="en-US"/>
              </w:rPr>
            </w:pPr>
            <w:r>
              <w:rPr>
                <w:rFonts w:cs="Arial" w:ascii="Arial" w:hAnsi="Arial"/>
                <w:b/>
                <w:sz w:val="16"/>
                <w:szCs w:val="16"/>
                <w:lang w:val="en-US"/>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ТОТИЛЕМ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ferrous gluconate and folic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залізо (у вигляді заліза (ІІ) глюконату гідрату); кислота фолієва (у вигляді кислоти фолієвої 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B03AD05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10 таблеток у блістері; по 3 блістери в картонній коробці</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Лабораторія Іннотек Інтернасьйональ</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Іннотера Шузі</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UA/214</w:t>
            </w:r>
            <w:r>
              <w:rPr>
                <w:rFonts w:cs="Arial" w:ascii="Arial" w:hAnsi="Arial"/>
                <w:sz w:val="16"/>
                <w:szCs w:val="16"/>
                <w:lang w:val="en-US"/>
              </w:rPr>
              <w:t>11</w:t>
            </w:r>
            <w:r>
              <w:rPr>
                <w:rFonts w:cs="Arial" w:ascii="Arial" w:hAnsi="Arial"/>
                <w:sz w:val="16"/>
                <w:szCs w:val="16"/>
              </w:rPr>
              <w:t>/01/0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ТРАНЕКСАМОВА КИСЛОТА</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tranexamic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транексамова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lang w:val="en-US"/>
              </w:rPr>
            </w:pPr>
            <w:r>
              <w:rPr>
                <w:rFonts w:cs="Arial" w:ascii="Arial" w:hAnsi="Arial"/>
                <w:sz w:val="16"/>
                <w:szCs w:val="16"/>
                <w:lang w:val="en-US"/>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кристалічний 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Публічне акціонерне товариство "Науково-виробничий центр "Борщагівський хіміко-фармацевтичний завод"</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Шілпа Фарма Лайфсайенсес Лімітед</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UA/214</w:t>
            </w:r>
            <w:r>
              <w:rPr>
                <w:rFonts w:cs="Arial" w:ascii="Arial" w:hAnsi="Arial"/>
                <w:sz w:val="16"/>
                <w:szCs w:val="16"/>
                <w:lang w:val="en-US"/>
              </w:rPr>
              <w:t>12</w:t>
            </w:r>
            <w:r>
              <w:rPr>
                <w:rFonts w:cs="Arial" w:ascii="Arial" w:hAnsi="Arial"/>
                <w:sz w:val="16"/>
                <w:szCs w:val="16"/>
              </w:rPr>
              <w:t>/01/0</w:t>
            </w:r>
            <w:r>
              <w:rPr>
                <w:rFonts w:cs="Arial" w:ascii="Arial" w:hAnsi="Arial"/>
                <w:sz w:val="16"/>
                <w:szCs w:val="16"/>
                <w:lang w:val="en-US"/>
              </w:rPr>
              <w:t>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4"/>
              </w:numPr>
              <w:tabs>
                <w:tab w:val="left" w:pos="12600" w:leader="none"/>
              </w:tabs>
              <w:snapToGrid w:val="false"/>
              <w:jc w:val="center"/>
              <w:rPr>
                <w:rFonts w:ascii="Arial" w:hAnsi="Arial" w:cs="Arial"/>
                <w:b/>
                <w:b/>
                <w:sz w:val="16"/>
                <w:szCs w:val="16"/>
                <w:lang w:val="en-US"/>
              </w:rPr>
            </w:pPr>
            <w:r>
              <w:rPr>
                <w:rFonts w:cs="Arial" w:ascii="Arial" w:hAnsi="Arial"/>
                <w:b/>
                <w:sz w:val="16"/>
                <w:szCs w:val="16"/>
                <w:lang w:val="en-US"/>
              </w:rPr>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ТРИГЕКСИФЕНІДИЛУ ГІДРОХЛОРИД</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trihexyphenidyl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тригексифенідилу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lang w:val="en-US"/>
              </w:rPr>
            </w:pPr>
            <w:r>
              <w:rPr>
                <w:rFonts w:cs="Arial" w:ascii="Arial" w:hAnsi="Arial"/>
                <w:sz w:val="16"/>
                <w:szCs w:val="16"/>
                <w:lang w:val="en-US"/>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кристалічний 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Публічне акціонерне товариство "Науково-виробничий центр "Борщагівський хіміко-фармацевтичний завод" </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27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Р.Л. Файн Чем Пвт. Лтд.</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275"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реєстрація на 5 років</w:t>
              <w:b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b/>
                <w:sz w:val="16"/>
                <w:szCs w:val="16"/>
              </w:rPr>
              <w:t>UA/214</w:t>
            </w:r>
            <w:r>
              <w:rPr>
                <w:rFonts w:cs="Arial" w:ascii="Arial" w:hAnsi="Arial"/>
                <w:b/>
                <w:sz w:val="16"/>
                <w:szCs w:val="16"/>
                <w:lang w:val="en-US"/>
              </w:rPr>
              <w:t>13</w:t>
            </w:r>
            <w:r>
              <w:rPr>
                <w:rFonts w:cs="Arial" w:ascii="Arial" w:hAnsi="Arial"/>
                <w:b/>
                <w:sz w:val="16"/>
                <w:szCs w:val="16"/>
              </w:rPr>
              <w:t>/01/0</w:t>
            </w:r>
            <w:r>
              <w:rPr>
                <w:rFonts w:cs="Arial" w:ascii="Arial" w:hAnsi="Arial"/>
                <w:b/>
                <w:sz w:val="16"/>
                <w:szCs w:val="16"/>
                <w:lang w:val="en-US"/>
              </w:rPr>
              <w:t>1</w:t>
            </w:r>
          </w:p>
        </w:tc>
      </w:tr>
    </w:tbl>
    <w:p>
      <w:pPr>
        <w:pStyle w:val="Normal"/>
        <w:rPr>
          <w:rFonts w:ascii="Arial" w:hAnsi="Arial" w:cs="Arial"/>
        </w:rPr>
      </w:pPr>
      <w:r>
        <w:rPr>
          <w:rFonts w:cs="Arial" w:ascii="Arial" w:hAnsi="Arial"/>
        </w:rPr>
      </w:r>
    </w:p>
    <w:p>
      <w:pPr>
        <w:pStyle w:val="Norm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2">
        <w:r>
          <w:rPr>
            <w:rStyle w:val="InternetLink"/>
            <w:rFonts w:cs="Arial" w:ascii="Arial" w:hAnsi="Arial"/>
            <w:i/>
            <w:color w:val="000000"/>
            <w:szCs w:val="16"/>
          </w:rPr>
          <w:t>https://www.whocc.no/atc_ddd_index/</w:t>
        </w:r>
      </w:hyperlink>
      <w:r>
        <w:rPr>
          <w:rStyle w:val="InternetLink"/>
          <w:rFonts w:cs="Arial" w:ascii="Arial" w:hAnsi="Arial"/>
          <w:i/>
          <w:color w:val="000000"/>
          <w:szCs w:val="16"/>
        </w:rPr>
        <w:t>)</w:t>
      </w:r>
    </w:p>
    <w:p>
      <w:pPr>
        <w:pStyle w:val="Normal"/>
        <w:rPr>
          <w:rStyle w:val="InternetLink"/>
          <w:rFonts w:ascii="Arial" w:hAnsi="Arial" w:cs="Arial"/>
          <w:i/>
          <w:i/>
          <w:color w:val="000000"/>
          <w:szCs w:val="16"/>
        </w:rPr>
      </w:pPr>
      <w:r>
        <w:rPr/>
      </w:r>
    </w:p>
    <w:p>
      <w:pPr>
        <w:pStyle w:val="Normal"/>
        <w:rPr>
          <w:rStyle w:val="InternetLink"/>
          <w:rFonts w:ascii="Arial" w:hAnsi="Arial" w:cs="Arial"/>
          <w:i/>
          <w:i/>
          <w:color w:val="000000"/>
          <w:szCs w:val="16"/>
        </w:rPr>
      </w:pPr>
      <w:r>
        <w:rPr/>
      </w:r>
    </w:p>
    <w:tbl>
      <w:tblPr>
        <w:tblW w:w="14843" w:type="dxa"/>
        <w:jc w:val="left"/>
        <w:tblInd w:w="0" w:type="dxa"/>
        <w:tblBorders/>
        <w:tblCellMar>
          <w:top w:w="0" w:type="dxa"/>
          <w:left w:w="108" w:type="dxa"/>
          <w:bottom w:w="0" w:type="dxa"/>
          <w:right w:w="108" w:type="dxa"/>
        </w:tblCellMar>
      </w:tblPr>
      <w:tblGrid>
        <w:gridCol w:w="7421"/>
        <w:gridCol w:w="7422"/>
      </w:tblGrid>
      <w:tr>
        <w:trPr/>
        <w:tc>
          <w:tcPr>
            <w:tcW w:w="7421" w:type="dxa"/>
            <w:tcBorders/>
            <w:shd w:fill="auto" w:val="clear"/>
          </w:tcPr>
          <w:p>
            <w:pPr>
              <w:pStyle w:val="Normal"/>
              <w:ind w:right="20" w:hanging="0"/>
              <w:rPr>
                <w:rStyle w:val="Cs95e872d01"/>
                <w:rFonts w:ascii="Arial" w:hAnsi="Arial" w:cs="Arial"/>
                <w:lang w:val="ru-RU"/>
              </w:rPr>
            </w:pPr>
            <w:r>
              <w:rPr>
                <w:rStyle w:val="Cs7864ebcf1"/>
                <w:rFonts w:cs="Arial" w:ascii="Arial" w:hAnsi="Arial"/>
                <w:color w:val="000000"/>
                <w:sz w:val="24"/>
                <w:szCs w:val="24"/>
              </w:rPr>
              <w:t xml:space="preserve">Начальник </w:t>
            </w:r>
          </w:p>
          <w:p>
            <w:pPr>
              <w:pStyle w:val="Normal"/>
              <w:ind w:right="20" w:hanging="0"/>
              <w:rPr>
                <w:rStyle w:val="Cs7864ebcf1"/>
                <w:rFonts w:ascii="Arial" w:hAnsi="Arial" w:cs="Arial"/>
                <w:color w:val="000000"/>
                <w:sz w:val="24"/>
                <w:szCs w:val="24"/>
              </w:rPr>
            </w:pPr>
            <w:r>
              <w:rPr>
                <w:rStyle w:val="Cs7864ebcf1"/>
                <w:rFonts w:cs="Arial" w:ascii="Arial" w:hAnsi="Arial"/>
                <w:color w:val="000000"/>
                <w:sz w:val="24"/>
                <w:szCs w:val="24"/>
              </w:rPr>
              <w:t xml:space="preserve">Фармацевтичного управління </w:t>
            </w:r>
            <w:r>
              <w:rPr>
                <w:rStyle w:val="Cs188c92b51"/>
                <w:rFonts w:cs="Arial" w:ascii="Arial" w:hAnsi="Arial"/>
                <w:color w:val="000000"/>
                <w:sz w:val="24"/>
                <w:szCs w:val="24"/>
              </w:rPr>
              <w:t>                                 </w:t>
            </w:r>
          </w:p>
        </w:tc>
        <w:tc>
          <w:tcPr>
            <w:tcW w:w="7422" w:type="dxa"/>
            <w:tcBorders/>
            <w:shd w:fill="auto" w:val="clear"/>
          </w:tcPr>
          <w:p>
            <w:pPr>
              <w:pStyle w:val="Cs95e872d0"/>
              <w:snapToGrid w:val="false"/>
              <w:rPr>
                <w:rStyle w:val="Cs7864ebcf1"/>
                <w:rFonts w:ascii="Arial" w:hAnsi="Arial" w:cs="Arial"/>
                <w:color w:val="000000"/>
                <w:sz w:val="24"/>
                <w:szCs w:val="24"/>
              </w:rPr>
            </w:pPr>
            <w:r>
              <w:rPr/>
            </w:r>
          </w:p>
          <w:p>
            <w:pPr>
              <w:pStyle w:val="Cs95e872d0"/>
              <w:jc w:val="center"/>
              <w:rPr/>
            </w:pPr>
            <w:r>
              <w:rPr>
                <w:rStyle w:val="Cs7864ebcf1"/>
                <w:rFonts w:eastAsia="Arial" w:cs="Arial" w:ascii="Arial" w:hAnsi="Arial"/>
                <w:color w:val="000000"/>
                <w:sz w:val="24"/>
                <w:szCs w:val="24"/>
                <w:lang w:val="uk-UA"/>
              </w:rPr>
              <w:t xml:space="preserve">                                            </w:t>
            </w:r>
          </w:p>
          <w:p>
            <w:pPr>
              <w:pStyle w:val="Cs95e872d0"/>
              <w:jc w:val="center"/>
              <w:rPr/>
            </w:pPr>
            <w:r>
              <w:rPr>
                <w:rStyle w:val="Cs7864ebcf1"/>
                <w:rFonts w:eastAsia="Arial" w:cs="Arial" w:ascii="Arial" w:hAnsi="Arial"/>
                <w:color w:val="000000"/>
                <w:sz w:val="24"/>
                <w:szCs w:val="24"/>
                <w:lang w:val="uk-UA"/>
              </w:rPr>
              <w:t xml:space="preserve">                                   </w:t>
            </w:r>
            <w:r>
              <w:rPr>
                <w:rStyle w:val="Cs7864ebcf1"/>
                <w:rFonts w:cs="Arial" w:ascii="Arial" w:hAnsi="Arial"/>
                <w:color w:val="000000"/>
                <w:sz w:val="24"/>
                <w:szCs w:val="24"/>
                <w:lang w:val="uk-UA"/>
              </w:rPr>
              <w:t xml:space="preserve">Олександр ГРІЦЕНКО  </w:t>
            </w:r>
          </w:p>
        </w:tc>
      </w:tr>
    </w:tbl>
    <w:p>
      <w:pPr>
        <w:pStyle w:val="Normal"/>
        <w:rPr>
          <w:rStyle w:val="Cs7864ebcf1"/>
          <w:rFonts w:ascii="Arial" w:hAnsi="Arial" w:cs="Arial"/>
          <w:color w:val="000000"/>
          <w:sz w:val="16"/>
          <w:szCs w:val="16"/>
          <w:lang w:val="ru-RU"/>
        </w:rPr>
      </w:pPr>
      <w:r>
        <w:rPr/>
      </w:r>
      <w:r>
        <w:br w:type="page"/>
      </w:r>
    </w:p>
    <w:p>
      <w:pPr>
        <w:pStyle w:val="Normal"/>
        <w:rPr>
          <w:rFonts w:ascii="Arial" w:hAnsi="Arial" w:cs="Arial"/>
          <w:sz w:val="16"/>
          <w:szCs w:val="16"/>
          <w:lang w:val="ru-RU"/>
        </w:rPr>
      </w:pPr>
      <w:r>
        <w:rPr>
          <w:rFonts w:cs="Arial" w:ascii="Arial" w:hAnsi="Arial"/>
          <w:sz w:val="16"/>
          <w:szCs w:val="16"/>
          <w:lang w:val="ru-RU"/>
        </w:rPr>
      </w:r>
    </w:p>
    <w:tbl>
      <w:tblPr>
        <w:tblW w:w="3825" w:type="dxa"/>
        <w:jc w:val="left"/>
        <w:tblInd w:w="11448" w:type="dxa"/>
        <w:tblBorders/>
        <w:tblCellMar>
          <w:top w:w="0" w:type="dxa"/>
          <w:left w:w="108" w:type="dxa"/>
          <w:bottom w:w="0" w:type="dxa"/>
          <w:right w:w="108" w:type="dxa"/>
        </w:tblCellMar>
      </w:tblPr>
      <w:tblGrid>
        <w:gridCol w:w="3825"/>
      </w:tblGrid>
      <w:tr>
        <w:trPr/>
        <w:tc>
          <w:tcPr>
            <w:tcW w:w="3825" w:type="dxa"/>
            <w:tcBorders/>
            <w:shd w:fill="auto" w:val="clear"/>
          </w:tcPr>
          <w:p>
            <w:pPr>
              <w:pStyle w:val="Heading4"/>
              <w:numPr>
                <w:ilvl w:val="3"/>
                <w:numId w:val="1"/>
              </w:numPr>
              <w:tabs>
                <w:tab w:val="left" w:pos="12600" w:leader="none"/>
              </w:tabs>
              <w:jc w:val="left"/>
              <w:rPr>
                <w:rFonts w:cs="Arial"/>
                <w:sz w:val="16"/>
                <w:szCs w:val="16"/>
              </w:rPr>
            </w:pPr>
            <w:r>
              <w:rPr>
                <w:rFonts w:cs="Arial"/>
                <w:sz w:val="16"/>
                <w:szCs w:val="16"/>
              </w:rPr>
              <w:t>Додаток</w:t>
            </w:r>
            <w:r>
              <w:rPr>
                <w:rFonts w:cs="Arial"/>
                <w:sz w:val="16"/>
                <w:szCs w:val="16"/>
                <w:lang w:val="ru-RU"/>
              </w:rPr>
              <w:t xml:space="preserve"> 2</w:t>
            </w:r>
          </w:p>
          <w:p>
            <w:pPr>
              <w:pStyle w:val="Heading4"/>
              <w:numPr>
                <w:ilvl w:val="3"/>
                <w:numId w:val="1"/>
              </w:numPr>
              <w:tabs>
                <w:tab w:val="left" w:pos="12600" w:leader="none"/>
              </w:tabs>
              <w:jc w:val="left"/>
              <w:rPr>
                <w:rFonts w:cs="Arial"/>
                <w:sz w:val="16"/>
                <w:szCs w:val="16"/>
              </w:rPr>
            </w:pPr>
            <w:r>
              <w:rPr>
                <w:rFonts w:cs="Arial"/>
                <w:sz w:val="16"/>
                <w:szCs w:val="16"/>
              </w:rPr>
              <w:t>до Наказу Міністерства охорони</w:t>
            </w:r>
          </w:p>
          <w:p>
            <w:pPr>
              <w:pStyle w:val="Heading4"/>
              <w:numPr>
                <w:ilvl w:val="3"/>
                <w:numId w:val="1"/>
              </w:numPr>
              <w:tabs>
                <w:tab w:val="left" w:pos="12600" w:leader="none"/>
              </w:tabs>
              <w:jc w:val="left"/>
              <w:rPr>
                <w:rFonts w:cs="Arial"/>
                <w:sz w:val="16"/>
                <w:szCs w:val="16"/>
              </w:rPr>
            </w:pPr>
            <w:r>
              <w:rPr>
                <w:rFonts w:cs="Arial"/>
                <w:sz w:val="16"/>
                <w:szCs w:val="16"/>
              </w:rPr>
              <w:t>здоров’я України</w:t>
            </w:r>
          </w:p>
          <w:p>
            <w:pPr>
              <w:pStyle w:val="Heading4"/>
              <w:numPr>
                <w:ilvl w:val="3"/>
                <w:numId w:val="1"/>
              </w:numPr>
              <w:tabs>
                <w:tab w:val="left" w:pos="12600" w:leader="none"/>
              </w:tabs>
              <w:jc w:val="left"/>
              <w:rPr>
                <w:rFonts w:cs="Arial"/>
                <w:sz w:val="16"/>
                <w:szCs w:val="16"/>
              </w:rPr>
            </w:pPr>
            <w:r>
              <w:rPr>
                <w:rFonts w:cs="Arial"/>
                <w:sz w:val="16"/>
                <w:szCs w:val="16"/>
              </w:rPr>
              <w:t>____________________ № _______</w:t>
            </w:r>
          </w:p>
          <w:p>
            <w:pPr>
              <w:pStyle w:val="11"/>
              <w:rPr>
                <w:rFonts w:ascii="Arial" w:hAnsi="Arial" w:cs="Arial"/>
                <w:sz w:val="16"/>
                <w:szCs w:val="16"/>
              </w:rPr>
            </w:pPr>
            <w:r>
              <w:rPr>
                <w:rFonts w:cs="Arial" w:ascii="Arial" w:hAnsi="Arial"/>
                <w:sz w:val="16"/>
                <w:szCs w:val="16"/>
              </w:rPr>
            </w:r>
          </w:p>
        </w:tc>
      </w:tr>
    </w:tbl>
    <w:p>
      <w:pPr>
        <w:pStyle w:val="Normal"/>
        <w:keepNext w:val="true"/>
        <w:numPr>
          <w:ilvl w:val="0"/>
          <w:numId w:val="0"/>
        </w:numPr>
        <w:tabs>
          <w:tab w:val="left" w:pos="12600" w:leader="none"/>
        </w:tabs>
        <w:jc w:val="center"/>
        <w:outlineLvl w:val="1"/>
        <w:rPr>
          <w:rFonts w:ascii="Arial" w:hAnsi="Arial" w:cs="Arial"/>
          <w:b/>
          <w:b/>
          <w:caps/>
          <w:sz w:val="16"/>
          <w:szCs w:val="16"/>
        </w:rPr>
      </w:pPr>
      <w:r>
        <w:rPr>
          <w:rFonts w:cs="Arial" w:ascii="Arial" w:hAnsi="Arial"/>
          <w:b/>
          <w:caps/>
          <w:sz w:val="16"/>
          <w:szCs w:val="16"/>
        </w:rPr>
      </w:r>
    </w:p>
    <w:p>
      <w:pPr>
        <w:pStyle w:val="Normal"/>
        <w:keepNext w:val="true"/>
        <w:numPr>
          <w:ilvl w:val="0"/>
          <w:numId w:val="0"/>
        </w:numPr>
        <w:tabs>
          <w:tab w:val="left" w:pos="12600" w:leader="none"/>
        </w:tabs>
        <w:jc w:val="center"/>
        <w:outlineLvl w:val="1"/>
        <w:rPr>
          <w:rFonts w:ascii="Arial" w:hAnsi="Arial" w:cs="Arial"/>
          <w:b/>
          <w:b/>
        </w:rPr>
      </w:pPr>
      <w:r>
        <w:rPr>
          <w:rFonts w:cs="Arial" w:ascii="Arial" w:hAnsi="Arial"/>
          <w:b/>
          <w:caps/>
        </w:rPr>
        <w:t>ПЕРЕЛІК</w:t>
      </w:r>
    </w:p>
    <w:p>
      <w:pPr>
        <w:pStyle w:val="Normal"/>
        <w:keepNext w:val="true"/>
        <w:numPr>
          <w:ilvl w:val="0"/>
          <w:numId w:val="0"/>
        </w:numPr>
        <w:tabs>
          <w:tab w:val="left" w:pos="12600" w:leader="none"/>
        </w:tabs>
        <w:jc w:val="center"/>
        <w:outlineLvl w:val="3"/>
        <w:rPr>
          <w:rFonts w:ascii="Arial" w:hAnsi="Arial" w:cs="Arial"/>
          <w:b/>
          <w:b/>
          <w:caps/>
        </w:rPr>
      </w:pPr>
      <w:r>
        <w:rPr>
          <w:rFonts w:cs="Arial" w:ascii="Arial" w:hAnsi="Arial"/>
          <w:b/>
          <w:caps/>
        </w:rPr>
        <w:t>ЛІКАРСЬКИХ ЗАСОБІВ, що пропонуються до державної ПЕРЕреєстрації</w:t>
      </w:r>
    </w:p>
    <w:p>
      <w:pPr>
        <w:pStyle w:val="Normal"/>
        <w:keepNext w:val="true"/>
        <w:numPr>
          <w:ilvl w:val="0"/>
          <w:numId w:val="0"/>
        </w:numPr>
        <w:tabs>
          <w:tab w:val="left" w:pos="12600" w:leader="none"/>
        </w:tabs>
        <w:jc w:val="center"/>
        <w:outlineLvl w:val="3"/>
        <w:rPr>
          <w:rFonts w:ascii="Arial" w:hAnsi="Arial" w:cs="Arial"/>
          <w:b/>
          <w:b/>
          <w:caps/>
        </w:rPr>
      </w:pPr>
      <w:r>
        <w:rPr>
          <w:rFonts w:cs="Arial" w:ascii="Arial" w:hAnsi="Arial"/>
          <w:b/>
          <w:caps/>
        </w:rPr>
      </w:r>
    </w:p>
    <w:tbl>
      <w:tblPr>
        <w:tblW w:w="16028" w:type="dxa"/>
        <w:jc w:val="left"/>
        <w:tblInd w:w="-464"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7"/>
        <w:gridCol w:w="1418"/>
        <w:gridCol w:w="992"/>
        <w:gridCol w:w="992"/>
        <w:gridCol w:w="851"/>
        <w:gridCol w:w="1701"/>
        <w:gridCol w:w="1134"/>
        <w:gridCol w:w="992"/>
        <w:gridCol w:w="1418"/>
        <w:gridCol w:w="992"/>
        <w:gridCol w:w="1417"/>
        <w:gridCol w:w="1134"/>
        <w:gridCol w:w="993"/>
        <w:gridCol w:w="1427"/>
      </w:tblGrid>
      <w:tr>
        <w:trPr>
          <w:tblHeader w:val="true"/>
        </w:trPr>
        <w:tc>
          <w:tcPr>
            <w:tcW w:w="56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1417"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3"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БІСОПРОЛОЛУ ФУМАРАТ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Bisoprolol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бісопрололу фумарат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порошок (субстанція) у пакетах подвійних поліетиленових для фармацевтичного застосування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Русан Фарма Лтд.</w:t>
              <w:br/>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Русан Фарма Лтд.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UA/19187/01/01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ДЖОКЕР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sildenafil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силденафілу цитрат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G04BE03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суспензія оральна по 25 мг/мл; по 30 мл у флаконі з дозуючим насосом; по 1 флакону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Альпен Фарма ГмбХ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первинне та вторинне пакування та випуск серії готового лікарського засобу:</w:t>
              <w:br/>
              <w:t>ЕДЕФАРМ, С.Л., Іспанiя;</w:t>
              <w:br/>
              <w:br/>
              <w:t>контроль якості та випуск серії готового лікарського засобу:</w:t>
              <w:br/>
              <w:t>ФАРМАЛІДЕР, С.А., Іспанія;</w:t>
              <w:br/>
              <w:br/>
              <w:t>мікробіологічний контроль:</w:t>
              <w:br/>
              <w:t>БІОЛАБ, С.Л., Іспанiя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Іспанiя</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Перереєстрація на необмежений термін. </w:t>
              <w:b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UA/18813/01/01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КІНСЬКОГО КАШТАНУ НАСІННЯ ЕКСТРАКТ СУХИЙ СТАНДАРТИЗОВАНИЙ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Hippocastani semen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кінського каштану насіння екстракт сухий стандартизований (Hippocastani semenis extractum siccum normatum)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(субстанція) у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ТОВАРИСТВО З ОБМЕЖЕНОЮ ВІДПОВІДАЛЬНІСТЮ «КОРПОРАЦІЯ «ЗДОРОВ’Я»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Фінцельберг ГмбХ &amp; Ко. КГ</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UA/16747/01/01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ЛІПОТІОН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thioctic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тіоктова (альфа-ліпоєва)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A16AX01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600 мг/50 мл; по 50 мл у флаконі; по 1 флакону в світлозахисному футлярі; по 1 світлозахисному футляру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ТОВ "УОРЛД МЕДИЦИН"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УОРЛД МЕДИЦИН ІЛАЧ САН. ВЕ ТІДЖ. А.Ш.</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Туреччина</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перереєстрація на необмежений термін. </w:t>
              <w:b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UA/18943/01/01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МОКСОПРЕС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moxonidine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моксонідин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C02AC05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0,2 мг, по 10 таблеток у блістері, по 3 блістери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Публічне акціонерне товариство "Науково-виробничий центр "Борщагівський хіміко-фармацевтичний завод"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Публічне акціонерне товариство "Науково-виробничий центр "Борщагівський хіміко-фармацевтичний завод"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перереєстрація на необмежений термін</w:t>
              <w:b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UA/18998/01/01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МОКСОПРЕС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moxonidine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моксонідин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C02AC05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0,4 мг, по 10 таблеток у блістері, по 3 блістери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Публічне акціонерне товариство "Науково-виробничий центр "Борщагівський хіміко-фармацевтичний завод"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Публічне акціонерне товариство "Науково-виробничий центр "Борщагівський хіміко-фармацевтичний завод"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перереєстрація на необмежений термін</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UA/18998/01/02</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НАТРІЮ (S)-ЛАКТАТ РОЗЧИН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натрію 2-гідроксипропаонат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(субстанція) в бочках з високомолекулярного поліетилену високої щільності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ПАТ "Галичфарм"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Пурак Байокім Бі Ві</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Нідерланди</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UA/19028/01/01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ФАВІПІРАВІР-МІКРОХІМ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favipiravir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фавіпіравір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J05AX27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200 мг, по 10 таблеток у блістері, по 4 блістери у пачці з картону або по 10 таблеток у блістері; по 10 блістерів у пачці з картону; по 40 таблеток у банці, по 1 банці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НВФ "МІКРОХІМ"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ТОВ НВФ «МІКРОХІМ»</w:t>
              <w:br/>
            </w:r>
            <w:r>
              <w:rPr>
                <w:rFonts w:cs="Arial" w:ascii="Arial" w:hAnsi="Arial"/>
                <w:sz w:val="16"/>
                <w:szCs w:val="16"/>
                <w:lang w:val="ru-RU"/>
              </w:rPr>
              <w:t>(</w:t>
            </w:r>
            <w:r>
              <w:rPr>
                <w:rFonts w:cs="Arial" w:ascii="Arial" w:hAnsi="Arial"/>
                <w:sz w:val="16"/>
                <w:szCs w:val="16"/>
              </w:rPr>
              <w:t xml:space="preserve">юридична адреса; </w:t>
              <w:br/>
              <w:t>відповідальний за виробництво та контроль/випробування серії, не включаючи випуск серії; відповідальний за випуск серії, не включаючи контроль/випробування серії</w:t>
            </w:r>
            <w:r>
              <w:rPr>
                <w:rFonts w:cs="Arial" w:ascii="Arial" w:hAnsi="Arial"/>
                <w:sz w:val="16"/>
                <w:szCs w:val="16"/>
                <w:lang w:val="ru-RU"/>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Перереєстрація на необмежений термін. </w:t>
              <w:b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UA/18654/01/01</w:t>
            </w:r>
          </w:p>
        </w:tc>
      </w:tr>
      <w:tr>
        <w:trPr/>
        <w:tc>
          <w:tcPr>
            <w:tcW w:w="56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5"/>
              </w:numPr>
              <w:tabs>
                <w:tab w:val="left" w:pos="12600" w:leader="none"/>
              </w:tabs>
              <w:snapToGrid w:val="false"/>
              <w:jc w:val="center"/>
              <w:rPr>
                <w:rFonts w:ascii="Arial" w:hAnsi="Arial" w:cs="Arial"/>
                <w:b/>
                <w:b/>
                <w:sz w:val="16"/>
                <w:szCs w:val="16"/>
              </w:rPr>
            </w:pPr>
            <w:r>
              <w:rPr>
                <w:rFonts w:cs="Arial" w:ascii="Arial" w:hAnsi="Arial"/>
                <w:b/>
                <w:sz w:val="16"/>
                <w:szCs w:val="16"/>
              </w:rPr>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ФЛУТІКАЗОНУ ПРОПІОНАТ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fluticasone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флутіказону пропіонат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ТОВАРИСТВО З ОБМЕЖЕНОЮ ВІДПОВІДАЛЬНІСТЮ «КОРПОРАЦІЯ «ЗДОРОВ’Я»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Індустріалє Кіміка С.Р.Л.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Італiя</w:t>
            </w:r>
          </w:p>
        </w:tc>
        <w:tc>
          <w:tcPr>
            <w:tcW w:w="1417"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Перереєстрація на необмежений термін</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3"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lang w:val="ru-RU"/>
              </w:rPr>
            </w:pPr>
            <w:r>
              <w:rPr>
                <w:rFonts w:cs="Arial" w:ascii="Arial" w:hAnsi="Arial"/>
                <w:sz w:val="16"/>
                <w:szCs w:val="16"/>
              </w:rPr>
              <w:t>UA/15965/01/01</w:t>
            </w:r>
          </w:p>
        </w:tc>
      </w:tr>
    </w:tbl>
    <w:p>
      <w:pPr>
        <w:pStyle w:val="Normal"/>
        <w:rPr>
          <w:rFonts w:ascii="Arial" w:hAnsi="Arial" w:cs="Arial"/>
        </w:rPr>
      </w:pPr>
      <w:r>
        <w:rPr>
          <w:rFonts w:cs="Arial" w:ascii="Arial" w:hAnsi="Arial"/>
        </w:rPr>
      </w:r>
    </w:p>
    <w:p>
      <w:pPr>
        <w:pStyle w:val="Normal"/>
        <w:rPr>
          <w:rStyle w:val="InternetLink"/>
          <w:rFonts w:ascii="Arial" w:hAnsi="Arial" w:cs="Arial"/>
          <w:i/>
          <w:i/>
          <w:color w:val="000000"/>
          <w:szCs w:val="16"/>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3">
        <w:r>
          <w:rPr>
            <w:rStyle w:val="InternetLink"/>
            <w:rFonts w:cs="Arial" w:ascii="Arial" w:hAnsi="Arial"/>
            <w:i/>
            <w:color w:val="000000"/>
            <w:szCs w:val="16"/>
          </w:rPr>
          <w:t>https://www.whocc.no/atc_ddd_index/</w:t>
        </w:r>
      </w:hyperlink>
      <w:r>
        <w:rPr>
          <w:rStyle w:val="InternetLink"/>
          <w:rFonts w:cs="Arial" w:ascii="Arial" w:hAnsi="Arial"/>
          <w:i/>
          <w:color w:val="000000"/>
          <w:szCs w:val="16"/>
        </w:rPr>
        <w:t>)</w:t>
      </w:r>
    </w:p>
    <w:p>
      <w:pPr>
        <w:pStyle w:val="Normal"/>
        <w:rPr>
          <w:rStyle w:val="InternetLink"/>
          <w:rFonts w:ascii="Arial" w:hAnsi="Arial" w:cs="Arial"/>
          <w:i/>
          <w:i/>
          <w:color w:val="000000"/>
          <w:szCs w:val="16"/>
        </w:rPr>
      </w:pPr>
      <w:r>
        <w:rPr/>
      </w:r>
    </w:p>
    <w:p>
      <w:pPr>
        <w:pStyle w:val="Normal"/>
        <w:rPr>
          <w:rStyle w:val="InternetLink"/>
          <w:rFonts w:ascii="Arial" w:hAnsi="Arial" w:cs="Arial"/>
          <w:i/>
          <w:i/>
          <w:color w:val="000000"/>
          <w:szCs w:val="16"/>
        </w:rPr>
      </w:pPr>
      <w:r>
        <w:rPr/>
      </w:r>
    </w:p>
    <w:tbl>
      <w:tblPr>
        <w:tblW w:w="14843" w:type="dxa"/>
        <w:jc w:val="left"/>
        <w:tblInd w:w="0" w:type="dxa"/>
        <w:tblBorders/>
        <w:tblCellMar>
          <w:top w:w="0" w:type="dxa"/>
          <w:left w:w="108" w:type="dxa"/>
          <w:bottom w:w="0" w:type="dxa"/>
          <w:right w:w="108" w:type="dxa"/>
        </w:tblCellMar>
      </w:tblPr>
      <w:tblGrid>
        <w:gridCol w:w="7421"/>
        <w:gridCol w:w="7422"/>
      </w:tblGrid>
      <w:tr>
        <w:trPr/>
        <w:tc>
          <w:tcPr>
            <w:tcW w:w="7421" w:type="dxa"/>
            <w:tcBorders/>
            <w:shd w:fill="auto" w:val="clear"/>
          </w:tcPr>
          <w:p>
            <w:pPr>
              <w:pStyle w:val="Normal"/>
              <w:ind w:right="20" w:hanging="0"/>
              <w:rPr>
                <w:rStyle w:val="Cs95e872d01"/>
                <w:rFonts w:ascii="Arial" w:hAnsi="Arial" w:cs="Arial"/>
                <w:lang w:val="ru-RU"/>
              </w:rPr>
            </w:pPr>
            <w:r>
              <w:rPr>
                <w:rStyle w:val="Cs7864ebcf1"/>
                <w:rFonts w:cs="Arial" w:ascii="Arial" w:hAnsi="Arial"/>
                <w:color w:val="000000"/>
                <w:sz w:val="24"/>
                <w:szCs w:val="24"/>
              </w:rPr>
              <w:t xml:space="preserve">Начальник </w:t>
            </w:r>
          </w:p>
          <w:p>
            <w:pPr>
              <w:pStyle w:val="Normal"/>
              <w:ind w:right="20" w:hanging="0"/>
              <w:rPr>
                <w:rStyle w:val="Cs7864ebcf1"/>
                <w:rFonts w:ascii="Arial" w:hAnsi="Arial" w:cs="Arial"/>
                <w:color w:val="000000"/>
                <w:sz w:val="24"/>
                <w:szCs w:val="24"/>
              </w:rPr>
            </w:pPr>
            <w:r>
              <w:rPr>
                <w:rStyle w:val="Cs7864ebcf1"/>
                <w:rFonts w:cs="Arial" w:ascii="Arial" w:hAnsi="Arial"/>
                <w:color w:val="000000"/>
                <w:sz w:val="24"/>
                <w:szCs w:val="24"/>
              </w:rPr>
              <w:t xml:space="preserve">Фармацевтичного управління </w:t>
            </w:r>
            <w:r>
              <w:rPr>
                <w:rStyle w:val="Cs188c92b51"/>
                <w:rFonts w:cs="Arial" w:ascii="Arial" w:hAnsi="Arial"/>
                <w:color w:val="000000"/>
                <w:sz w:val="24"/>
                <w:szCs w:val="24"/>
              </w:rPr>
              <w:t>             </w:t>
            </w:r>
          </w:p>
        </w:tc>
        <w:tc>
          <w:tcPr>
            <w:tcW w:w="7422" w:type="dxa"/>
            <w:tcBorders/>
            <w:shd w:fill="auto" w:val="clear"/>
          </w:tcPr>
          <w:p>
            <w:pPr>
              <w:pStyle w:val="Cs95e872d0"/>
              <w:snapToGrid w:val="false"/>
              <w:rPr>
                <w:rStyle w:val="Cs7864ebcf1"/>
                <w:rFonts w:ascii="Arial" w:hAnsi="Arial" w:cs="Arial"/>
                <w:color w:val="000000"/>
                <w:sz w:val="24"/>
                <w:szCs w:val="24"/>
              </w:rPr>
            </w:pPr>
            <w:r>
              <w:rPr/>
            </w:r>
          </w:p>
          <w:p>
            <w:pPr>
              <w:pStyle w:val="Cs95e872d0"/>
              <w:jc w:val="center"/>
              <w:rPr/>
            </w:pPr>
            <w:r>
              <w:rPr>
                <w:rStyle w:val="Cs7864ebcf1"/>
                <w:rFonts w:eastAsia="Arial" w:cs="Arial" w:ascii="Arial" w:hAnsi="Arial"/>
                <w:color w:val="000000"/>
                <w:sz w:val="24"/>
                <w:szCs w:val="24"/>
                <w:lang w:val="uk-UA"/>
              </w:rPr>
              <w:t xml:space="preserve">                                   </w:t>
            </w:r>
            <w:r>
              <w:rPr>
                <w:rStyle w:val="Cs7864ebcf1"/>
                <w:rFonts w:cs="Arial" w:ascii="Arial" w:hAnsi="Arial"/>
                <w:color w:val="000000"/>
                <w:sz w:val="24"/>
                <w:szCs w:val="24"/>
                <w:lang w:val="uk-UA"/>
              </w:rPr>
              <w:t xml:space="preserve">Олександр ГРІЦЕНКО  </w:t>
            </w:r>
          </w:p>
        </w:tc>
      </w:tr>
    </w:tbl>
    <w:tbl>
      <w:tblPr>
        <w:tblW w:w="3828" w:type="dxa"/>
        <w:jc w:val="left"/>
        <w:tblInd w:w="11448" w:type="dxa"/>
        <w:tblBorders/>
        <w:tblCellMar>
          <w:top w:w="0" w:type="dxa"/>
          <w:left w:w="108" w:type="dxa"/>
          <w:bottom w:w="0" w:type="dxa"/>
          <w:right w:w="108" w:type="dxa"/>
        </w:tblCellMar>
      </w:tblPr>
      <w:tblGrid>
        <w:gridCol w:w="3828"/>
      </w:tblGrid>
      <w:tr>
        <w:trPr/>
        <w:tc>
          <w:tcPr>
            <w:tcW w:w="3828" w:type="dxa"/>
            <w:tcBorders/>
            <w:shd w:fill="auto" w:val="clear"/>
          </w:tcPr>
          <w:p>
            <w:pPr>
              <w:pStyle w:val="Normal"/>
              <w:keepNext w:val="true"/>
              <w:numPr>
                <w:ilvl w:val="0"/>
                <w:numId w:val="0"/>
              </w:numPr>
              <w:tabs>
                <w:tab w:val="left" w:pos="12600" w:leader="none"/>
              </w:tabs>
              <w:outlineLvl w:val="3"/>
              <w:rPr>
                <w:rFonts w:ascii="Arial" w:hAnsi="Arial" w:cs="Arial"/>
                <w:b/>
                <w:b/>
                <w:sz w:val="16"/>
                <w:szCs w:val="16"/>
              </w:rPr>
            </w:pPr>
            <w:r>
              <w:rPr>
                <w:rFonts w:cs="Arial" w:ascii="Arial" w:hAnsi="Arial"/>
                <w:b/>
                <w:sz w:val="16"/>
                <w:szCs w:val="16"/>
              </w:rPr>
              <w:t>Додаток 3</w:t>
            </w:r>
          </w:p>
          <w:p>
            <w:pPr>
              <w:pStyle w:val="Heading4"/>
              <w:numPr>
                <w:ilvl w:val="3"/>
                <w:numId w:val="1"/>
              </w:numPr>
              <w:tabs>
                <w:tab w:val="left" w:pos="12600" w:leader="none"/>
              </w:tabs>
              <w:jc w:val="left"/>
              <w:rPr>
                <w:rFonts w:cs="Arial"/>
                <w:sz w:val="16"/>
                <w:szCs w:val="16"/>
              </w:rPr>
            </w:pPr>
            <w:r>
              <w:rPr>
                <w:rFonts w:cs="Arial"/>
                <w:sz w:val="16"/>
                <w:szCs w:val="16"/>
              </w:rPr>
              <w:t>до Наказу Міністерства охорони</w:t>
            </w:r>
          </w:p>
          <w:p>
            <w:pPr>
              <w:pStyle w:val="Heading4"/>
              <w:numPr>
                <w:ilvl w:val="3"/>
                <w:numId w:val="1"/>
              </w:numPr>
              <w:tabs>
                <w:tab w:val="left" w:pos="12600" w:leader="none"/>
              </w:tabs>
              <w:jc w:val="left"/>
              <w:rPr>
                <w:rFonts w:cs="Arial"/>
                <w:sz w:val="16"/>
                <w:szCs w:val="16"/>
              </w:rPr>
            </w:pPr>
            <w:r>
              <w:rPr>
                <w:rFonts w:cs="Arial"/>
                <w:sz w:val="16"/>
                <w:szCs w:val="16"/>
              </w:rPr>
              <w:t>здоров’я України</w:t>
            </w:r>
          </w:p>
          <w:p>
            <w:pPr>
              <w:pStyle w:val="Normal"/>
              <w:tabs>
                <w:tab w:val="left" w:pos="12600" w:leader="none"/>
              </w:tabs>
              <w:rPr>
                <w:rFonts w:ascii="Arial" w:hAnsi="Arial" w:cs="Arial"/>
                <w:b/>
                <w:b/>
                <w:sz w:val="16"/>
                <w:szCs w:val="16"/>
              </w:rPr>
            </w:pPr>
            <w:r>
              <w:rPr>
                <w:rFonts w:cs="Arial"/>
                <w:sz w:val="16"/>
                <w:szCs w:val="16"/>
              </w:rPr>
              <w:t>__________________ № _______</w:t>
            </w:r>
          </w:p>
        </w:tc>
      </w:tr>
    </w:tbl>
    <w:p>
      <w:pPr>
        <w:pStyle w:val="Normal"/>
        <w:tabs>
          <w:tab w:val="left" w:pos="12600" w:leader="none"/>
        </w:tabs>
        <w:jc w:val="center"/>
        <w:rPr>
          <w:rStyle w:val="Cs7864ebcf1"/>
          <w:rFonts w:ascii="Arial" w:hAnsi="Arial" w:cs="Arial"/>
          <w:b/>
          <w:b/>
          <w:color w:val="000000"/>
          <w:sz w:val="16"/>
          <w:szCs w:val="16"/>
          <w:u w:val="single"/>
          <w:lang w:val="uk-UA"/>
        </w:rPr>
      </w:pPr>
      <w:r>
        <w:rPr/>
      </w:r>
    </w:p>
    <w:p>
      <w:pPr>
        <w:pStyle w:val="Normal"/>
        <w:keepNext w:val="true"/>
        <w:numPr>
          <w:ilvl w:val="0"/>
          <w:numId w:val="0"/>
        </w:numPr>
        <w:jc w:val="center"/>
        <w:outlineLvl w:val="1"/>
        <w:rPr>
          <w:rFonts w:ascii="Arial" w:hAnsi="Arial" w:cs="Arial"/>
          <w:b/>
          <w:b/>
          <w:caps/>
          <w:sz w:val="16"/>
          <w:szCs w:val="16"/>
          <w:u w:val="single"/>
        </w:rPr>
      </w:pPr>
      <w:r>
        <w:rPr>
          <w:rFonts w:cs="Arial" w:ascii="Arial" w:hAnsi="Arial"/>
          <w:b/>
          <w:caps/>
          <w:sz w:val="16"/>
          <w:szCs w:val="16"/>
          <w:u w:val="single"/>
        </w:rPr>
      </w:r>
    </w:p>
    <w:p>
      <w:pPr>
        <w:pStyle w:val="Normal"/>
        <w:keepNext w:val="true"/>
        <w:numPr>
          <w:ilvl w:val="0"/>
          <w:numId w:val="0"/>
        </w:numPr>
        <w:jc w:val="center"/>
        <w:outlineLvl w:val="1"/>
        <w:rPr>
          <w:rFonts w:ascii="Arial" w:hAnsi="Arial" w:cs="Arial"/>
          <w:b/>
          <w:b/>
          <w:lang w:val="ru-RU"/>
        </w:rPr>
      </w:pPr>
      <w:r>
        <w:rPr>
          <w:rFonts w:cs="Arial" w:ascii="Arial" w:hAnsi="Arial"/>
          <w:b/>
          <w:caps/>
        </w:rPr>
        <w:t>ПЕРЕЛІК</w:t>
      </w:r>
    </w:p>
    <w:p>
      <w:pPr>
        <w:pStyle w:val="Normal"/>
        <w:keepNext w:val="true"/>
        <w:numPr>
          <w:ilvl w:val="0"/>
          <w:numId w:val="0"/>
        </w:numPr>
        <w:jc w:val="center"/>
        <w:outlineLvl w:val="3"/>
        <w:rPr>
          <w:rFonts w:ascii="Arial" w:hAnsi="Arial" w:cs="Arial"/>
        </w:rPr>
      </w:pPr>
      <w:r>
        <w:rPr>
          <w:rFonts w:cs="Arial" w:ascii="Arial" w:hAnsi="Arial"/>
          <w:b/>
          <w:caps/>
        </w:rPr>
        <w:t>ЛІКАРСЬКИХ засобів, щодо яких пропонується внесеНня змін до реєстраційних матеріалів</w:t>
      </w:r>
    </w:p>
    <w:p>
      <w:pPr>
        <w:pStyle w:val="11"/>
        <w:jc w:val="center"/>
        <w:rPr>
          <w:rFonts w:ascii="Arial" w:hAnsi="Arial" w:cs="Arial"/>
        </w:rPr>
      </w:pPr>
      <w:r>
        <w:rPr>
          <w:rFonts w:cs="Arial" w:ascii="Arial" w:hAnsi="Arial"/>
        </w:rPr>
      </w:r>
    </w:p>
    <w:tbl>
      <w:tblPr>
        <w:tblW w:w="16453" w:type="dxa"/>
        <w:jc w:val="left"/>
        <w:tblInd w:w="-606"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66"/>
        <w:gridCol w:w="1561"/>
        <w:gridCol w:w="992"/>
        <w:gridCol w:w="992"/>
        <w:gridCol w:w="851"/>
        <w:gridCol w:w="1701"/>
        <w:gridCol w:w="1134"/>
        <w:gridCol w:w="992"/>
        <w:gridCol w:w="1418"/>
        <w:gridCol w:w="850"/>
        <w:gridCol w:w="2126"/>
        <w:gridCol w:w="850"/>
        <w:gridCol w:w="992"/>
        <w:gridCol w:w="1428"/>
      </w:tblGrid>
      <w:tr>
        <w:trPr>
          <w:tblHeader w:val="true"/>
        </w:trPr>
        <w:tc>
          <w:tcPr>
            <w:tcW w:w="56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w:t>
            </w:r>
            <w:r>
              <w:rPr>
                <w:rFonts w:eastAsia="Arial" w:cs="Arial" w:ascii="Arial" w:hAnsi="Arial"/>
                <w:b/>
                <w:i/>
                <w:sz w:val="16"/>
                <w:szCs w:val="16"/>
              </w:rPr>
              <w:t xml:space="preserve"> </w:t>
            </w:r>
            <w:r>
              <w:rPr>
                <w:rFonts w:cs="Arial" w:ascii="Arial" w:hAnsi="Arial"/>
                <w:b/>
                <w:i/>
                <w:sz w:val="16"/>
                <w:szCs w:val="16"/>
              </w:rPr>
              <w:t>п/п</w:t>
            </w:r>
          </w:p>
        </w:tc>
        <w:tc>
          <w:tcPr>
            <w:tcW w:w="156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лікарського засобу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Міжнародна непатентована назва*</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Назва діючої речовини</w:t>
            </w:r>
          </w:p>
        </w:tc>
        <w:tc>
          <w:tcPr>
            <w:tcW w:w="85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Код АТХ</w:t>
            </w:r>
          </w:p>
        </w:tc>
        <w:tc>
          <w:tcPr>
            <w:tcW w:w="1701"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Форма випуску (лікарська форма, упаковка)</w:t>
            </w:r>
          </w:p>
        </w:tc>
        <w:tc>
          <w:tcPr>
            <w:tcW w:w="1134"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Заявник</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заявника</w:t>
            </w:r>
          </w:p>
        </w:tc>
        <w:tc>
          <w:tcPr>
            <w:tcW w:w="1418"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Виробник</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Країна виробника</w:t>
            </w:r>
          </w:p>
        </w:tc>
        <w:tc>
          <w:tcPr>
            <w:tcW w:w="2126"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Реєстраційна процедура</w:t>
            </w:r>
          </w:p>
        </w:tc>
        <w:tc>
          <w:tcPr>
            <w:tcW w:w="850"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Умови відпуску</w:t>
            </w:r>
          </w:p>
        </w:tc>
        <w:tc>
          <w:tcPr>
            <w:tcW w:w="992" w:type="dxa"/>
            <w:tcBorders>
              <w:top w:val="single" w:sz="4" w:space="0" w:color="000000"/>
              <w:left w:val="single" w:sz="4" w:space="0" w:color="000000"/>
              <w:bottom w:val="single" w:sz="4" w:space="0" w:color="000000"/>
              <w:insideH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Рекламування**</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D9D9D9"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b/>
                <w:i/>
                <w:sz w:val="16"/>
                <w:szCs w:val="16"/>
              </w:rPr>
              <w:t>Номер реєстраційного посвідчення</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i/>
                <w:i/>
                <w:sz w:val="16"/>
                <w:szCs w:val="16"/>
              </w:rPr>
            </w:pPr>
            <w:r>
              <w:rPr>
                <w:rFonts w:cs="Arial" w:ascii="Arial" w:hAnsi="Arial"/>
                <w:b/>
                <w:i/>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L-ЛІЗИНУ ЕСЦИНАТ®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lysine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есцинова сіль 2,6-діаміногексанової кислоти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C05CX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1 мг/мл по 5 мл в ампулі; по 5 ампул у блістері, покритому плівкою; по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ПАТ "Галичфарм"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UA/2131/01/01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L-ЛІЗИНУ ЕСЦИНАТ®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lysine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есцинова сіль 2,6-діаміногексанової кислоти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1 мг/мл in bulk: по 5 мл в ампулі; по 462 ампули в коробі картонному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ПАТ "Галичфарм"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ПАТ "Галичфарм"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UA/9507/01/01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АБІРАТЕРОН-ВІСТА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abiraterone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абіратерону ацетат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L02BX03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таблетки, вкриті плівковою оболонкою по 500 мг, по 10 таблеток у блістері, по 6 блістерів в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Товариство з обмеженою відповідальністю «БУСТ 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Ремедіка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Кіпр</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виправлення технічної помилки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UA/19467/01/02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АБІРАТЕРОН-ВІСТА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abiraterone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абіратерону ацетат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L02BX03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таблетки, вкриті плівковою оболонкою по 250 мг</w:t>
            </w:r>
            <w:r>
              <w:rPr>
                <w:rFonts w:cs="Arial" w:ascii="Arial" w:hAnsi="Arial"/>
                <w:sz w:val="16"/>
                <w:szCs w:val="16"/>
                <w:lang w:val="ru-RU"/>
              </w:rPr>
              <w:t>,</w:t>
            </w:r>
            <w:r>
              <w:rPr>
                <w:rFonts w:cs="Arial" w:ascii="Arial" w:hAnsi="Arial"/>
                <w:sz w:val="16"/>
                <w:szCs w:val="16"/>
              </w:rPr>
              <w:t xml:space="preserve"> по 10 таблеток у блістері по 12 блістерів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Товариство з обмеженою відповідальністю «БУСТ 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Ремедіка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Кіпр</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виправлення технічної помилки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UA/19467/01/01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АВОДАРТ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dutasteride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дутастерид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G04CB02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м'які желатинові по 0,5 мг; по 10 капсул у блістері; по 3 або по 9 блістерів в картонній коробці</w:t>
            </w:r>
          </w:p>
          <w:p>
            <w:pPr>
              <w:pStyle w:val="Normal"/>
              <w:tabs>
                <w:tab w:val="left" w:pos="12600" w:leader="none"/>
              </w:tabs>
              <w:rPr>
                <w:rFonts w:ascii="Arial" w:hAnsi="Arial" w:cs="Arial"/>
                <w:sz w:val="16"/>
                <w:szCs w:val="16"/>
              </w:rPr>
            </w:pPr>
            <w:r>
              <w:rPr>
                <w:rFonts w:cs="Arial" w:ascii="Arial" w:hAnsi="Arial"/>
                <w:sz w:val="16"/>
                <w:szCs w:val="16"/>
              </w:rPr>
            </w:r>
          </w:p>
          <w:p>
            <w:pPr>
              <w:pStyle w:val="Normal"/>
              <w:tabs>
                <w:tab w:val="left" w:pos="12600" w:leader="none"/>
              </w:tabs>
              <w:rPr>
                <w:rFonts w:ascii="Arial" w:hAnsi="Arial" w:cs="Arial"/>
                <w:sz w:val="16"/>
                <w:szCs w:val="16"/>
              </w:rPr>
            </w:pPr>
            <w:r>
              <w:rPr>
                <w:rFonts w:cs="Arial" w:ascii="Arial" w:hAnsi="Arial"/>
                <w:sz w:val="16"/>
                <w:szCs w:val="16"/>
              </w:rPr>
            </w:r>
          </w:p>
          <w:p>
            <w:pPr>
              <w:pStyle w:val="Normal"/>
              <w:tabs>
                <w:tab w:val="left" w:pos="12600" w:leader="none"/>
              </w:tabs>
              <w:rPr>
                <w:rFonts w:ascii="Arial" w:hAnsi="Arial" w:cs="Arial"/>
                <w:sz w:val="16"/>
                <w:szCs w:val="16"/>
              </w:rPr>
            </w:pPr>
            <w:r>
              <w:rPr>
                <w:rFonts w:cs="Arial" w:ascii="Arial" w:hAnsi="Arial"/>
                <w:sz w:val="16"/>
                <w:szCs w:val="16"/>
              </w:rPr>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Делфарм Познань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UA/1599/01/01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sz w:val="16"/>
                <w:szCs w:val="16"/>
                <w:lang w:val="en-US"/>
              </w:rPr>
            </w:pPr>
            <w:r>
              <w:rPr>
                <w:rFonts w:cs="Arial" w:ascii="Arial" w:hAnsi="Arial"/>
                <w:b/>
                <w:sz w:val="16"/>
                <w:szCs w:val="16"/>
              </w:rPr>
              <w:t>АДЖОВІ™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fremanezumab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фреманезумаб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N02CD03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lang w:val="ru-RU"/>
              </w:rPr>
            </w:pPr>
            <w:r>
              <w:rPr>
                <w:rFonts w:cs="Arial" w:ascii="Arial" w:hAnsi="Arial"/>
                <w:sz w:val="16"/>
                <w:szCs w:val="16"/>
                <w:lang w:val="ru-RU"/>
              </w:rPr>
              <w:t>розчин для ін'єкцій, 225 мг/1,5 мл; по 1,5 мл розчину в попередньо наповненому шприці; по 1 або 3 шприци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lang w:val="ru-RU"/>
              </w:rPr>
            </w:pPr>
            <w:r>
              <w:rPr>
                <w:rFonts w:cs="Arial" w:ascii="Arial" w:hAnsi="Arial"/>
                <w:sz w:val="16"/>
                <w:szCs w:val="16"/>
                <w:lang w:val="ru-RU"/>
              </w:rPr>
              <w:t xml:space="preserve">виробництво лікарського засобу, первинне пакування, вторинне пакування, контроль якості лікарського засобу: Веттер Фарма-Фертігунг ГмбХ та Ко. КГ, Німеччина; контроль якості лікарського засобу: Веттер Фарма-Фертігунг ГмбХ та Ко. КГ, Німеччина; контроль якості лікарського засобу: Веттер Фарма-Фертігунг ГмбХ та Ко. КГ, Німеччина; контроль якості лікарського засобу (лише сила зсуву та сила ковзання після вторинного пакування): Веттер Фарма-Фертігунг ГмбХ та Ко. КГ, Німеччина; контроль якості лікарського засобу (випробування клітинної активності лікарського засобу): АТ Фармацевтичний завод Тева, Угорщина; контроль якості лікарського засобу (цілісність системи контейнер/закупорювальний засіб після вторинного пакування): Пейс Аналітікал Лайф Саєнс, ЛЛС, США; </w:t>
              <w:br/>
              <w:t>вторинне пакування: Меркле ГмбХ, Німеччина; вторинне пакування: Трансфарм Логістік ГмбХ, Німеччина; дозвіл на випуск серії:</w:t>
              <w:br/>
              <w:t>Меркле ГмбХ, Німеччина; контроль якості лікарського засобу (випробування клітинної активності лікарського засобу): ЗАТ Тева Балтікс, Литва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lang w:val="ru-RU"/>
              </w:rPr>
            </w:pPr>
            <w:r>
              <w:rPr>
                <w:rFonts w:cs="Arial" w:ascii="Arial" w:hAnsi="Arial"/>
                <w:sz w:val="16"/>
                <w:szCs w:val="16"/>
                <w:lang w:val="ru-RU"/>
              </w:rPr>
              <w:t>Німеччина/</w:t>
            </w:r>
          </w:p>
          <w:p>
            <w:pPr>
              <w:pStyle w:val="112"/>
              <w:tabs>
                <w:tab w:val="left" w:pos="12600" w:leader="none"/>
              </w:tabs>
              <w:jc w:val="center"/>
              <w:rPr>
                <w:rFonts w:ascii="Arial" w:hAnsi="Arial" w:cs="Arial"/>
                <w:sz w:val="16"/>
                <w:szCs w:val="16"/>
                <w:lang w:val="ru-RU"/>
              </w:rPr>
            </w:pPr>
            <w:r>
              <w:rPr>
                <w:rFonts w:cs="Arial" w:ascii="Arial" w:hAnsi="Arial"/>
                <w:sz w:val="16"/>
                <w:szCs w:val="16"/>
                <w:lang w:val="ru-RU"/>
              </w:rPr>
              <w:t>Угорщина/</w:t>
            </w:r>
          </w:p>
          <w:p>
            <w:pPr>
              <w:pStyle w:val="112"/>
              <w:tabs>
                <w:tab w:val="left" w:pos="12600" w:leader="none"/>
              </w:tabs>
              <w:jc w:val="center"/>
              <w:rPr>
                <w:rFonts w:ascii="Arial" w:hAnsi="Arial" w:cs="Arial"/>
                <w:sz w:val="16"/>
                <w:szCs w:val="16"/>
                <w:lang w:val="ru-RU"/>
              </w:rPr>
            </w:pPr>
            <w:r>
              <w:rPr>
                <w:rFonts w:cs="Arial" w:ascii="Arial" w:hAnsi="Arial"/>
                <w:sz w:val="16"/>
                <w:szCs w:val="16"/>
                <w:lang w:val="ru-RU"/>
              </w:rPr>
              <w:t>США/</w:t>
            </w:r>
          </w:p>
          <w:p>
            <w:pPr>
              <w:pStyle w:val="112"/>
              <w:tabs>
                <w:tab w:val="left" w:pos="12600" w:leader="none"/>
              </w:tabs>
              <w:jc w:val="center"/>
              <w:rPr>
                <w:rFonts w:ascii="Arial" w:hAnsi="Arial" w:cs="Arial"/>
                <w:sz w:val="16"/>
                <w:szCs w:val="16"/>
                <w:lang w:val="ru-RU"/>
              </w:rPr>
            </w:pPr>
            <w:r>
              <w:rPr>
                <w:rFonts w:cs="Arial" w:ascii="Arial" w:hAnsi="Arial"/>
                <w:sz w:val="16"/>
                <w:szCs w:val="16"/>
                <w:lang w:val="ru-RU"/>
              </w:rPr>
              <w:t>Литва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w:t>
            </w:r>
          </w:p>
          <w:p>
            <w:pPr>
              <w:pStyle w:val="112"/>
              <w:tabs>
                <w:tab w:val="left" w:pos="12600" w:leader="none"/>
              </w:tabs>
              <w:jc w:val="center"/>
              <w:rPr>
                <w:rFonts w:ascii="Arial" w:hAnsi="Arial" w:cs="Arial"/>
                <w:sz w:val="16"/>
                <w:szCs w:val="16"/>
                <w:lang w:val="ru-RU"/>
              </w:rPr>
            </w:pPr>
            <w:r>
              <w:rPr>
                <w:rFonts w:cs="Arial" w:ascii="Arial" w:hAnsi="Arial"/>
                <w:sz w:val="16"/>
                <w:szCs w:val="16"/>
                <w:lang w:val="ru-RU"/>
              </w:rPr>
              <w:t xml:space="preserve">Зміни І типу </w:t>
            </w:r>
          </w:p>
          <w:p>
            <w:pPr>
              <w:pStyle w:val="112"/>
              <w:tabs>
                <w:tab w:val="left" w:pos="12600" w:leader="none"/>
              </w:tabs>
              <w:jc w:val="center"/>
              <w:rPr>
                <w:rFonts w:ascii="Arial" w:hAnsi="Arial" w:cs="Arial"/>
                <w:sz w:val="16"/>
                <w:szCs w:val="16"/>
                <w:lang w:val="ru-RU"/>
              </w:rPr>
            </w:pPr>
            <w:r>
              <w:rPr>
                <w:rFonts w:cs="Arial" w:ascii="Arial" w:hAnsi="Arial"/>
                <w:sz w:val="16"/>
                <w:szCs w:val="16"/>
                <w:lang w:val="ru-RU"/>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UA/18633/01/01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АЙЛАР®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insulin glargine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інсулін гларгін (ДНК-рекомбінантний)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A10AE04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100 одиниць/мл; по 3 мл у картриджі; по 5 картриджів у блістері, по 1 блістеру в пачці; по 10 мл у флаконі; по 1 флакону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w:t>
            </w:r>
          </w:p>
          <w:p>
            <w:pPr>
              <w:pStyle w:val="Normal"/>
              <w:tabs>
                <w:tab w:val="left" w:pos="12600" w:leader="none"/>
              </w:tabs>
              <w:jc w:val="center"/>
              <w:rPr>
                <w:rFonts w:ascii="Arial" w:hAnsi="Arial" w:cs="Arial"/>
                <w:sz w:val="16"/>
                <w:szCs w:val="16"/>
              </w:rPr>
            </w:pPr>
            <w:r>
              <w:rPr>
                <w:rFonts w:cs="Arial" w:ascii="Arial" w:hAnsi="Arial"/>
                <w:sz w:val="16"/>
                <w:szCs w:val="16"/>
              </w:rPr>
              <w:t xml:space="preserve">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UA/15749/01/01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АКТІПРОЛ®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amisulpride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амісульприд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N05AL05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200 мг; по 10 таблеток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Медокемі Лімітед</w:t>
              <w:br/>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Кіпр</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готового лікарського засобу, контроль якості, випуск серії:</w:t>
              <w:br/>
              <w:t>Медокемі Лімітед, Кіпр;</w:t>
              <w:br/>
              <w:t>первинне та вторинне пакування:</w:t>
              <w:br/>
              <w:t>Медокемі Лімітед, Кіпр</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Кіпр</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UA/17654/01/02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АКТІПРОЛ®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amisulpride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амісульприд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N05AL05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100 мг; по 10 таблеток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Медокемі Лімітед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Кіпр</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готового лікарського засобу, контроль якості, випуск серії:</w:t>
              <w:br/>
              <w:t xml:space="preserve">Медокемі Лімітед, Кіпр; </w:t>
              <w:br/>
              <w:t>первинне та вторинне пакування:</w:t>
              <w:br/>
              <w:t>Медокемі Лімітед, Кіпр</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Кіпр</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UA/17654/01/01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АНАЛЬГОДЕКС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dexketoprofen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декскетопрофен (у формі декскетопрофену трометамолу)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M01AE17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25 мг/мл; по 2 мл в ампулі, по 5 ампул у контурній упаковці, по 1 контурній упаковці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Стерил-Джен Лайф Сайєнсиз (П)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АНГІ.НЕТ® СПРЕЙ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benzydamine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бензидаміну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A01AD02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спрей для ротової порожнини, 1,5 мг/мл; по 30 мл у флаконі з дозуючою помпою та ковпачком, по 1 флакону з насадкою-розпилювачем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"ІНФАРМА Трейдінг"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Латвійська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виробництво, первинне і вторинне пакування, контроль якості, випуск серії: ЛАБОРАТОРІУМ САНІТАТІС С.Л., Іспанiя; вторинне пакування: Лабораторіос Ентема С.Л., Іспанія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Іспанiя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UA/19962/01/01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АТОРВАСТАТИН-ТЕВА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Atorvastatin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аторвастатин (у вигляді аторвастатину кальцію)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C10AA05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40 мг; по 15 таблеток у блістері; по 2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sz w:val="16"/>
                <w:szCs w:val="16"/>
              </w:rPr>
            </w:pPr>
            <w:r>
              <w:rPr>
                <w:rFonts w:cs="Arial" w:ascii="Arial" w:hAnsi="Arial"/>
                <w:b/>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Тева Фарма С.Л.У.</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sz w:val="16"/>
                <w:szCs w:val="16"/>
              </w:rPr>
            </w:pPr>
            <w:r>
              <w:rPr>
                <w:rFonts w:cs="Arial" w:ascii="Arial" w:hAnsi="Arial"/>
                <w:sz w:val="16"/>
                <w:szCs w:val="16"/>
              </w:rPr>
              <w:t xml:space="preserve">Внесення змін до реєстраційних матеріалів: </w:t>
            </w:r>
            <w:r>
              <w:rPr>
                <w:rFonts w:cs="Arial" w:ascii="Arial" w:hAnsi="Arial"/>
                <w:b/>
                <w:sz w:val="16"/>
                <w:szCs w:val="16"/>
              </w:rPr>
              <w:t>уточнення написання назви заявника в наказі МОЗ України</w:t>
            </w:r>
          </w:p>
          <w:p>
            <w:pPr>
              <w:pStyle w:val="Normal"/>
              <w:tabs>
                <w:tab w:val="left" w:pos="12600" w:leader="none"/>
              </w:tabs>
              <w:jc w:val="center"/>
              <w:rPr>
                <w:rFonts w:ascii="Arial" w:hAnsi="Arial" w:cs="Arial"/>
                <w:b/>
                <w:b/>
                <w:sz w:val="16"/>
                <w:szCs w:val="16"/>
              </w:rPr>
            </w:pPr>
            <w:r>
              <w:rPr>
                <w:rFonts w:cs="Arial" w:ascii="Arial" w:hAnsi="Arial"/>
                <w:b/>
                <w:sz w:val="16"/>
                <w:szCs w:val="16"/>
              </w:rPr>
            </w:r>
          </w:p>
          <w:p>
            <w:pPr>
              <w:pStyle w:val="Normal"/>
              <w:tabs>
                <w:tab w:val="left" w:pos="12600" w:leader="none"/>
              </w:tabs>
              <w:jc w:val="center"/>
              <w:rPr>
                <w:rFonts w:ascii="Arial" w:hAnsi="Arial" w:cs="Arial"/>
                <w:sz w:val="16"/>
                <w:szCs w:val="16"/>
              </w:rPr>
            </w:pPr>
            <w:r>
              <w:rPr>
                <w:rFonts w:eastAsia="Arial" w:cs="Arial" w:ascii="Arial" w:hAnsi="Arial"/>
                <w:b/>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UA/21398/01/03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БЕНЕФІКС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coagulation factor IX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нонаког альфа (фактор коагуляції крові людини IX рекомбінантний)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B02BD04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ліофілізат для розчину для ін’єкцій по 250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інфузії, 2 тампони зі спиртом, 1 пластир, 1 марлеву подушечку вкладають у картонну коробку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Пфайзер Ейч.Сі.Пі. Корпорейшн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виробництво ліофілізату за повним циклом; контроль якості розчинника (крім тесту "Сила тертя поршня"); пакування розчинника у набір; контроль якості, зберігання, пакування та випуск набору; відповідальний за випуск серії: Ваєт Фарма С.А., Іспанiя; альтернативна лабораторія для тестування препарату за показником «Стерильність»: БіоЛаб, С.Л., Іспанія; контроль якості розчинника: Ветер Фарма-Фертигунг ГмбХ &amp; Ко. КГ, Німеччина; виробництво та контроль якості розчинника (крім тестів "Сила для початкового зсуву поршня", "Сила тертя поршня", "Дослідження герметичності"): Ветер Фарма-Фертигунг ГмбХ &amp; Ко. КГ, Німеччина; візуальний контроль, контроль якості розчинника (крім тестів "Сила для початкового зсуву поршня", "Сила тертя поршня", "Дослідження герметичності"): Ветер Фарма-Фертигунг ГмбХ &amp; Ко.КГ, Німеччина; візуальний контроль, контроль якості розчинника (лише тести "Сила для початкового зсуву поршня", "Сила тертя поршня", "Дослідження герметичності"): Ветер Фарма-Фертигунг ГмбХ &amp; Ко.КГ, Німеччина; контроль якості розчинника (крім тестів "Сила для початкового зсуву поршня", "Сила тертя поршня", "Дослідження герметичності"): Ваєт БіоФарма дівіжн оф Ваєт Фармасеутикалс ЛЛС, США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Іспанiя/ Німеччина/ США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UA/16134/01/01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БЕНЕФІКС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coagulation factor IX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нонаког альфа (фактор коагуляції крові людини IX рекомбінантний)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B02BD04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ліофілізат для розчину для ін’єкцій по 500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інфузії, 2 тампони зі спиртом, 1 пластир, 1 марлеву подушечку вкладають у картонну коробку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Пфайзер Ейч.Сі.Пі. Корпорейшн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виробництво ліофілізату за повним циклом; контроль якості розчинника (крім тесту "Сила тертя поршня"); пакування розчинника у набір; контроль якості, зберігання, пакування та випуск набору; відповідальний за випуск серії: Ваєт Фарма С.А., Іспанiя; альтернативна лабораторія для тестування препарату за показником «Стерильність»: БіоЛаб, С.Л., Іспанія; контроль якості розчинника: Ветер Фарма-Фертигунг ГмбХ &amp; Ко. КГ, Німеччина; виробництво та контроль якості розчинника (крім тестів "Сила для початкового зсуву поршня", "Сила тертя поршня", "Дослідження герметичності"): Ветер Фарма-Фертигунг ГмбХ &amp; Ко. КГ, Німеччина; візуальний контроль, контроль якості розчинника (крім тестів "Сила для початкового зсуву поршня", "Сила тертя поршня", "Дослідження герметичності"): Ветер Фарма-Фертигунг ГмбХ &amp; Ко.КГ, Німеччина; візуальний контроль, контроль якості розчинника (лише тести "Сила для початкового зсуву поршня", "Сила тертя поршня", "Дослідження герметичності"): Ветер Фарма-Фертигунг ГмбХ &amp; Ко.КГ, Німеччина; контроль якості розчинника (крім тестів "Сила для початкового зсуву поршня", "Сила тертя поршня", "Дослідження герметичності"): Ваєт БіоФарма дівіжн оф Ваєт Фармасеутикалс ЛЛС, США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Іспанiя/ Німеччина/ США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UA/16134/01/02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БЕНЕФІКС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coagulation factor IX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нонаког альфа (фактор коагуляції крові людини IX рекомбінантний)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B02BD04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ліофілізат для розчину для ін’єкцій по 1000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інфузії, 2 тампони зі спиртом, 1 пластир, 1 марлеву подушечку вкладають у картонну коробку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Пфайзер Ейч.Сі.Пі. Корпорейшн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виробництво ліофілізату за повним циклом; контроль якості розчинника (крім тесту "Сила тертя поршня"); пакування розчинника у набір; контроль якості, зберігання, пакування та випуск набору; відповідальний за випуск серії: Ваєт Фарма С.А., Іспанiя; альтернативна лабораторія для тестування препарату за показником «Стерильність»: БіоЛаб, С.Л., Іспанія; контроль якості розчинника: Ветер Фарма-Фертигунг ГмбХ &amp; Ко. КГ, Німеччина; виробництво та контроль якості розчинника (крім тестів "Сила для початкового зсуву поршня", "Сила тертя поршня", "Дослідження герметичності"): Ветер Фарма-Фертигунг ГмбХ &amp; Ко. КГ, Німеччина; візуальний контроль, контроль якості розчинника (крім тестів "Сила для початкового зсуву поршня", "Сила тертя поршня", "Дослідження герметичності"): Ветер Фарма-Фертигунг ГмбХ &amp; Ко.КГ, Німеччина; візуальний контроль, контроль якості розчинника (лише тести "Сила для початкового зсуву поршня", "Сила тертя поршня", "Дослідження герметичності"): Ветер Фарма-Фертигунг ГмбХ &amp; Ко.КГ, Німеччина; контроль якості розчинника (крім тестів "Сила для початкового зсуву поршня", "Сила тертя поршня", "Дослідження герметичності"): Ваєт БіоФарма дівіжн оф Ваєт Фармасеутикалс ЛЛС, США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Іспанiя/ Німеччина/ США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UA/16134/01/03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БЕНЕФІКС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coagulation factor IX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нонаког альфа (фактор коагуляції крові людини IX рекомбінантний)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B02BD04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ліофілізат для розчину для ін’єкцій по 2000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інфузії, 2 тампони зі спиртом, 1 пластир, 1 марлеву подушечку вкладають у картонну коробку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Пфайзер Ейч.Сі.Пі. Корпорейшн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виробництво ліофілізату за повним циклом; контроль якості розчинника (крім тесту "Сила тертя поршня"); пакування розчинника у набір; контроль якості, зберігання, пакування та випуск набору; відповідальний за випуск серії: Ваєт Фарма С.А., Іспанiя; альтернативна лабораторія для тестування препарату за показником «Стерильність»: БіоЛаб, С.Л., Іспанія; контроль якості розчинника: Ветер Фарма-Фертигунг ГмбХ &amp; Ко. КГ, Німеччина; виробництво та контроль якості розчинника (крім тестів "Сила для початкового зсуву поршня", "Сила тертя поршня", "Дослідження герметичності"): Ветер Фарма-Фертигунг ГмбХ &amp; Ко. КГ, Німеччина; візуальний контроль, контроль якості розчинника (крім тестів "Сила для початкового зсуву поршня", "Сила тертя поршня", "Дослідження герметичності"): Ветер Фарма-Фертигунг ГмбХ &amp; Ко.КГ, Німеччина; візуальний контроль, контроль якості розчинника (лише тести "Сила для початкового зсуву поршня", "Сила тертя поршня", "Дослідження герметичності"): Ветер Фарма-Фертигунг ГмбХ &amp; Ко.КГ, Німеччина; контроль якості розчинника (крім тестів "Сила для початкового зсуву поршня", "Сила тертя поршня", "Дослідження герметичності"): Ваєт БіоФарма дівіжн оф Ваєт Фармасеутикалс ЛЛС, США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Іспанiя/ Німеччина/ США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UA/16134/01/04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БЕНЕФІКС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coagulation factor IX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нонаког альфа (фактор коагуляції крові людини IX рекомбінантний)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B02BD04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ліофілізат для розчину для ін’єкцій по 3000 МО, 1 флакон з ліофілізатом, 1 попередньо наповнений шприц з розчинником (0,234 % розчин натрію хлориду у воді для ін’єкцій) по 5 мл, 1 адаптер для флакону, 1 систему для інфузії, 2 тампони зі спиртом, 1 пластир, 1 марлеву подушечку вкладають у картонну коробку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Пфайзер Ейч.Сі.Пі. Корпорейшн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США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виробництво ліофілізату за повним циклом; контроль якості розчинника (крім тесту "Сила тертя поршня"); пакування розчинника у набір; контроль якості, зберігання, пакування та випуск набору; відповідальний за випуск серії: Ваєт Фарма С.А., Іспанiя; альтернативна лабораторія для тестування препарату за показником «Стерильність»: БіоЛаб, С.Л., Іспанія; контроль якості розчинника: Ветер Фарма-Фертигунг ГмбХ &amp; Ко. КГ, Німеччина; виробництво та контроль якості розчинника (крім тестів "Сила для початкового зсуву поршня", "Сила тертя поршня", "Дослідження герметичності"): Ветер Фарма-Фертигунг ГмбХ &amp; Ко. КГ, Німеччина; візуальний контроль, контроль якості розчинника (крім тестів "Сила для початкового зсуву поршня", "Сила тертя поршня", "Дослідження герметичності"): Ветер Фарма-Фертигунг ГмбХ &amp; Ко.КГ, Німеччина; візуальний контроль, контроль якості розчинника (лише тести "Сила для початкового зсуву поршня", "Сила тертя поршня", "Дослідження герметичності"): Ветер Фарма-Фертигунг ГмбХ &amp; Ко.КГ, Німеччина; контроль якості розчинника (крім тестів "Сила для початкового зсуву поршня", "Сила тертя поршня", "Дослідження герметичності"): Ваєт БіоФарма дівіжн оф Ваєт Фармасеутикалс ЛЛС, США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Іспанiя/ Німеччина/ США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UA/16134/01/05</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БЕТАГІСТИН-ТЕВА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betahistine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бетагістину дигідрохлорид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N07CA01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16 мг, по 10 таблеток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Виробництво нерозфасованої продукції, контроль серії (окрім мікробіологічного тестування): Каталент Джермані Шорндорф ГмбХ, Німеччина; Контроль серії (тільки мікробіологічне тестування): БАВ Інститут Гігієни та Забезпечення Якості ГмбХ, Німеччина; </w:t>
              <w:br/>
              <w:t>Первинна та вторинна упаковка, контроль серії; дозвіл на випуск серії: Меркле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UA/7806/01/02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БЕТАГІСТИН-ТЕВА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betahistine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бетагістину дигідрохлорид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N07CA01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24 мг, по 10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нерозфасованої продукції, контроль серії (окрім мікробіологічного тестування): Роттендорф Фарма ГмбХ, Німеччина;</w:t>
              <w:br/>
              <w:t>Виробництво нерозфасованої продукції, контроль серії (окрім мікробіологічного тестування): Каталент Джермані Шорндорф ГмбХ, Німеччина; Меркле ГмбХ, Німеччина (первинна та вторинна упаковка, контроль серії; дозвіл на випуск серії); Контроль серії (тільки мікробіологічне тестування для виробника нерозфасованої продукції Каталент Джермані Шорндорф ГмбХ): БАВ Інститут Гігієни та Забезпечення Якості ГмбХ, Німеччина; Контроль серії (тільки мікробіологічне тестування для виробника нерозфасованої продукції Роттендорф Фарма ГмбХ): Єврофінс БіоФарма Тестування Продуктів Мюнхен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UA/7806/01/03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БЕТАГІСТИН-ТЕВА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betahistine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бетагістину дигідрохлорид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N07CA01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8 мг, по 10 таблеток у блістері; по 3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Виробництво нерозфасованої продукції, контроль серії (окрім мікробіологічного тестування): Каталент Джермані Шорндорф ГмбХ, Німеччина; Контроль серії (тільки мікробіологічне тестування): БАВ Інститут Гігієни та Забезпечення Якості ГмбХ, Німеччина; </w:t>
              <w:br/>
              <w:t>Первинна та вторинна упаковка, контроль серії; дозвіл на випуск серії: Меркле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UA/7806/01/01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 xml:space="preserve">БІЛЕ ВУГІЛЛЯ®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кремнію діоксид колоїдний безводний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A07BC</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210 мг; по 10 таблеток у блістері; по 1 або 3 блістери в картонній пачці; по 12 таблеток у блістері; по 2 блістери в картонній пачці; по 100 таблеток у контейнері; по 1 контейнеру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«АКТІФАРМ»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повний цикл виробництва, контроль якості, випуск серії:</w:t>
              <w:br/>
              <w:t>ТОВ "ФАРМЕКС ГРУП",</w:t>
              <w:br/>
              <w:t>Україна;</w:t>
              <w:br/>
              <w:t>повний цикл виробництва, контроль якості, випуск серії:</w:t>
              <w:br/>
              <w:t xml:space="preserve">ПАТ НВЦ «Борщагівський ХФЗ», </w:t>
              <w:br/>
              <w:t>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UA/16126/01/01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БУДЕСОНІД-ІНТЕЛІ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budesonide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будесонід мікронізований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R03BA02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інгаляція під тиском, суспензія, 200 мкг/доза, по 200 доз (10 мл) в алюмінієвому балоні; по 1 балону з пластиковим адаптером та кришкою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"ІНТЕЛІ ГЕНЕРИКС НОРД"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Литва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ЛАБОРАТОРІО АЛЬДО-ЮНІОН, С.Л.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UA/12444/01/02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БУДЕСОНІД-ІНТЕЛІ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budesonide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будесонід мікронізований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R03BA02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інгаляція під тиском, суспензія, 50 мкг/доза, по 200 доз (10 мл) в алюмінієвому балоні; по 1 балону з пластиковим адаптером та кришкою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"ІНТЕЛІ ГЕНЕРИКС НОРД"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Литва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ЛАБОРАТОРІО АЛЬДО-ЮНІОН, С.Л.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UA/12444/01/01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 xml:space="preserve">ВАЛМІСАР 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valsartan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валсартан;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C09DA03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80/12,5 мг, по 10 таблеток у блістері; по 3 або 9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Маклеодс Фармасьютикалс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UA/17127/01/01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 xml:space="preserve">ВАЛМІСАР 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valsartan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валсартан;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C09DA03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160/12,5 мг, по 10 таблеток у блістері, по 3 або 9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Маклеодс Фармасьютикалс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UA/17127/01/02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 xml:space="preserve">ВАЛМІСАР 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valsartan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валсартан;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C09DA03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160/25 мг, по 10 таблеток у блістері, по 3 або 9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Маклеодс Фармасьютикалс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UA/17127/01/03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 xml:space="preserve">ВАЛМІСАР 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valsartan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валсартан;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C09DA03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320/12,5 мг, по 10 таблеток у блістері, по 3 або 9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Маклеодс Фармасьютикалс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UA/17127/01/04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 xml:space="preserve">ВАЛМІСАР 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valsartan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валсартан; 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C09DA03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320/25 мг, по 10 таблеток у блістері, по 3 або 9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Маклеодс Фармасьютикалс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Маклеодс Фармасьютикалс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UA/17127/01/05</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ВАЛЬСАКОР®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valsartan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валсартан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C09CA03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40 мг; по 7 таблеток у блістері; по 4 блістери у картонній коробці; по 10 таблеток у блістері, по 3 блістери у картонній коробці; по 14 таблеток у блістері, по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КРКА, д.д., Ново место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Виробник, відповідальний за виробництво "in bulk", первинне та вторинне пакування, контроль та випуск серії:</w:t>
              <w:br/>
              <w:t>КРКА, д.д., Ново место, Словенія;</w:t>
              <w:br/>
              <w:t>Виробник, відповідальний за контроль серії (фізичні та хімічні методи контролю):</w:t>
              <w:br/>
              <w:t xml:space="preserve">Нешнел Лебораторі ов Хелс, Енвайронмент Енд Фуд, Словенія; </w:t>
              <w:br/>
              <w:t>Виробник, відповідальний за контроль серії (фізичні та хімічні методи контролю):</w:t>
              <w:br/>
              <w:t>Кемілаб д.о.о., Словенія;</w:t>
              <w:br/>
              <w:t>Виробник, відповідальний за виробництво "in bulk":</w:t>
              <w:br/>
              <w:t xml:space="preserve">Нінгбо Меново Тіанканг Фармасьютикал Ко., Лтд, Китай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 Китай</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UA/6227/01/01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ВАЛЬСАКОР®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valsartan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валсартан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C09CA03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320 мг; по 10 таблеток у блістері, по 3 або по 6 блістерів у картонній коробці, по 14 таблеток у блістері, по 2 або по 4 блістери у картонній коробці, по 15 таблеток у блістері, по 2 або по 4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КРКА, д.д., Ново место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Виробник, відповідальний за виробництво "in bulk", первинне та вторинне пакування, контроль та випуск серії:</w:t>
              <w:br/>
              <w:t>КРКА, д.д., Ново место, Словенія;</w:t>
              <w:br/>
              <w:t>Виробник, відповідальний за контроль серії (фізичні та хімічні методи контролю):</w:t>
              <w:br/>
              <w:t xml:space="preserve">Нешнел Лебораторі ов Хелс, Енвайронмент Енд Фуд, Словенія; </w:t>
              <w:br/>
              <w:t>Виробник, відповідальний за контроль серії (фізичні та хімічні методи контролю):</w:t>
              <w:br/>
              <w:t>Кемілаб д.о.о., Словенія;</w:t>
              <w:br/>
              <w:t>Виробник, відповідальний за виробництво "in bulk":</w:t>
              <w:br/>
              <w:t>Нінгбо Меново Тіанканг Фармасьютикал Ко., Лтд, Китай</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 Китай</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UA/6227/01/04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ВАЛЬСАКОР®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valsartan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валсартан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C09CA03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80 мг; по 7 таблеток у блістері; по 4 або по 12 блістерів у картонній коробці; по 10 таблеток у блістері, по 3 блістери у картонній коробці; по 14 таблеток у блістері, по 2 або по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КРКА, д.д., Ново место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Виробник, відповідальний за виробництво "in bulk", первинне та вторинне пакування, контроль та випуск серії:</w:t>
              <w:br/>
              <w:t>КРКА, д.д., Ново место, Словенія;</w:t>
              <w:br/>
              <w:t>Виробник, відповідальний за контроль серії (фізичні та хімічні методи контролю):</w:t>
              <w:br/>
              <w:t>Нешнел Лебораторі ов Хелс, Енвайронмент Енд Фуд, Словенія;</w:t>
              <w:br/>
              <w:t>Виробник, відповідальний за контроль серії (фізичні та хімічні методи контролю):</w:t>
              <w:br/>
              <w:t>Кемілаб д.о.о., Словенія;</w:t>
              <w:br/>
              <w:t>Виробник, відповідальний за виробництво "in bulk", первинне та вторинне пакування:</w:t>
              <w:br/>
              <w:t>Нінгбо Меново Тіанканг Фармасьютикал Ко., Лтд, Китай</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 Китай</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UA/6227/01/02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ВАЛЬСАКОР®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valsartan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валсартан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C09CA03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160 мг; по 7 таблеток у блістері; по 4 або по 12 блістерів у картонній коробці; по 10 таблеток у блістері, по 3 блістери у картонній коробці; по 14 таблеток у блістері, по 2 або по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КРКА, д.д., Ново место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Виробник, відповідальний за виробництво "in bulk", первинне та вторинне пакування, контроль та випуск серії:</w:t>
              <w:br/>
              <w:t>КРКА, д.д., Ново место, Словенія;</w:t>
              <w:br/>
              <w:t>Виробник, відповідальний за контроль серії (фізичні та хімічні методи контролю):</w:t>
              <w:br/>
              <w:t>Нешнел Лебораторі ов Хелс, Енвайронмент Енд Фуд, Словенія;</w:t>
              <w:br/>
              <w:t>Виробник, відповідальний за контроль серії (фізичні та хімічні методи контролю):</w:t>
              <w:br/>
              <w:t>Кемілаб д.о.о., Словенія;</w:t>
              <w:br/>
              <w:t>Виробник, відповідальний за виробництво "in bulk", первинне та вторинне пакування:</w:t>
              <w:br/>
              <w:t xml:space="preserve">Нінгбо Меново Тіанканг Фармасьютикал Ко., Лтд, Китай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 Китай</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UA/6227/01/03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ВЕНОСМІН®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Diosmin,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сума флавоноїдних фракцій: діосмін та гесперидин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C05CA53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10 таблеток у блістері; по 3 або 6 блістерів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"ФІТОФАРМ"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відповідальний за виробництво, первинне/вторинне пакування, контроль якості та випуск серії: ПРАТ "ФІТОФАРМ", Україна; відповідальний за випуск серії, не включаючи контроль/випробування серії: ПРАТ "ФІТОФАРМ", Україна; відповідальний за виробництво, первинне/вторинне пакування, контроль якості: АТ "Лубнифарм",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UA/9747/01/01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ВІРПАС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Sofosbuvir and ledipasvir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ледіпасвір та софосбувір</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J05AP51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90 мг/400 мг; по 28 таблеток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Страйдс Фарма Сайенс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СТРАЙДС ФАРМА САЙЕНС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UA/17052/01/01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ВУГІЛЛЯ АКТИВОВАНЕ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Medicinal charcoal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вугілля активоване</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A07BA01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0,25 г; по 10 таблеток у блістерах; по 10 таблеток у блістері; по 2 або по 10 блістерів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"ХІМФАРМЗАВОД "ЧЕРВОНА ЗІРКА"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"ХІМФАРМЗАВОД "ЧЕРВОНА ЗІРКА"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UA/9148/01/01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ГЕНЕРОЛОН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minoxidil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міноксидил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D11AX01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нашкірний, 5 %; по 60 мл у флаконі, по 1 флакону в комплекті з мірним насосом та розпилюючою насадкою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Белупо, ліки та косметика,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Хорватія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вторинне пакування, контроль якості та випуск серії: Белупо, ліки та косметика, д.д., Хорватiя;</w:t>
              <w:br/>
              <w:t>виробництво готового лікарського засобу, первинне пакування: Індастріал Фармасьютіка Кантабріа, С.А. ,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lang w:val="en-US"/>
              </w:rPr>
            </w:pPr>
            <w:r>
              <w:rPr>
                <w:rFonts w:cs="Arial" w:ascii="Arial" w:hAnsi="Arial"/>
                <w:sz w:val="16"/>
                <w:szCs w:val="16"/>
              </w:rPr>
              <w:t>Хорватiя</w:t>
            </w:r>
            <w:r>
              <w:rPr>
                <w:rFonts w:cs="Arial" w:ascii="Arial" w:hAnsi="Arial"/>
                <w:sz w:val="16"/>
                <w:szCs w:val="16"/>
                <w:lang w:val="en-US"/>
              </w:rPr>
              <w:t>/</w:t>
            </w:r>
            <w:r>
              <w:rPr>
                <w:rFonts w:cs="Arial" w:ascii="Arial" w:hAnsi="Arial"/>
                <w:sz w:val="16"/>
                <w:szCs w:val="16"/>
              </w:rPr>
              <w:t xml:space="preserve"> Іспанія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UA/17808/01/02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ГЕНЕРОЛОН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minoxidil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міноксидил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D11AX01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нашкірний, 2 %; по 60 мл у флаконі, по 1 флакону в комплекті з мірним насосом та розпилюючою насадкою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Белупо, ліки та косметика,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Хорватія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вторинне пакування, контроль якості та випуск серії: Белупо, ліки та косметика, д.д., Хорватiя;</w:t>
              <w:br/>
              <w:t>виробництво готового лікарського засобу, первинне пакування: Індастріал Фармасьютіка Кантабріа, С.А. ,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lang w:val="en-US"/>
              </w:rPr>
            </w:pPr>
            <w:r>
              <w:rPr>
                <w:rFonts w:cs="Arial" w:ascii="Arial" w:hAnsi="Arial"/>
                <w:sz w:val="16"/>
                <w:szCs w:val="16"/>
              </w:rPr>
              <w:t>Хорватiя</w:t>
            </w:r>
            <w:r>
              <w:rPr>
                <w:rFonts w:cs="Arial" w:ascii="Arial" w:hAnsi="Arial"/>
                <w:sz w:val="16"/>
                <w:szCs w:val="16"/>
                <w:lang w:val="en-US"/>
              </w:rPr>
              <w:t>/</w:t>
            </w:r>
            <w:r>
              <w:rPr>
                <w:rFonts w:cs="Arial" w:ascii="Arial" w:hAnsi="Arial"/>
                <w:sz w:val="16"/>
                <w:szCs w:val="16"/>
              </w:rPr>
              <w:t xml:space="preserve"> Іспанія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UA/17808/01/01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 xml:space="preserve">ГЕПАМЕТІОН®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ademetionine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S-аденозил-L-метіоніну 1,4 бутандисульфонат (у перерахуванні на адеметіоніну катіон)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A16AA02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ліофілізат для розчину для ін'єкцій по 500 мг, по 5 флаконів з ліофілізатом у комплекті з 5 ампулами розчинника по 5 мл у контурній чарунковій упаковці; по 1 контурній чарунковій упаковці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"АРТЕРІУМ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розчинника: ПАТ "Галичфарм", Україна; виробництво ліофілізату, випуск серії готового лікарського засобу:</w:t>
              <w:br/>
              <w:t>ПАТ "Київмедпрепарат",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UA/18995/01/01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ГІПНОРАНУМ®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sevoflurane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севофлуран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N01AB08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рідина для інгаляцій 100 %; по 250 мл у флаконі; по 1 флакону в пачці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 Україна</w:t>
              <w:br/>
              <w:t>(вторинне пакування, маркування, контроль якості, випуск серії з продукції in bulk фірми-виробника Шанхай Хенгруі Фармасьютікал Ко., Лтд., Китай (виробництво, пакування, випуск серії та контроль якості))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UA/20037/01/01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ГІПОТІАЗИД®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hydrochlorothiazide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C03AA03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100 мг; № 20: по 20 таблеток у блістері; по 1 блістеру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"Санофі-Авентіс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первинне та вторинне пакування, контроль якості та випуск серії ГЛЗ (за виключенням мікробіологічного тестування): Опелла Хелскеа Хангері Кфт. , Угорщина; Мікробіологічне тестування ГЛЗ: ХІНОЇН Завод Фармацевтичних та Хімічних Продуктів Прайвіт Ко. Лтд. (ХІНОЇН Прайвіт Ко. Лтд.) - підприємство Юпест, Угорщина; ХІНОЇН Завод Фармацевтичних та Хімічних Продуктів Прайвіт Ко. Лтд. (ХІНОЇН Прайвіт Ко. Лтд.) - підприємство Чаніквельд,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lang w:val="en-US"/>
              </w:rPr>
            </w:pPr>
            <w:r>
              <w:rPr>
                <w:rFonts w:cs="Arial" w:ascii="Arial" w:hAnsi="Arial"/>
                <w:sz w:val="16"/>
                <w:szCs w:val="16"/>
              </w:rPr>
              <w:t>Угорщина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UA/7593/01/02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ГІПОТІАЗИД®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hydrochlorothiazide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гідрохлоротіазид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C03AA03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25 мг; № 20: по 20 таблеток у блістері; по 1 блістеру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"Санофі-Авентіс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первинне та вторинне пакування, контроль якості та випуск серії ГЛЗ (за виключенням мікробіологічного тестування): Опелла Хелскеа Хангері Кфт. , Угорщина; Мікробіологічне тестування ГЛЗ: ХІНОЇН Завод Фармацевтичних та Хімічних Продуктів Прайвіт Ко. Лтд. (ХІНОЇН Прайвіт Ко. Лтд.) - підприємство Юпест, Угорщина; ХІНОЇН Завод Фармацевтичних та Хімічних Продуктів Прайвіт Ко. Лтд. (ХІНОЇН Прайвіт Ко. Лтд.) - підприємство Чаніквельд, Угорщина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UA/7593/01/01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ГРУДНІ КРАПЛІ ВІД КАШЛЮ</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солодкового кореня екстракт густий (Glycyrrhizae radix extractum spissum); олія анісова; аміаку розчин концентрований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R05CA10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рідина, по 25 мл у флаконах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"Тернофарм"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"Тернофарм"</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UA/0625/01/01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ДАНІЄСТА®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dydrogesterone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дидрогестерон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G03DB01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10 мг; по 10 таблеток у блістері, по 1 або 2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АТ "Фармак"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UA/20951/01/01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ДЕКСКЕТОПРОФЕН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dexketoprofen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декскетопрофен (у формі декскетопрофену трометамолу)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M01AE17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25 мг/мл; по 2 мл в ампулі, по 5 ампул у контурній упаковці, по 1 контурній упаковці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«Аміла Хелс Кеа»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Стерил-Джен Лайф Сайєнсиз (П)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UA/20285/01/01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ДЕКСКЕТОПРОФЕН-ВІСТА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dexketoprofen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декскетопрофену трометамол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M01AE17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25 мг; по 10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Містрал Кепітал Менеджмент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Англія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готового лікарського засобу, первинна та вторинна упаковка, конроль серії (фізико-хімічний та мікробіологічний), випуск серії: САГ МАНУФАКТУРІНГ, С.Л.У., Іспанiя; конроль серії (мікробіологічний): Єврофінс Біофарма Продакт Тестінг Спейн, С.Л.У., Іспанiя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Іспанiя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UA/20657/01/01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ДЕ-НОЛ®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Bismuth subcitrate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вісмуту субцитрат колоїдний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A02BX05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120 мг; по 8 таблеток у блістері; по 7 або 14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ЧЕПЛАФАРМ Арцнайміттель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Астеллас Фарма Юроп Б.В.</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Нiдерланди</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UA/4355/01/01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ЕГІСТРОЗОЛ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anastrozole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анастрозол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L02BG03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 мг, по 14 таблеток у блістері, по 2 блістери в картонній упаковці; по 10 таблеток у блістері; по 3 або по 9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 Угорщина; Сінтон Хіспанія, С.Л., Іспанія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 Іспанія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UA/9959/01/01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ЕКЗО-ТІФІН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naftifine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нафтифіну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D01AE22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крем, 10 мг/г по 15 г у тубі; по 1 тубі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UA/18288/03/01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ЕКЗО-ТІФІН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naftifine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нафтифіну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крем, 10 мг/г in bulk: по 10 кг у бочці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ТОВАРИСТВО З ОБМЕЖЕНОЮ ВІДПОВІДАЛЬНІСТЮ «КОРПОРАЦІЯ «ЗДОРОВ’Я»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ТОВАРИСТВО З ОБМЕЖЕНОЮ ВІДПОВІДАЛЬНІСТЮ «КОРПОРАЦІЯ «ЗДОРОВ’Я»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UA/18287/03/01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ЕКСІДЖАД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deferasirox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деферасірокс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V03AC03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що диспергуються по 500 мг; по 7 таблеток у блістері; по 4 блістери в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АГ</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за повним циклом:</w:t>
              <w:br/>
              <w:t>Новартіс Фармасьютикалс С.Р.Л.</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Румунія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UA/6731/01/02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ЕКСІДЖАД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deferasirox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деферасірокс</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V03AC03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що диспергуються по 250 мг; по 7 таблеток у блістері; по 4 блістери в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АГ</w:t>
              <w:br/>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за повним циклом:</w:t>
              <w:br/>
              <w:t>Новартіс Фармасьютикалс С.Р.Л.</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Румунія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pPr>
            <w:r>
              <w:rPr>
                <w:rFonts w:cs="Arial" w:ascii="Arial" w:hAnsi="Arial"/>
                <w:sz w:val="16"/>
                <w:szCs w:val="16"/>
              </w:rPr>
              <w:t>UA/6731/01/01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ЕЛЕВІТ® ПРОНАТАЛЬ</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Multivitamins and other minerals, incl.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rPr>
                <w:rFonts w:ascii="Arial" w:hAnsi="Arial" w:cs="Arial"/>
                <w:sz w:val="16"/>
                <w:szCs w:val="16"/>
              </w:rPr>
            </w:pPr>
            <w:r>
              <w:rPr>
                <w:rFonts w:cs="Arial" w:ascii="Arial" w:hAnsi="Arial"/>
                <w:sz w:val="16"/>
                <w:szCs w:val="16"/>
              </w:rPr>
              <w:t>вітамін А, вітамін В1, вітамін В2, вітамін В6, вітамін В12, вітамін С (у вигляді кальцію аскорбату дигідрату), вітамін D3, вітамін E, кальцію пантотенат, біотин, нікотинамід, фолієва кислота, кальцій (у вигляді кальцію аскорбату дигідрату, кальцію пантотенату, кальцію гідрофосфату безводного), магній (у вигляді магнію оксиду легкого, магнію гідрофосфату тригідрату, магнію стеарату), фосфор (у вигляді кальцію гідрофосфату безводного, магнію гідрофосфату тригідрату), залізо (у вигляді заліза фумарату), цинк (у вигляді цинку сульфату моногідрату), марганець (у вигляді марганцю сульфату моногідрату), мідь (у вигляді міді сульфату безводного)</w:t>
            </w:r>
          </w:p>
          <w:p>
            <w:pPr>
              <w:pStyle w:val="Normal"/>
              <w:tabs>
                <w:tab w:val="left" w:pos="12600" w:leader="none"/>
              </w:tabs>
              <w:rPr>
                <w:rFonts w:ascii="Arial" w:hAnsi="Arial" w:cs="Arial"/>
                <w:sz w:val="16"/>
                <w:szCs w:val="16"/>
              </w:rPr>
            </w:pPr>
            <w:r>
              <w:rPr>
                <w:rFonts w:cs="Arial" w:ascii="Arial" w:hAnsi="Arial"/>
                <w:sz w:val="16"/>
                <w:szCs w:val="16"/>
              </w:rPr>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A11AA03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15 таблеток у блістері; по 2 блістери у картонній коробці; по 10 таблеток у блістері; по 10 блістерів у картонній коробці; по 20 таблеток у блістері; по 5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Байєр Консьюмер Кер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Драженофарм Апотекер Пюшль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UA/9996/01/01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ЕЛІГАРД 22,5 МГ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leuprorelin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лейпрореліну ацетат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L02AE02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приготування розчину для підшкірних ін'єкцій по 22,5 мг; комплект містить 1 лоток та стерильну голку. Лоток містить пакетик з вологопоглинаючим агентом та попередньо з'єднану шприцеву систему: попередньо наповнений шприц А з розчинником, попередньо наповнений шприц Б з порошком, фіксуючий з'єднувач для шприців А та Б з кнопкою. Комплект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Рекордаті Індастріа Хіміка е Фармасевтіка С.п.А.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Італiя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відповідальний за випуск серії: Толмар Інк., США; відповідальний за вторинну упаковку: Толмар Інк., США; відповідальний за виробництво шприца А, шприца Б, кінцеву упаковку та контроль якості: Толмар Інк., США; відповідальний за контроль/випробування серії: Толмар Інк., США; відповідальний за контроль/випробування серії: Толмар Інк., США; відповідальний за контроль/випробування серії: Спектрал Дата Сервіс, Інк.,США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США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UA/5758/01/02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ЕЛІГАРД 45 МГ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leuprorelin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лейпрореліну ацетат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L02AE02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приготування розчину для підшкірних ін'єкцій по 45 мг; комплект містить 1 лоток та стерильну голку. Лоток містить пакетик з вологопоглинаючим агентом та попередньо з’єднану шприцеву систему: попередньо наповнений шприц А з розчинником, попередньо наповнений шприц Б з порошком, фіксуючий з’єднувач для шприців А та Б з кнопкою. Комплект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Рекордаті Індастріа Хіміка е Фармасевтіка С.п.А.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Італiя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відповідальний за випуск серії: Толмар Інк., США; відповідальний за вторинну упаковку: Толмар Інк., США; відповідальний за виробництво шприца А, шприца Б, кінцеву упаковку та контроль якості: Толмар Інк., США; відповідальний за виробництво шприца Б: Толмар Інк., США; відповідальний за контроль/випробування серії: Толмар Інк., США; відповідальний за контроль/випробування серії: Толмар Інк., США; відповідальний за контроль/випробування серії: Спектрал Дата Сервіс, Інк.,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США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UA/5758/01/03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ЕЛІГАРД 7,5 МГ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leuprorelin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лейпрореліну ацетат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L02AE02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приготування розчину для підшкірних ін'єкцій по 7,5 мг; комплект містить 1 лоток та стерильну голку. Лоток містить пакетик з вологопоглинаючим агентом та попередньо з'єднану шприцеву систему: попередньо наповнений шприц А з розчинником, попередньо наповнений шприц Б з порошком, фіксуючий з'єднувач для шприців А та Б з кнопкою. Комплект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Рекордаті Індастріа Хіміка е Фармасевтіка С.п.А.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Італiя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відповідальний за випуск серії: Толмар Інк., США; відповідальний за вторинну упаковку: Толмар Інк., США; відповідальний за виробництво шприца А, шприца Б, кінцеву упаковку та контроль якості: Толмар Інк., США; відповідальний за контроль/випробування серії: Толмар Інк., США; відповідальний за контроль/випробування серії: Толмар Інк., США; відповідальний за контроль/випробування серії: Спектрал Дата Сервіс, Інк.,США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США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UA/5758/01/01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ЕПІГАБА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gabapentin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габапентин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N03AX12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тверді по 300 мг; по 10 капсул у блістері; по 2 або по 10 блістерів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"Технолог"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"Технолог"</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UA/11671/01/01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ЕСТЕЗИФІН®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naftifine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нафтифіну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D01AE22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крем 1 % по 15 г у тубі; по 1 тубі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UA/15944/01/01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ЕТОЛ SR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etodolac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етодолак мікронізований</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M01AB08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пролонгованої дії, по 600 мг; по 10 таблеток у блістері; по 1 блістеру в картонній упаковці; по 14 таблеток у блістері; по 1 блістеру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НОБЕЛ ІЛАЧ САНАЇ ВЕ ТІДЖАРЕТ А.Ш.</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Туреччина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НОБЕЛ ІЛАЧ САНАЇ ВЕ ТІДЖАРЕТ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Туреччина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UA/15574/01/01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ЕТОЛ ФОРТ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etodolac</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етодолак</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M01AB08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оболонкою, по 400 мг; по 14 таблеток у блістері; по 1 або по 2 блістери в картонній упаковці; по 4 таблетки у блістері; по 1 блістеру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НОБЕЛ ІЛАЧ САНАЇ ВЕ ТІДЖАРЕТ А.Ш.</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Туреччина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НОБЕЛ ІЛАЧ САНАЇ ВЕ ТІДЖАРЕТ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Туреччина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UA/3962/01/01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ЗОЛАФРЕН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olanzapine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оланзапін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N05AH03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таблетки, вкриті оболонкою, по 5 мг; по 30 таблеток у блістері; по 1 блістеру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"Адамед 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виробник "in bulk", первинного та вторинного пакування: АТ "Адамед Фарма", Польща; контроль якості, дозвіл на випуск серії: АТ "Адамед Фарма",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UA/2604/01/01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ЗОЛАФРЕН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pPr>
            <w:r>
              <w:rPr>
                <w:rFonts w:cs="Arial" w:ascii="Arial" w:hAnsi="Arial"/>
                <w:sz w:val="16"/>
                <w:szCs w:val="16"/>
              </w:rPr>
              <w:t>olanzapine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оланзапін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N05AH03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таблетки, вкриті оболонкою, по 10 мг; по 30 таблеток у блістері; по 1 блістеру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"Адамед 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виробник "in bulk", первинного та вторинного пакування: АТ "Адамед Фарма", Польща; контроль якості, дозвіл на випуск серії: АТ "Адамед Фарма",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UA/2604/01/02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ЗОЛЕУМ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zoledronic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золедронової кислоти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M05BA08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інфузій, 5 мг/100 мл; по 100 мл в контейнері, по 1 контейнеру в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Ананта Медікеар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Євролайф Хелткеар Пвт.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ІБУФЕН® ДЛЯ ДІТЕЙ МАЛИНА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ibuprofen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Ібупрофен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M01AE01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суспензія оральна, 100 мг/5 мл по 100 мл у пластиковому (ПЕТ) флаконі з поліетиленовим адаптером; по 1 флакону разом з шприцем-дозатором в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Фармацевтичний завод «ПОЛЬФАРМА»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первинне та вторинне пакування, контроль серії: Фармацевтичний завод «ПОЛЬФАРМА» С.А. , Польща;</w:t>
              <w:br/>
              <w:t>Випуск серії: Фармацевтичний завод «ПОЛЬФАРМА» С.А., Польща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t>Зміни II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UA/9215/01/01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ІКСДЖЕВА®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denosumab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деносумаб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M05BX04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70 мг/мл; по 1,7 мл (70 мг/мл)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Амджен Європа Б.В.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Нiдерланди</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Виробник нерозфасованої продукції, первинне пакування: Амджен Мануфекчурінг Лімітед, США; Вторинне пакування та випуск серії:</w:t>
              <w:br/>
              <w:t>Амджен Європа Б.В., Нідерланди</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США/ Нідерланди</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UA/15390/01/01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 xml:space="preserve">ІНДАПЕН SR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Indapamide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індапамід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C03BA11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оболонкою з модифікованим вивільненням по 1,5 мг; по 14 таблеток у блістері; по 2 або по 4 блістери в картонній коробці; по 15 таблеток у блістері; по 2 або по 4 блістери в картонній коробці; по 30 таблеток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Фармацевтичний завод "ПОЛЬФАРМА" С.А.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Фармацевтичний завод "ПОЛЬФАРМА" С.А.</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UA/0877/02/01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КАПЕЦИТАБІН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capecitabine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капецитабін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L01BC06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500 мг; по 10 таблеток у блістері; по 3, 6 або 12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Аккорд Хелскеа С.Л.У.</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Виробництво готового лікарського засобу, первинне пакування, вторинне пакування, контроль якості серії: Інтас Фармасьютікалз Лімітед, Індія; Виробництво готового лікарського засобу, первинне та вторинне пакування, контроль якості серії (альтернативний виробник): Інтас Фармасьютікалз Лімітед, Індія; Первинне та вторинне пакування: Аккорд Хелскеа Лімітед, Велика Британія; </w:t>
              <w:br/>
              <w:t>Вторинне пакування: ДЧЛ Саплі Чейн, Італія СПА, Італiя; контроль якості серії: Лабораторі Фундасіо ДАУ, Іспанія; вторинне пакування:</w:t>
              <w:br/>
              <w:t>СК Фарма Лоджистікс ГмБХ, Німеччина; контроль якості серії: Фармадокс Хелскеа Лтд., Мальта; вторинне пакування: Синоптиз Індастріал Сп. з о.о., Польща; відповідальний за випуск серії: Аккорд Хелскеа Полска Сп. з о.о. Склад Імпортера, Польща; вторинне пакування, контроль якості серії: Аккорд Хелскеа Сінгл Мембер С.А., Греція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 Велика Британія/ Італiя/ Мальта/ Польща/ Греція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UA/14799/01/02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sz w:val="16"/>
                <w:szCs w:val="16"/>
                <w:lang w:val="en-US"/>
              </w:rPr>
            </w:pPr>
            <w:r>
              <w:rPr>
                <w:rFonts w:cs="Arial" w:ascii="Arial" w:hAnsi="Arial"/>
                <w:b/>
                <w:sz w:val="16"/>
                <w:szCs w:val="16"/>
              </w:rPr>
              <w:t>КАСПОФУНГІН АСІНО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caspofungin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lang w:val="ru-RU"/>
              </w:rPr>
            </w:pPr>
            <w:r>
              <w:rPr>
                <w:rFonts w:cs="Arial" w:ascii="Arial" w:hAnsi="Arial"/>
                <w:sz w:val="16"/>
                <w:szCs w:val="16"/>
              </w:rPr>
              <w:t>каспофунгіну ацетат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J02AX04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lang w:val="ru-RU"/>
              </w:rPr>
            </w:pPr>
            <w:r>
              <w:rPr>
                <w:rFonts w:cs="Arial" w:ascii="Arial" w:hAnsi="Arial"/>
                <w:sz w:val="16"/>
                <w:szCs w:val="16"/>
                <w:lang w:val="ru-RU"/>
              </w:rPr>
              <w:t>порошок для концентрату для розчину для інфузій, 50 мг; по 50 мг у флаконі; по 1 флакону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ТОВ "АСІНО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БАГ Хеалс Кеа ГмбХ, Німеччина (виробництво, пакування, контроль якості та випуск серій); БіоХім Лабораторія біологічного та хімічного аналізу, Німеччина (контроль якості); Лабораторіос Алкала Фарма С.Л., Іспанiя (виробництво, пакування, контроль якості та випуск серій); ТОВ "Фармідея", Латвiя (контроль якості)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Німеччина/Іспанія/</w:t>
            </w:r>
          </w:p>
          <w:p>
            <w:pPr>
              <w:pStyle w:val="112"/>
              <w:tabs>
                <w:tab w:val="left" w:pos="12600" w:leader="none"/>
              </w:tabs>
              <w:jc w:val="center"/>
              <w:rPr>
                <w:rFonts w:ascii="Arial" w:hAnsi="Arial" w:cs="Arial"/>
                <w:sz w:val="16"/>
                <w:szCs w:val="16"/>
              </w:rPr>
            </w:pPr>
            <w:r>
              <w:rPr>
                <w:rFonts w:cs="Arial" w:ascii="Arial" w:hAnsi="Arial"/>
                <w:sz w:val="16"/>
                <w:szCs w:val="16"/>
              </w:rPr>
              <w:t>Латвія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sz w:val="16"/>
                <w:szCs w:val="16"/>
              </w:rPr>
            </w:pPr>
            <w:r>
              <w:rPr>
                <w:rFonts w:cs="Arial" w:ascii="Arial" w:hAnsi="Arial"/>
                <w:sz w:val="16"/>
                <w:szCs w:val="16"/>
              </w:rPr>
              <w:t xml:space="preserve">внесення змін до реєстраційних матеріалів:  </w:t>
            </w:r>
            <w:r>
              <w:rPr>
                <w:rFonts w:cs="Arial" w:ascii="Arial" w:hAnsi="Arial"/>
                <w:b/>
                <w:sz w:val="16"/>
                <w:szCs w:val="16"/>
              </w:rPr>
              <w:t>уточнення реєстраційної процедури в наказі МОЗ України</w:t>
            </w:r>
          </w:p>
          <w:p>
            <w:pPr>
              <w:pStyle w:val="112"/>
              <w:tabs>
                <w:tab w:val="left" w:pos="12600" w:leader="none"/>
              </w:tabs>
              <w:jc w:val="center"/>
              <w:rPr>
                <w:rFonts w:ascii="Arial" w:hAnsi="Arial" w:cs="Arial"/>
                <w:b/>
                <w:b/>
                <w:sz w:val="16"/>
                <w:szCs w:val="16"/>
              </w:rPr>
            </w:pPr>
            <w:r>
              <w:rPr>
                <w:rFonts w:cs="Arial" w:ascii="Arial" w:hAnsi="Arial"/>
                <w:b/>
                <w:sz w:val="16"/>
                <w:szCs w:val="16"/>
              </w:rPr>
            </w:r>
          </w:p>
          <w:p>
            <w:pPr>
              <w:pStyle w:val="112"/>
              <w:tabs>
                <w:tab w:val="left" w:pos="12600" w:leader="none"/>
              </w:tabs>
              <w:jc w:val="center"/>
              <w:rPr>
                <w:rFonts w:ascii="Arial" w:hAnsi="Arial" w:cs="Arial"/>
                <w:sz w:val="16"/>
                <w:szCs w:val="16"/>
              </w:rPr>
            </w:pPr>
            <w:r>
              <w:rPr>
                <w:rFonts w:cs="Arial" w:ascii="Arial" w:hAnsi="Arial"/>
                <w:sz w:val="16"/>
                <w:szCs w:val="16"/>
              </w:rPr>
              <w:t>Зміни І типу</w:t>
            </w:r>
          </w:p>
          <w:p>
            <w:pPr>
              <w:pStyle w:val="112"/>
              <w:tabs>
                <w:tab w:val="left" w:pos="12600" w:leader="none"/>
              </w:tabs>
              <w:jc w:val="center"/>
              <w:rPr>
                <w:rFonts w:ascii="Arial" w:hAnsi="Arial" w:cs="Arial"/>
                <w:sz w:val="16"/>
                <w:szCs w:val="16"/>
              </w:rPr>
            </w:pPr>
            <w:r>
              <w:rPr>
                <w:rFonts w:cs="Arial" w:ascii="Arial" w:hAnsi="Arial"/>
                <w:sz w:val="16"/>
                <w:szCs w:val="16"/>
              </w:rPr>
            </w:r>
          </w:p>
          <w:p>
            <w:pPr>
              <w:pStyle w:val="112"/>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UA/20924/01/01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КВАНІЛ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citicoline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цитиколін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гранули 500 мг; in bulk: № 1800 (1х1800) саше: по 1,5 г гранул у саше; по 1800 саше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UA/16063/02/01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КВАНІЛ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citicoline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цитиколін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N06BX06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гранули 500 мг; по 1,5 г у саше; по 10 або по 30 саше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«КУСУМ»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КУСУМ ХЕЛТХКЕР ПВТ ЛТД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UA/14767/01/01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КЕТОНАЛ®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кетопрофен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M02AA10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гель 2,5 %; по 50 г у тубі;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Салютас Фарма ГмбХ, Німеччина (виробництво за повним циклом); Салютас Фарма ГмбХ, Німеччина (контроль серії)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UA/8325/05/01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КЕТОНАЛ®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ketoprofen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кетопрофен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M02AA10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крем 5%; по 30 г у тубі; по 1 тубі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за повним циклом: Салютас Фарма ГмбХ, Німеччина; контроль серії: Салютас Фарма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UA/8325/07/01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КЛІМАДИНОН®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Cimicifugae rhizoma</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рідкий екстракт кореневища циміцифуги (Cimicifuga rhizome)</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G02СX04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краплі оральні, по 50 мл у флаконі з дозуючим крапельним пристроєм;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Біонорика СЕ</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Біонорика СЕ</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jc w:val="center"/>
              <w:rPr>
                <w:rStyle w:val="Csafaf574136"/>
                <w:rFonts w:eastAsia="Calibri"/>
                <w:b w:val="false"/>
                <w:b w:val="false"/>
                <w:color w:val="000000"/>
                <w:sz w:val="16"/>
                <w:szCs w:val="16"/>
              </w:rPr>
            </w:pPr>
            <w:r>
              <w:rPr>
                <w:rFonts w:cs="Arial" w:ascii="Arial" w:hAnsi="Arial"/>
                <w:sz w:val="16"/>
                <w:szCs w:val="16"/>
              </w:rPr>
              <w:t xml:space="preserve">внесення змін до реєстраційних матеріалів: </w:t>
            </w:r>
            <w:r>
              <w:rPr>
                <w:rStyle w:val="Csafaf574136"/>
                <w:rFonts w:eastAsia="Calibri"/>
                <w:b w:val="false"/>
                <w:color w:val="000000"/>
                <w:sz w:val="16"/>
                <w:szCs w:val="16"/>
              </w:rPr>
              <w:t>Зміни І типу</w:t>
            </w:r>
          </w:p>
          <w:p>
            <w:pPr>
              <w:pStyle w:val="Normal"/>
              <w:jc w:val="center"/>
              <w:rPr>
                <w:rStyle w:val="Csafaf574136"/>
                <w:rFonts w:eastAsia="Calibri"/>
                <w:b w:val="false"/>
                <w:b w:val="false"/>
                <w:color w:val="000000"/>
                <w:sz w:val="16"/>
                <w:szCs w:val="16"/>
              </w:rPr>
            </w:pPr>
            <w:r>
              <w:rPr/>
            </w:r>
          </w:p>
          <w:p>
            <w:pPr>
              <w:pStyle w:val="Normal"/>
              <w:jc w:val="center"/>
              <w:rPr>
                <w:rStyle w:val="Csafaf574175"/>
                <w:rFonts w:eastAsia="Calibri"/>
                <w:b w:val="false"/>
                <w:b w:val="false"/>
                <w:color w:val="000000"/>
                <w:sz w:val="16"/>
                <w:szCs w:val="16"/>
                <w:lang w:val="ru-RU"/>
              </w:rPr>
            </w:pPr>
            <w:r>
              <w:rPr>
                <w:rStyle w:val="Csafaf574175"/>
                <w:rFonts w:eastAsia="Calibri"/>
                <w:b w:val="false"/>
                <w:color w:val="000000"/>
                <w:sz w:val="16"/>
                <w:szCs w:val="16"/>
                <w:lang w:val="ru-RU"/>
              </w:rPr>
              <w:t xml:space="preserve">Зміни </w:t>
            </w:r>
            <w:r>
              <w:rPr>
                <w:rStyle w:val="Csafaf574175"/>
                <w:rFonts w:eastAsia="Calibri"/>
                <w:b w:val="false"/>
                <w:color w:val="000000"/>
                <w:sz w:val="16"/>
                <w:szCs w:val="16"/>
              </w:rPr>
              <w:t>II</w:t>
            </w:r>
            <w:r>
              <w:rPr>
                <w:rStyle w:val="Csafaf574175"/>
                <w:rFonts w:eastAsia="Calibri"/>
                <w:b w:val="false"/>
                <w:color w:val="000000"/>
                <w:sz w:val="16"/>
                <w:szCs w:val="16"/>
                <w:lang w:val="ru-RU"/>
              </w:rPr>
              <w:t xml:space="preserve"> типу</w:t>
            </w:r>
          </w:p>
          <w:p>
            <w:pPr>
              <w:pStyle w:val="Normal"/>
              <w:jc w:val="center"/>
              <w:rPr>
                <w:rStyle w:val="Csafaf574175"/>
                <w:rFonts w:eastAsia="Calibri"/>
                <w:b w:val="false"/>
                <w:b w:val="false"/>
                <w:color w:val="000000"/>
                <w:sz w:val="16"/>
                <w:szCs w:val="16"/>
                <w:lang w:val="ru-RU"/>
              </w:rPr>
            </w:pPr>
            <w:r>
              <w:rPr/>
            </w:r>
          </w:p>
          <w:p>
            <w:pPr>
              <w:pStyle w:val="Normal"/>
              <w:jc w:val="center"/>
              <w:rPr>
                <w:rStyle w:val="Csafaf574175"/>
                <w:rFonts w:ascii="Arial" w:hAnsi="Arial" w:eastAsia="Calibri" w:cs="Arial"/>
                <w:b w:val="false"/>
                <w:b w:val="false"/>
                <w:color w:val="000000"/>
                <w:sz w:val="16"/>
                <w:szCs w:val="16"/>
                <w:lang w:val="ru-RU"/>
              </w:rPr>
            </w:pPr>
            <w:r>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UA/5021/02/01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sz w:val="16"/>
                <w:szCs w:val="16"/>
                <w:lang w:val="en-US"/>
              </w:rPr>
            </w:pPr>
            <w:r>
              <w:rPr>
                <w:rFonts w:cs="Arial" w:ascii="Arial" w:hAnsi="Arial"/>
                <w:b/>
                <w:sz w:val="16"/>
                <w:szCs w:val="16"/>
              </w:rPr>
              <w:t>КЛОВАСК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кислота ацетилсаліцилова та клопідогрел (у вигляді клопідогрелю гідросульфату)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B01AC30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lang w:val="ru-RU"/>
              </w:rPr>
            </w:pPr>
            <w:r>
              <w:rPr>
                <w:rFonts w:cs="Arial" w:ascii="Arial" w:hAnsi="Arial"/>
                <w:sz w:val="16"/>
                <w:szCs w:val="16"/>
                <w:lang w:val="ru-RU"/>
              </w:rPr>
              <w:t>капсули тверді, по 75 мг/75 мг, по 7 капсул у блістері; по 4 або 8 блістерів у пачці картону; по 28 капсул у банці; по 1 банці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lang w:val="ru-RU"/>
              </w:rPr>
              <w:t>ТОВ НВФ «МІКРОХІМ»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ТОВ НВФ «МІКРОХІМ», Україна (юридична адреса; проведення випробування в рамках контролю якості (фізичні/хімічні випробування); відповідальний за виробництво та контроль/випробування серії, не включаючи випуск серії; відповідальний за випуск серії, не включаючи контроль/випробування серії); відповідальний за виробництво та контроль/випробування серії, не включаючи випуск серії: АТ "Фармак", Україна</w:t>
            </w:r>
          </w:p>
          <w:p>
            <w:pPr>
              <w:pStyle w:val="112"/>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112"/>
              <w:tabs>
                <w:tab w:val="left" w:pos="12600" w:leader="none"/>
              </w:tabs>
              <w:jc w:val="center"/>
              <w:rPr>
                <w:rFonts w:ascii="Arial" w:hAnsi="Arial" w:cs="Arial"/>
                <w:sz w:val="16"/>
                <w:szCs w:val="16"/>
              </w:rPr>
            </w:pPr>
            <w:r>
              <w:rPr>
                <w:rFonts w:cs="Arial" w:ascii="Arial" w:hAnsi="Arial"/>
                <w:sz w:val="16"/>
                <w:szCs w:val="16"/>
              </w:rPr>
            </w:r>
          </w:p>
          <w:p>
            <w:pPr>
              <w:pStyle w:val="112"/>
              <w:tabs>
                <w:tab w:val="left" w:pos="12600" w:leader="none"/>
              </w:tabs>
              <w:jc w:val="center"/>
              <w:rPr>
                <w:rFonts w:ascii="Arial" w:hAnsi="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UA/19688/01/01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КОНТРОЛОК®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pantoprazole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пантопразол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A02BC02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по 40 мг, 1 флакон з порошком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Такеда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за повним циклом: Такеда ГмбХ, Німеччина; виробництво нерозфасованої продукції, первинне пакування: Патеон Італія С.П.А., Італiя; Вассербургер Арцнайміттельверк ГмбХ, Німеччина; виробник відповідальний за контроль якості: Лабор ЛС СЕ енд Ко. КГ,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 Італiя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UA/0106/02/01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КРОМОФАРМ®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cromoglicic acid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натрію кромоглікат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S01GX01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краплі очні 2 %, по 10 мл у флаконі; по 1 флакону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UA/0885/01/01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КСОЛАР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omalizumab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омалізумаб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R03DX05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порошок для розчину для ін’єкцій по 150 мг; 1 флакон з порошком у комплекті з розчинником (вода для ін’єкцій) по 2 мл в ампулах №1 в упаковкці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Штейн АГ, Швейцарія; Вторинне пакування, випуск серії: Лек Фармасьютикалс д.д., Словенія; Виробництво, контроль якості, первинне пакування розчинника: ДЕЛЬФАРМ ДІЖОН, Франція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 Словенія/ Франція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w:t>
            </w:r>
          </w:p>
          <w:p>
            <w:pPr>
              <w:pStyle w:val="Normal"/>
              <w:tabs>
                <w:tab w:val="left" w:pos="12600" w:leader="none"/>
              </w:tabs>
              <w:jc w:val="center"/>
              <w:rPr>
                <w:rFonts w:ascii="Arial" w:hAnsi="Arial" w:cs="Arial"/>
                <w:sz w:val="16"/>
                <w:szCs w:val="16"/>
              </w:rPr>
            </w:pPr>
            <w:r>
              <w:rPr>
                <w:rFonts w:cs="Arial" w:ascii="Arial" w:hAnsi="Arial"/>
                <w:sz w:val="16"/>
                <w:szCs w:val="16"/>
              </w:rPr>
              <w:t xml:space="preserve">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UA/9055/01/02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КСОЛАР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omalizumab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омалізумаб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R03DX05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по 75 мг; 1 флакон з порошком у комплекті з розчинником (вода для ін`єкцій) по 2 мл в ампулах № 1 в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Фарма Штейн АГ, Швейцарія; Виробництво, контроль якості, первинне пакування розчинника: ДЕЛЬФАРМ ДІЖОН, Франція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 Франція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UA/9055/01/01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ЛАМАЛ®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lamotrigine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ламотриджин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N03AX09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100 мг, по 15 таблеток у блістері, по 2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АЛКАЛОЇД АД Скоп’є</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Республіка Північна Македонія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АЛКАЛОЇД АД Скоп’є</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Республіка Північна Македонія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UA/9679/01/03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ЛАМАЛ®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lamotrigine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ламотриджин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N03AX09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200 мг, по 15 таблеток у блістері, по 2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АЛКАЛОЇД АД Скоп’є</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Республіка Північна Македонія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АЛКАЛОЇД АД Скоп’є</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Республіка Північна Македонія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UA/9679/01/04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ЛАМАЛ®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lamotrigine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ламотриджин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N03AX09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25 мг, по 10 таблеток у блістері, по 3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АЛКАЛОЇД АД Скоп’є</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Республіка Північна Македонія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АЛКАЛОЇД АД Скоп’є</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Республіка Північна Македонія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UA/9679/01/01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ЛАМАЛ®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lamotrigine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ламотриджин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N03AX09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50 мг, по 10 таблеток у блістері, по 3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АЛКАЛОЇД АД Скоп’є</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Республіка Північна Македонія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АЛКАЛОЇД АД Скоп’є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Республіка Північна Македонія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UA/9679/01/02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ЛАМІВУДИН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lamivudine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ламівудин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J05AF05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оральний, 10 мг/мл, по 240 мл у банці; по 1 банці разом з шприцом місткістю 10 мл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"Технолог"</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"Технолог"</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UA/13630/01/01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ЛІДОКАЇН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lidocaine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лідокаїну гідрохлориду моногідрат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N01BB02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20 мг/мл; по 2 мл в ампулі; по 10 ампул у картонній пачці з перегородками; по 2 мл в ампулі; по 5 ампул в однобічному блістері; по 2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Приватне акціонерне товариство "Лекхім-Харків"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Приватне акціонерне товариство "Лекхім-Харків"</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UA/12713/01/01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ЛІЗОМАК 600</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linezolid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лінезолід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J01XX08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600 мг, по 10 таблеток у блістері, по 1 або 2, або 6, або по 10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Маклеодс Фармасьютикалс Лімітед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Маклеодс Фармасьютикалс Лімітед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UA/9086/01/01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ЛОМУСТИН МЕДАК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lomustine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ломустин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L01AD02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по 40 мг; по 20 капсул у контейнері; по 1 контейнеру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Медак Гезельшафт фюр клініше Шпеціальпрепарате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Виробник, що відповідає за маркування первинної упаковки, вторинне пакування, контроль/випробування серії та за випуск серії:</w:t>
              <w:br/>
              <w:t>Медак Гезельшафт фюр клініше Шпеціальпрепарате мбХ, Німеччина; Виробник, що відповідає за виробництво лікарського засобу, первинне пакування, контроль/випробування серії: Хаупт Фарма Амарег ГмбХ, Нiмеччина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UA/6988/01/01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ЛОРИНДЕН® 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Flumetasone and antiseptics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флуметазону півалат, кислота саліцилова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D07BB01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мазь по 15 г в тубі; по 1 тубі в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"БАУШ ХЕЛС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Фармзавод Єльфа A.Т.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UA/1717/01/01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МЕБСІН РЕТАРД®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mebeverine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мебеверину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по 200 мг; in bulk: по 1000 капсул у пакетах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Евертоджен Лайф Саєнсиз Лімітед, Індія; Сага Лайфсаєнсиз Лімітед, Індія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UA/8969/01/01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МЕБСІН РЕТАРД®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mebeverine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мебеверину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A03AA04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по 200 мг; по 10 капсул у блістері; по 3 блістери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Евертоджен Лайф Саєнсиз Лімітед, Індія; Сага Лайфсаєнсиз Лімітед, Індія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UA/8968/01/01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МЕДАКСОН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ceftriaxone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цефтриаксон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J01DD04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по 2 г; 10 флаконів з порошком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Медокемі Лімітед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Кіпр</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за повним циклом:</w:t>
              <w:br/>
              <w:t>Медокемі Лімітед, Кіпр;</w:t>
              <w:br/>
              <w:t>виробництво готового лікарського засобу, первинне та вторинне пакування:</w:t>
              <w:br/>
              <w:t xml:space="preserve">Медокемі (Фа Іст) Кампані Лімітед, В’єтнам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Кіпр/ В’єтнам</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UA/7582/01/02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МЕДАКСОН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ceftriaxone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цефтриаксон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J01DD04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по 1 г; 10 флаконів з порошком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Медокемі Лімітед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Кіпр</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за повним циклом:</w:t>
              <w:br/>
              <w:t>Медокемі Лімітед, Кіпр;</w:t>
              <w:br/>
              <w:t>виробництво готового лікарського засобу, первинне та вторинне пакування:</w:t>
              <w:br/>
              <w:t xml:space="preserve">Медокемі (Фа Іст) Кампані Лімітед, В’єтнам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Кіпр/ В’єтнам</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UA/7582/01/01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МЕДОКЛАВ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Amoxicillin and beta-lactamase inhibitor</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амоксицилін натрію  та клавуланат калію еквівалентно клавулановій кислоті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J01CR02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порошок для розчину для ін’єкцій або інфузій, 1 г/0,2 г; 10 флаконів з порошком у картонній коробці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Медокемі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Кіпр</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Медокемі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Кіпр</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w:t>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UA/4428/02/01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МЕДОПЕНЕМ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meropenem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меропенему тригідрат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J01DH02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або інфузій по 1 г, 1 флакон з порошком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Медокемі Лімітед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Кіпр</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Медокемі Лімітед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Кіпр</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UA/11738/01/02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МЕНОВАЛЕН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валеріани комплекс ліпофільний (Valerianae radices extractum spissum), м’яти перцевої комплекс ліпофільний (Menthae piperitae extractum spissum)</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N05CM</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по 10 капсул у блістері; по 2 блістери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Публічне акціонерне товариство "Науково-виробничий центр "Борщагівський хіміко-фармацевтичний завод"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Публічне акціонерне товариство "Науково-виробничий центр "Борщагівський хіміко-фармацевтичний завод"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UA/5279/01/01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МЕТАМАКС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Meldonium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мельдонію дигідрат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C01EB22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по 250 мг, по 10 капсул у контурній чарунковій упаковці; по 4 контурні чарункові упаковки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UA/3572/01/01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МЕТОПРОЛОЛ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metoprolol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метопрололу тартрат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C07AB02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25 мг, по 10 таблеток у блістері; по 3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ПАТ "Київмедпрепарат"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UA/2548/01/01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МЕТОПРОЛОЛ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metoprolol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метопрололу тартрат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C07AB02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50 мг, по 10 таблеток у блістері; по 3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ПАТ "Київмедпрепарат"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ПАТ "Київмедпрепарат"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UA/2548/01/02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МЕТОПРОЛОЛ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metoprolol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метопрололу тартрат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C07AB02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100 мг, по 10 таблеток у блістері; по 3 блістери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ПАТ "Київмедпрепарат"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ПАТ "Київмедпрепарат"</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UA/2548/01/03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МИРЦЕРА®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Methoxy polyethylene glycol-epoetin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метокси поліетилен гліколь-епоетину бета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B03XA03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по 75 мкг/0,3 мл; 1 попередньо наповнений шприц разом з голкою для ін’єкцій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нерозфасованої продукції, первинне пакування, вторинне пакування, випробування контролю якості (за винятком випробування методом біологічного аналізу "Активність in vivo, на нормоцитемічній миші" для дослідження стабільності), випуск серії: Рош Діагностикс ГмбХ, Німеччина; Випробування контролю якості активності для визначення (тільки випробування методом біологічного аналізу "Активність in vivo, на нормоцитемічній миші" для дослідження стабільності): Біоессей-Лабор фюр біологіше Аналітік ГмбХ, Німеччина; Виробництво нерозфасованої продукції, первинне пакування, випробування контролю якості (за винятком випробування методом біологічного аналізу "Активність in vivo, на нормоцитемічній миші" для дослідження стабільності:</w:t>
              <w:br/>
              <w:t>Ф.Хоффманн-Ля Рош Лтд, Швейцарія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 Швейцарія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UA/16434/01/01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МИРЦЕРА®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Methoxy polyethylene glycol-epoetin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метокси поліетилен гліколь-епоетину бета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B03XA03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розчин для ін’єкцій по 50 мкг/0,3 мл; 1 попередньо наповнений шприц разом з голкою для ін’єкцій у картонній упаковці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ТОВ «Рош Україна»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нерозфасованої продукції, первинне пакування, вторинне пакування, випробування контролю якості (за винятком випробування методом біологічного аналізу "Активність in vivo, на нормоцитемічній миші" для дослідження стабільності), випуск серії: Рош Діагностикс ГмбХ, Німеччина; Випробування контролю якості активності для визначення (тільки випробування методом біологічного аналізу "Активність in vivo, на нормоцитемічній миші" для дослідження стабільності): Біоессей-Лабор фюр біологіше Аналітік ГмбХ, Німеччина; Виробництво нерозфасовааної продукції, первинне пакування, випробування контролю якості (за винятком випробування методом біологічного аналізу "Активність in vivo, на нормоцитемічній миші" для дослідження стабільності:</w:t>
              <w:br/>
              <w:t xml:space="preserve">Ф.Хоффманн-Ля Рош Лтд,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 Швейцарія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II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UA/16434/01/02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МІЛДРОНАТ®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meldonium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мельдонію дигідрат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C01EB22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тверді по 500 мг; по 10 капсул у блістері; по 2, 6 або 9 блістерів в пачці із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"Гріндекс"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Латвiя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"Гріндекс"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Латвія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UA/3419/02/02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МІЛУРИТ®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allopurinol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алопуринол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M04AA01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200 мг; по 30 або по 50, або по 60, або по 70, або по 80, або по 90, або по 100, або по 120 таблеток у флаконі; по 1 флакону у коробці; по 10 таблеток у блістері; по 3 або по 4, або по 5, або по 6, або по 7, або по 8, або по 9, або по 10, або по 12 блістерів у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 (первинне, вторинне пакування та випуск серії; повний цикл виробництва, контроль серії та випуск серії)</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UA/19772/01/02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МОНТЕЛУКАСТ-ТЕВА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montelukast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монтелукаст у вигляді монтелукасту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R03DC03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жувальні по 5 мг; по 7 таблеток у блістері; по 4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Тева Оперейшнз Поланд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UA/12439/01/02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МОНТЕЛУКАСТ-ТЕВА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montelukast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монтелукаст у вигляді монтелукасту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R03DC03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жувальні по 4 мг; по 7 таблеток у блістері; по 4 блістери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Тева Оперейшнз Поланд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UA/12439/01/01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МУСКОМЕД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Thiocolchicoside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тіоколхікозид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M03BX05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тверді, 4 мг, по 10 капсул у блістері; по 1 або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«УОРЛД МЕДИЦИН»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УОРЛД МЕДИЦИН ІЛАЧ САН. ВЕ ТІДЖ.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Туреччина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UA/16219/01/02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МУСКОМЕД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Thiocolchicoside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тіоколхікозид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M03BX05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тверді, 8 мг, по 10 капсул у блістері; по 1 або 2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«УОРЛД МЕДИЦИН»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УОРЛД МЕДИЦИН ІЛАЧ САН. ВЕ ТІДЖ. А.Ш.</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Туреччина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UA/16219/01/01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НАЗИВІН® СЕНСИТИВ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oxymetazoline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оксиметазоліну гідрохлорид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R01AA05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спрей назальний, дозований 0,05 %; по 10 мл препарату у флаконі з дозуючим пристроєм; по 1 флакону в картонній коробці. Флакон містить не менше 143 впорскувань</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Пі енд Джі Хелс Джермані ГмбХ</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за повним циклом:</w:t>
              <w:br/>
              <w:t>Софарімекс - Індустріа Кіміка е Фармацеутіка, С.А., Португалiя;</w:t>
            </w:r>
          </w:p>
          <w:p>
            <w:pPr>
              <w:pStyle w:val="Normal"/>
              <w:tabs>
                <w:tab w:val="left" w:pos="12600" w:leader="none"/>
              </w:tabs>
              <w:jc w:val="center"/>
              <w:rPr>
                <w:rFonts w:ascii="Arial" w:hAnsi="Arial" w:cs="Arial"/>
                <w:sz w:val="16"/>
                <w:szCs w:val="16"/>
              </w:rPr>
            </w:pPr>
            <w:r>
              <w:rPr>
                <w:rFonts w:cs="Arial" w:ascii="Arial" w:hAnsi="Arial"/>
                <w:sz w:val="16"/>
                <w:szCs w:val="16"/>
              </w:rPr>
              <w:br/>
              <w:t>виробництво за повним циклом:</w:t>
              <w:br/>
              <w:t xml:space="preserve">Фамар Хелс Кеар Сервісіз Мадрид, С.А.У., Іспанія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Португалiя/ Іспанія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UA/11682/01/02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НАЗИВІН® СЕНСИТИВ</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oxymetazoline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оксиметазоліну гідрохлорид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R01AA05</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спрей назальний, дозований 0,025 %; по 10 мл препарату у флаконі з дозуючим пристроєм; по 1 флакону в картонній коробці. Флакон містить не менше 143 впорскувань</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Пі енд Джі Хелс Джермані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за повним циклом:</w:t>
              <w:br/>
              <w:t>Софарімекс - Індустріа Кіміка е Фармацеутіка, С.А., Португалiя;</w:t>
              <w:br/>
              <w:br/>
              <w:t>виробництво за повним циклом:</w:t>
              <w:br/>
              <w:t xml:space="preserve">Фамар Хелс Кеар Сервісіз Мадрид, С.А.У., Іспанія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Португалiя/ Іспанія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UA/11682/01/01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НАЗОНОЛ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xylometazoline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ксилометазоліну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R01AA07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спрей назальний, розчин дозований, 1 мг/мл, по 10 мл розчину у полімерному флаконі з розпилювачем; по 1 флакону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"Мікрофарм"</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всі стадії виробництва:</w:t>
              <w:br/>
              <w:t>ТОВ "Мікрофарм",</w:t>
              <w:br/>
              <w:t>Україна</w:t>
              <w:br/>
              <w:t>випуск серії:</w:t>
              <w:br/>
              <w:t>ТОВ «ПРЕДСТАВНИЦТВО БАУМ ФАРМ ГМБХ»,</w:t>
              <w:br/>
              <w:t>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UA/18788/01/01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НІМЕКЕР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nimesulide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німесулід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M01AX17</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гранульований для оральної суспензії, 100 мг/2 г; по 2 г у саше; по 10 саше або 30 саше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Товариство з обмеженою відповідальністю "Конарк Інтелмед"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sz w:val="16"/>
                <w:szCs w:val="16"/>
              </w:rPr>
            </w:pPr>
            <w:r>
              <w:rPr>
                <w:rFonts w:cs="Arial" w:ascii="Arial" w:hAnsi="Arial"/>
                <w:b/>
                <w:sz w:val="16"/>
                <w:szCs w:val="16"/>
              </w:rPr>
              <w:t xml:space="preserve">ПРАТ "ХІМФАРМЗАВОД "ЧЕРВОНА ЗІРКА"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sz w:val="16"/>
                <w:szCs w:val="16"/>
              </w:rPr>
            </w:pPr>
            <w:r>
              <w:rPr>
                <w:rFonts w:cs="Arial" w:ascii="Arial" w:hAnsi="Arial"/>
                <w:sz w:val="16"/>
                <w:szCs w:val="16"/>
              </w:rPr>
              <w:t xml:space="preserve">внесення змін до реєстраційних матеріалів: </w:t>
            </w:r>
            <w:r>
              <w:rPr>
                <w:rFonts w:cs="Arial" w:ascii="Arial" w:hAnsi="Arial"/>
                <w:b/>
                <w:sz w:val="16"/>
                <w:szCs w:val="16"/>
              </w:rPr>
              <w:t xml:space="preserve">уточнення написання виробника в наказі МОЗ України </w:t>
            </w:r>
          </w:p>
          <w:p>
            <w:pPr>
              <w:pStyle w:val="Normal"/>
              <w:tabs>
                <w:tab w:val="left" w:pos="12600" w:leader="none"/>
              </w:tabs>
              <w:jc w:val="center"/>
              <w:rPr>
                <w:rFonts w:ascii="Arial" w:hAnsi="Arial" w:cs="Arial"/>
                <w:b/>
                <w:b/>
                <w:sz w:val="16"/>
                <w:szCs w:val="16"/>
              </w:rPr>
            </w:pPr>
            <w:r>
              <w:rPr>
                <w:rFonts w:cs="Arial" w:ascii="Arial" w:hAnsi="Arial"/>
                <w:b/>
                <w:sz w:val="16"/>
                <w:szCs w:val="16"/>
              </w:rPr>
            </w:r>
          </w:p>
          <w:p>
            <w:pPr>
              <w:pStyle w:val="Normal"/>
              <w:tabs>
                <w:tab w:val="left" w:pos="12600" w:leader="none"/>
              </w:tabs>
              <w:jc w:val="center"/>
              <w:rPr>
                <w:rFonts w:ascii="Arial" w:hAnsi="Arial" w:cs="Arial"/>
                <w:b/>
                <w:b/>
                <w:sz w:val="16"/>
                <w:szCs w:val="16"/>
              </w:rPr>
            </w:pPr>
            <w:r>
              <w:rPr>
                <w:rFonts w:cs="Arial" w:ascii="Arial" w:hAnsi="Arial"/>
                <w:b/>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UA/19690/01/01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НІФУРОКСАЗИД РІХТЕР</w:t>
            </w:r>
          </w:p>
        </w:tc>
        <w:tc>
          <w:tcPr>
            <w:tcW w:w="992"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nifuroxazide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ніфуроксазид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A07AX03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оболонкою, по 100 мг; по 24 таблетки у блістері; по 1 блістеру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ВАТ "Гедеон Ріхтер"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"Гедеон Ріхтер Польща", Польща (контроль якості, дозвіл на випуск серії; виробництво нерозфасованого продукту, первинна упаковка, вторинна упаковка)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UA/9060/01/01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НОВОКС®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levofloxacin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левофлоксацину гемігідрат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J01MA12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інфузій 0,5 %; по 100 мл або 150 мл у пляшці; по 1 пляшці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Приватне акціонерне товариство «Інфузія»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UA/16886/01/01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НОРМАТИН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timolol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тимололу малеат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S01ED01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краплі очні, розчин 0,5 %, по 5 мл у флаконі-крапельниці; по 1 флакону-крапельниці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«УОРЛД МЕДИЦИН»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"Е.І.П.І.Ко."</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Єгипет</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UA/7691/01/02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НЬЮРЕКСАН®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Avena sativa D2, Coffea arabica D12, Passiflora incarnata D2, Zincum isovalerianicum D4</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25 або по 50 таблеток у контейнері поліпропіленовому; по 1 контейнеру в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Біологіше Хайльміттель Хеель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Біологіше Хайльміттель Хеель ГмбХ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UA/17415/01/01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ОКСАЛІПЛАТИН АККОРД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oxaliplatin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оксаліплатин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L01XA03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концентрат для розчину для інфузій по 5 мг/мл; по 10 мл, 20 мл, 40 мл у флаконі; по 1 флакону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Аккорд Хелскеа Полска Сп. з.о.о.</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Польща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лікарського засобу, первинне та вторинне пакування, контроль якості серії, експорт на дільницю випуску серії:</w:t>
              <w:br/>
              <w:t>Інтас Фармасьютікалс Лімітед, Індія;</w:t>
              <w:br/>
              <w:t>Інтас Фармасьютікалз Лімітед, Індія;</w:t>
              <w:br/>
              <w:t>дільниця з контролю якості:</w:t>
              <w:br/>
              <w:t xml:space="preserve">Фармавалід Кфт., Угорщина </w:t>
              <w:br/>
              <w:t>дільниця з контролю якості:</w:t>
              <w:br/>
              <w:t xml:space="preserve">Лабаналізіс Лайф Сайнс С.р.л., Італiя; </w:t>
              <w:br/>
              <w:t>вторинне пакування:</w:t>
              <w:br/>
              <w:t>АККОРД ХЕЛСКЕА ЛІМІТЕД , Велика Британiя;</w:t>
              <w:br/>
              <w:t>відповідальний за випуск серії:</w:t>
              <w:br/>
              <w:t>Аккорд Хелскеа Полска Сп. з о.о. Склад Імпортера, Польща;</w:t>
              <w:br/>
              <w:t>вторинне пакування, контроль якості серії:</w:t>
              <w:br/>
              <w:t>Аккорд Хелскеа Сінгл Мембер С.А., Греція</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 /Угорщина/ Італiя/ Велика Британiя/ Польща/</w:t>
            </w:r>
          </w:p>
          <w:p>
            <w:pPr>
              <w:pStyle w:val="Normal"/>
              <w:tabs>
                <w:tab w:val="left" w:pos="12600" w:leader="none"/>
              </w:tabs>
              <w:jc w:val="center"/>
              <w:rPr>
                <w:rFonts w:ascii="Arial" w:hAnsi="Arial" w:cs="Arial"/>
                <w:sz w:val="16"/>
                <w:szCs w:val="16"/>
              </w:rPr>
            </w:pPr>
            <w:r>
              <w:rPr>
                <w:rFonts w:cs="Arial" w:ascii="Arial" w:hAnsi="Arial"/>
                <w:sz w:val="16"/>
                <w:szCs w:val="16"/>
              </w:rPr>
              <w:t>Греція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UA/19530/01/01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ОКТАНІН Ф 1000 MO</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Coagulation factor IX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фактор IX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B02BD04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по 1000 МО; картонна коробка № 1: по 1 флакону ємністю 30 мл з порошком для розчину для ін’єкцій; картонна коробка № 2: по 1 флакону з розчинником (вода для ін’єкцій по 10 мл) у картонній коробці разом з комплектом для розчинення та внутрішньовенного введення (1 шприц одноразовий, 1 комплект для переносу (1 двухкінцева голка, 1 фільтровальна голка), 1 комплект для інфузій (голка-метелик), 2 просочених спиртом тампони) у пакеті або блістері;</w:t>
              <w:br/>
              <w:t>коробки № 1 та № 2 об’єднуються між собою пластиковою плівкою.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Октафарма Фармацевтика Продуктіонсгес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Виробник (альтернативний), відповідальний за вторинне пакування та візуальний огляд лікарського засобу, виробленого на інших виробничих дільницях: Октафарма Дессау ГмбХ, Німеччина; Виробник, відповідальний за виробництво за повним циклом, включаючи вторинну упаковку та візуальний огляд лікарського засобу, виробленого на дільниці Октафарма, Франція: Октафарма Фармацевтика Продуктіонсгес м.б.Х., Австрія; Виробник відповідальний за виробництво за повним циклом за виключенням вторинної упаковки: Октафарма, Франція; виробництво розчинника: Солюфарм Фармацойтіше Ерцойгніссе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 Австрія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UA/14330/01/03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ОКТАНІН Ф 500 MO</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Coagulation factor IX</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фактор IX людини</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B02BD04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по 500 МО; картонна коробка № 1: по 1 флакону ємністю 30 мл з порошком для розчину для ін’єкцій; картонна коробка № 2: по 1 флакону з розчинником (вода для ін’єкцій по 5 мл) у картонній коробці разом з комплектом для розчинення та внутрішньовенного введення (1 шприц одноразовий, 1 комплект для переносу (1 двухкінцева голка, 1 фільтровальна голка), 1 комплект для інфузій (голка-метелик), 2 просочених спиртом тампони) у пакеті або блістері; коробки № 1 та № 2 об’єднуються між собою пластиковою плівкою.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Октафарма Фармацевтика Продуктіонсгес 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Виробник (альтернативний), відповідальний за вторинне пакування та візуальний огляд лікарського засобу, виробленого на інших виробничих дільницях: Октафарма Дессау ГмбХ, Німеччина; Виробник, відповідальний за виробництво за повним циклом, включаючи вторинну упаковку та візуальний огляд лікарського засобу, виробленого на дільниці Октафарма, Франція: Октафарма Фармацевтика Продуктіонсгес м.б.Х., Австрія; Виробник відповідальний за виробництво за повним циклом за виключенням вторинної упаковки: Октафарма, Франція; виробництво розчинника: Солюфарм Фармацойтіше Ерцойгніссе ГмбХ,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 Австрія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UA/14330/01/02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ОМЕЗ 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омепразол, домперидон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A02BC</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тверді, по 10 капсул у стрипі; по 3 стрипи в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Д-р Редді'с Лабораторіс Лтд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Торрент Фармасьютікалс Лтд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UA/6872/01/01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ОСПАМОКС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amoxicillin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амоксицилін у формі амоксициліну тригідрату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оральної суспензії (125 мг/5 мл); по 5,1 г порошку для 60 мл або по 8,5 г порошку для 100 мл суспензії у флаконі; по 1 флакону разом з шприцом для дозування з адаптером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Сандоз ГмбХ – Виробнича дільниця Антиінфекційні ГЛЗ та Хімічні Операції Кундль (АІХО ГЛЗ Кундль)</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Австрія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UA/3975/05/01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ОСПАМОКС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amoxicillin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амоксицилін у формі амоксициліну тригідрату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оральної суспензії (250 мг/5 мл); по 6,6 г порошку для 60 мл або по 11 г порошку для 100 мл суспензії у флаконі; по 1 флакону разом з шприцом для дозування з адаптером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Сандоз ГмбХ – Виробнича дільниця Антиінфекційні ГЛЗ та Хімічні Операції Кундль (АІХО ГЛЗ Кундль)</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Австрія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UA/3975/05/02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ОСПАМОКС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amoxicillin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амоксицилін у формі амоксициліну тригідрату</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J01CA04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оральної суспензії (500 мг/5 мл); по 12 г порошку для 60 мл або по 20 г порошку для 100 мл суспензії у флаконі; по 1 флакону разом з мірною ложкою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Сандоз Фармасьютікалз д.д.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Словенія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Сандоз ГмбХ – Виробнича дільниця Антиінфекційні ГЛЗ та Хімічні Операції Кундль (АІХО ГЛЗ Кундль)</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Австрія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UA/3975/05/03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ПАНАНГІН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Magnesium (different salts in combination)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магнію аспарагінат та калію аспарагінат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A12CC30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концентрат для розчину для інфузій; по 10 мл в ампулі; по 5 ампул у контурній пластиковій упаковці; по 1 контурній пластиковій упаковці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ВАТ "Гедеон Ріхтер"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ВАТ "Гедеон Ріхтер"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UA/7315/02/01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ПЕРИНДОПРИЛ/ІНДАПАМІД ФОРТЕ-ТЕВА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Perindopril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периндоприлу тозилат та індапамід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C09BA04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5 мг/1,25 мг, по 30 таблеток у контейнері, по 1 контейнеру в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АТ Фармацевтичний завод Тева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UA/14925/01/01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ПЕРИНДОПРИЛ/ІНДАПАМІД-ТЕВА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Perindopril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периндоприлу тозилатта індапамід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C09BA04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2,5 мг/0,625 мг, по 30 таблеток у контейнері; по 1 контейнеру в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Фармацевтичний завод Тева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UA/14925/01/02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ПЕРИНДОПРИЛ-ДАРНИЦЯ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perindopril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периндоприлу трет-бутиламін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C09AA04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таблетки по 4 мг, по 10 таблеток у контурній чарунковій упаковці, по 3 контурні чарункові упаковки в пачці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UA/18525/01/01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ПЕРИНДОПРИЛ-ДАРНИЦЯ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perindopril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периндоприлу трет-бутиламін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C09AA04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8 мг, 10 таблеток у контурній чарунковій упаковці, по 3 контурні чарункові упаковки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ПрАТ "Фармацевтична фірма "Дарниця"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UA/18525/01/02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ПЕРИТОЛ®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cyproheptadine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ципрогептадину гідрохлориду сесквігідрат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R06AX02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4 мг, по 10 таблеток у блістері; по 2 блістери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UA/9035/01/01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ПЕРІНДОПРЕС® 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Perindopril and 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периндоприлу трет-бутиламін та амлодипіну бесилат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C09BB04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8 мг/10 мг; по 10 таблеток у контурній чарунковій упаковці; по 3 контурні чарункові упаковки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"Фармацевтична фірма "Дарниця"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UA/17768/01/02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ПЕРІНДОПРЕС® 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Perindopril and amlodipine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периндоприлу трет-бутиламін та амлодипіну бесилат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C09BB04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4 мг/5 мг; по 10 таблеток у контурній чарунковій упаковці; по 3 контурні чарункові упаковки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"Фармацевтична фірма "Дарниця"</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ПрАТ "Фармацевтична фірма "Дарниця"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UA/17768/01/01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ПОЛІДЕКСА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Dexamethasone and antiinfectives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еоміцину сульфат, поліміксину В сульфат, дексаметазону натрію метасульфобензоат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S02CA06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краплі вушні, розчин по 10,5 мл у флаконі; по 1 флакону з піпеткою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Лабораторії Бушара Рекордаті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Фармастер</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II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UA/2699/01/01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ПРІОРИКС-ТЕТРА КОМБІНОВАНА ВАКЦИНА ДЛЯ ПРОФІЛАКТИКИ КОРУ, ЕПІДЕМІЧНОГО ПАРОТИТУ, КРАСНУХИ ТА ВІТРЯНОЇ ВІСПИ, ЖИВА АТЕНУЙОВАНА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Measles, combinations with mumps, rubella and varicella, live attenuated</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живий атенуйований вірус кору</w:t>
            </w:r>
            <w:r>
              <w:rPr>
                <w:rFonts w:cs="Arial" w:ascii="Arial" w:hAnsi="Arial"/>
                <w:sz w:val="16"/>
                <w:szCs w:val="16"/>
                <w:vertAlign w:val="superscript"/>
              </w:rPr>
              <w:t>1</w:t>
            </w:r>
            <w:r>
              <w:rPr>
                <w:rFonts w:cs="Arial" w:ascii="Arial" w:hAnsi="Arial"/>
                <w:sz w:val="16"/>
                <w:szCs w:val="16"/>
              </w:rPr>
              <w:t xml:space="preserve"> (штам Schwarz); живий атенуйований вірус епідемічного паротиту</w:t>
            </w:r>
            <w:r>
              <w:rPr>
                <w:rFonts w:cs="Arial" w:ascii="Arial" w:hAnsi="Arial"/>
                <w:sz w:val="16"/>
                <w:szCs w:val="16"/>
                <w:vertAlign w:val="superscript"/>
              </w:rPr>
              <w:t>1</w:t>
            </w:r>
            <w:r>
              <w:rPr>
                <w:rFonts w:cs="Arial" w:ascii="Arial" w:hAnsi="Arial"/>
                <w:sz w:val="16"/>
                <w:szCs w:val="16"/>
              </w:rPr>
              <w:t xml:space="preserve"> (штам RIT 4385, що походить від штаму Jeryl Lynn); живий атенуйований вірус краснухи</w:t>
            </w:r>
            <w:r>
              <w:rPr>
                <w:rFonts w:cs="Arial" w:ascii="Arial" w:hAnsi="Arial"/>
                <w:sz w:val="16"/>
                <w:szCs w:val="16"/>
                <w:vertAlign w:val="superscript"/>
              </w:rPr>
              <w:t>2</w:t>
            </w:r>
            <w:r>
              <w:rPr>
                <w:rFonts w:cs="Arial" w:ascii="Arial" w:hAnsi="Arial"/>
                <w:sz w:val="16"/>
                <w:szCs w:val="16"/>
              </w:rPr>
              <w:t xml:space="preserve"> (штам Wistar RA 27/3); живий атенуйований вірус вітряної віспи</w:t>
            </w:r>
            <w:r>
              <w:rPr>
                <w:rFonts w:cs="Arial" w:ascii="Arial" w:hAnsi="Arial"/>
                <w:sz w:val="16"/>
                <w:szCs w:val="16"/>
                <w:vertAlign w:val="superscript"/>
              </w:rPr>
              <w:t>2</w:t>
            </w:r>
            <w:r>
              <w:rPr>
                <w:rFonts w:cs="Arial" w:ascii="Arial" w:hAnsi="Arial"/>
                <w:sz w:val="16"/>
                <w:szCs w:val="16"/>
              </w:rPr>
              <w:t xml:space="preserve"> (штам ОКА) </w:t>
              <w:br/>
            </w:r>
            <w:r>
              <w:rPr>
                <w:rFonts w:cs="Arial" w:ascii="Arial" w:hAnsi="Arial"/>
                <w:i/>
                <w:sz w:val="16"/>
                <w:szCs w:val="16"/>
                <w:vertAlign w:val="superscript"/>
              </w:rPr>
              <w:t xml:space="preserve">1 </w:t>
            </w:r>
            <w:r>
              <w:rPr>
                <w:rFonts w:cs="Arial" w:ascii="Arial" w:hAnsi="Arial"/>
                <w:i/>
                <w:sz w:val="16"/>
                <w:szCs w:val="16"/>
              </w:rPr>
              <w:t xml:space="preserve">отриманий шляхом розмноження в культурі клітин курячих ембріонів; </w:t>
              <w:br/>
            </w:r>
            <w:r>
              <w:rPr>
                <w:rFonts w:cs="Arial" w:ascii="Arial" w:hAnsi="Arial"/>
                <w:i/>
                <w:sz w:val="16"/>
                <w:szCs w:val="16"/>
                <w:vertAlign w:val="superscript"/>
              </w:rPr>
              <w:t xml:space="preserve">2 </w:t>
            </w:r>
            <w:r>
              <w:rPr>
                <w:rFonts w:cs="Arial" w:ascii="Arial" w:hAnsi="Arial"/>
                <w:i/>
                <w:sz w:val="16"/>
                <w:szCs w:val="16"/>
              </w:rPr>
              <w:t>отриманий шляхом розмноження в диплоїдних клітинах людини (MRC-5)</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J07BD54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ліофілізований порошок для ін’єкцій; 1 флакон з порошком у комплекті з розчинником (вода для ін’єкцій) по 0,5 мл (1 доза) у попередньо наповненому шприці (у комплекті з двома голками або без голок) або у ампулах у вакуумній стерильній упаковці; по 1 вакуумній стерильній упаковці у картонній коробці; 1 флакон з порошком у комплекті з розчинником (вода для ін’єкцій) по 0,5 мл (1 доза) у попередньо наповненому шприці у вакуумній стерильній упаковці; по 1 вакуумній стерильній упаковці у картонній коробці; 1 флакон з порошком у комплекті з розчинником (вода для ін’єкцій) по 0,5 мл (1 доза) в ампулі у вакуумній стерильній упаковці; по 1 вакуумній стерильній упаковці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ГлаксоСмітКляйн Експорт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ГлаксоСмітКляйн Біолоджікалз С.А., Бельгія (Випуск серії готового продукту, випуск серій розчинника в ампулах та шприцах);</w:t>
              <w:br/>
              <w:t>ГлаксоСмітКляйн Біолоджікалз, Франція (Маркування та пакування розчинника в ампулах. Маркування та пакування розчинника в шприцах. Маркування та пакування готового продукту); ГлаксоСмітКляйн Біолоджікалз С.А., Бельгія (Формування, наповнення та ліофілізація вакцини. Маркування та пакування готового продукту. Контроль якості готового продукту. Маркування та пакування розчинника в шприцах та ампулах. Контроль якості розчинника в шприцах та ампулах); Фідіа Фармасьютічі С.п.А., Італія (Формування, наповнення, ліофілізація вакцини, виробництво розчинника в ампулах, маркування та пакування розчинника в ампулах, контроль якості розчинника в ампулах (за винятком тестів Розчинність та Ідентифікація натрію)); Делфарм Тур, Франція (Виробництво розчинника в ампулах, маркування та пакування розчинника в ампулах, контроль якості розчинника в ампулах); Каталент Белджіум, Бельгія (Виробництво розчинника в шприцах, контроль якості розчинника в шприцах); Аспен Нотр-Дам-Де-Бондвіль, Франція (Виробництво розчинника в шприцах, контроль якості розчинника в шприцах)</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Бельгія/ Франція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UA/16549/01/01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ПУЛЬМІКОРТ ТУРБУХАЛЕР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budesonide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будесонід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R03BA02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інгаляцій, 100 мкг/доза по 200 доз у пластиковому інгаляторі; по 1 інгалятору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АстраЗенека АБ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Швеція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виготовлення, наповнення, контроль якості, маркування, вторинне пакування та випуск серії:</w:t>
              <w:br/>
              <w:t>АстраЗенека АБ</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Швеція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UA/5552/02/01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ПУЛЬМІКОРТ ТУРБУХАЛЕР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budesonide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будесонід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R03BA02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інгаляцій, 200 мкг/доза по 100 доз у пластиковому інгаляторі; по 1 інгалятору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АстраЗенека АБ</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Швеція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виготовлення, наповнення, контроль якості, маркування, вторинне пакування та випуск серії:</w:t>
              <w:br/>
              <w:t>АстраЗенека АБ</w:t>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Швеція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UA/5552/02/02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РАНОСТОП®</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povidone-iodine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повідон-йод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D08AG02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мазь 10 % по 20 г або по 40 г, або по 100 г у тубі; по 1 тубі в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"ФІТОФАРМ"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відповідальний за виробництво, первинне, вторинне пакування, контроль якості та випуск серії: ПРАТ "ФІТОФАРМ", Україна; відповідальний за виробництво, первинне, вторинне пакування та контроль якості: ПрАТ Фармацевтична фабрика "Віола", Україна; відповідальний за випуск серії, не включаючи контроль/випробування серії: ПРАТ "ФІТОФАРМ",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UA/8650/01/01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РЕВМОКСИКАМ®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meloxicam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мелоксикам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M01AC06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супозиторії ректальні по 15 мг, по 5 супозиторіїв у блістері; по 1 блістеру у пачці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 xml:space="preserve">за рецептом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UA/8230/01/01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РЕМІФЕНТАНІЛ-ВІСТА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remifentanil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реміфентанілу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N01AH06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концентрату для розчину для ін'єкцій або інфузій, по 5 мг, у флаконі скляному, по 5 флаконів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Містрал Кепітал Менеджмент Лімітед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Англія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ЛАБОРАТОРІО РЕЙГ ЖОФРЕ,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Іспанiя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sz w:val="16"/>
                <w:szCs w:val="16"/>
              </w:rPr>
            </w:pPr>
            <w:r>
              <w:rPr>
                <w:rFonts w:cs="Arial" w:ascii="Arial" w:hAnsi="Arial"/>
                <w:sz w:val="16"/>
                <w:szCs w:val="16"/>
              </w:rPr>
              <w:t xml:space="preserve">Внесення змін до реєстраційних матеріалів: </w:t>
            </w:r>
            <w:r>
              <w:rPr>
                <w:rFonts w:cs="Arial" w:ascii="Arial" w:hAnsi="Arial"/>
                <w:b/>
                <w:sz w:val="16"/>
                <w:szCs w:val="16"/>
              </w:rPr>
              <w:t>уточнення реєстраційного номера в наказі МОЗ України</w:t>
            </w:r>
          </w:p>
          <w:p>
            <w:pPr>
              <w:pStyle w:val="Normal"/>
              <w:tabs>
                <w:tab w:val="left" w:pos="12600" w:leader="none"/>
              </w:tabs>
              <w:jc w:val="center"/>
              <w:rPr>
                <w:rFonts w:ascii="Arial" w:hAnsi="Arial" w:cs="Arial"/>
                <w:b/>
                <w:b/>
                <w:sz w:val="16"/>
                <w:szCs w:val="16"/>
              </w:rPr>
            </w:pPr>
            <w:r>
              <w:rPr>
                <w:rFonts w:cs="Arial" w:ascii="Arial" w:hAnsi="Arial"/>
                <w:b/>
                <w:sz w:val="16"/>
                <w:szCs w:val="16"/>
              </w:rPr>
            </w:r>
          </w:p>
          <w:p>
            <w:pPr>
              <w:pStyle w:val="Normal"/>
              <w:tabs>
                <w:tab w:val="left" w:pos="12600" w:leader="none"/>
              </w:tabs>
              <w:jc w:val="center"/>
              <w:rPr>
                <w:rFonts w:ascii="Arial" w:hAnsi="Arial" w:cs="Arial"/>
                <w:sz w:val="16"/>
                <w:szCs w:val="16"/>
              </w:rPr>
            </w:pPr>
            <w:r>
              <w:rPr>
                <w:rFonts w:eastAsia="Arial" w:cs="Arial" w:ascii="Arial" w:hAnsi="Arial"/>
                <w:b/>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b/>
                <w:b/>
                <w:sz w:val="16"/>
                <w:szCs w:val="16"/>
              </w:rPr>
            </w:pPr>
            <w:r>
              <w:rPr>
                <w:rFonts w:cs="Arial" w:ascii="Arial" w:hAnsi="Arial"/>
                <w:b/>
                <w:sz w:val="16"/>
                <w:szCs w:val="16"/>
              </w:rPr>
              <w:t>UA/19280/01/03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РИКСАТОН 10 МГ/МЛ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rituximab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ритуксимаб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L01FA01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концентрат для розчину для інфузій, 10 мг/мл; по 10 мл (100 мг) у флаконі; 2 флакони в картонній коробці або по 50 мл (500 мг) у флаконі;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Сандоз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Австрія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контроль серій:</w:t>
            </w:r>
          </w:p>
          <w:p>
            <w:pPr>
              <w:pStyle w:val="Normal"/>
              <w:tabs>
                <w:tab w:val="left" w:pos="12600" w:leader="none"/>
              </w:tabs>
              <w:jc w:val="center"/>
              <w:rPr>
                <w:rFonts w:ascii="Arial" w:hAnsi="Arial" w:cs="Arial"/>
                <w:sz w:val="16"/>
                <w:szCs w:val="16"/>
              </w:rPr>
            </w:pPr>
            <w:r>
              <w:rPr>
                <w:rFonts w:cs="Arial" w:ascii="Arial" w:hAnsi="Arial"/>
                <w:sz w:val="16"/>
                <w:szCs w:val="16"/>
              </w:rPr>
              <w:t>Єврофінс ФАСТ ГмбХ, Німеччина;</w:t>
            </w:r>
          </w:p>
          <w:p>
            <w:pPr>
              <w:pStyle w:val="Normal"/>
              <w:tabs>
                <w:tab w:val="left" w:pos="12600" w:leader="none"/>
              </w:tabs>
              <w:jc w:val="center"/>
              <w:rPr>
                <w:rFonts w:ascii="Arial" w:hAnsi="Arial" w:cs="Arial"/>
                <w:sz w:val="16"/>
                <w:szCs w:val="16"/>
              </w:rPr>
            </w:pPr>
            <w:r>
              <w:rPr>
                <w:rFonts w:cs="Arial" w:ascii="Arial" w:hAnsi="Arial"/>
                <w:sz w:val="16"/>
                <w:szCs w:val="16"/>
              </w:rPr>
              <w:t>повний цикл виробництва:</w:t>
            </w:r>
          </w:p>
          <w:p>
            <w:pPr>
              <w:pStyle w:val="Normal"/>
              <w:tabs>
                <w:tab w:val="left" w:pos="12600" w:leader="none"/>
              </w:tabs>
              <w:jc w:val="center"/>
              <w:rPr>
                <w:rFonts w:ascii="Arial" w:hAnsi="Arial" w:cs="Arial"/>
                <w:sz w:val="16"/>
                <w:szCs w:val="16"/>
              </w:rPr>
            </w:pPr>
            <w:r>
              <w:rPr>
                <w:rFonts w:cs="Arial" w:ascii="Arial" w:hAnsi="Arial"/>
                <w:sz w:val="16"/>
                <w:szCs w:val="16"/>
              </w:rPr>
              <w:t>Лек Фармацевтична компанія д.д., Словенія;</w:t>
            </w:r>
          </w:p>
          <w:p>
            <w:pPr>
              <w:pStyle w:val="Normal"/>
              <w:tabs>
                <w:tab w:val="left" w:pos="12600" w:leader="none"/>
              </w:tabs>
              <w:jc w:val="center"/>
              <w:rPr>
                <w:rFonts w:ascii="Arial" w:hAnsi="Arial" w:cs="Arial"/>
                <w:sz w:val="16"/>
                <w:szCs w:val="16"/>
              </w:rPr>
            </w:pPr>
            <w:r>
              <w:rPr>
                <w:rFonts w:cs="Arial" w:ascii="Arial" w:hAnsi="Arial"/>
                <w:sz w:val="16"/>
                <w:szCs w:val="16"/>
              </w:rPr>
              <w:t>контроль серій:</w:t>
            </w:r>
          </w:p>
          <w:p>
            <w:pPr>
              <w:pStyle w:val="Normal"/>
              <w:tabs>
                <w:tab w:val="left" w:pos="12600" w:leader="none"/>
              </w:tabs>
              <w:jc w:val="center"/>
              <w:rPr>
                <w:rFonts w:ascii="Arial" w:hAnsi="Arial" w:cs="Arial"/>
                <w:sz w:val="16"/>
                <w:szCs w:val="16"/>
              </w:rPr>
            </w:pPr>
            <w:r>
              <w:rPr>
                <w:rFonts w:cs="Arial" w:ascii="Arial" w:hAnsi="Arial"/>
                <w:sz w:val="16"/>
                <w:szCs w:val="16"/>
              </w:rPr>
              <w:t>Новартіс Фарма АГ, Швейцарія;</w:t>
            </w:r>
          </w:p>
          <w:p>
            <w:pPr>
              <w:pStyle w:val="Normal"/>
              <w:tabs>
                <w:tab w:val="left" w:pos="12600" w:leader="none"/>
              </w:tabs>
              <w:jc w:val="center"/>
              <w:rPr>
                <w:rFonts w:ascii="Arial" w:hAnsi="Arial" w:cs="Arial"/>
                <w:sz w:val="16"/>
                <w:szCs w:val="16"/>
              </w:rPr>
            </w:pPr>
            <w:r>
              <w:rPr>
                <w:rFonts w:cs="Arial" w:ascii="Arial" w:hAnsi="Arial"/>
                <w:sz w:val="16"/>
                <w:szCs w:val="16"/>
              </w:rPr>
              <w:t>виробництво in bulk:</w:t>
            </w:r>
          </w:p>
          <w:p>
            <w:pPr>
              <w:pStyle w:val="Normal"/>
              <w:tabs>
                <w:tab w:val="left" w:pos="12600" w:leader="none"/>
              </w:tabs>
              <w:jc w:val="center"/>
              <w:rPr>
                <w:rFonts w:ascii="Arial" w:hAnsi="Arial" w:cs="Arial"/>
                <w:sz w:val="16"/>
                <w:szCs w:val="16"/>
              </w:rPr>
            </w:pPr>
            <w:r>
              <w:rPr>
                <w:rFonts w:cs="Arial" w:ascii="Arial" w:hAnsi="Arial"/>
                <w:sz w:val="16"/>
                <w:szCs w:val="16"/>
              </w:rPr>
              <w:t>Новартіс Фармасьютікал Мануфактуринг ЛЛС, Словенія;</w:t>
            </w:r>
          </w:p>
          <w:p>
            <w:pPr>
              <w:pStyle w:val="Normal"/>
              <w:tabs>
                <w:tab w:val="left" w:pos="12600" w:leader="none"/>
              </w:tabs>
              <w:jc w:val="center"/>
              <w:rPr>
                <w:rFonts w:ascii="Arial" w:hAnsi="Arial" w:cs="Arial"/>
                <w:sz w:val="16"/>
                <w:szCs w:val="16"/>
              </w:rPr>
            </w:pPr>
            <w:r>
              <w:rPr>
                <w:rFonts w:cs="Arial" w:ascii="Arial" w:hAnsi="Arial"/>
                <w:sz w:val="16"/>
                <w:szCs w:val="16"/>
              </w:rPr>
              <w:t>контроль серій:</w:t>
            </w:r>
          </w:p>
          <w:p>
            <w:pPr>
              <w:pStyle w:val="Normal"/>
              <w:tabs>
                <w:tab w:val="left" w:pos="12600" w:leader="none"/>
              </w:tabs>
              <w:jc w:val="center"/>
              <w:rPr>
                <w:rFonts w:ascii="Arial" w:hAnsi="Arial" w:cs="Arial"/>
                <w:sz w:val="16"/>
                <w:szCs w:val="16"/>
              </w:rPr>
            </w:pPr>
            <w:r>
              <w:rPr>
                <w:rFonts w:cs="Arial" w:ascii="Arial" w:hAnsi="Arial"/>
                <w:sz w:val="16"/>
                <w:szCs w:val="16"/>
              </w:rPr>
              <w:t>Новартіс Фармасьютікал Мануфактуринг ЛЛС, Словенія;</w:t>
            </w:r>
          </w:p>
          <w:p>
            <w:pPr>
              <w:pStyle w:val="Normal"/>
              <w:tabs>
                <w:tab w:val="left" w:pos="12600" w:leader="none"/>
              </w:tabs>
              <w:jc w:val="center"/>
              <w:rPr>
                <w:rFonts w:ascii="Arial" w:hAnsi="Arial" w:cs="Arial"/>
                <w:sz w:val="16"/>
                <w:szCs w:val="16"/>
              </w:rPr>
            </w:pPr>
            <w:r>
              <w:rPr>
                <w:rFonts w:cs="Arial" w:ascii="Arial" w:hAnsi="Arial"/>
                <w:sz w:val="16"/>
                <w:szCs w:val="16"/>
              </w:rPr>
              <w:t>випуск серії:</w:t>
            </w:r>
          </w:p>
          <w:p>
            <w:pPr>
              <w:pStyle w:val="Normal"/>
              <w:tabs>
                <w:tab w:val="left" w:pos="12600" w:leader="none"/>
              </w:tabs>
              <w:jc w:val="center"/>
              <w:rPr>
                <w:rFonts w:ascii="Arial" w:hAnsi="Arial" w:cs="Arial"/>
                <w:sz w:val="16"/>
                <w:szCs w:val="16"/>
              </w:rPr>
            </w:pPr>
            <w:r>
              <w:rPr>
                <w:rFonts w:cs="Arial" w:ascii="Arial" w:hAnsi="Arial"/>
                <w:sz w:val="16"/>
                <w:szCs w:val="16"/>
              </w:rPr>
              <w:t>Сандоз ГмбХ – Виробнича дільниця Асептичні лікарські засоби Шафтенау (Асептичні ЛЗШ), Австрія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 Швейцарія/ Словенія/ Австрія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UA/21079/01/01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РІЛЕПТИД®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risperidone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рисперидон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N05AX08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оболонкою, по 1 мг, по 10 таблеток у блістері, по 1 або 2,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UA/4044/01/01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РІЛЕПТИД®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risperidone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рисперидон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N05AX08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оболонкою, по 2 мг, по 10 таблеток у блістері, по 1 або 2,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UA/4044/01/02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РІЛЕПТИД®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risperidone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рисперидон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N05AX08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оболонкою, по 3 мг, по 10 таблеток у блістері, по 1 або 2,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UA/4044/01/03</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РІЛЕПТИД®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risperidone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рисперидон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N05AX08</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оболонкою, по 4 мг, по 10 таблеток у блістері, по 1 або 2, або 6 блістерів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UA/4044/01/04</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РІНВОК®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upadacitinib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упадацитинібу гемігідрат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L04AF03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пролонгованої дії, 15 мг; №28: по 7 таблеток у блістері, по 4 блістери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ЕббВі Біофармасьютікалз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первинне та вторинне пакування, випуск серії: Еббві С.р.л., Італія; виробництво лікарського засобу, тестування: Еббві Айрленд НЛ Б.В., Ірландiя; тестування під час зберігання: Еббві Інк., США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Італія/ Ірландiя /США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UA/18371/01/01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САЛОФАЛЬК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Mesalazine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месалазин (5-аміносаліцилова кислота)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A07EC02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оболонкою, кишковорозчинні, по 500 мг, по 10 таблеток у блістері; по 5 або по 10 блістерів у коробці з картону</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Др. Фальк Фарма ГмбХ</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Виробник, відповідальний за випуск серій кінцевого продукту: Др. Фальк Фарма ГмбХ, Німеччина; Виробник дозованої форми, контроль якості: Роттендорф Фарма ГмбХ, Німеччина; Виробник дозованої форми, первинне, вторинне пакування та контроль якості: Лозан Фарма ГмбХ, Німеччина; Виробник, відповідальний за первинне, вторинне пакування: Роттендорф Фарма ГмбХ, Німеччина; Виробник, відповідальний за первинне, вторинне пакування та контроль якості: Лозан Фарма ГмбХ, Німеччина; Виробники, відповідальні за контроль якості та мікробіологічний контроль нестерильних продуктів: СГС Інститут Фрезеніус ГмбХ, Німеччина; Приватний науково-дослідний інститут Хеппелер ГмбХ, Німеччина; Виробники, відповідальні за контроль якості: ГБА Фарма ГмбХ, Німеччина; ННАС Лабор Др. Хауслер ГмбХ, Німеччина; ННАС Лабор Др. Хауслер ГмбХ, Німеччина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UA/3745/04/02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СЕДАФІТОН®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pPr>
            <w:r>
              <w:rPr>
                <w:rFonts w:cs="Arial" w:ascii="Arial" w:hAnsi="Arial"/>
                <w:sz w:val="16"/>
                <w:szCs w:val="16"/>
              </w:rPr>
              <w:t>валеріани кореневищ з коренями екстракт густий (</w:t>
            </w:r>
            <w:r>
              <w:rPr>
                <w:rFonts w:cs="Arial" w:ascii="Arial" w:hAnsi="Arial"/>
                <w:iCs/>
                <w:sz w:val="16"/>
                <w:szCs w:val="16"/>
              </w:rPr>
              <w:t>Valerianae radix cum radicibus</w:t>
            </w:r>
            <w:r>
              <w:rPr>
                <w:rFonts w:cs="Arial" w:ascii="Arial" w:hAnsi="Arial"/>
                <w:sz w:val="16"/>
                <w:szCs w:val="16"/>
              </w:rPr>
              <w:t>), пустирника трави екстракт густий (</w:t>
            </w:r>
            <w:r>
              <w:rPr>
                <w:rFonts w:cs="Arial" w:ascii="Arial" w:hAnsi="Arial"/>
                <w:iCs/>
                <w:sz w:val="16"/>
                <w:szCs w:val="16"/>
              </w:rPr>
              <w:t>Leonuri herba</w:t>
            </w:r>
            <w:r>
              <w:rPr>
                <w:rFonts w:cs="Arial" w:ascii="Arial" w:hAnsi="Arial"/>
                <w:sz w:val="16"/>
                <w:szCs w:val="16"/>
              </w:rPr>
              <w:t>), глоду плодів екстракт густий (</w:t>
            </w:r>
            <w:r>
              <w:rPr>
                <w:rFonts w:cs="Arial" w:ascii="Arial" w:hAnsi="Arial"/>
                <w:iCs/>
                <w:sz w:val="16"/>
                <w:szCs w:val="16"/>
              </w:rPr>
              <w:t>Сrataegi fructus</w:t>
            </w:r>
            <w:r>
              <w:rPr>
                <w:rFonts w:cs="Arial" w:ascii="Arial" w:hAnsi="Arial"/>
                <w:sz w:val="16"/>
                <w:szCs w:val="16"/>
              </w:rPr>
              <w:t>)</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N05CM</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12 таблеток у блістері; по 2 або 4, або 8 блістерів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"ФІТОФАРМ"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відповідальний за виробництво, первинне/вторинне пакування, контроль якості та випуск серії: ПРАТ "ФІТОФАРМ", Україна; відповідальний за виробництво, первинне/вторинне пакування та контроль якості: АТ "Лубнифарм", Україна; відповідальний за випуск серії, не включаючи контроль/випробування серії: ПРАТ "ФІТОФАРМ",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UA/4826/01/01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СЕПТЕФРИЛ ВЕРДЕ ВІД БОЛЮ В ГОРЛІ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benzydamine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бензидаміну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R02AX03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льодяники по 3 мг, зі смаком лимона; по 10 льодяників у блістері; по 2 блістери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"Фармацевтична фірма "Дарниця"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контроль серії (фізичні/хімічні аналізи і мікробіологічний контроль) і випуск серії:</w:t>
              <w:br/>
              <w:t>Інфармейд С.Л, Іспанія;</w:t>
              <w:br/>
              <w:t>контроль серії (мікробіологічний):</w:t>
              <w:br/>
              <w:t>Лабораторіо Ечіварне, С.А., Іспанія;</w:t>
              <w:br/>
              <w:t>виробництво готової продукції, первинне і вторинне пакування, випуск серії:</w:t>
              <w:br/>
              <w:t>ЛОЗІ'С ФАРМАСЬЮТІКАЛС С.Л., Іспанія;</w:t>
              <w:br/>
              <w:t>виробництво готової продукції, первинне і вторинне пакування:</w:t>
              <w:br/>
              <w:t xml:space="preserve">Др. Мед. Ауфдермаур АГ, Швецарія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Іспанія/ Швецарія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t>Зміни II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eastAsia="Arial" w:cs="Arial" w:ascii="Arial" w:hAnsi="Arial"/>
                <w:sz w:val="16"/>
                <w:szCs w:val="16"/>
              </w:rPr>
              <w:t xml:space="preserve"> </w:t>
            </w:r>
            <w:r>
              <w:rPr>
                <w:rFonts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UA/20263/01/01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СЕПТЕФРИЛ ВЕРДЕ ВІД БОЛЮ В ГОРЛІ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benzydamine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бензидаміну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R02AX03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льодяники по 3 мг, зі смаком меду та апельсина; по 10 льодяників у блістері; по 2 блістери в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ПрАТ "Фармацевтична фірма "Дарниця"</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контроль серії (фізичні/хімічні аналізи і мікробіологічний контроль) і випуск серії:</w:t>
              <w:br/>
              <w:t>Інфармейд С.Л, Іспанія;</w:t>
              <w:br/>
              <w:t>контроль серії (мікробіологічний):</w:t>
              <w:br/>
              <w:t>Лабораторіо Ечіварне, С.А., Іспанія;</w:t>
              <w:br/>
              <w:t>виробництво готової продукції, первинне і вторинне пакування, випуск серії:</w:t>
              <w:br/>
              <w:t>ЛОЗІ'С ФАРМАСЬЮТІКАЛС С.Л., Іспанія;</w:t>
              <w:br/>
              <w:t>виробництво готової продукції, первинне і вторинне пакування:</w:t>
              <w:br/>
              <w:t xml:space="preserve">Др. Мед. Ауфдермаур АГ, Швецарія </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Іспанія/ Швецарія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t xml:space="preserve">Зміни II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UA/20262/01/01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СИНДРЕКС®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Ампула № 1: тіаміну гідрохлорид, рибофлавіну натрію фосфату гідрат, піридоксину гідрохлорид;</w:t>
              <w:br/>
              <w:t>Ампула № 2: аскорбінова кислота; нікотинамід; глюкози, моногідрат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A11EB</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концентрат для розчину для інфузій, по 5 мл в ампулі; по 3 ампули № 1 (тіаміну гідрохлорид + рибофлавін + піридоксину гідрохлорид) у блістері; по 3 ампули № 2 (аскорбінова кислота + нікотинамід + глюкоза) у блістері; по 2 блістери ампул № 1 та по 2 блістери ампул № 2 у пачці; по 6 ампул № 1 (тіаміну гідрохлорид + рибофлавін + піридоксину гідрохлорид) у блістері; по 6 ампул № 2 (аскорбінова кислота + нікотинамід + глюкоза) у блістері; по 1 блістеру ампул № 1 та по 1 блістеру ампул № 2 у пачці; по 6 ампул № 1 (тіаміну гідрохлорид + рибофлавін + піридоксину гідрохлорид) та по 6 ампул № 2 (аскорбінова кислота + нікотинамід + глюкоза) у пачці із гофрованими вкладками</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"Фармак"</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UA/20157/01/01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СИНУПРЕТ®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екстракти з кореня горечавки (Rаdіх Gеntіаnае); квіток первоцвіту з чашечкою (Flоrеs Рrіmulае сum Саlyсіbus); трави щавлю (Неrba Rumісіs); квіток бузини (Flоrеs Sаmbuсі); трави вербени (Неrbа Vеrbеnае)</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R05X</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краплі оральні, по 50 мл або по 100 мл розчину у флаконі, з дозуючим крапельним пристроєм зверху, з кришкою, що нагвинчується і кільцем контролю відкриття,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Біонорика CЕ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Біонорика СЕ</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Технічна помилка (згідно наказу МОЗ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UA/4373/02/01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СКАФО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secukinumab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секукінумаб</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L04AC10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розчину для ін'єкцій, по 150 мг; по 1 флакону з порошком в коробці з картону пакувального</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Новартіс Оверсіз Інвестментс АГ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первинне пакування, контроль якості окрім кількісного визначення, вторинне пакування, випуск серій:</w:t>
              <w:br/>
              <w:t>Новартіс Фарма Штейн АГ, Швейцарія; контроль якості (кількісне визначення): Новартіс Фарма АГ, Швейцарія;</w:t>
              <w:br/>
              <w:t>альтернативне вторинне пакування: Делфарм Хюнінг САС, Францiя;</w:t>
              <w:br/>
              <w:t>альтернативне вторинне пакування: ФармЛог Фарма Лоджистік ГмбХ, Німеччина;</w:t>
              <w:br/>
              <w:t xml:space="preserve">альтернативне вторинне пакування: ЮПС Хелскер Італія С.Р.Л., Італія; </w:t>
              <w:br/>
              <w:t>альтернативне вторинне пакування: ЮПС Хелскер Італія С.Р.Л., Італiя;</w:t>
              <w:br/>
              <w:t>випуск серій: Новартіс Фарма ГмбХ, Німеччина;</w:t>
              <w:br/>
              <w:t xml:space="preserve">вторинне пакування, випуск серії: Лек Фармасьютикалс д.д., Словенія; </w:t>
              <w:br/>
              <w:t xml:space="preserve">випуск серій: Новартіс Фармасьютика, С.А., Іспанія </w:t>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 Францiя/ Німеччина/ Італiя/ Словенія/ Іспанія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UA/18625/01/01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СОРБІФЕР ДУРУЛЕС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заліза сульфат безводний та кислота аскорбінова</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B03AE10</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оболонкою, з модифікованим вивільненням, 320 мг/60 мг, по 30 або 50 таблеток у скляному флаконі; по 1 флакону в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Фармацевтичний завод ЕГІС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Угорщина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UA/0498/01/01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СТАТОРЕМ®-Н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Lisinopril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лізиноприлу дигідрат та гідрохлортіазид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C09BA03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по 20 мг/25 мг, №30 (10х3): по 10 таблеток у блістері, по 3 блістери у картонній упаковці; №60 (10х6): по 10 таблеток у блістері, по 6 блістерів у картонній упаковці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"ГЛЕДФАРМ ЛТД"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«КУСУМ ФАРМ», Україна</w:t>
              <w:br/>
              <w:t xml:space="preserve">або </w:t>
              <w:b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UA/19192/01/02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СТАТОРЕМ®-Н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Lisinopril and diuretics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лізиноприлу дигідрат та гідрохлортіазид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C09BA03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таблетки по 10 мг/12,5 мг, №28 (14х2): по 14 таблеток у блістері, по 2 блістери у картонній упаковці; №84 (14х6): по 14 таблеток у блістері, по 6 блістерів у картонній упаковці; №30 (10х3): по 10 таблеток у блістері, по 3 блістери у картонній упаковці; №60 (10х6): по 10 таблеток у блістері, по 6 блістерів у картонній упаковці </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"ГЛЕДФАРМ ЛТД"</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«КУСУМ ФАРМ», Україна</w:t>
              <w:br/>
              <w:t xml:space="preserve">або </w:t>
              <w:br/>
              <w:t>ТОВ «КУСУМ», Україна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UA/19192/01/01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sz w:val="16"/>
                <w:szCs w:val="16"/>
                <w:lang w:val="en-US"/>
              </w:rPr>
            </w:pPr>
            <w:r>
              <w:rPr>
                <w:rFonts w:cs="Arial" w:ascii="Arial" w:hAnsi="Arial"/>
                <w:b/>
                <w:sz w:val="16"/>
                <w:szCs w:val="16"/>
              </w:rPr>
              <w:t>ТАПТІКОМ®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timolol, combinations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тафлупрост, тимолол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S01ED51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lang w:val="ru-RU"/>
              </w:rPr>
            </w:pPr>
            <w:r>
              <w:rPr>
                <w:rFonts w:cs="Arial" w:ascii="Arial" w:hAnsi="Arial"/>
                <w:sz w:val="16"/>
                <w:szCs w:val="16"/>
                <w:lang w:val="ru-RU"/>
              </w:rPr>
              <w:t>краплі очні; по 0,3 мл у тюбику-крапельниці; по 10 тюбиків-крапельниць у пакеті; по 3 пакети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Сантен АТ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Фiнляндiя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Виробництво, первинне та вторинне пакування, контроль якості: Лаборатуар Юнітер, Франція; Виробник, відповідальний за випуск серії: Сантен АТ, Фінляндія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Франція/</w:t>
            </w:r>
          </w:p>
          <w:p>
            <w:pPr>
              <w:pStyle w:val="112"/>
              <w:tabs>
                <w:tab w:val="left" w:pos="12600" w:leader="none"/>
              </w:tabs>
              <w:jc w:val="center"/>
              <w:rPr>
                <w:rFonts w:ascii="Arial" w:hAnsi="Arial" w:cs="Arial"/>
                <w:sz w:val="16"/>
                <w:szCs w:val="16"/>
              </w:rPr>
            </w:pPr>
            <w:r>
              <w:rPr>
                <w:rFonts w:cs="Arial" w:ascii="Arial" w:hAnsi="Arial"/>
                <w:sz w:val="16"/>
                <w:szCs w:val="16"/>
              </w:rPr>
              <w:t>Фінляндія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sz w:val="16"/>
                <w:szCs w:val="16"/>
              </w:rPr>
            </w:pPr>
            <w:r>
              <w:rPr>
                <w:rFonts w:cs="Arial" w:ascii="Arial" w:hAnsi="Arial"/>
                <w:sz w:val="16"/>
                <w:szCs w:val="16"/>
              </w:rPr>
              <w:t xml:space="preserve">внесення змін до реєстраційних матеріалів:  </w:t>
            </w:r>
            <w:r>
              <w:rPr>
                <w:rFonts w:cs="Arial" w:ascii="Arial" w:hAnsi="Arial"/>
                <w:b/>
                <w:sz w:val="16"/>
                <w:szCs w:val="16"/>
              </w:rPr>
              <w:t>уточнення реєстраційної процедури в наказі МОЗ України</w:t>
            </w:r>
          </w:p>
          <w:p>
            <w:pPr>
              <w:pStyle w:val="112"/>
              <w:tabs>
                <w:tab w:val="left" w:pos="12600" w:leader="none"/>
              </w:tabs>
              <w:jc w:val="center"/>
              <w:rPr>
                <w:rFonts w:ascii="Arial" w:hAnsi="Arial" w:cs="Arial"/>
                <w:b/>
                <w:b/>
                <w:sz w:val="16"/>
                <w:szCs w:val="16"/>
              </w:rPr>
            </w:pPr>
            <w:r>
              <w:rPr>
                <w:rFonts w:cs="Arial" w:ascii="Arial" w:hAnsi="Arial"/>
                <w:b/>
                <w:sz w:val="16"/>
                <w:szCs w:val="16"/>
              </w:rPr>
            </w:r>
          </w:p>
          <w:p>
            <w:pPr>
              <w:pStyle w:val="112"/>
              <w:tabs>
                <w:tab w:val="left" w:pos="12600" w:leader="none"/>
              </w:tabs>
              <w:jc w:val="center"/>
              <w:rPr>
                <w:rFonts w:ascii="Arial" w:hAnsi="Arial" w:cs="Arial"/>
                <w:sz w:val="16"/>
                <w:szCs w:val="16"/>
              </w:rPr>
            </w:pPr>
            <w:r>
              <w:rPr>
                <w:rFonts w:eastAsia="Arial" w:cs="Arial" w:ascii="Arial" w:hAnsi="Arial"/>
                <w:b/>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UA/15538/01/01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ТЕВАГРАСТИМ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filgrastim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філграстим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L03AA02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або інфузій по 30 млн МО/0,5 мл; по 0,5 мл (30 млн МО) в скляному шприці одноразового використання з перманентно приєднаною голкою та захисним ковпачком, з або без пристрою для безпечного введення та запобігання поранень голкою чи повторного використання; по 1 шприцу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за повним циклом: Тева Фармацевтікал Індастріз Лтд., Ізраїль; Контроль якості: ЗАТ Тева Балтікс, Литва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Ізраїль/ Литва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UA/15237/01/01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ТЕВАГРАСТИМ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filgrastim</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філграстим</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L03AA02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або інфузій по 48 млн МО/0,8 мл; по 0,8 мл (48 млн МО) в скляному шприці одноразового використання з перманентно приєднаною голкою та захисним ковпачком, з або без пристрою для безпечного введення та запобігання поранень голкою чи повторного використання; по 1 шприцу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за повним циклом: Тева Фармацевтікал Індастріз Лтд., Ізраїль; Контроль якості: ЗАТ Тева Балтікс, Литва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Ізраїль/ Литва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UA/15237/01/02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ТЕРЖИНАН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тернідазол; неоміцину сульфат; ністатин; преднізолону натрію метасульфобензоат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G01BF</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вагінальні, по 6 або по 10 таблеток у стрипі; по 1 стрипу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Лабораторії Бушара Рекордаті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Софартекс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UA/8116/01/01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ТЕЦЕНТРИК®</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atezolizumab</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атезолізумаб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L01FF05 </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концентрат для розчину для інфузій по 1200 мг/20 мл по 20 мл у флаконі; по 1 флакону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«Рош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Виробництво нерозфасованої продукції, первинне пакування, випробування контролю якості: Рош Діагностикс ГмбХ, Німеччина; Виробництво нерозфасованої продукції, первинне пакування, вторинне пакування, випробування контролю якості, випуск серії: Ф.Хоффманн-Ля Рош Лтд, Швейцарія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Німеччина/ Швейцарія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UA/15872/01/01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ТОБРИНЕКСТ</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tobramycin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тобраміцину сульфат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S01AA12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мазь очна, 3 мг/г; по 5 г мазі у тубі з алюмінієвої фольги з канюлею та пластмасовою кришечкою, що нагвинчується; по 1 тубі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БІОСАЙНС ГРУП ЛАБОРАТОРІЗ с.р.о.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Словацька Республіка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БАЛКАНФАРМА-РАЗГРАД АД</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Болгарія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Зміна заявника ЛЗ (МІБП) (власника реєстраційного посвідчення)</w:t>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UA/17882/01/01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ТУСПАН®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butamirate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бутамірату цитрат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R05DB13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краплі оральні, розчин, 5 мг/мл, по 20 мл розчину у флаконі з аплікатором-крапельницею та ковпачком; по 1 флакону в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"Софарма"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Болгарія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нерозфасованої продукції, первинна та вторинна упаковка або виробництво за повним циклом: АТ "Софарма", Болгарія; дозвіл на випуск серії: АТ "Софарма", Болгарія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Болгарія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Технічна помилка</w:t>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UA/21277/01/01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ФАРІ ВЕРДЕ</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benzydamine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бензидаміну 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A01AD02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Спрей для ротової порожнини 1,5 мг/мл по 30 мл у поліетиленовому контейнері з поліетиленовою кришкою в комплекті з пристроєм для розпилювання у пачці або по 30 мл, або 35 мл у поліетиленовому контейнері з кришкою та ковпачком в комплекті з пристроєм для розпилювання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Спільне українсько-іспанське підприємство "СПЕРКО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Спільне українсько-іспанське підприємство "Сперко Україна" (повний цикл виробництва, випуск серії; контроль якості)</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UA/16539/01/01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ФЕРВЕКС ДЛЯ ДІТЕЙ</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 xml:space="preserve">парацетамол, кислота аскорбінова (вітамін С), феніраміну малеат </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орального розчину, 8 саше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УПСА САС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УПСА САС</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Францiя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UA/7600/01/01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b/>
                <w:b/>
                <w:i/>
                <w:i/>
                <w:sz w:val="16"/>
                <w:szCs w:val="16"/>
                <w:lang w:val="en-US"/>
              </w:rPr>
            </w:pPr>
            <w:r>
              <w:rPr>
                <w:rFonts w:cs="Arial" w:ascii="Arial" w:hAnsi="Arial"/>
                <w:b/>
                <w:sz w:val="16"/>
                <w:szCs w:val="16"/>
              </w:rPr>
              <w:t>ФЕРМЕД®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shd w:fill="F8F8F8" w:val="clear"/>
              </w:rPr>
              <w:t>Iron, parenteral preparations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lang w:val="ru-RU"/>
              </w:rPr>
            </w:pPr>
            <w:r>
              <w:rPr>
                <w:rFonts w:cs="Arial" w:ascii="Arial" w:hAnsi="Arial"/>
                <w:sz w:val="16"/>
                <w:szCs w:val="16"/>
                <w:shd w:fill="F8F8F8" w:val="clear"/>
              </w:rPr>
              <w:t>заліза (III) гідроксид-сахарозний комплекс у перерахуванні на залізо (ІІІ)</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rPr>
            </w:pPr>
            <w:r>
              <w:rPr>
                <w:rFonts w:cs="Arial" w:ascii="Arial" w:hAnsi="Arial"/>
                <w:sz w:val="16"/>
                <w:szCs w:val="16"/>
              </w:rPr>
              <w:t>B03AC</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rPr>
                <w:rFonts w:ascii="Arial" w:hAnsi="Arial" w:cs="Arial"/>
                <w:sz w:val="16"/>
                <w:szCs w:val="16"/>
                <w:lang w:val="ru-RU"/>
              </w:rPr>
            </w:pPr>
            <w:r>
              <w:rPr>
                <w:rFonts w:cs="Arial" w:ascii="Arial" w:hAnsi="Arial"/>
                <w:sz w:val="16"/>
                <w:szCs w:val="16"/>
                <w:lang w:val="ru-RU"/>
              </w:rPr>
              <w:t>розчин для ін'єкцій, 20 мг/мл, по 5 мл розчину в ампулі; по 5 ампул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lang w:val="ru-RU"/>
              </w:rPr>
              <w:t>МЕДІЦЕ Арцнайміттель Пюттер ГмбХ &amp; Ко. КГ</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Німеччина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 xml:space="preserve">Виробник балку ампул, альтернативний виробник, відповідальний за вторинне пакування (включаючи маркування ампул): </w:t>
              <w:br/>
              <w:t>Солюфарм Фармацойтіше Ерцойгніссе ГмбХ, Німеччина;</w:t>
              <w:br/>
              <w:t>Виробник, відповідальний за вторинне пакування (включаючи маркування ампул) та випуск серії:</w:t>
              <w:br/>
              <w:t>МЕДІЦЕ Арцнайміттель Пюттер ГмбХ &amp; Ко. КГ, Німеччина;</w:t>
              <w:br/>
              <w:t xml:space="preserve">Виробництво, первинне пакування, вторинне пакування: </w:t>
              <w:br/>
              <w:t>Мефар Ілак Санаїі А.С., Турція</w:t>
              <w:br/>
              <w:t xml:space="preserve">Лабораторні випробування хімічні/фізичні: </w:t>
              <w:br/>
              <w:t>Куррента ГмбХ &amp; Кo. OХГ, Німеччина;</w:t>
              <w:br/>
              <w:t xml:space="preserve">Лабораторні випробування хімічні/фізичні: </w:t>
              <w:br/>
              <w:t>Куррента ГмбХ &amp; Кo. OХГ, Німеччина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Німеччина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112"/>
              <w:tabs>
                <w:tab w:val="left" w:pos="12600" w:leader="none"/>
              </w:tabs>
              <w:jc w:val="center"/>
              <w:rPr>
                <w:rFonts w:ascii="Arial" w:hAnsi="Arial" w:cs="Arial"/>
                <w:sz w:val="16"/>
                <w:szCs w:val="16"/>
              </w:rPr>
            </w:pPr>
            <w:r>
              <w:rPr>
                <w:rFonts w:cs="Arial" w:ascii="Arial" w:hAnsi="Arial"/>
                <w:sz w:val="16"/>
                <w:szCs w:val="16"/>
              </w:rPr>
            </w:r>
          </w:p>
          <w:p>
            <w:pPr>
              <w:pStyle w:val="112"/>
              <w:tabs>
                <w:tab w:val="left" w:pos="12600" w:leader="none"/>
              </w:tabs>
              <w:jc w:val="center"/>
              <w:rPr>
                <w:rFonts w:ascii="Arial" w:hAnsi="Arial" w:cs="Arial"/>
                <w:sz w:val="16"/>
                <w:szCs w:val="16"/>
              </w:rPr>
            </w:pPr>
            <w:r>
              <w:rPr>
                <w:rFonts w:cs="Arial" w:ascii="Arial" w:hAnsi="Arial"/>
                <w:sz w:val="16"/>
                <w:szCs w:val="16"/>
              </w:rPr>
              <w:t>Зміни II типу</w:t>
            </w:r>
          </w:p>
          <w:p>
            <w:pPr>
              <w:pStyle w:val="112"/>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112"/>
              <w:tabs>
                <w:tab w:val="left" w:pos="12600" w:leader="none"/>
              </w:tabs>
              <w:jc w:val="center"/>
              <w:rPr>
                <w:rFonts w:ascii="Arial" w:hAnsi="Arial" w:cs="Arial"/>
                <w:sz w:val="16"/>
                <w:szCs w:val="16"/>
              </w:rPr>
            </w:pPr>
            <w:r>
              <w:rPr>
                <w:rFonts w:cs="Arial" w:ascii="Arial" w:hAnsi="Arial"/>
                <w:sz w:val="16"/>
                <w:szCs w:val="16"/>
              </w:rPr>
              <w:t>UA/13237/01/01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 xml:space="preserve">ФЛЕБОТОН </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troxerutin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троксерутин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C05CA04</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капсули тверді по 300 мг, по 10 капсул у блістері; по 5 блістерів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"Софарма"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Болгарія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АТ "Софарма"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Болгарія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UA/0747/02/01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ФЛУКОНАЗОЛ</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fluconazole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флуконазол</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(субстанція) у подвійних поліетиленових пакетах для фармацевтичного застосування</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Чемо Іберіка,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Кіміка Сінтетіка,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Iспанiя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II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UA/9730/01/01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ФОРТІКС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formoterol</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формотеролу фумарат</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R03AC13</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інгаляцій, тверді капсули по 12 мкг; по 10 капсул у блістері; по 6 блістерів у картонній коробці в комплекті з інгалятором</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ЗАТ "ІНТЕЛІ ГЕНЕРИКС НОРД"</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Литва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ЛАБОРАТОРІОС ЛІКОНСА, С.А.</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UA/10780/01/01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ХЕЛПЕКС® АНТИКОЛД НЕО ІМБИР</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парацетамол, фенілефрину гідрохлорид, левоцетиризину дигідрохлорид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орального розчину; по 4 г порошку в саше; по 10 саше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«Мові 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виробництво за повним циклом: Алпекс Фарма СА, Швейцарія; первинне та вторинне пакування: Ламп Сан Просперо СПА, Італія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 Італія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UA/17630/01/01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ХЕЛПЕКС® АНТИКОЛД НЕО МАКС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парацетамол, фенілефрину гідрохлорид, левоцетиризину дигідрохлорид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орального розчину з малиновим смаком; по 4 г порошку в саше; по 10 саше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«Мові 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повний цикл виробнитцва: Алпекс Фарма СА , Швейцарія; первинне та вторинне пакування: Ламп Сан Просперо СПА, Італія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 Італія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UA/16015/01/01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ХЕЛПЕКС® АНТИКОЛД НЕО МАКС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Paracetamol, combinations excl. psycholeptics</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парацетамол, фенілефрину гідрохлорид, левоцетиризину дигідрохлорид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N02BE51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порошок для орального розчину з лимонним смаком; по 4 г порошку в саше; по 10 саше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«Мові Хелс»</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повний цикл виробнитцва: Алпекс Фарма СА , Швейцарія; первинне та вторинне пакування: Ламп Сан Просперо СПА, Італія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Швейцарія/ Італія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внесення змін до реєстраційних матеріалів: Зміни І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UA/16014/01/01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ЦЕРАКСОН®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citicoline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цитиколін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N06BX06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1000 мг/4 мл; по 4 мл в ампулах; по 5 або по 10 ампул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Феррер Інтернаціональ, С.А.</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ФАМАР ХЕЛС КЕА СЕРВІСИЗ МАДРИД, С.А.У.</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br/>
              <w:t xml:space="preserve">Зміни II типу </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UA/4464/01/02</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ЦЕРАКСОН®</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citicoline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цитиколін натрію</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N06BX06</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розчин для ін'єкцій 500 мг/4 мл; по 4 мл в ампулах; по 5 або по 10 ампул у картонній коробці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Феррер Інтернаціональ, С.А.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ФАМАР ХЕЛС КЕА СЕРВІСИЗ МАДРИД, С.А.У.</w:t>
              <w:b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Іспанія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t>Зміни II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i/>
                <w:i/>
                <w:sz w:val="16"/>
                <w:szCs w:val="16"/>
              </w:rPr>
            </w:pPr>
            <w:r>
              <w:rPr>
                <w:rFonts w:cs="Arial" w:ascii="Arial" w:hAnsi="Arial"/>
                <w:i/>
                <w:sz w:val="16"/>
                <w:szCs w:val="16"/>
              </w:rPr>
              <w:t>Не підлягає</w:t>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UA/4464/01/01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ЦЕРВАРИКС ВАКЦИНА ДЛЯ ПРОФІЛАКТИКИ ЗАХВОРЮВАНЬ, ЩО ВИКЛИКАЮТЬСЯ ВІРУСОМ ПАПІЛОМИ ЛЮДИНИ ТИПІВ 16 ТА 18</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Papillomavirus (human types 16, 18)</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вірус папіломи людини тип 16 L1 протеїн; вірус папіломи людини тип 18 L1 протеїн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J07BM02</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суспензія для ін’єкцій, по 0,5 мл (1 доза) суспензії для ін'єкцій у попередньо наповненому шприці з поршнем і ковпачком у комплекті з голкою (у блістері) або у флаконі з пробкою; по 1 попередньо наповненому шприцу з голкою або по 1 флакону в картонній коробці з маркуванням українською мовою; по 0,5 мл (1 доза) суспензії для ін'єкцій у попередньо наповненому шприці з маркуванням іноземними мовами з поршнем і ковпачком у комплекті з голкою (у блістері) або у флаконі з маркуванням іноземними мовами з пробкою; по 1 попередньо наповненому шприцу з голкою або по 1 флакону в картонній коробці з маркуванням іноземними мовами зі стикером українською мовою</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ГлаксоСмітКляйн Експорт Лімітед </w:t>
              <w:br/>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Велика Британiя</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ГлаксоСмітКляйн Біолоджікалз, Франція</w:t>
              <w:br/>
              <w:t>(Маркування та пакування готового продукту);</w:t>
              <w:br/>
              <w:t>ГлаксоСмітКляйн Біолоджікалз С.А., Бельгія</w:t>
              <w:br/>
              <w:t>(Формування вакцини, наповнення в попередньо наповнені шприці та флакони, проведення контролю якості, маркування і пакування готового продукту); СмітКляйн Бічем Фарма ГмбХ унд Ко. КГ, Німеччина</w:t>
              <w:br/>
              <w:t>(Наповнення в попередньо наповнені шприці, проведення контролю якості);</w:t>
              <w:br/>
              <w:t>ГлаксоСмітКляйн Біолоджікалз С.А., Бельгія</w:t>
              <w:br/>
              <w:t>(Випуск серії готового продукту, проведення контролю якості готового продукту)</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Франція/ Бельгія/ Німеччина</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UA/16310/01/01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ЦЕТЛО®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Levocetirizine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левоцетиризину дигідрохлорид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5 мг; in bulk: по 1000 таблеток у подвійних поліетиленових пакетах</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 xml:space="preserve">Евертоджен Лайф Саєнсиз  Лімітед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UA/16176/01/01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ЦЕТЛО®</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Levocetirizine</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левоцетиризину дигідрохлорид</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R06AE09</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таблетки, вкриті плівковою оболонкою, по 5 мг, по 10 таблеток у блістері; по 1 або по 3 блістери у картонній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ОРГАНОСИН ЛАЙФСАЄНСИЗ (ЕФ ЗЕТ І)</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ОАЕ</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Евертоджен Лайф Саєнсиз  Лімітед</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Індія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eastAsia="Arial" w:cs="Arial"/>
                <w:sz w:val="16"/>
                <w:szCs w:val="16"/>
              </w:rPr>
            </w:pPr>
            <w:r>
              <w:rPr>
                <w:rFonts w:eastAsia="Arial" w:cs="Arial" w:ascii="Arial" w:hAnsi="Arial"/>
                <w:sz w:val="16"/>
                <w:szCs w:val="16"/>
              </w:rPr>
              <w:t xml:space="preserve"> </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без рецепта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UA/16177/01/01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ЦИСПЛАТИН-ТЕВА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cisplatin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цисплатин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L01XA01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концентрат для розчину для інфузій, 0,5 мг/мл; по 20 мл або по 50 мл, або по 100 мл у флаконі; по 1 флакону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за повним циклом: Фармахемі Б.В., Нідерланди; контроль серії: ПЛІВА Хрватска д.о.о., Хорватія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Нідерланди/ Хорватія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UA/7552/01/01</w:t>
            </w:r>
          </w:p>
        </w:tc>
      </w:tr>
      <w:tr>
        <w:trPr/>
        <w:tc>
          <w:tcPr>
            <w:tcW w:w="56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112"/>
              <w:numPr>
                <w:ilvl w:val="0"/>
                <w:numId w:val="2"/>
              </w:numPr>
              <w:tabs>
                <w:tab w:val="left" w:pos="12600" w:leader="none"/>
              </w:tabs>
              <w:snapToGrid w:val="false"/>
              <w:rPr>
                <w:rFonts w:ascii="Arial" w:hAnsi="Arial" w:cs="Arial"/>
                <w:b/>
                <w:b/>
                <w:sz w:val="16"/>
                <w:szCs w:val="16"/>
              </w:rPr>
            </w:pPr>
            <w:r>
              <w:rPr>
                <w:rFonts w:cs="Arial" w:ascii="Arial" w:hAnsi="Arial"/>
                <w:b/>
                <w:sz w:val="16"/>
                <w:szCs w:val="16"/>
              </w:rPr>
            </w:r>
          </w:p>
        </w:tc>
        <w:tc>
          <w:tcPr>
            <w:tcW w:w="156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b/>
                <w:b/>
                <w:i/>
                <w:i/>
                <w:sz w:val="16"/>
                <w:szCs w:val="16"/>
              </w:rPr>
            </w:pPr>
            <w:r>
              <w:rPr>
                <w:rFonts w:cs="Arial" w:ascii="Arial" w:hAnsi="Arial"/>
                <w:b/>
                <w:sz w:val="16"/>
                <w:szCs w:val="16"/>
              </w:rPr>
              <w:t>ЦИСПЛАТИН-ТЕВА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cisplatin</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цисплатин</w:t>
            </w:r>
          </w:p>
        </w:tc>
        <w:tc>
          <w:tcPr>
            <w:tcW w:w="85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L01XA01</w:t>
            </w:r>
          </w:p>
        </w:tc>
        <w:tc>
          <w:tcPr>
            <w:tcW w:w="1701"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rPr>
                <w:rFonts w:ascii="Arial" w:hAnsi="Arial" w:cs="Arial"/>
                <w:sz w:val="16"/>
                <w:szCs w:val="16"/>
              </w:rPr>
            </w:pPr>
            <w:r>
              <w:rPr>
                <w:rFonts w:cs="Arial" w:ascii="Arial" w:hAnsi="Arial"/>
                <w:sz w:val="16"/>
                <w:szCs w:val="16"/>
              </w:rPr>
              <w:t>концентрат для розчину для інфузій, по 1 мг/мл; по 100 мл у флаконі; по 1 флакону у пачці</w:t>
            </w:r>
          </w:p>
        </w:tc>
        <w:tc>
          <w:tcPr>
            <w:tcW w:w="1134"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ТОВ «Тева Україна»</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Україна</w:t>
            </w:r>
          </w:p>
        </w:tc>
        <w:tc>
          <w:tcPr>
            <w:tcW w:w="1418"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виробництво за повним циклом: Фармахемі Б.В., Нідерланди; контроль серії: ПЛІВА Хрватска д.о.о., Хорватія</w:t>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Нідерланди/ Хорватія</w:t>
            </w:r>
          </w:p>
        </w:tc>
        <w:tc>
          <w:tcPr>
            <w:tcW w:w="2126"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внесення змін до реєстраційних матеріалів:  Зміни І типу</w:t>
            </w:r>
          </w:p>
          <w:p>
            <w:pPr>
              <w:pStyle w:val="Normal"/>
              <w:tabs>
                <w:tab w:val="left" w:pos="12600" w:leader="none"/>
              </w:tabs>
              <w:jc w:val="center"/>
              <w:rPr>
                <w:rFonts w:ascii="Arial" w:hAnsi="Arial" w:cs="Arial"/>
                <w:sz w:val="16"/>
                <w:szCs w:val="16"/>
              </w:rPr>
            </w:pPr>
            <w:r>
              <w:rPr>
                <w:rFonts w:cs="Arial" w:ascii="Arial" w:hAnsi="Arial"/>
                <w:sz w:val="16"/>
                <w:szCs w:val="16"/>
              </w:rPr>
            </w:r>
          </w:p>
          <w:p>
            <w:pPr>
              <w:pStyle w:val="Normal"/>
              <w:tabs>
                <w:tab w:val="left" w:pos="12600" w:leader="none"/>
              </w:tabs>
              <w:jc w:val="center"/>
              <w:rPr>
                <w:rFonts w:ascii="Arial" w:hAnsi="Arial" w:cs="Arial"/>
                <w:sz w:val="16"/>
                <w:szCs w:val="16"/>
              </w:rPr>
            </w:pPr>
            <w:r>
              <w:rPr>
                <w:rFonts w:cs="Arial" w:ascii="Arial" w:hAnsi="Arial"/>
                <w:sz w:val="16"/>
                <w:szCs w:val="16"/>
              </w:rPr>
            </w:r>
          </w:p>
        </w:tc>
        <w:tc>
          <w:tcPr>
            <w:tcW w:w="850"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jc w:val="center"/>
              <w:rPr>
                <w:rFonts w:ascii="Arial" w:hAnsi="Arial" w:cs="Arial"/>
                <w:b/>
                <w:b/>
                <w:i/>
                <w:i/>
                <w:sz w:val="16"/>
                <w:szCs w:val="16"/>
              </w:rPr>
            </w:pPr>
            <w:r>
              <w:rPr>
                <w:rFonts w:cs="Arial" w:ascii="Arial" w:hAnsi="Arial"/>
                <w:i/>
                <w:sz w:val="16"/>
                <w:szCs w:val="16"/>
              </w:rPr>
              <w:t>за рецептом</w:t>
            </w:r>
          </w:p>
        </w:tc>
        <w:tc>
          <w:tcPr>
            <w:tcW w:w="992" w:type="dxa"/>
            <w:tcBorders>
              <w:top w:val="single" w:sz="4" w:space="0" w:color="000000"/>
              <w:left w:val="single" w:sz="4" w:space="0" w:color="000000"/>
              <w:bottom w:val="single" w:sz="4" w:space="0" w:color="000000"/>
              <w:insideH w:val="single" w:sz="4" w:space="0" w:color="000000"/>
            </w:tcBorders>
            <w:shd w:fill="FFFFFF" w:val="clear"/>
            <w:tcMar>
              <w:left w:w="103" w:type="dxa"/>
            </w:tcMar>
          </w:tcPr>
          <w:p>
            <w:pPr>
              <w:pStyle w:val="Normal"/>
              <w:tabs>
                <w:tab w:val="left" w:pos="12600" w:leader="none"/>
              </w:tabs>
              <w:snapToGrid w:val="false"/>
              <w:jc w:val="center"/>
              <w:rPr>
                <w:rFonts w:ascii="Arial" w:hAnsi="Arial" w:cs="Arial"/>
                <w:b/>
                <w:b/>
                <w:i/>
                <w:i/>
                <w:sz w:val="16"/>
                <w:szCs w:val="16"/>
              </w:rPr>
            </w:pPr>
            <w:r>
              <w:rPr>
                <w:rFonts w:cs="Arial" w:ascii="Arial" w:hAnsi="Arial"/>
                <w:b/>
                <w:i/>
                <w:sz w:val="16"/>
                <w:szCs w:val="16"/>
              </w:rPr>
            </w:r>
          </w:p>
        </w:tc>
        <w:tc>
          <w:tcPr>
            <w:tcW w:w="1428"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FFFFFF" w:val="clear"/>
            <w:tcMar>
              <w:left w:w="103" w:type="dxa"/>
            </w:tcMar>
          </w:tcPr>
          <w:p>
            <w:pPr>
              <w:pStyle w:val="Normal"/>
              <w:tabs>
                <w:tab w:val="left" w:pos="12600" w:leader="none"/>
              </w:tabs>
              <w:jc w:val="center"/>
              <w:rPr>
                <w:rFonts w:ascii="Arial" w:hAnsi="Arial" w:cs="Arial"/>
                <w:sz w:val="16"/>
                <w:szCs w:val="16"/>
              </w:rPr>
            </w:pPr>
            <w:r>
              <w:rPr>
                <w:rFonts w:cs="Arial" w:ascii="Arial" w:hAnsi="Arial"/>
                <w:sz w:val="16"/>
                <w:szCs w:val="16"/>
              </w:rPr>
              <w:t>UA/7552/01/02</w:t>
            </w:r>
          </w:p>
        </w:tc>
      </w:tr>
    </w:tbl>
    <w:p>
      <w:pPr>
        <w:pStyle w:val="Normal"/>
        <w:rPr>
          <w:rFonts w:ascii="Arial" w:hAnsi="Arial" w:cs="Arial"/>
        </w:rPr>
      </w:pPr>
      <w:r>
        <w:rPr>
          <w:rFonts w:cs="Arial" w:ascii="Arial" w:hAnsi="Arial"/>
        </w:rPr>
      </w:r>
    </w:p>
    <w:p>
      <w:pPr>
        <w:pStyle w:val="Normal"/>
        <w:rPr>
          <w:rFonts w:ascii="Arial" w:hAnsi="Arial" w:cs="Arial"/>
        </w:rPr>
      </w:pPr>
      <w:r>
        <w:rPr>
          <w:rFonts w:cs="Arial" w:ascii="Arial" w:hAnsi="Arial"/>
        </w:rPr>
        <w:t>*</w:t>
      </w:r>
      <w:r>
        <w:rPr>
          <w:rFonts w:cs="Arial" w:ascii="Arial" w:hAnsi="Arial"/>
          <w:sz w:val="28"/>
          <w:szCs w:val="28"/>
        </w:rPr>
        <w:t xml:space="preserve"> </w:t>
      </w:r>
      <w:r>
        <w:rPr>
          <w:rFonts w:cs="Arial" w:ascii="Arial" w:hAnsi="Arial"/>
          <w:i/>
          <w:sz w:val="16"/>
          <w:szCs w:val="16"/>
        </w:rPr>
        <w:t>відповідно до інформації офіційного сайту Центру ВООЗ по співпраці в методології статистичних досліджень (</w:t>
      </w:r>
      <w:hyperlink r:id="rId4">
        <w:r>
          <w:rPr>
            <w:rStyle w:val="InternetLink"/>
            <w:rFonts w:cs="Arial" w:ascii="Arial" w:hAnsi="Arial"/>
            <w:i/>
            <w:color w:val="000000"/>
            <w:szCs w:val="16"/>
          </w:rPr>
          <w:t>https://www.whocc.no/atc_ddd_index/</w:t>
        </w:r>
      </w:hyperlink>
      <w:r>
        <w:rPr>
          <w:rStyle w:val="InternetLink"/>
          <w:rFonts w:cs="Arial" w:ascii="Arial" w:hAnsi="Arial"/>
          <w:i/>
          <w:color w:val="000000"/>
          <w:szCs w:val="16"/>
        </w:rPr>
        <w:t>)</w:t>
      </w:r>
    </w:p>
    <w:p>
      <w:pPr>
        <w:pStyle w:val="Normal"/>
        <w:ind w:right="20" w:hanging="0"/>
        <w:rPr/>
      </w:pPr>
      <w:r>
        <w:rPr>
          <w:rFonts w:cs="Arial" w:ascii="Arial" w:hAnsi="Arial"/>
          <w:i/>
          <w:sz w:val="16"/>
          <w:szCs w:val="16"/>
        </w:rPr>
        <w:t>**у разі внесення змін до інструкції про медичне застосування</w:t>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p>
      <w:pPr>
        <w:pStyle w:val="Normal"/>
        <w:ind w:right="20" w:hanging="0"/>
        <w:rPr>
          <w:rFonts w:ascii="Arial" w:hAnsi="Arial" w:cs="Arial"/>
          <w:b/>
          <w:b/>
          <w:i/>
          <w:i/>
          <w:sz w:val="16"/>
          <w:szCs w:val="16"/>
        </w:rPr>
      </w:pPr>
      <w:r>
        <w:rPr>
          <w:rFonts w:cs="Arial" w:ascii="Arial" w:hAnsi="Arial"/>
          <w:b/>
          <w:i/>
          <w:sz w:val="16"/>
          <w:szCs w:val="16"/>
        </w:rPr>
      </w:r>
    </w:p>
    <w:tbl>
      <w:tblPr>
        <w:tblW w:w="14843" w:type="dxa"/>
        <w:jc w:val="left"/>
        <w:tblInd w:w="0" w:type="dxa"/>
        <w:tblBorders/>
        <w:tblCellMar>
          <w:top w:w="0" w:type="dxa"/>
          <w:left w:w="108" w:type="dxa"/>
          <w:bottom w:w="0" w:type="dxa"/>
          <w:right w:w="108" w:type="dxa"/>
        </w:tblCellMar>
      </w:tblPr>
      <w:tblGrid>
        <w:gridCol w:w="7421"/>
        <w:gridCol w:w="7422"/>
      </w:tblGrid>
      <w:tr>
        <w:trPr/>
        <w:tc>
          <w:tcPr>
            <w:tcW w:w="7421" w:type="dxa"/>
            <w:tcBorders/>
            <w:shd w:fill="auto" w:val="clear"/>
          </w:tcPr>
          <w:p>
            <w:pPr>
              <w:pStyle w:val="Normal"/>
              <w:ind w:right="20" w:hanging="0"/>
              <w:rPr>
                <w:rStyle w:val="Cs95e872d01"/>
                <w:rFonts w:ascii="Arial" w:hAnsi="Arial" w:cs="Arial"/>
                <w:lang w:val="ru-RU"/>
              </w:rPr>
            </w:pPr>
            <w:r>
              <w:rPr>
                <w:rStyle w:val="Cs7864ebcf1"/>
                <w:rFonts w:eastAsia="Arial" w:cs="Arial" w:ascii="Arial" w:hAnsi="Arial"/>
                <w:color w:val="000000"/>
                <w:sz w:val="24"/>
                <w:szCs w:val="24"/>
              </w:rPr>
              <w:t xml:space="preserve"> </w:t>
            </w:r>
            <w:r>
              <w:rPr>
                <w:rStyle w:val="Cs7864ebcf1"/>
                <w:rFonts w:cs="Arial" w:ascii="Arial" w:hAnsi="Arial"/>
                <w:color w:val="000000"/>
                <w:sz w:val="24"/>
                <w:szCs w:val="24"/>
              </w:rPr>
              <w:t xml:space="preserve">Начальник </w:t>
            </w:r>
          </w:p>
          <w:p>
            <w:pPr>
              <w:pStyle w:val="Normal"/>
              <w:ind w:right="20" w:hanging="0"/>
              <w:rPr>
                <w:rStyle w:val="Cs7864ebcf1"/>
                <w:rFonts w:ascii="Arial" w:hAnsi="Arial" w:cs="Arial"/>
                <w:color w:val="000000"/>
                <w:sz w:val="24"/>
                <w:szCs w:val="24"/>
              </w:rPr>
            </w:pPr>
            <w:r>
              <w:rPr>
                <w:rStyle w:val="Cs7864ebcf1"/>
                <w:rFonts w:cs="Arial" w:ascii="Arial" w:hAnsi="Arial"/>
                <w:color w:val="000000"/>
                <w:sz w:val="24"/>
                <w:szCs w:val="24"/>
              </w:rPr>
              <w:t xml:space="preserve">Фармацевтичного управління </w:t>
            </w:r>
            <w:r>
              <w:rPr>
                <w:rStyle w:val="Cs188c92b51"/>
                <w:rFonts w:cs="Arial" w:ascii="Arial" w:hAnsi="Arial"/>
                <w:color w:val="000000"/>
                <w:sz w:val="24"/>
                <w:szCs w:val="24"/>
              </w:rPr>
              <w:t>                                 </w:t>
            </w:r>
          </w:p>
        </w:tc>
        <w:tc>
          <w:tcPr>
            <w:tcW w:w="7422" w:type="dxa"/>
            <w:tcBorders/>
            <w:shd w:fill="auto" w:val="clear"/>
          </w:tcPr>
          <w:p>
            <w:pPr>
              <w:pStyle w:val="Cs95e872d0"/>
              <w:jc w:val="center"/>
              <w:rPr/>
            </w:pPr>
            <w:r>
              <w:rPr>
                <w:rStyle w:val="Cs7864ebcf1"/>
                <w:rFonts w:eastAsia="Arial" w:cs="Arial" w:ascii="Arial" w:hAnsi="Arial"/>
                <w:color w:val="000000"/>
                <w:sz w:val="24"/>
                <w:szCs w:val="24"/>
                <w:lang w:val="uk-UA"/>
              </w:rPr>
              <w:t xml:space="preserve">                                            </w:t>
            </w:r>
          </w:p>
          <w:p>
            <w:pPr>
              <w:pStyle w:val="Cs95e872d0"/>
              <w:jc w:val="center"/>
              <w:rPr/>
            </w:pPr>
            <w:r>
              <w:rPr>
                <w:rStyle w:val="Cs7864ebcf1"/>
                <w:rFonts w:eastAsia="Arial" w:cs="Arial" w:ascii="Arial" w:hAnsi="Arial"/>
                <w:color w:val="000000"/>
                <w:sz w:val="24"/>
                <w:szCs w:val="24"/>
                <w:lang w:val="uk-UA"/>
              </w:rPr>
              <w:t xml:space="preserve">                                   </w:t>
            </w:r>
            <w:r>
              <w:rPr>
                <w:rStyle w:val="Cs7864ebcf1"/>
                <w:rFonts w:cs="Arial" w:ascii="Arial" w:hAnsi="Arial"/>
                <w:color w:val="000000"/>
                <w:sz w:val="24"/>
                <w:szCs w:val="24"/>
                <w:lang w:val="uk-UA"/>
              </w:rPr>
              <w:t xml:space="preserve">Олександр ГРІЦЕНКО  </w:t>
            </w:r>
          </w:p>
        </w:tc>
      </w:tr>
    </w:tbl>
    <w:p>
      <w:pPr>
        <w:sectPr>
          <w:headerReference w:type="default" r:id="rId5"/>
          <w:headerReference w:type="first" r:id="rId6"/>
          <w:type w:val="nextPage"/>
          <w:pgSz w:orient="landscape" w:w="16838" w:h="11906"/>
          <w:pgMar w:left="1077" w:right="1134" w:header="709" w:top="907" w:footer="0" w:bottom="907" w:gutter="0"/>
          <w:pgNumType w:fmt="decimal"/>
          <w:formProt w:val="false"/>
          <w:titlePg/>
          <w:textDirection w:val="lrTb"/>
          <w:docGrid w:type="default" w:linePitch="360" w:charSpace="0"/>
        </w:sectPr>
      </w:pPr>
    </w:p>
    <w:p>
      <w:pPr>
        <w:pStyle w:val="Normal"/>
        <w:tabs>
          <w:tab w:val="left" w:pos="1985" w:leader="none"/>
        </w:tabs>
        <w:rPr>
          <w:rStyle w:val="Cs7864ebcf1"/>
          <w:rFonts w:ascii="Arial" w:hAnsi="Arial" w:cs="Arial"/>
          <w:color w:val="000000"/>
          <w:sz w:val="16"/>
          <w:szCs w:val="16"/>
          <w:lang w:val="uk-UA"/>
        </w:rPr>
      </w:pPr>
      <w:r>
        <w:rPr/>
      </w:r>
    </w:p>
    <w:tbl>
      <w:tblPr>
        <w:tblW w:w="3828" w:type="dxa"/>
        <w:jc w:val="left"/>
        <w:tblInd w:w="11448" w:type="dxa"/>
        <w:tblBorders/>
        <w:tblCellMar>
          <w:top w:w="0" w:type="dxa"/>
          <w:left w:w="108" w:type="dxa"/>
          <w:bottom w:w="0" w:type="dxa"/>
          <w:right w:w="108" w:type="dxa"/>
        </w:tblCellMar>
      </w:tblPr>
      <w:tblGrid>
        <w:gridCol w:w="3828"/>
      </w:tblGrid>
      <w:tr>
        <w:trPr/>
        <w:tc>
          <w:tcPr>
            <w:tcW w:w="3828" w:type="dxa"/>
            <w:tcBorders/>
            <w:shd w:fill="auto" w:val="clear"/>
          </w:tcPr>
          <w:p>
            <w:pPr>
              <w:pStyle w:val="Heading4"/>
              <w:numPr>
                <w:ilvl w:val="3"/>
                <w:numId w:val="1"/>
              </w:numPr>
              <w:tabs>
                <w:tab w:val="left" w:pos="12600" w:leader="none"/>
              </w:tabs>
              <w:jc w:val="both"/>
              <w:rPr>
                <w:rFonts w:cs="Arial"/>
                <w:sz w:val="18"/>
                <w:szCs w:val="18"/>
              </w:rPr>
            </w:pPr>
            <w:r>
              <w:rPr>
                <w:rFonts w:cs="Arial"/>
                <w:sz w:val="18"/>
                <w:szCs w:val="18"/>
              </w:rPr>
              <w:t>Додаток 4</w:t>
            </w:r>
          </w:p>
          <w:p>
            <w:pPr>
              <w:pStyle w:val="Heading4"/>
              <w:numPr>
                <w:ilvl w:val="3"/>
                <w:numId w:val="1"/>
              </w:numPr>
              <w:tabs>
                <w:tab w:val="left" w:pos="12600" w:leader="none"/>
              </w:tabs>
              <w:jc w:val="both"/>
              <w:rPr>
                <w:rFonts w:cs="Arial"/>
                <w:sz w:val="18"/>
                <w:szCs w:val="18"/>
              </w:rPr>
            </w:pPr>
            <w:r>
              <w:rPr>
                <w:rFonts w:cs="Arial"/>
                <w:sz w:val="18"/>
                <w:szCs w:val="18"/>
              </w:rPr>
              <w:t>до наказу Міністерства охорони</w:t>
            </w:r>
          </w:p>
          <w:p>
            <w:pPr>
              <w:pStyle w:val="Normal"/>
              <w:tabs>
                <w:tab w:val="left" w:pos="12600" w:leader="none"/>
              </w:tabs>
              <w:jc w:val="both"/>
              <w:rPr>
                <w:rFonts w:ascii="Arial" w:hAnsi="Arial" w:cs="Arial"/>
                <w:b/>
                <w:b/>
                <w:sz w:val="18"/>
                <w:szCs w:val="18"/>
              </w:rPr>
            </w:pPr>
            <w:r>
              <w:rPr>
                <w:rFonts w:cs="Arial" w:ascii="Arial" w:hAnsi="Arial"/>
                <w:b/>
                <w:sz w:val="18"/>
                <w:szCs w:val="18"/>
              </w:rPr>
              <w:t>здоров’я України</w:t>
            </w:r>
          </w:p>
          <w:p>
            <w:pPr>
              <w:pStyle w:val="Normal"/>
              <w:tabs>
                <w:tab w:val="left" w:pos="12600" w:leader="none"/>
              </w:tabs>
              <w:jc w:val="both"/>
              <w:rPr/>
            </w:pPr>
            <w:r>
              <w:rPr>
                <w:rFonts w:cs="Arial" w:ascii="Arial" w:hAnsi="Arial"/>
                <w:b/>
                <w:sz w:val="18"/>
                <w:szCs w:val="18"/>
              </w:rPr>
              <w:t>від ________________</w:t>
            </w:r>
            <w:r>
              <w:rPr>
                <w:rFonts w:cs="Arial" w:ascii="Arial" w:hAnsi="Arial"/>
                <w:b/>
                <w:sz w:val="18"/>
                <w:szCs w:val="18"/>
                <w:lang w:val="en-US"/>
              </w:rPr>
              <w:t xml:space="preserve"> </w:t>
            </w:r>
            <w:r>
              <w:rPr>
                <w:rFonts w:cs="Arial" w:ascii="Arial" w:hAnsi="Arial"/>
                <w:b/>
                <w:sz w:val="18"/>
                <w:szCs w:val="18"/>
              </w:rPr>
              <w:t xml:space="preserve"> № _____</w:t>
            </w:r>
          </w:p>
        </w:tc>
      </w:tr>
    </w:tbl>
    <w:p>
      <w:pPr>
        <w:pStyle w:val="Normal"/>
        <w:tabs>
          <w:tab w:val="left" w:pos="12600" w:leader="none"/>
        </w:tabs>
        <w:rPr>
          <w:rFonts w:ascii="Arial" w:hAnsi="Arial" w:cs="Arial"/>
          <w:sz w:val="18"/>
          <w:szCs w:val="18"/>
        </w:rPr>
      </w:pPr>
      <w:r>
        <w:rPr>
          <w:rFonts w:cs="Arial" w:ascii="Arial" w:hAnsi="Arial"/>
          <w:sz w:val="18"/>
          <w:szCs w:val="18"/>
        </w:rPr>
      </w:r>
    </w:p>
    <w:p>
      <w:pPr>
        <w:pStyle w:val="Normal"/>
        <w:jc w:val="center"/>
        <w:rPr>
          <w:rFonts w:ascii="Arial" w:hAnsi="Arial" w:cs="Arial"/>
          <w:b/>
          <w:b/>
          <w:sz w:val="22"/>
          <w:szCs w:val="22"/>
        </w:rPr>
      </w:pPr>
      <w:r>
        <w:rPr>
          <w:rFonts w:cs="Arial" w:ascii="Arial" w:hAnsi="Arial"/>
          <w:b/>
          <w:sz w:val="22"/>
          <w:szCs w:val="22"/>
        </w:rPr>
        <w:t>ПЕРЕЛІК</w:t>
      </w:r>
    </w:p>
    <w:p>
      <w:pPr>
        <w:pStyle w:val="Normal"/>
        <w:jc w:val="center"/>
        <w:rPr>
          <w:rFonts w:ascii="Arial" w:hAnsi="Arial" w:cs="Arial"/>
          <w:b/>
          <w:b/>
          <w:sz w:val="22"/>
          <w:szCs w:val="22"/>
        </w:rPr>
      </w:pPr>
      <w:r>
        <w:rPr>
          <w:rFonts w:cs="Arial" w:ascii="Arial" w:hAnsi="Arial"/>
          <w:b/>
          <w:sz w:val="22"/>
          <w:szCs w:val="22"/>
        </w:rPr>
        <w:t xml:space="preserve">ЛІКАРСЬКИХ ЗАСОБІВ, ЯКІ НЕ РЕКОМЕНДОВАНІ ДО ДЕРЖАВНОЇ РЕЄСТРАЦІЇ, ПЕРЕРЕЄСТРАЦІЇ ТА ВНЕСЕННЯ ЗМІН ДО РЕЄСТРАЦІЙНИХ МАТЕРІАЛІВ </w:t>
      </w:r>
    </w:p>
    <w:p>
      <w:pPr>
        <w:pStyle w:val="Normal"/>
        <w:jc w:val="center"/>
        <w:rPr>
          <w:rFonts w:ascii="Arial" w:hAnsi="Arial" w:cs="Arial"/>
          <w:b/>
          <w:b/>
          <w:sz w:val="22"/>
          <w:szCs w:val="22"/>
        </w:rPr>
      </w:pPr>
      <w:r>
        <w:rPr>
          <w:rFonts w:cs="Arial" w:ascii="Arial" w:hAnsi="Arial"/>
          <w:b/>
          <w:sz w:val="22"/>
          <w:szCs w:val="22"/>
        </w:rPr>
      </w:r>
    </w:p>
    <w:tbl>
      <w:tblPr>
        <w:tblW w:w="15345" w:type="dxa"/>
        <w:jc w:val="left"/>
        <w:tblInd w:w="82" w:type="dxa"/>
        <w:tblBorders>
          <w:top w:val="single" w:sz="4" w:space="0" w:color="000000"/>
          <w:left w:val="single" w:sz="4" w:space="0" w:color="000000"/>
          <w:bottom w:val="single" w:sz="4" w:space="0" w:color="000000"/>
          <w:insideH w:val="single" w:sz="4" w:space="0" w:color="000000"/>
        </w:tblBorders>
        <w:tblCellMar>
          <w:top w:w="0" w:type="dxa"/>
          <w:left w:w="103" w:type="dxa"/>
          <w:bottom w:w="0" w:type="dxa"/>
          <w:right w:w="108" w:type="dxa"/>
        </w:tblCellMar>
      </w:tblPr>
      <w:tblGrid>
        <w:gridCol w:w="547"/>
        <w:gridCol w:w="1459"/>
        <w:gridCol w:w="1984"/>
        <w:gridCol w:w="1447"/>
        <w:gridCol w:w="1275"/>
        <w:gridCol w:w="1701"/>
        <w:gridCol w:w="1276"/>
        <w:gridCol w:w="1814"/>
        <w:gridCol w:w="3837"/>
        <w:gridCol w:w="5"/>
      </w:tblGrid>
      <w:tr>
        <w:trPr>
          <w:tblHeader w:val="true"/>
        </w:trPr>
        <w:tc>
          <w:tcPr>
            <w:tcW w:w="547" w:type="dxa"/>
            <w:tcBorders>
              <w:top w:val="single" w:sz="4" w:space="0" w:color="000000"/>
              <w:left w:val="single" w:sz="4" w:space="0" w:color="000000"/>
              <w:bottom w:val="single" w:sz="4" w:space="0" w:color="000000"/>
              <w:insideH w:val="single" w:sz="4" w:space="0" w:color="000000"/>
            </w:tcBorders>
            <w:shd w:fill="E5E5E5" w:val="clear"/>
            <w:tcMar>
              <w:left w:w="103"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w:t>
            </w:r>
            <w:r>
              <w:rPr>
                <w:rFonts w:eastAsia="Arial" w:cs="Arial" w:ascii="Arial" w:hAnsi="Arial"/>
                <w:b/>
                <w:i/>
                <w:sz w:val="16"/>
                <w:szCs w:val="16"/>
                <w:lang w:eastAsia="en-US"/>
              </w:rPr>
              <w:t xml:space="preserve"> </w:t>
            </w:r>
            <w:r>
              <w:rPr>
                <w:rFonts w:cs="Arial" w:ascii="Arial" w:hAnsi="Arial"/>
                <w:b/>
                <w:i/>
                <w:sz w:val="16"/>
                <w:szCs w:val="16"/>
                <w:lang w:eastAsia="en-US"/>
              </w:rPr>
              <w:t>п/п</w:t>
            </w:r>
          </w:p>
        </w:tc>
        <w:tc>
          <w:tcPr>
            <w:tcW w:w="1459" w:type="dxa"/>
            <w:tcBorders>
              <w:top w:val="single" w:sz="4" w:space="0" w:color="000000"/>
              <w:left w:val="single" w:sz="4" w:space="0" w:color="000000"/>
              <w:bottom w:val="single" w:sz="4" w:space="0" w:color="000000"/>
              <w:insideH w:val="single" w:sz="4" w:space="0" w:color="000000"/>
            </w:tcBorders>
            <w:shd w:fill="E5E5E5" w:val="clear"/>
            <w:tcMar>
              <w:left w:w="103"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Назва лікарського засобу</w:t>
            </w:r>
          </w:p>
        </w:tc>
        <w:tc>
          <w:tcPr>
            <w:tcW w:w="1984"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Форма випуску</w:t>
            </w:r>
          </w:p>
        </w:tc>
        <w:tc>
          <w:tcPr>
            <w:tcW w:w="1447"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Заявник</w:t>
            </w:r>
          </w:p>
        </w:tc>
        <w:tc>
          <w:tcPr>
            <w:tcW w:w="1275"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Країна</w:t>
            </w:r>
          </w:p>
        </w:tc>
        <w:tc>
          <w:tcPr>
            <w:tcW w:w="1701"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Виробник</w:t>
            </w:r>
          </w:p>
        </w:tc>
        <w:tc>
          <w:tcPr>
            <w:tcW w:w="1276"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Країна</w:t>
            </w:r>
          </w:p>
        </w:tc>
        <w:tc>
          <w:tcPr>
            <w:tcW w:w="1814" w:type="dxa"/>
            <w:tcBorders>
              <w:top w:val="single" w:sz="4" w:space="0" w:color="000000"/>
              <w:left w:val="single" w:sz="6" w:space="0" w:color="000000"/>
              <w:bottom w:val="single" w:sz="4" w:space="0" w:color="000000"/>
              <w:insideH w:val="single" w:sz="4" w:space="0" w:color="000000"/>
            </w:tcBorders>
            <w:shd w:fill="E5E5E5" w:val="clear"/>
            <w:tcMar>
              <w:left w:w="100"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Підстава</w:t>
            </w:r>
          </w:p>
        </w:tc>
        <w:tc>
          <w:tcPr>
            <w:tcW w:w="3842" w:type="dxa"/>
            <w:tcBorders>
              <w:top w:val="single" w:sz="4" w:space="0" w:color="000000"/>
              <w:left w:val="single" w:sz="6" w:space="0" w:color="000000"/>
              <w:bottom w:val="single" w:sz="4" w:space="0" w:color="000000"/>
              <w:right w:val="single" w:sz="6" w:space="0" w:color="000000"/>
              <w:insideH w:val="single" w:sz="4" w:space="0" w:color="000000"/>
              <w:insideV w:val="single" w:sz="6" w:space="0" w:color="000000"/>
            </w:tcBorders>
            <w:shd w:fill="E5E5E5" w:val="clear"/>
            <w:tcMar>
              <w:left w:w="100" w:type="dxa"/>
            </w:tcMar>
          </w:tcPr>
          <w:p>
            <w:pPr>
              <w:pStyle w:val="Normal"/>
              <w:jc w:val="center"/>
              <w:rPr>
                <w:rFonts w:ascii="Arial" w:hAnsi="Arial" w:cs="Arial"/>
                <w:b/>
                <w:b/>
                <w:i/>
                <w:i/>
                <w:sz w:val="16"/>
                <w:szCs w:val="16"/>
                <w:lang w:eastAsia="en-US"/>
              </w:rPr>
            </w:pPr>
            <w:r>
              <w:rPr>
                <w:rFonts w:cs="Arial" w:ascii="Arial" w:hAnsi="Arial"/>
                <w:b/>
                <w:i/>
                <w:sz w:val="16"/>
                <w:szCs w:val="16"/>
                <w:lang w:eastAsia="en-US"/>
              </w:rPr>
              <w:t>Процедура</w:t>
            </w:r>
          </w:p>
        </w:tc>
      </w:tr>
      <w:tr>
        <w:trPr>
          <w:trHeight w:val="557" w:hRule="atLeast"/>
        </w:trPr>
        <w:tc>
          <w:tcPr>
            <w:tcW w:w="54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numPr>
                <w:ilvl w:val="0"/>
                <w:numId w:val="3"/>
              </w:numPr>
              <w:snapToGrid w:val="false"/>
              <w:rPr>
                <w:rFonts w:ascii="Arial" w:hAnsi="Arial" w:cs="Arial"/>
                <w:b/>
                <w:b/>
                <w:i/>
                <w:i/>
                <w:sz w:val="16"/>
                <w:szCs w:val="16"/>
                <w:lang w:eastAsia="en-US"/>
              </w:rPr>
            </w:pPr>
            <w:r>
              <w:rPr>
                <w:rFonts w:cs="Arial" w:ascii="Arial" w:hAnsi="Arial"/>
                <w:b/>
                <w:i/>
                <w:sz w:val="16"/>
                <w:szCs w:val="16"/>
                <w:lang w:eastAsia="en-US"/>
              </w:rPr>
            </w:r>
          </w:p>
        </w:tc>
        <w:tc>
          <w:tcPr>
            <w:tcW w:w="145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both"/>
              <w:rPr>
                <w:rFonts w:ascii="Arial" w:hAnsi="Arial" w:cs="Arial"/>
                <w:b/>
                <w:b/>
                <w:sz w:val="16"/>
                <w:szCs w:val="16"/>
              </w:rPr>
            </w:pPr>
            <w:r>
              <w:rPr>
                <w:rFonts w:cs="Arial" w:ascii="Arial" w:hAnsi="Arial"/>
                <w:b/>
                <w:sz w:val="16"/>
                <w:szCs w:val="16"/>
              </w:rPr>
              <w:t xml:space="preserve">КЛІМАДИНОН® </w:t>
            </w:r>
          </w:p>
        </w:tc>
        <w:tc>
          <w:tcPr>
            <w:tcW w:w="198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rPr>
                <w:rFonts w:ascii="Arial" w:hAnsi="Arial" w:cs="Arial"/>
                <w:sz w:val="16"/>
                <w:szCs w:val="16"/>
              </w:rPr>
            </w:pPr>
            <w:r>
              <w:rPr>
                <w:rFonts w:cs="Arial" w:ascii="Arial" w:hAnsi="Arial"/>
                <w:sz w:val="16"/>
                <w:szCs w:val="16"/>
              </w:rPr>
              <w:t>краплі оральні по 50 мл у флаконі з дозуючим крапельним пристроєм; по 1 флакону в картонній коробці</w:t>
            </w:r>
          </w:p>
        </w:tc>
        <w:tc>
          <w:tcPr>
            <w:tcW w:w="144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center"/>
              <w:rPr>
                <w:rFonts w:ascii="Arial" w:hAnsi="Arial" w:cs="Arial"/>
                <w:sz w:val="16"/>
                <w:szCs w:val="16"/>
              </w:rPr>
            </w:pPr>
            <w:r>
              <w:rPr>
                <w:rFonts w:cs="Arial" w:ascii="Arial" w:hAnsi="Arial"/>
                <w:sz w:val="16"/>
                <w:szCs w:val="16"/>
              </w:rPr>
              <w:t>Біонорика CЕ</w:t>
            </w:r>
          </w:p>
          <w:p>
            <w:pPr>
              <w:pStyle w:val="Normal"/>
              <w:spacing w:lineRule="auto" w:line="276"/>
              <w:ind w:left="170" w:hanging="0"/>
              <w:jc w:val="center"/>
              <w:rPr>
                <w:rFonts w:ascii="Arial" w:hAnsi="Arial" w:cs="Arial"/>
                <w:sz w:val="16"/>
                <w:szCs w:val="16"/>
              </w:rPr>
            </w:pPr>
            <w:r>
              <w:rPr>
                <w:rFonts w:cs="Arial" w:ascii="Arial" w:hAnsi="Arial"/>
                <w:sz w:val="16"/>
                <w:szCs w:val="16"/>
              </w:rPr>
            </w:r>
          </w:p>
        </w:tc>
        <w:tc>
          <w:tcPr>
            <w:tcW w:w="12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center"/>
              <w:rPr>
                <w:rFonts w:ascii="Arial" w:hAnsi="Arial" w:cs="Arial"/>
                <w:sz w:val="16"/>
                <w:szCs w:val="16"/>
              </w:rPr>
            </w:pPr>
            <w:r>
              <w:rPr>
                <w:rFonts w:cs="Arial" w:ascii="Arial" w:hAnsi="Arial"/>
                <w:sz w:val="16"/>
                <w:szCs w:val="16"/>
              </w:rPr>
              <w:t>Німеччина</w:t>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211"/>
              <w:spacing w:lineRule="auto" w:line="276"/>
              <w:ind w:hanging="0"/>
              <w:jc w:val="center"/>
              <w:rPr>
                <w:rFonts w:cs="Arial"/>
                <w:b w:val="false"/>
                <w:b w:val="false"/>
                <w:iCs/>
                <w:sz w:val="16"/>
                <w:szCs w:val="16"/>
              </w:rPr>
            </w:pPr>
            <w:r>
              <w:rPr>
                <w:rFonts w:cs="Arial"/>
                <w:b w:val="false"/>
                <w:sz w:val="16"/>
                <w:szCs w:val="16"/>
              </w:rPr>
              <w:t>Біонорика СЕ</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TextBodyIndent"/>
              <w:spacing w:lineRule="auto" w:line="276" w:before="0" w:after="120"/>
              <w:rPr>
                <w:rFonts w:ascii="Arial" w:hAnsi="Arial" w:cs="Arial"/>
                <w:sz w:val="16"/>
                <w:szCs w:val="16"/>
              </w:rPr>
            </w:pPr>
            <w:r>
              <w:rPr>
                <w:rFonts w:cs="Arial" w:ascii="Arial" w:hAnsi="Arial"/>
                <w:sz w:val="16"/>
                <w:szCs w:val="16"/>
              </w:rPr>
              <w:t>Німеччина</w:t>
            </w:r>
          </w:p>
        </w:tc>
        <w:tc>
          <w:tcPr>
            <w:tcW w:w="181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211"/>
              <w:spacing w:lineRule="auto" w:line="276"/>
              <w:ind w:hanging="0"/>
              <w:jc w:val="left"/>
              <w:rPr>
                <w:rFonts w:cs="Arial"/>
                <w:b w:val="false"/>
                <w:b w:val="false"/>
                <w:iCs/>
                <w:sz w:val="16"/>
                <w:szCs w:val="16"/>
              </w:rPr>
            </w:pPr>
            <w:r>
              <w:rPr>
                <w:rFonts w:cs="Arial"/>
                <w:b w:val="false"/>
                <w:iCs/>
                <w:sz w:val="16"/>
                <w:szCs w:val="16"/>
              </w:rPr>
              <w:t>засідання НТР № 31 від 06.08.2026</w:t>
            </w:r>
          </w:p>
        </w:tc>
        <w:tc>
          <w:tcPr>
            <w:tcW w:w="38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TextBodyIndent"/>
              <w:spacing w:lineRule="auto" w:line="276"/>
              <w:ind w:left="0" w:hanging="0"/>
              <w:jc w:val="both"/>
              <w:rPr/>
            </w:pPr>
            <w:r>
              <w:rPr>
                <w:rFonts w:cs="Arial" w:ascii="Arial" w:hAnsi="Arial"/>
                <w:b/>
                <w:sz w:val="16"/>
                <w:szCs w:val="16"/>
              </w:rPr>
              <w:t>не рекомендувати до затвердження –</w:t>
            </w:r>
          </w:p>
          <w:p>
            <w:pPr>
              <w:pStyle w:val="TextBodyIndent"/>
              <w:spacing w:lineRule="auto" w:line="276" w:before="0" w:after="120"/>
              <w:ind w:left="0" w:hanging="0"/>
              <w:jc w:val="both"/>
              <w:rPr>
                <w:rFonts w:ascii="Arial" w:hAnsi="Arial" w:cs="Arial"/>
                <w:sz w:val="16"/>
                <w:szCs w:val="16"/>
              </w:rPr>
            </w:pPr>
            <w:r>
              <w:rPr>
                <w:rFonts w:eastAsia="Arial" w:cs="Arial" w:ascii="Arial" w:hAnsi="Arial"/>
                <w:b/>
                <w:sz w:val="16"/>
                <w:szCs w:val="16"/>
              </w:rPr>
              <w:t xml:space="preserve"> </w:t>
            </w:r>
            <w:r>
              <w:rPr>
                <w:rFonts w:cs="Arial" w:ascii="Arial" w:hAnsi="Arial"/>
                <w:sz w:val="16"/>
                <w:szCs w:val="16"/>
              </w:rPr>
              <w:t>зміни І типу</w:t>
            </w:r>
          </w:p>
        </w:tc>
      </w:tr>
      <w:tr>
        <w:trPr>
          <w:trHeight w:val="557" w:hRule="atLeast"/>
        </w:trPr>
        <w:tc>
          <w:tcPr>
            <w:tcW w:w="54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numPr>
                <w:ilvl w:val="0"/>
                <w:numId w:val="3"/>
              </w:numPr>
              <w:snapToGrid w:val="false"/>
              <w:rPr>
                <w:rFonts w:ascii="Arial" w:hAnsi="Arial" w:cs="Arial"/>
                <w:b/>
                <w:b/>
                <w:sz w:val="16"/>
                <w:szCs w:val="16"/>
                <w:lang w:eastAsia="en-US"/>
              </w:rPr>
            </w:pPr>
            <w:r>
              <w:rPr>
                <w:rFonts w:cs="Arial" w:ascii="Arial" w:hAnsi="Arial"/>
                <w:b/>
                <w:sz w:val="16"/>
                <w:szCs w:val="16"/>
                <w:lang w:eastAsia="en-US"/>
              </w:rPr>
            </w:r>
          </w:p>
        </w:tc>
        <w:tc>
          <w:tcPr>
            <w:tcW w:w="1459"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both"/>
              <w:rPr>
                <w:rFonts w:ascii="Arial" w:hAnsi="Arial" w:cs="Arial"/>
                <w:b/>
                <w:b/>
                <w:sz w:val="16"/>
                <w:szCs w:val="16"/>
              </w:rPr>
            </w:pPr>
            <w:r>
              <w:rPr>
                <w:rFonts w:cs="Arial" w:ascii="Arial" w:hAnsi="Arial"/>
                <w:b/>
                <w:sz w:val="16"/>
                <w:szCs w:val="16"/>
              </w:rPr>
              <w:t xml:space="preserve">ТОБРИНЕКСТ </w:t>
            </w:r>
          </w:p>
        </w:tc>
        <w:tc>
          <w:tcPr>
            <w:tcW w:w="198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rPr>
                <w:rFonts w:ascii="Arial" w:hAnsi="Arial" w:cs="Arial"/>
                <w:sz w:val="16"/>
                <w:szCs w:val="16"/>
              </w:rPr>
            </w:pPr>
            <w:r>
              <w:rPr>
                <w:rFonts w:cs="Arial" w:ascii="Arial" w:hAnsi="Arial"/>
                <w:sz w:val="16"/>
                <w:szCs w:val="16"/>
              </w:rPr>
              <w:t>мазь очна, 3 мг/г; по 5 г мазі у тубі з алюмінієвої фольги з канюлею та пластмасовою кришечкою, що нагвинчується; по 1 тубі в картонній коробці</w:t>
            </w:r>
          </w:p>
          <w:p>
            <w:pPr>
              <w:pStyle w:val="Normal"/>
              <w:spacing w:lineRule="auto" w:line="276"/>
              <w:rPr>
                <w:rFonts w:ascii="Arial" w:hAnsi="Arial" w:cs="Arial"/>
                <w:sz w:val="16"/>
                <w:szCs w:val="16"/>
              </w:rPr>
            </w:pPr>
            <w:r>
              <w:rPr>
                <w:rFonts w:cs="Arial" w:ascii="Arial" w:hAnsi="Arial"/>
                <w:sz w:val="16"/>
                <w:szCs w:val="16"/>
              </w:rPr>
            </w:r>
          </w:p>
        </w:tc>
        <w:tc>
          <w:tcPr>
            <w:tcW w:w="1447"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center"/>
              <w:rPr>
                <w:rFonts w:ascii="Arial" w:hAnsi="Arial" w:cs="Arial"/>
                <w:sz w:val="16"/>
                <w:szCs w:val="16"/>
              </w:rPr>
            </w:pPr>
            <w:r>
              <w:rPr>
                <w:rFonts w:cs="Arial" w:ascii="Arial" w:hAnsi="Arial"/>
                <w:sz w:val="16"/>
                <w:szCs w:val="16"/>
              </w:rPr>
              <w:t>БІОСАЙНС ГРУП ЛАБОРАТОРІЗ с.р.о.</w:t>
            </w:r>
          </w:p>
          <w:p>
            <w:pPr>
              <w:pStyle w:val="Normal"/>
              <w:spacing w:lineRule="auto" w:line="276"/>
              <w:ind w:left="170" w:hanging="0"/>
              <w:jc w:val="center"/>
              <w:rPr>
                <w:rFonts w:ascii="Arial" w:hAnsi="Arial" w:cs="Arial"/>
                <w:sz w:val="16"/>
                <w:szCs w:val="16"/>
              </w:rPr>
            </w:pPr>
            <w:r>
              <w:rPr>
                <w:rFonts w:cs="Arial" w:ascii="Arial" w:hAnsi="Arial"/>
                <w:sz w:val="16"/>
                <w:szCs w:val="16"/>
              </w:rPr>
            </w:r>
          </w:p>
        </w:tc>
        <w:tc>
          <w:tcPr>
            <w:tcW w:w="1275"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Normal"/>
              <w:spacing w:lineRule="auto" w:line="276"/>
              <w:jc w:val="center"/>
              <w:rPr>
                <w:rFonts w:ascii="Arial" w:hAnsi="Arial" w:cs="Arial"/>
                <w:sz w:val="16"/>
                <w:szCs w:val="16"/>
              </w:rPr>
            </w:pPr>
            <w:r>
              <w:rPr>
                <w:rFonts w:cs="Arial" w:ascii="Arial" w:hAnsi="Arial"/>
                <w:sz w:val="16"/>
                <w:szCs w:val="16"/>
              </w:rPr>
              <w:t>Словацька Республіка</w:t>
            </w:r>
          </w:p>
        </w:tc>
        <w:tc>
          <w:tcPr>
            <w:tcW w:w="1701"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211"/>
              <w:spacing w:lineRule="auto" w:line="276"/>
              <w:ind w:hanging="0"/>
              <w:jc w:val="center"/>
              <w:rPr>
                <w:rFonts w:cs="Arial"/>
                <w:b w:val="false"/>
                <w:b w:val="false"/>
                <w:iCs/>
                <w:sz w:val="16"/>
                <w:szCs w:val="16"/>
              </w:rPr>
            </w:pPr>
            <w:r>
              <w:rPr>
                <w:rFonts w:cs="Arial"/>
                <w:b w:val="false"/>
                <w:sz w:val="16"/>
                <w:szCs w:val="16"/>
              </w:rPr>
              <w:t>БАЛКАНФАРМА-РАЗГРАД АД</w:t>
            </w:r>
          </w:p>
        </w:tc>
        <w:tc>
          <w:tcPr>
            <w:tcW w:w="1276"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TextBodyIndent"/>
              <w:spacing w:lineRule="auto" w:line="276" w:before="0" w:after="120"/>
              <w:rPr>
                <w:rFonts w:ascii="Arial" w:hAnsi="Arial" w:cs="Arial"/>
                <w:sz w:val="16"/>
                <w:szCs w:val="16"/>
              </w:rPr>
            </w:pPr>
            <w:r>
              <w:rPr>
                <w:rFonts w:cs="Arial" w:ascii="Arial" w:hAnsi="Arial"/>
                <w:sz w:val="16"/>
                <w:szCs w:val="16"/>
              </w:rPr>
              <w:t>Болгарія</w:t>
            </w:r>
          </w:p>
        </w:tc>
        <w:tc>
          <w:tcPr>
            <w:tcW w:w="1814" w:type="dxa"/>
            <w:tcBorders>
              <w:top w:val="single" w:sz="4" w:space="0" w:color="000000"/>
              <w:left w:val="single" w:sz="4" w:space="0" w:color="000000"/>
              <w:bottom w:val="single" w:sz="4" w:space="0" w:color="000000"/>
              <w:insideH w:val="single" w:sz="4" w:space="0" w:color="000000"/>
            </w:tcBorders>
            <w:shd w:fill="auto" w:val="clear"/>
            <w:tcMar>
              <w:left w:w="103" w:type="dxa"/>
            </w:tcMar>
          </w:tcPr>
          <w:p>
            <w:pPr>
              <w:pStyle w:val="2211"/>
              <w:spacing w:lineRule="auto" w:line="276"/>
              <w:ind w:hanging="0"/>
              <w:jc w:val="left"/>
              <w:rPr>
                <w:rFonts w:cs="Arial"/>
                <w:b w:val="false"/>
                <w:b w:val="false"/>
                <w:iCs/>
                <w:sz w:val="16"/>
                <w:szCs w:val="16"/>
              </w:rPr>
            </w:pPr>
            <w:r>
              <w:rPr>
                <w:rFonts w:cs="Arial"/>
                <w:b w:val="false"/>
                <w:iCs/>
                <w:sz w:val="16"/>
                <w:szCs w:val="16"/>
              </w:rPr>
              <w:t>засідання НТР № 31 від 06.08.2026</w:t>
            </w:r>
          </w:p>
        </w:tc>
        <w:tc>
          <w:tcPr>
            <w:tcW w:w="3837" w:type="dxa"/>
            <w:tcBorders>
              <w:top w:val="single" w:sz="4" w:space="0" w:color="000000"/>
              <w:left w:val="single" w:sz="4" w:space="0" w:color="000000"/>
              <w:bottom w:val="single" w:sz="4" w:space="0" w:color="000000"/>
              <w:right w:val="single" w:sz="4" w:space="0" w:color="000000"/>
              <w:insideH w:val="single" w:sz="4" w:space="0" w:color="000000"/>
              <w:insideV w:val="single" w:sz="4" w:space="0" w:color="000000"/>
            </w:tcBorders>
            <w:shd w:fill="auto" w:val="clear"/>
            <w:tcMar>
              <w:left w:w="103" w:type="dxa"/>
            </w:tcMar>
          </w:tcPr>
          <w:p>
            <w:pPr>
              <w:pStyle w:val="TextBodyIndent"/>
              <w:spacing w:lineRule="auto" w:line="276"/>
              <w:ind w:left="0" w:hanging="0"/>
              <w:jc w:val="both"/>
              <w:rPr/>
            </w:pPr>
            <w:r>
              <w:rPr>
                <w:rFonts w:cs="Arial" w:ascii="Arial" w:hAnsi="Arial"/>
                <w:b/>
                <w:sz w:val="16"/>
                <w:szCs w:val="16"/>
              </w:rPr>
              <w:t>не рекомендувати до затвердження –</w:t>
            </w:r>
          </w:p>
          <w:p>
            <w:pPr>
              <w:pStyle w:val="TextBodyIndent"/>
              <w:spacing w:lineRule="auto" w:line="276"/>
              <w:ind w:left="0" w:hanging="0"/>
              <w:jc w:val="both"/>
              <w:rPr>
                <w:rFonts w:ascii="Arial" w:hAnsi="Arial" w:cs="Arial"/>
                <w:sz w:val="16"/>
                <w:szCs w:val="16"/>
              </w:rPr>
            </w:pPr>
            <w:r>
              <w:rPr>
                <w:rFonts w:cs="Arial" w:ascii="Arial" w:hAnsi="Arial"/>
                <w:sz w:val="16"/>
                <w:szCs w:val="16"/>
              </w:rPr>
              <w:t xml:space="preserve">зміни І типу </w:t>
            </w:r>
          </w:p>
          <w:p>
            <w:pPr>
              <w:pStyle w:val="TextBodyIndent"/>
              <w:spacing w:lineRule="auto" w:line="276" w:before="0" w:after="120"/>
              <w:ind w:left="0" w:hanging="0"/>
              <w:jc w:val="both"/>
              <w:rPr>
                <w:rFonts w:ascii="Arial" w:hAnsi="Arial" w:cs="Arial"/>
                <w:b/>
                <w:b/>
                <w:sz w:val="16"/>
                <w:szCs w:val="16"/>
              </w:rPr>
            </w:pPr>
            <w:r>
              <w:rPr>
                <w:rFonts w:cs="Arial" w:ascii="Arial" w:hAnsi="Arial"/>
                <w:b/>
                <w:sz w:val="16"/>
                <w:szCs w:val="16"/>
              </w:rPr>
            </w:r>
          </w:p>
        </w:tc>
      </w:tr>
    </w:tbl>
    <w:p>
      <w:pPr>
        <w:pStyle w:val="11"/>
        <w:rPr/>
      </w:pPr>
      <w:r>
        <w:rPr/>
      </w:r>
    </w:p>
    <w:tbl>
      <w:tblPr>
        <w:tblW w:w="14627" w:type="dxa"/>
        <w:jc w:val="left"/>
        <w:tblInd w:w="0" w:type="dxa"/>
        <w:tblBorders/>
        <w:tblCellMar>
          <w:top w:w="0" w:type="dxa"/>
          <w:left w:w="108" w:type="dxa"/>
          <w:bottom w:w="0" w:type="dxa"/>
          <w:right w:w="108" w:type="dxa"/>
        </w:tblCellMar>
      </w:tblPr>
      <w:tblGrid>
        <w:gridCol w:w="7343"/>
        <w:gridCol w:w="7284"/>
      </w:tblGrid>
      <w:tr>
        <w:trPr/>
        <w:tc>
          <w:tcPr>
            <w:tcW w:w="7343" w:type="dxa"/>
            <w:tcBorders/>
            <w:shd w:fill="auto" w:val="clear"/>
          </w:tcPr>
          <w:p>
            <w:pPr>
              <w:pStyle w:val="Normal"/>
              <w:snapToGrid w:val="false"/>
              <w:spacing w:lineRule="auto" w:line="254"/>
              <w:ind w:right="20" w:hanging="0"/>
              <w:rPr>
                <w:rStyle w:val="Cs7864ebcf1"/>
                <w:rFonts w:ascii="Arial" w:hAnsi="Arial" w:cs="Arial"/>
                <w:color w:val="000000"/>
                <w:sz w:val="28"/>
                <w:szCs w:val="28"/>
              </w:rPr>
            </w:pPr>
            <w:r>
              <w:rPr>
                <w:rFonts w:cs="Arial"/>
              </w:rPr>
            </w:r>
          </w:p>
          <w:p>
            <w:pPr>
              <w:pStyle w:val="Normal"/>
              <w:spacing w:lineRule="auto" w:line="254"/>
              <w:ind w:right="20" w:hanging="0"/>
              <w:rPr>
                <w:rStyle w:val="Cs95e872d01"/>
                <w:sz w:val="28"/>
                <w:szCs w:val="28"/>
              </w:rPr>
            </w:pPr>
            <w:r>
              <w:rPr>
                <w:rStyle w:val="Cs7864ebcf1"/>
                <w:rFonts w:eastAsia="Arial" w:cs="Arial" w:ascii="Arial" w:hAnsi="Arial"/>
                <w:color w:val="000000"/>
                <w:sz w:val="28"/>
                <w:szCs w:val="28"/>
              </w:rPr>
              <w:t xml:space="preserve"> </w:t>
            </w:r>
            <w:r>
              <w:rPr>
                <w:rStyle w:val="Cs7864ebcf1"/>
                <w:rFonts w:cs="Arial" w:ascii="Arial" w:hAnsi="Arial"/>
                <w:color w:val="000000"/>
                <w:sz w:val="28"/>
                <w:szCs w:val="28"/>
              </w:rPr>
              <w:t>Начальник</w:t>
            </w:r>
          </w:p>
          <w:p>
            <w:pPr>
              <w:pStyle w:val="Normal"/>
              <w:spacing w:lineRule="auto" w:line="254"/>
              <w:ind w:right="20" w:hanging="0"/>
              <w:rPr>
                <w:rStyle w:val="Cs7864ebcf1"/>
                <w:rFonts w:ascii="Arial" w:hAnsi="Arial" w:cs="Arial"/>
                <w:color w:val="000000"/>
                <w:sz w:val="28"/>
                <w:szCs w:val="28"/>
              </w:rPr>
            </w:pPr>
            <w:r>
              <w:rPr>
                <w:rStyle w:val="Cs7864ebcf1"/>
                <w:rFonts w:eastAsia="Arial" w:cs="Arial" w:ascii="Arial" w:hAnsi="Arial"/>
                <w:color w:val="000000"/>
                <w:sz w:val="28"/>
                <w:szCs w:val="28"/>
              </w:rPr>
              <w:t xml:space="preserve"> </w:t>
            </w:r>
            <w:r>
              <w:rPr>
                <w:rStyle w:val="Cs7864ebcf1"/>
                <w:rFonts w:cs="Arial" w:ascii="Arial" w:hAnsi="Arial"/>
                <w:color w:val="000000"/>
                <w:sz w:val="28"/>
                <w:szCs w:val="28"/>
              </w:rPr>
              <w:t xml:space="preserve">Фармацевтичного управління </w:t>
            </w:r>
            <w:r>
              <w:rPr>
                <w:rStyle w:val="Cs188c92b51"/>
                <w:color w:val="000000"/>
                <w:sz w:val="28"/>
                <w:szCs w:val="28"/>
              </w:rPr>
              <w:t>                                 </w:t>
            </w:r>
          </w:p>
        </w:tc>
        <w:tc>
          <w:tcPr>
            <w:tcW w:w="7284" w:type="dxa"/>
            <w:tcBorders/>
            <w:shd w:fill="auto" w:val="clear"/>
          </w:tcPr>
          <w:p>
            <w:pPr>
              <w:pStyle w:val="Cs95e872d0"/>
              <w:snapToGrid w:val="false"/>
              <w:spacing w:lineRule="auto" w:line="254"/>
              <w:rPr>
                <w:rStyle w:val="Cs7864ebcf1"/>
                <w:rFonts w:ascii="Arial" w:hAnsi="Arial" w:cs="Arial"/>
                <w:color w:val="000000"/>
                <w:sz w:val="28"/>
                <w:szCs w:val="28"/>
                <w:lang w:val="uk-UA"/>
              </w:rPr>
            </w:pPr>
            <w:r>
              <w:rPr/>
            </w:r>
          </w:p>
          <w:p>
            <w:pPr>
              <w:pStyle w:val="Cs95e872d0"/>
              <w:spacing w:lineRule="auto" w:line="254"/>
              <w:rPr>
                <w:rStyle w:val="Cs7864ebcf1"/>
                <w:rFonts w:ascii="Arial" w:hAnsi="Arial" w:cs="Arial"/>
                <w:color w:val="000000"/>
                <w:sz w:val="28"/>
                <w:szCs w:val="28"/>
                <w:lang w:val="uk-UA"/>
              </w:rPr>
            </w:pPr>
            <w:r>
              <w:rPr/>
            </w:r>
          </w:p>
          <w:p>
            <w:pPr>
              <w:pStyle w:val="Cs95e872d0"/>
              <w:spacing w:lineRule="auto" w:line="254"/>
              <w:rPr>
                <w:rStyle w:val="Cs7864ebcf1"/>
                <w:rFonts w:ascii="Arial" w:hAnsi="Arial" w:cs="Arial"/>
                <w:color w:val="000000"/>
                <w:sz w:val="28"/>
                <w:szCs w:val="28"/>
                <w:lang w:val="uk-UA"/>
              </w:rPr>
            </w:pPr>
            <w:r>
              <w:rPr/>
            </w:r>
          </w:p>
          <w:p>
            <w:pPr>
              <w:pStyle w:val="Cs95e872d0"/>
              <w:spacing w:lineRule="auto" w:line="254"/>
              <w:jc w:val="center"/>
              <w:rPr/>
            </w:pPr>
            <w:r>
              <w:rPr>
                <w:rStyle w:val="Cs7864ebcf1"/>
                <w:rFonts w:eastAsia="Arial" w:cs="Arial" w:ascii="Arial" w:hAnsi="Arial"/>
                <w:color w:val="000000"/>
                <w:sz w:val="28"/>
                <w:szCs w:val="28"/>
                <w:lang w:val="uk-UA"/>
              </w:rPr>
              <w:t xml:space="preserve">                                             </w:t>
            </w:r>
            <w:r>
              <w:rPr>
                <w:rStyle w:val="Cs7864ebcf1"/>
                <w:rFonts w:cs="Arial" w:ascii="Arial" w:hAnsi="Arial"/>
                <w:color w:val="000000"/>
                <w:sz w:val="28"/>
                <w:szCs w:val="28"/>
                <w:lang w:val="uk-UA"/>
              </w:rPr>
              <w:t xml:space="preserve">Олександр ГРІЦЕНКО  </w:t>
            </w:r>
          </w:p>
        </w:tc>
      </w:tr>
    </w:tbl>
    <w:p>
      <w:pPr>
        <w:pStyle w:val="11"/>
        <w:rPr>
          <w:rStyle w:val="Cs7864ebcf1"/>
          <w:rFonts w:ascii="Arial" w:hAnsi="Arial" w:cs="Arial"/>
          <w:color w:val="000000"/>
          <w:sz w:val="28"/>
          <w:szCs w:val="28"/>
          <w:lang w:val="uk-UA"/>
        </w:rPr>
      </w:pPr>
      <w:r>
        <w:rPr/>
      </w:r>
    </w:p>
    <w:p>
      <w:pPr>
        <w:pStyle w:val="Normal"/>
        <w:ind w:right="20" w:hanging="0"/>
        <w:rPr>
          <w:rStyle w:val="Cs7864ebcf1"/>
          <w:rFonts w:ascii="Arial" w:hAnsi="Arial" w:cs="Arial"/>
          <w:color w:val="000000"/>
          <w:sz w:val="16"/>
          <w:szCs w:val="16"/>
        </w:rPr>
      </w:pPr>
      <w:r>
        <w:rPr/>
      </w:r>
    </w:p>
    <w:sectPr>
      <w:headerReference w:type="default" r:id="rId7"/>
      <w:type w:val="nextPage"/>
      <w:pgSz w:orient="landscape" w:w="16838" w:h="11906"/>
      <w:pgMar w:left="1077" w:right="1134" w:header="709" w:top="907" w:footer="0" w:bottom="90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Light">
    <w:charset w:val="cc"/>
    <w:family w:val="swiss"/>
    <w:pitch w:val="variable"/>
  </w:font>
  <w:font w:name="Cambria">
    <w:charset w:val="cc"/>
    <w:family w:val="roman"/>
    <w:pitch w:val="variable"/>
  </w:font>
  <w:font w:name="Tahoma">
    <w:charset w:val="cc"/>
    <w:family w:val="swiss"/>
    <w:pitch w:val="variable"/>
  </w:font>
  <w:font w:name="Segoe UI">
    <w:charset w:val="cc"/>
    <w:family w:val="swiss"/>
    <w:pitch w:val="variable"/>
  </w:font>
  <w:font w:name="Microsoft YaHei">
    <w:charset w:val="86"/>
    <w:family w:val="swiss"/>
    <w:pitch w:val="variable"/>
  </w:font>
  <w:font w:name="Calibri">
    <w:charset w:val="cc"/>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fldChar w:fldCharType="begin"/>
    </w:r>
    <w:r>
      <w:instrText> PAGE </w:instrText>
    </w:r>
    <w:r>
      <w:fldChar w:fldCharType="separate"/>
    </w:r>
    <w:r>
      <w:t>8</w:t>
    </w:r>
    <w:r>
      <w:fldChar w:fldCharType="end"/>
    </w:r>
  </w:p>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jc w:val="center"/>
      <w:rPr/>
    </w:pPr>
    <w:r>
      <w:rPr/>
      <w:fldChar w:fldCharType="begin"/>
    </w:r>
    <w:r>
      <w:instrText> PAGE </w:instrText>
    </w:r>
    <w:r>
      <w:fldChar w:fldCharType="separate"/>
    </w:r>
    <w:r>
      <w:t>83</w:t>
    </w:r>
    <w:r>
      <w:fldChar w:fldCharType="end"/>
    </w:r>
  </w:p>
  <w:p>
    <w:pPr>
      <w:pStyle w:val="Head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Heading1"/>
      <w:numFmt w:val="none"/>
      <w:suff w:val="nothing"/>
      <w:lvlText w:val=""/>
      <w:lvlJc w:val="left"/>
      <w:pPr>
        <w:ind w:left="0" w:hanging="0"/>
      </w:pPr>
    </w:lvl>
    <w:lvl w:ilvl="1">
      <w:start w:val="1"/>
      <w:pStyle w:val="Heading2"/>
      <w:numFmt w:val="none"/>
      <w:suff w:val="nothing"/>
      <w:lvlText w:val=""/>
      <w:lvlJc w:val="left"/>
      <w:pPr>
        <w:ind w:left="0" w:hanging="0"/>
      </w:pPr>
    </w:lvl>
    <w:lvl w:ilvl="2">
      <w:start w:val="1"/>
      <w:pStyle w:val="Heading3"/>
      <w:numFmt w:val="none"/>
      <w:suff w:val="nothing"/>
      <w:lvlText w:val=""/>
      <w:lvlJc w:val="left"/>
      <w:pPr>
        <w:ind w:left="0" w:hanging="0"/>
      </w:pPr>
    </w:lvl>
    <w:lvl w:ilvl="3">
      <w:start w:val="1"/>
      <w:pStyle w:val="Heading4"/>
      <w:numFmt w:val="none"/>
      <w:suff w:val="nothing"/>
      <w:lvlText w:val=""/>
      <w:lvlJc w:val="left"/>
      <w:pPr>
        <w:ind w:left="0" w:hanging="0"/>
      </w:pPr>
    </w:lvl>
    <w:lvl w:ilvl="4">
      <w:start w:val="1"/>
      <w:numFmt w:val="none"/>
      <w:suff w:val="nothing"/>
      <w:lvlText w:val=""/>
      <w:lvlJc w:val="left"/>
      <w:pPr>
        <w:ind w:left="0" w:hanging="0"/>
      </w:pPr>
    </w:lvl>
    <w:lvl w:ilvl="5">
      <w:start w:val="1"/>
      <w:pStyle w:val="Heading6"/>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abstractNum w:abstractNumId="2">
    <w:lvl w:ilvl="0">
      <w:start w:val="1"/>
      <w:numFmt w:val="decimal"/>
      <w:lvlText w:val="%1."/>
      <w:lvlJc w:val="right"/>
      <w:pPr>
        <w:ind w:left="720" w:hanging="360"/>
      </w:pPr>
      <w:rPr/>
    </w:lvl>
  </w:abstractNum>
  <w:abstractNum w:abstractNumId="3">
    <w:lvl w:ilvl="0">
      <w:start w:val="1"/>
      <w:numFmt w:val="decimal"/>
      <w:lvlText w:val="%1."/>
      <w:lvlJc w:val="left"/>
      <w:pPr>
        <w:tabs>
          <w:tab w:val="num" w:pos="360"/>
        </w:tabs>
        <w:ind w:left="360" w:hanging="360"/>
      </w:pPr>
      <w:rPr/>
    </w:lvl>
  </w:abstractNum>
  <w:abstractNum w:abstractNumId="4">
    <w:lvl w:ilvl="0">
      <w:start w:val="1"/>
      <w:numFmt w:val="decimal"/>
      <w:lvlText w:val="%1."/>
      <w:lvlJc w:val="right"/>
      <w:pPr>
        <w:ind w:left="720" w:hanging="360"/>
      </w:pPr>
      <w:rPr/>
    </w:lvl>
  </w:abstractNum>
  <w:abstractNum w:abstractNumId="5">
    <w:lvl w:ilvl="0">
      <w:start w:val="1"/>
      <w:numFmt w:val="decimal"/>
      <w:lvlText w:val="%1."/>
      <w:lvlJc w:val="right"/>
      <w:pPr>
        <w:ind w:left="720" w:hanging="360"/>
      </w:pPr>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8"/>
  <w:defaultTabStop w:val="708"/>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DejaVu Sans" w:cs="DejaVu Sans"/>
        <w:szCs w:val="24"/>
        <w:lang w:val="ru-RU" w:eastAsia="zh-CN" w:bidi="hi-IN"/>
      </w:rPr>
    </w:rPrDefault>
    <w:pPrDefault>
      <w:pPr/>
    </w:pPrDefault>
  </w:docDefaults>
  <w:style w:type="paragraph" w:styleId="Normal">
    <w:name w:val="Normal"/>
    <w:qFormat/>
    <w:pPr>
      <w:widowControl/>
      <w:bidi w:val="0"/>
    </w:pPr>
    <w:rPr>
      <w:rFonts w:ascii="Times New Roman" w:hAnsi="Times New Roman" w:eastAsia="Times New Roman" w:cs="Times New Roman"/>
      <w:color w:val="auto"/>
      <w:sz w:val="24"/>
      <w:szCs w:val="24"/>
      <w:lang w:val="uk-UA" w:bidi="ar-SA" w:eastAsia="zh-CN"/>
    </w:rPr>
  </w:style>
  <w:style w:type="paragraph" w:styleId="Heading1">
    <w:name w:val="Heading 1"/>
    <w:basedOn w:val="Normal"/>
    <w:next w:val="Normal"/>
    <w:qFormat/>
    <w:pPr>
      <w:keepNext w:val="true"/>
      <w:numPr>
        <w:ilvl w:val="0"/>
        <w:numId w:val="1"/>
      </w:numPr>
      <w:spacing w:before="240" w:after="60"/>
      <w:outlineLvl w:val="0"/>
    </w:pPr>
    <w:rPr>
      <w:rFonts w:ascii="Calibri Light" w:hAnsi="Calibri Light" w:cs="Calibri Light"/>
      <w:b/>
      <w:bCs/>
      <w:sz w:val="32"/>
      <w:szCs w:val="32"/>
    </w:rPr>
  </w:style>
  <w:style w:type="paragraph" w:styleId="Heading2">
    <w:name w:val="Heading 2"/>
    <w:basedOn w:val="Normal"/>
    <w:next w:val="11"/>
    <w:qFormat/>
    <w:pPr>
      <w:keepNext w:val="true"/>
      <w:numPr>
        <w:ilvl w:val="1"/>
        <w:numId w:val="1"/>
      </w:numPr>
      <w:outlineLvl w:val="1"/>
    </w:pPr>
    <w:rPr>
      <w:rFonts w:ascii="Arial" w:hAnsi="Arial" w:cs="Arial"/>
      <w:b/>
      <w:caps/>
      <w:sz w:val="16"/>
      <w:szCs w:val="20"/>
    </w:rPr>
  </w:style>
  <w:style w:type="paragraph" w:styleId="Heading3">
    <w:name w:val="Heading 3"/>
    <w:basedOn w:val="Normal"/>
    <w:next w:val="TextBody"/>
    <w:qFormat/>
    <w:pPr>
      <w:keepNext w:val="true"/>
      <w:numPr>
        <w:ilvl w:val="2"/>
        <w:numId w:val="1"/>
      </w:numPr>
      <w:outlineLvl w:val="2"/>
    </w:pPr>
    <w:rPr>
      <w:rFonts w:ascii="Arial" w:hAnsi="Arial" w:eastAsia="Calibri" w:cs="Arial"/>
      <w:b/>
      <w:bCs/>
      <w:lang w:val="en-US"/>
    </w:rPr>
  </w:style>
  <w:style w:type="paragraph" w:styleId="Heading4">
    <w:name w:val="Heading 4"/>
    <w:basedOn w:val="Normal"/>
    <w:next w:val="11"/>
    <w:qFormat/>
    <w:pPr>
      <w:keepNext w:val="true"/>
      <w:numPr>
        <w:ilvl w:val="3"/>
        <w:numId w:val="1"/>
      </w:numPr>
      <w:jc w:val="center"/>
      <w:outlineLvl w:val="3"/>
    </w:pPr>
    <w:rPr>
      <w:rFonts w:ascii="Arial" w:hAnsi="Arial" w:cs="Arial"/>
      <w:b/>
      <w:sz w:val="20"/>
      <w:szCs w:val="20"/>
    </w:rPr>
  </w:style>
  <w:style w:type="paragraph" w:styleId="Heading6">
    <w:name w:val="Heading 6"/>
    <w:basedOn w:val="Normal"/>
    <w:next w:val="TextBody"/>
    <w:qFormat/>
    <w:pPr>
      <w:numPr>
        <w:ilvl w:val="5"/>
        <w:numId w:val="1"/>
      </w:numPr>
      <w:spacing w:before="240" w:after="60"/>
      <w:outlineLvl w:val="5"/>
    </w:pPr>
    <w:rPr>
      <w:rFonts w:eastAsia="Calibri"/>
      <w:b/>
      <w:bCs/>
      <w:sz w:val="22"/>
      <w:szCs w:val="22"/>
      <w:lang w:val="en-US"/>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WW8Num2z0">
    <w:name w:val="WW8Num2z0"/>
    <w:qFormat/>
    <w:rPr/>
  </w:style>
  <w:style w:type="character" w:styleId="WW8Num2z1">
    <w:name w:val="WW8Num2z1"/>
    <w:qFormat/>
    <w:rPr/>
  </w:style>
  <w:style w:type="character" w:styleId="WW8Num2z2">
    <w:name w:val="WW8Num2z2"/>
    <w:qFormat/>
    <w:rPr/>
  </w:style>
  <w:style w:type="character" w:styleId="WW8Num2z3">
    <w:name w:val="WW8Num2z3"/>
    <w:qFormat/>
    <w:rPr/>
  </w:style>
  <w:style w:type="character" w:styleId="WW8Num2z4">
    <w:name w:val="WW8Num2z4"/>
    <w:qFormat/>
    <w:rPr/>
  </w:style>
  <w:style w:type="character" w:styleId="WW8Num2z5">
    <w:name w:val="WW8Num2z5"/>
    <w:qFormat/>
    <w:rPr/>
  </w:style>
  <w:style w:type="character" w:styleId="WW8Num2z6">
    <w:name w:val="WW8Num2z6"/>
    <w:qFormat/>
    <w:rPr/>
  </w:style>
  <w:style w:type="character" w:styleId="WW8Num2z7">
    <w:name w:val="WW8Num2z7"/>
    <w:qFormat/>
    <w:rPr/>
  </w:style>
  <w:style w:type="character" w:styleId="WW8Num2z8">
    <w:name w:val="WW8Num2z8"/>
    <w:qFormat/>
    <w:rPr/>
  </w:style>
  <w:style w:type="character" w:styleId="WW8Num3z0">
    <w:name w:val="WW8Num3z0"/>
    <w:qFormat/>
    <w:rPr/>
  </w:style>
  <w:style w:type="character" w:styleId="WW8Num3z1">
    <w:name w:val="WW8Num3z1"/>
    <w:qFormat/>
    <w:rPr/>
  </w:style>
  <w:style w:type="character" w:styleId="WW8Num3z2">
    <w:name w:val="WW8Num3z2"/>
    <w:qFormat/>
    <w:rPr/>
  </w:style>
  <w:style w:type="character" w:styleId="WW8Num3z3">
    <w:name w:val="WW8Num3z3"/>
    <w:qFormat/>
    <w:rPr/>
  </w:style>
  <w:style w:type="character" w:styleId="WW8Num3z4">
    <w:name w:val="WW8Num3z4"/>
    <w:qFormat/>
    <w:rPr/>
  </w:style>
  <w:style w:type="character" w:styleId="WW8Num3z5">
    <w:name w:val="WW8Num3z5"/>
    <w:qFormat/>
    <w:rPr/>
  </w:style>
  <w:style w:type="character" w:styleId="WW8Num3z6">
    <w:name w:val="WW8Num3z6"/>
    <w:qFormat/>
    <w:rPr/>
  </w:style>
  <w:style w:type="character" w:styleId="WW8Num3z7">
    <w:name w:val="WW8Num3z7"/>
    <w:qFormat/>
    <w:rPr/>
  </w:style>
  <w:style w:type="character" w:styleId="WW8Num3z8">
    <w:name w:val="WW8Num3z8"/>
    <w:qFormat/>
    <w:rPr/>
  </w:style>
  <w:style w:type="character" w:styleId="WW8Num4z0">
    <w:name w:val="WW8Num4z0"/>
    <w:qFormat/>
    <w:rPr/>
  </w:style>
  <w:style w:type="character" w:styleId="WW8Num4z1">
    <w:name w:val="WW8Num4z1"/>
    <w:qFormat/>
    <w:rPr/>
  </w:style>
  <w:style w:type="character" w:styleId="WW8Num4z2">
    <w:name w:val="WW8Num4z2"/>
    <w:qFormat/>
    <w:rPr/>
  </w:style>
  <w:style w:type="character" w:styleId="WW8Num4z3">
    <w:name w:val="WW8Num4z3"/>
    <w:qFormat/>
    <w:rPr/>
  </w:style>
  <w:style w:type="character" w:styleId="WW8Num4z4">
    <w:name w:val="WW8Num4z4"/>
    <w:qFormat/>
    <w:rPr/>
  </w:style>
  <w:style w:type="character" w:styleId="WW8Num4z5">
    <w:name w:val="WW8Num4z5"/>
    <w:qFormat/>
    <w:rPr/>
  </w:style>
  <w:style w:type="character" w:styleId="WW8Num4z6">
    <w:name w:val="WW8Num4z6"/>
    <w:qFormat/>
    <w:rPr/>
  </w:style>
  <w:style w:type="character" w:styleId="WW8Num4z7">
    <w:name w:val="WW8Num4z7"/>
    <w:qFormat/>
    <w:rPr/>
  </w:style>
  <w:style w:type="character" w:styleId="WW8Num4z8">
    <w:name w:val="WW8Num4z8"/>
    <w:qFormat/>
    <w:rPr/>
  </w:style>
  <w:style w:type="character" w:styleId="WW8Num5z0">
    <w:name w:val="WW8Num5z0"/>
    <w:qFormat/>
    <w:rPr/>
  </w:style>
  <w:style w:type="character" w:styleId="WW8Num5z1">
    <w:name w:val="WW8Num5z1"/>
    <w:qFormat/>
    <w:rPr/>
  </w:style>
  <w:style w:type="character" w:styleId="WW8Num5z2">
    <w:name w:val="WW8Num5z2"/>
    <w:qFormat/>
    <w:rPr/>
  </w:style>
  <w:style w:type="character" w:styleId="WW8Num5z3">
    <w:name w:val="WW8Num5z3"/>
    <w:qFormat/>
    <w:rPr/>
  </w:style>
  <w:style w:type="character" w:styleId="WW8Num5z4">
    <w:name w:val="WW8Num5z4"/>
    <w:qFormat/>
    <w:rPr/>
  </w:style>
  <w:style w:type="character" w:styleId="WW8Num5z5">
    <w:name w:val="WW8Num5z5"/>
    <w:qFormat/>
    <w:rPr/>
  </w:style>
  <w:style w:type="character" w:styleId="WW8Num5z6">
    <w:name w:val="WW8Num5z6"/>
    <w:qFormat/>
    <w:rPr/>
  </w:style>
  <w:style w:type="character" w:styleId="WW8Num5z7">
    <w:name w:val="WW8Num5z7"/>
    <w:qFormat/>
    <w:rPr/>
  </w:style>
  <w:style w:type="character" w:styleId="WW8Num5z8">
    <w:name w:val="WW8Num5z8"/>
    <w:qFormat/>
    <w:rPr/>
  </w:style>
  <w:style w:type="character" w:styleId="WW8Num6z0">
    <w:name w:val="WW8Num6z0"/>
    <w:qFormat/>
    <w:rPr/>
  </w:style>
  <w:style w:type="character" w:styleId="WW8Num6z1">
    <w:name w:val="WW8Num6z1"/>
    <w:qFormat/>
    <w:rPr/>
  </w:style>
  <w:style w:type="character" w:styleId="WW8Num6z2">
    <w:name w:val="WW8Num6z2"/>
    <w:qFormat/>
    <w:rPr/>
  </w:style>
  <w:style w:type="character" w:styleId="WW8Num6z3">
    <w:name w:val="WW8Num6z3"/>
    <w:qFormat/>
    <w:rPr/>
  </w:style>
  <w:style w:type="character" w:styleId="WW8Num6z4">
    <w:name w:val="WW8Num6z4"/>
    <w:qFormat/>
    <w:rPr/>
  </w:style>
  <w:style w:type="character" w:styleId="WW8Num6z5">
    <w:name w:val="WW8Num6z5"/>
    <w:qFormat/>
    <w:rPr/>
  </w:style>
  <w:style w:type="character" w:styleId="WW8Num6z6">
    <w:name w:val="WW8Num6z6"/>
    <w:qFormat/>
    <w:rPr/>
  </w:style>
  <w:style w:type="character" w:styleId="WW8Num6z7">
    <w:name w:val="WW8Num6z7"/>
    <w:qFormat/>
    <w:rPr/>
  </w:style>
  <w:style w:type="character" w:styleId="WW8Num6z8">
    <w:name w:val="WW8Num6z8"/>
    <w:qFormat/>
    <w:rPr/>
  </w:style>
  <w:style w:type="character" w:styleId="WW8Num7z0">
    <w:name w:val="WW8Num7z0"/>
    <w:qFormat/>
    <w:rPr/>
  </w:style>
  <w:style w:type="character" w:styleId="WW8Num7z1">
    <w:name w:val="WW8Num7z1"/>
    <w:qFormat/>
    <w:rPr/>
  </w:style>
  <w:style w:type="character" w:styleId="WW8Num7z2">
    <w:name w:val="WW8Num7z2"/>
    <w:qFormat/>
    <w:rPr/>
  </w:style>
  <w:style w:type="character" w:styleId="WW8Num7z3">
    <w:name w:val="WW8Num7z3"/>
    <w:qFormat/>
    <w:rPr/>
  </w:style>
  <w:style w:type="character" w:styleId="WW8Num7z4">
    <w:name w:val="WW8Num7z4"/>
    <w:qFormat/>
    <w:rPr/>
  </w:style>
  <w:style w:type="character" w:styleId="WW8Num7z5">
    <w:name w:val="WW8Num7z5"/>
    <w:qFormat/>
    <w:rPr/>
  </w:style>
  <w:style w:type="character" w:styleId="WW8Num7z6">
    <w:name w:val="WW8Num7z6"/>
    <w:qFormat/>
    <w:rPr/>
  </w:style>
  <w:style w:type="character" w:styleId="WW8Num7z7">
    <w:name w:val="WW8Num7z7"/>
    <w:qFormat/>
    <w:rPr/>
  </w:style>
  <w:style w:type="character" w:styleId="WW8Num7z8">
    <w:name w:val="WW8Num7z8"/>
    <w:qFormat/>
    <w:rPr/>
  </w:style>
  <w:style w:type="character" w:styleId="WW8Num8z0">
    <w:name w:val="WW8Num8z0"/>
    <w:qFormat/>
    <w:rPr/>
  </w:style>
  <w:style w:type="character" w:styleId="WW8Num8z1">
    <w:name w:val="WW8Num8z1"/>
    <w:qFormat/>
    <w:rPr/>
  </w:style>
  <w:style w:type="character" w:styleId="WW8Num8z2">
    <w:name w:val="WW8Num8z2"/>
    <w:qFormat/>
    <w:rPr/>
  </w:style>
  <w:style w:type="character" w:styleId="WW8Num8z3">
    <w:name w:val="WW8Num8z3"/>
    <w:qFormat/>
    <w:rPr/>
  </w:style>
  <w:style w:type="character" w:styleId="WW8Num8z4">
    <w:name w:val="WW8Num8z4"/>
    <w:qFormat/>
    <w:rPr/>
  </w:style>
  <w:style w:type="character" w:styleId="WW8Num8z5">
    <w:name w:val="WW8Num8z5"/>
    <w:qFormat/>
    <w:rPr/>
  </w:style>
  <w:style w:type="character" w:styleId="WW8Num8z6">
    <w:name w:val="WW8Num8z6"/>
    <w:qFormat/>
    <w:rPr/>
  </w:style>
  <w:style w:type="character" w:styleId="WW8Num8z7">
    <w:name w:val="WW8Num8z7"/>
    <w:qFormat/>
    <w:rPr/>
  </w:style>
  <w:style w:type="character" w:styleId="WW8Num8z8">
    <w:name w:val="WW8Num8z8"/>
    <w:qFormat/>
    <w:rPr/>
  </w:style>
  <w:style w:type="character" w:styleId="WW8Num9z0">
    <w:name w:val="WW8Num9z0"/>
    <w:qFormat/>
    <w:rPr/>
  </w:style>
  <w:style w:type="character" w:styleId="WW8Num9z1">
    <w:name w:val="WW8Num9z1"/>
    <w:qFormat/>
    <w:rPr/>
  </w:style>
  <w:style w:type="character" w:styleId="WW8Num9z2">
    <w:name w:val="WW8Num9z2"/>
    <w:qFormat/>
    <w:rPr/>
  </w:style>
  <w:style w:type="character" w:styleId="WW8Num9z3">
    <w:name w:val="WW8Num9z3"/>
    <w:qFormat/>
    <w:rPr/>
  </w:style>
  <w:style w:type="character" w:styleId="WW8Num9z4">
    <w:name w:val="WW8Num9z4"/>
    <w:qFormat/>
    <w:rPr/>
  </w:style>
  <w:style w:type="character" w:styleId="WW8Num9z5">
    <w:name w:val="WW8Num9z5"/>
    <w:qFormat/>
    <w:rPr/>
  </w:style>
  <w:style w:type="character" w:styleId="WW8Num9z6">
    <w:name w:val="WW8Num9z6"/>
    <w:qFormat/>
    <w:rPr/>
  </w:style>
  <w:style w:type="character" w:styleId="WW8Num9z7">
    <w:name w:val="WW8Num9z7"/>
    <w:qFormat/>
    <w:rPr/>
  </w:style>
  <w:style w:type="character" w:styleId="WW8Num9z8">
    <w:name w:val="WW8Num9z8"/>
    <w:qFormat/>
    <w:rPr/>
  </w:style>
  <w:style w:type="character" w:styleId="WW8Num10z0">
    <w:name w:val="WW8Num10z0"/>
    <w:qFormat/>
    <w:rPr/>
  </w:style>
  <w:style w:type="character" w:styleId="WW8Num10z1">
    <w:name w:val="WW8Num10z1"/>
    <w:qFormat/>
    <w:rPr/>
  </w:style>
  <w:style w:type="character" w:styleId="WW8Num10z2">
    <w:name w:val="WW8Num10z2"/>
    <w:qFormat/>
    <w:rPr/>
  </w:style>
  <w:style w:type="character" w:styleId="WW8Num10z3">
    <w:name w:val="WW8Num10z3"/>
    <w:qFormat/>
    <w:rPr/>
  </w:style>
  <w:style w:type="character" w:styleId="WW8Num10z4">
    <w:name w:val="WW8Num10z4"/>
    <w:qFormat/>
    <w:rPr/>
  </w:style>
  <w:style w:type="character" w:styleId="WW8Num10z5">
    <w:name w:val="WW8Num10z5"/>
    <w:qFormat/>
    <w:rPr/>
  </w:style>
  <w:style w:type="character" w:styleId="WW8Num10z6">
    <w:name w:val="WW8Num10z6"/>
    <w:qFormat/>
    <w:rPr/>
  </w:style>
  <w:style w:type="character" w:styleId="WW8Num10z7">
    <w:name w:val="WW8Num10z7"/>
    <w:qFormat/>
    <w:rPr/>
  </w:style>
  <w:style w:type="character" w:styleId="WW8Num10z8">
    <w:name w:val="WW8Num10z8"/>
    <w:qFormat/>
    <w:rPr/>
  </w:style>
  <w:style w:type="character" w:styleId="WW8Num11z0">
    <w:name w:val="WW8Num11z0"/>
    <w:qFormat/>
    <w:rPr/>
  </w:style>
  <w:style w:type="character" w:styleId="WW8Num11z1">
    <w:name w:val="WW8Num11z1"/>
    <w:qFormat/>
    <w:rPr/>
  </w:style>
  <w:style w:type="character" w:styleId="WW8Num11z2">
    <w:name w:val="WW8Num11z2"/>
    <w:qFormat/>
    <w:rPr/>
  </w:style>
  <w:style w:type="character" w:styleId="WW8Num11z3">
    <w:name w:val="WW8Num11z3"/>
    <w:qFormat/>
    <w:rPr/>
  </w:style>
  <w:style w:type="character" w:styleId="WW8Num11z4">
    <w:name w:val="WW8Num11z4"/>
    <w:qFormat/>
    <w:rPr/>
  </w:style>
  <w:style w:type="character" w:styleId="WW8Num11z5">
    <w:name w:val="WW8Num11z5"/>
    <w:qFormat/>
    <w:rPr/>
  </w:style>
  <w:style w:type="character" w:styleId="WW8Num11z6">
    <w:name w:val="WW8Num11z6"/>
    <w:qFormat/>
    <w:rPr/>
  </w:style>
  <w:style w:type="character" w:styleId="WW8Num11z7">
    <w:name w:val="WW8Num11z7"/>
    <w:qFormat/>
    <w:rPr/>
  </w:style>
  <w:style w:type="character" w:styleId="WW8Num11z8">
    <w:name w:val="WW8Num11z8"/>
    <w:qFormat/>
    <w:rPr/>
  </w:style>
  <w:style w:type="character" w:styleId="WW8Num12z0">
    <w:name w:val="WW8Num12z0"/>
    <w:qFormat/>
    <w:rPr/>
  </w:style>
  <w:style w:type="character" w:styleId="WW8Num12z1">
    <w:name w:val="WW8Num12z1"/>
    <w:qFormat/>
    <w:rPr/>
  </w:style>
  <w:style w:type="character" w:styleId="WW8Num12z2">
    <w:name w:val="WW8Num12z2"/>
    <w:qFormat/>
    <w:rPr/>
  </w:style>
  <w:style w:type="character" w:styleId="WW8Num12z3">
    <w:name w:val="WW8Num12z3"/>
    <w:qFormat/>
    <w:rPr/>
  </w:style>
  <w:style w:type="character" w:styleId="WW8Num12z4">
    <w:name w:val="WW8Num12z4"/>
    <w:qFormat/>
    <w:rPr/>
  </w:style>
  <w:style w:type="character" w:styleId="WW8Num12z5">
    <w:name w:val="WW8Num12z5"/>
    <w:qFormat/>
    <w:rPr/>
  </w:style>
  <w:style w:type="character" w:styleId="WW8Num12z6">
    <w:name w:val="WW8Num12z6"/>
    <w:qFormat/>
    <w:rPr/>
  </w:style>
  <w:style w:type="character" w:styleId="WW8Num12z7">
    <w:name w:val="WW8Num12z7"/>
    <w:qFormat/>
    <w:rPr/>
  </w:style>
  <w:style w:type="character" w:styleId="WW8Num12z8">
    <w:name w:val="WW8Num12z8"/>
    <w:qFormat/>
    <w:rPr/>
  </w:style>
  <w:style w:type="character" w:styleId="WW8Num13z0">
    <w:name w:val="WW8Num13z0"/>
    <w:qFormat/>
    <w:rPr/>
  </w:style>
  <w:style w:type="character" w:styleId="WW8Num13z1">
    <w:name w:val="WW8Num13z1"/>
    <w:qFormat/>
    <w:rPr/>
  </w:style>
  <w:style w:type="character" w:styleId="WW8Num13z2">
    <w:name w:val="WW8Num13z2"/>
    <w:qFormat/>
    <w:rPr/>
  </w:style>
  <w:style w:type="character" w:styleId="WW8Num13z3">
    <w:name w:val="WW8Num13z3"/>
    <w:qFormat/>
    <w:rPr/>
  </w:style>
  <w:style w:type="character" w:styleId="WW8Num13z4">
    <w:name w:val="WW8Num13z4"/>
    <w:qFormat/>
    <w:rPr/>
  </w:style>
  <w:style w:type="character" w:styleId="WW8Num13z5">
    <w:name w:val="WW8Num13z5"/>
    <w:qFormat/>
    <w:rPr/>
  </w:style>
  <w:style w:type="character" w:styleId="WW8Num13z6">
    <w:name w:val="WW8Num13z6"/>
    <w:qFormat/>
    <w:rPr/>
  </w:style>
  <w:style w:type="character" w:styleId="WW8Num13z7">
    <w:name w:val="WW8Num13z7"/>
    <w:qFormat/>
    <w:rPr/>
  </w:style>
  <w:style w:type="character" w:styleId="WW8Num13z8">
    <w:name w:val="WW8Num13z8"/>
    <w:qFormat/>
    <w:rPr/>
  </w:style>
  <w:style w:type="character" w:styleId="WW8Num14z0">
    <w:name w:val="WW8Num14z0"/>
    <w:qFormat/>
    <w:rPr/>
  </w:style>
  <w:style w:type="character" w:styleId="WW8Num14z1">
    <w:name w:val="WW8Num14z1"/>
    <w:qFormat/>
    <w:rPr/>
  </w:style>
  <w:style w:type="character" w:styleId="WW8Num14z2">
    <w:name w:val="WW8Num14z2"/>
    <w:qFormat/>
    <w:rPr/>
  </w:style>
  <w:style w:type="character" w:styleId="WW8Num14z3">
    <w:name w:val="WW8Num14z3"/>
    <w:qFormat/>
    <w:rPr/>
  </w:style>
  <w:style w:type="character" w:styleId="WW8Num14z4">
    <w:name w:val="WW8Num14z4"/>
    <w:qFormat/>
    <w:rPr/>
  </w:style>
  <w:style w:type="character" w:styleId="WW8Num14z5">
    <w:name w:val="WW8Num14z5"/>
    <w:qFormat/>
    <w:rPr/>
  </w:style>
  <w:style w:type="character" w:styleId="WW8Num14z6">
    <w:name w:val="WW8Num14z6"/>
    <w:qFormat/>
    <w:rPr/>
  </w:style>
  <w:style w:type="character" w:styleId="WW8Num14z7">
    <w:name w:val="WW8Num14z7"/>
    <w:qFormat/>
    <w:rPr/>
  </w:style>
  <w:style w:type="character" w:styleId="WW8Num14z8">
    <w:name w:val="WW8Num14z8"/>
    <w:qFormat/>
    <w:rPr/>
  </w:style>
  <w:style w:type="character" w:styleId="WW8Num15z0">
    <w:name w:val="WW8Num15z0"/>
    <w:qFormat/>
    <w:rPr/>
  </w:style>
  <w:style w:type="character" w:styleId="WW8Num15z1">
    <w:name w:val="WW8Num15z1"/>
    <w:qFormat/>
    <w:rPr/>
  </w:style>
  <w:style w:type="character" w:styleId="WW8Num15z2">
    <w:name w:val="WW8Num15z2"/>
    <w:qFormat/>
    <w:rPr/>
  </w:style>
  <w:style w:type="character" w:styleId="WW8Num15z3">
    <w:name w:val="WW8Num15z3"/>
    <w:qFormat/>
    <w:rPr/>
  </w:style>
  <w:style w:type="character" w:styleId="WW8Num15z4">
    <w:name w:val="WW8Num15z4"/>
    <w:qFormat/>
    <w:rPr/>
  </w:style>
  <w:style w:type="character" w:styleId="WW8Num15z5">
    <w:name w:val="WW8Num15z5"/>
    <w:qFormat/>
    <w:rPr/>
  </w:style>
  <w:style w:type="character" w:styleId="WW8Num15z6">
    <w:name w:val="WW8Num15z6"/>
    <w:qFormat/>
    <w:rPr/>
  </w:style>
  <w:style w:type="character" w:styleId="WW8Num15z7">
    <w:name w:val="WW8Num15z7"/>
    <w:qFormat/>
    <w:rPr/>
  </w:style>
  <w:style w:type="character" w:styleId="WW8Num15z8">
    <w:name w:val="WW8Num15z8"/>
    <w:qFormat/>
    <w:rPr/>
  </w:style>
  <w:style w:type="character" w:styleId="WW8Num16z0">
    <w:name w:val="WW8Num16z0"/>
    <w:qFormat/>
    <w:rPr/>
  </w:style>
  <w:style w:type="character" w:styleId="WW8Num16z1">
    <w:name w:val="WW8Num16z1"/>
    <w:qFormat/>
    <w:rPr/>
  </w:style>
  <w:style w:type="character" w:styleId="WW8Num16z2">
    <w:name w:val="WW8Num16z2"/>
    <w:qFormat/>
    <w:rPr/>
  </w:style>
  <w:style w:type="character" w:styleId="WW8Num16z3">
    <w:name w:val="WW8Num16z3"/>
    <w:qFormat/>
    <w:rPr/>
  </w:style>
  <w:style w:type="character" w:styleId="WW8Num16z4">
    <w:name w:val="WW8Num16z4"/>
    <w:qFormat/>
    <w:rPr/>
  </w:style>
  <w:style w:type="character" w:styleId="WW8Num16z5">
    <w:name w:val="WW8Num16z5"/>
    <w:qFormat/>
    <w:rPr/>
  </w:style>
  <w:style w:type="character" w:styleId="WW8Num16z6">
    <w:name w:val="WW8Num16z6"/>
    <w:qFormat/>
    <w:rPr/>
  </w:style>
  <w:style w:type="character" w:styleId="WW8Num16z7">
    <w:name w:val="WW8Num16z7"/>
    <w:qFormat/>
    <w:rPr/>
  </w:style>
  <w:style w:type="character" w:styleId="WW8Num16z8">
    <w:name w:val="WW8Num16z8"/>
    <w:qFormat/>
    <w:rPr/>
  </w:style>
  <w:style w:type="character" w:styleId="WW8Num17z0">
    <w:name w:val="WW8Num17z0"/>
    <w:qFormat/>
    <w:rPr/>
  </w:style>
  <w:style w:type="character" w:styleId="WW8Num17z1">
    <w:name w:val="WW8Num17z1"/>
    <w:qFormat/>
    <w:rPr/>
  </w:style>
  <w:style w:type="character" w:styleId="WW8Num17z2">
    <w:name w:val="WW8Num17z2"/>
    <w:qFormat/>
    <w:rPr/>
  </w:style>
  <w:style w:type="character" w:styleId="WW8Num17z3">
    <w:name w:val="WW8Num17z3"/>
    <w:qFormat/>
    <w:rPr/>
  </w:style>
  <w:style w:type="character" w:styleId="WW8Num17z4">
    <w:name w:val="WW8Num17z4"/>
    <w:qFormat/>
    <w:rPr/>
  </w:style>
  <w:style w:type="character" w:styleId="WW8Num17z5">
    <w:name w:val="WW8Num17z5"/>
    <w:qFormat/>
    <w:rPr/>
  </w:style>
  <w:style w:type="character" w:styleId="WW8Num17z6">
    <w:name w:val="WW8Num17z6"/>
    <w:qFormat/>
    <w:rPr/>
  </w:style>
  <w:style w:type="character" w:styleId="WW8Num17z7">
    <w:name w:val="WW8Num17z7"/>
    <w:qFormat/>
    <w:rPr/>
  </w:style>
  <w:style w:type="character" w:styleId="WW8Num17z8">
    <w:name w:val="WW8Num17z8"/>
    <w:qFormat/>
    <w:rPr/>
  </w:style>
  <w:style w:type="character" w:styleId="WW8Num18z0">
    <w:name w:val="WW8Num18z0"/>
    <w:qFormat/>
    <w:rPr/>
  </w:style>
  <w:style w:type="character" w:styleId="WW8Num18z1">
    <w:name w:val="WW8Num18z1"/>
    <w:qFormat/>
    <w:rPr/>
  </w:style>
  <w:style w:type="character" w:styleId="WW8Num18z2">
    <w:name w:val="WW8Num18z2"/>
    <w:qFormat/>
    <w:rPr/>
  </w:style>
  <w:style w:type="character" w:styleId="WW8Num18z3">
    <w:name w:val="WW8Num18z3"/>
    <w:qFormat/>
    <w:rPr/>
  </w:style>
  <w:style w:type="character" w:styleId="WW8Num18z4">
    <w:name w:val="WW8Num18z4"/>
    <w:qFormat/>
    <w:rPr/>
  </w:style>
  <w:style w:type="character" w:styleId="WW8Num18z5">
    <w:name w:val="WW8Num18z5"/>
    <w:qFormat/>
    <w:rPr/>
  </w:style>
  <w:style w:type="character" w:styleId="WW8Num18z6">
    <w:name w:val="WW8Num18z6"/>
    <w:qFormat/>
    <w:rPr/>
  </w:style>
  <w:style w:type="character" w:styleId="WW8Num18z7">
    <w:name w:val="WW8Num18z7"/>
    <w:qFormat/>
    <w:rPr/>
  </w:style>
  <w:style w:type="character" w:styleId="WW8Num18z8">
    <w:name w:val="WW8Num18z8"/>
    <w:qFormat/>
    <w:rPr/>
  </w:style>
  <w:style w:type="character" w:styleId="WW8Num19z0">
    <w:name w:val="WW8Num19z0"/>
    <w:qFormat/>
    <w:rPr/>
  </w:style>
  <w:style w:type="character" w:styleId="WW8Num19z1">
    <w:name w:val="WW8Num19z1"/>
    <w:qFormat/>
    <w:rPr/>
  </w:style>
  <w:style w:type="character" w:styleId="WW8Num19z2">
    <w:name w:val="WW8Num19z2"/>
    <w:qFormat/>
    <w:rPr/>
  </w:style>
  <w:style w:type="character" w:styleId="WW8Num19z3">
    <w:name w:val="WW8Num19z3"/>
    <w:qFormat/>
    <w:rPr/>
  </w:style>
  <w:style w:type="character" w:styleId="WW8Num19z4">
    <w:name w:val="WW8Num19z4"/>
    <w:qFormat/>
    <w:rPr/>
  </w:style>
  <w:style w:type="character" w:styleId="WW8Num19z5">
    <w:name w:val="WW8Num19z5"/>
    <w:qFormat/>
    <w:rPr/>
  </w:style>
  <w:style w:type="character" w:styleId="WW8Num19z6">
    <w:name w:val="WW8Num19z6"/>
    <w:qFormat/>
    <w:rPr/>
  </w:style>
  <w:style w:type="character" w:styleId="WW8Num19z7">
    <w:name w:val="WW8Num19z7"/>
    <w:qFormat/>
    <w:rPr/>
  </w:style>
  <w:style w:type="character" w:styleId="WW8Num19z8">
    <w:name w:val="WW8Num19z8"/>
    <w:qFormat/>
    <w:rPr/>
  </w:style>
  <w:style w:type="character" w:styleId="WW8Num20z0">
    <w:name w:val="WW8Num20z0"/>
    <w:qFormat/>
    <w:rPr/>
  </w:style>
  <w:style w:type="character" w:styleId="WW8Num20z1">
    <w:name w:val="WW8Num20z1"/>
    <w:qFormat/>
    <w:rPr/>
  </w:style>
  <w:style w:type="character" w:styleId="WW8Num20z2">
    <w:name w:val="WW8Num20z2"/>
    <w:qFormat/>
    <w:rPr/>
  </w:style>
  <w:style w:type="character" w:styleId="WW8Num20z3">
    <w:name w:val="WW8Num20z3"/>
    <w:qFormat/>
    <w:rPr/>
  </w:style>
  <w:style w:type="character" w:styleId="WW8Num20z4">
    <w:name w:val="WW8Num20z4"/>
    <w:qFormat/>
    <w:rPr/>
  </w:style>
  <w:style w:type="character" w:styleId="WW8Num20z5">
    <w:name w:val="WW8Num20z5"/>
    <w:qFormat/>
    <w:rPr/>
  </w:style>
  <w:style w:type="character" w:styleId="WW8Num20z6">
    <w:name w:val="WW8Num20z6"/>
    <w:qFormat/>
    <w:rPr/>
  </w:style>
  <w:style w:type="character" w:styleId="WW8Num20z7">
    <w:name w:val="WW8Num20z7"/>
    <w:qFormat/>
    <w:rPr/>
  </w:style>
  <w:style w:type="character" w:styleId="WW8Num20z8">
    <w:name w:val="WW8Num20z8"/>
    <w:qFormat/>
    <w:rPr/>
  </w:style>
  <w:style w:type="character" w:styleId="WW8Num21z0">
    <w:name w:val="WW8Num21z0"/>
    <w:qFormat/>
    <w:rPr/>
  </w:style>
  <w:style w:type="character" w:styleId="WW8Num21z1">
    <w:name w:val="WW8Num21z1"/>
    <w:qFormat/>
    <w:rPr/>
  </w:style>
  <w:style w:type="character" w:styleId="WW8Num21z2">
    <w:name w:val="WW8Num21z2"/>
    <w:qFormat/>
    <w:rPr/>
  </w:style>
  <w:style w:type="character" w:styleId="WW8Num21z3">
    <w:name w:val="WW8Num21z3"/>
    <w:qFormat/>
    <w:rPr/>
  </w:style>
  <w:style w:type="character" w:styleId="WW8Num21z4">
    <w:name w:val="WW8Num21z4"/>
    <w:qFormat/>
    <w:rPr/>
  </w:style>
  <w:style w:type="character" w:styleId="WW8Num21z5">
    <w:name w:val="WW8Num21z5"/>
    <w:qFormat/>
    <w:rPr/>
  </w:style>
  <w:style w:type="character" w:styleId="WW8Num21z6">
    <w:name w:val="WW8Num21z6"/>
    <w:qFormat/>
    <w:rPr/>
  </w:style>
  <w:style w:type="character" w:styleId="WW8Num21z7">
    <w:name w:val="WW8Num21z7"/>
    <w:qFormat/>
    <w:rPr/>
  </w:style>
  <w:style w:type="character" w:styleId="WW8Num21z8">
    <w:name w:val="WW8Num21z8"/>
    <w:qFormat/>
    <w:rPr/>
  </w:style>
  <w:style w:type="character" w:styleId="WW8Num22z0">
    <w:name w:val="WW8Num22z0"/>
    <w:qFormat/>
    <w:rPr/>
  </w:style>
  <w:style w:type="character" w:styleId="WW8Num22z1">
    <w:name w:val="WW8Num22z1"/>
    <w:qFormat/>
    <w:rPr/>
  </w:style>
  <w:style w:type="character" w:styleId="WW8Num22z2">
    <w:name w:val="WW8Num22z2"/>
    <w:qFormat/>
    <w:rPr/>
  </w:style>
  <w:style w:type="character" w:styleId="WW8Num22z3">
    <w:name w:val="WW8Num22z3"/>
    <w:qFormat/>
    <w:rPr/>
  </w:style>
  <w:style w:type="character" w:styleId="WW8Num22z4">
    <w:name w:val="WW8Num22z4"/>
    <w:qFormat/>
    <w:rPr/>
  </w:style>
  <w:style w:type="character" w:styleId="WW8Num22z5">
    <w:name w:val="WW8Num22z5"/>
    <w:qFormat/>
    <w:rPr/>
  </w:style>
  <w:style w:type="character" w:styleId="WW8Num22z6">
    <w:name w:val="WW8Num22z6"/>
    <w:qFormat/>
    <w:rPr/>
  </w:style>
  <w:style w:type="character" w:styleId="WW8Num22z7">
    <w:name w:val="WW8Num22z7"/>
    <w:qFormat/>
    <w:rPr/>
  </w:style>
  <w:style w:type="character" w:styleId="WW8Num22z8">
    <w:name w:val="WW8Num22z8"/>
    <w:qFormat/>
    <w:rPr/>
  </w:style>
  <w:style w:type="character" w:styleId="WW8Num23z0">
    <w:name w:val="WW8Num23z0"/>
    <w:qFormat/>
    <w:rPr/>
  </w:style>
  <w:style w:type="character" w:styleId="WW8Num23z1">
    <w:name w:val="WW8Num23z1"/>
    <w:qFormat/>
    <w:rPr/>
  </w:style>
  <w:style w:type="character" w:styleId="WW8Num23z2">
    <w:name w:val="WW8Num23z2"/>
    <w:qFormat/>
    <w:rPr/>
  </w:style>
  <w:style w:type="character" w:styleId="WW8Num23z3">
    <w:name w:val="WW8Num23z3"/>
    <w:qFormat/>
    <w:rPr/>
  </w:style>
  <w:style w:type="character" w:styleId="WW8Num23z4">
    <w:name w:val="WW8Num23z4"/>
    <w:qFormat/>
    <w:rPr/>
  </w:style>
  <w:style w:type="character" w:styleId="WW8Num23z5">
    <w:name w:val="WW8Num23z5"/>
    <w:qFormat/>
    <w:rPr/>
  </w:style>
  <w:style w:type="character" w:styleId="WW8Num23z6">
    <w:name w:val="WW8Num23z6"/>
    <w:qFormat/>
    <w:rPr/>
  </w:style>
  <w:style w:type="character" w:styleId="WW8Num23z7">
    <w:name w:val="WW8Num23z7"/>
    <w:qFormat/>
    <w:rPr/>
  </w:style>
  <w:style w:type="character" w:styleId="WW8Num23z8">
    <w:name w:val="WW8Num23z8"/>
    <w:qFormat/>
    <w:rPr/>
  </w:style>
  <w:style w:type="character" w:styleId="WW8Num24z0">
    <w:name w:val="WW8Num24z0"/>
    <w:qFormat/>
    <w:rPr/>
  </w:style>
  <w:style w:type="character" w:styleId="WW8Num24z1">
    <w:name w:val="WW8Num24z1"/>
    <w:qFormat/>
    <w:rPr/>
  </w:style>
  <w:style w:type="character" w:styleId="WW8Num24z2">
    <w:name w:val="WW8Num24z2"/>
    <w:qFormat/>
    <w:rPr/>
  </w:style>
  <w:style w:type="character" w:styleId="WW8Num24z3">
    <w:name w:val="WW8Num24z3"/>
    <w:qFormat/>
    <w:rPr/>
  </w:style>
  <w:style w:type="character" w:styleId="WW8Num24z4">
    <w:name w:val="WW8Num24z4"/>
    <w:qFormat/>
    <w:rPr/>
  </w:style>
  <w:style w:type="character" w:styleId="WW8Num24z5">
    <w:name w:val="WW8Num24z5"/>
    <w:qFormat/>
    <w:rPr/>
  </w:style>
  <w:style w:type="character" w:styleId="WW8Num24z6">
    <w:name w:val="WW8Num24z6"/>
    <w:qFormat/>
    <w:rPr/>
  </w:style>
  <w:style w:type="character" w:styleId="WW8Num24z7">
    <w:name w:val="WW8Num24z7"/>
    <w:qFormat/>
    <w:rPr/>
  </w:style>
  <w:style w:type="character" w:styleId="WW8Num24z8">
    <w:name w:val="WW8Num24z8"/>
    <w:qFormat/>
    <w:rPr/>
  </w:style>
  <w:style w:type="character" w:styleId="Style9">
    <w:name w:val="Основной шрифт абзаца"/>
    <w:qFormat/>
    <w:rPr/>
  </w:style>
  <w:style w:type="character" w:styleId="2">
    <w:name w:val="Заголовок 2 Знак"/>
    <w:qFormat/>
    <w:rPr>
      <w:rFonts w:ascii="Cambria" w:hAnsi="Cambria" w:eastAsia="Times New Roman" w:cs="Times New Roman"/>
      <w:b/>
      <w:bCs/>
      <w:color w:val="4F81BD"/>
      <w:sz w:val="26"/>
      <w:szCs w:val="26"/>
    </w:rPr>
  </w:style>
  <w:style w:type="character" w:styleId="4">
    <w:name w:val="Заголовок 4 Знак"/>
    <w:qFormat/>
    <w:rPr>
      <w:rFonts w:ascii="Cambria" w:hAnsi="Cambria" w:eastAsia="Times New Roman" w:cs="Times New Roman"/>
      <w:b/>
      <w:bCs/>
      <w:i/>
      <w:iCs/>
      <w:color w:val="4F81BD"/>
      <w:sz w:val="24"/>
      <w:szCs w:val="24"/>
    </w:rPr>
  </w:style>
  <w:style w:type="character" w:styleId="Heading2Char">
    <w:name w:val="Heading 2 Char"/>
    <w:qFormat/>
    <w:rPr>
      <w:rFonts w:ascii="Arial" w:hAnsi="Arial" w:eastAsia="Times New Roman" w:cs="Times New Roman"/>
      <w:b/>
      <w:bCs w:val="false"/>
      <w:caps/>
      <w:sz w:val="16"/>
      <w:lang w:val="ru-RU"/>
    </w:rPr>
  </w:style>
  <w:style w:type="character" w:styleId="Heading4Char">
    <w:name w:val="Heading 4 Char"/>
    <w:qFormat/>
    <w:rPr>
      <w:rFonts w:ascii="Arial" w:hAnsi="Arial" w:eastAsia="Times New Roman" w:cs="Times New Roman"/>
      <w:b/>
      <w:bCs w:val="false"/>
      <w:lang w:val="ru-RU"/>
    </w:rPr>
  </w:style>
  <w:style w:type="character" w:styleId="Csb3e8c9cf24">
    <w:name w:val="csb3e8c9cf24"/>
    <w:qFormat/>
    <w:rPr>
      <w:rFonts w:ascii="Arial" w:hAnsi="Arial" w:cs="Arial"/>
      <w:b/>
      <w:bCs/>
      <w:i w:val="false"/>
      <w:iCs w:val="false"/>
      <w:color w:val="000000"/>
      <w:sz w:val="18"/>
      <w:szCs w:val="18"/>
      <w:shd w:fill="auto" w:val="clear"/>
    </w:rPr>
  </w:style>
  <w:style w:type="character" w:styleId="1">
    <w:name w:val="Заголовок 1 Знак"/>
    <w:qFormat/>
    <w:rPr>
      <w:rFonts w:ascii="Calibri Light" w:hAnsi="Calibri Light" w:eastAsia="Times New Roman" w:cs="Times New Roman"/>
      <w:b/>
      <w:bCs/>
      <w:sz w:val="32"/>
      <w:szCs w:val="32"/>
    </w:rPr>
  </w:style>
  <w:style w:type="character" w:styleId="Style10">
    <w:name w:val="Верхний колонтитул Знак"/>
    <w:qFormat/>
    <w:rPr>
      <w:rFonts w:ascii="Times New Roman" w:hAnsi="Times New Roman" w:eastAsia="Times New Roman" w:cs="Times New Roman"/>
      <w:sz w:val="24"/>
      <w:szCs w:val="24"/>
    </w:rPr>
  </w:style>
  <w:style w:type="character" w:styleId="Style11">
    <w:name w:val="Нижний колонтитул Знак"/>
    <w:qFormat/>
    <w:rPr>
      <w:rFonts w:ascii="Times New Roman" w:hAnsi="Times New Roman" w:eastAsia="Times New Roman" w:cs="Times New Roman"/>
      <w:sz w:val="24"/>
      <w:szCs w:val="24"/>
    </w:rPr>
  </w:style>
  <w:style w:type="character" w:styleId="PageNumber">
    <w:name w:val="Page Number"/>
    <w:rPr/>
  </w:style>
  <w:style w:type="character" w:styleId="Style12">
    <w:name w:val="Текст выноски Знак"/>
    <w:qFormat/>
    <w:rPr>
      <w:rFonts w:ascii="Tahoma" w:hAnsi="Tahoma" w:eastAsia="Times New Roman" w:cs="Tahoma"/>
      <w:sz w:val="16"/>
      <w:szCs w:val="16"/>
      <w:lang w:val="ru-RU"/>
    </w:rPr>
  </w:style>
  <w:style w:type="character" w:styleId="BodyTextIndentChar">
    <w:name w:val="Body Text Indent Char"/>
    <w:qFormat/>
    <w:rPr>
      <w:rFonts w:ascii="Arial" w:hAnsi="Arial" w:eastAsia="Times New Roman" w:cs="Arial"/>
      <w:sz w:val="18"/>
      <w:lang w:val="ru-RU"/>
    </w:rPr>
  </w:style>
  <w:style w:type="character" w:styleId="Csab6e076947">
    <w:name w:val="csab6e076947"/>
    <w:qFormat/>
    <w:rPr>
      <w:rFonts w:ascii="Arial" w:hAnsi="Arial" w:cs="Arial"/>
      <w:b w:val="false"/>
      <w:bCs w:val="false"/>
      <w:i w:val="false"/>
      <w:iCs w:val="false"/>
      <w:color w:val="000000"/>
      <w:sz w:val="18"/>
      <w:szCs w:val="18"/>
      <w:shd w:fill="auto" w:val="clear"/>
    </w:rPr>
  </w:style>
  <w:style w:type="character" w:styleId="Csab6e076986">
    <w:name w:val="csab6e076986"/>
    <w:qFormat/>
    <w:rPr>
      <w:rFonts w:ascii="Arial" w:hAnsi="Arial" w:cs="Arial"/>
      <w:b w:val="false"/>
      <w:bCs w:val="false"/>
      <w:i w:val="false"/>
      <w:iCs w:val="false"/>
      <w:color w:val="000000"/>
      <w:sz w:val="18"/>
      <w:szCs w:val="18"/>
      <w:shd w:fill="auto" w:val="clear"/>
    </w:rPr>
  </w:style>
  <w:style w:type="character" w:styleId="Csf229d0ff18">
    <w:name w:val="csf229d0ff18"/>
    <w:qFormat/>
    <w:rPr>
      <w:rFonts w:ascii="Arial" w:hAnsi="Arial" w:cs="Arial"/>
      <w:b w:val="false"/>
      <w:bCs w:val="false"/>
      <w:i w:val="false"/>
      <w:iCs w:val="false"/>
      <w:color w:val="000000"/>
      <w:sz w:val="18"/>
      <w:szCs w:val="18"/>
      <w:shd w:fill="auto" w:val="clear"/>
    </w:rPr>
  </w:style>
  <w:style w:type="character" w:styleId="Csf229d0ff2">
    <w:name w:val="csf229d0ff2"/>
    <w:qFormat/>
    <w:rPr>
      <w:rFonts w:ascii="Arial" w:hAnsi="Arial" w:cs="Arial"/>
      <w:b w:val="false"/>
      <w:bCs w:val="false"/>
      <w:i w:val="false"/>
      <w:iCs w:val="false"/>
      <w:color w:val="000000"/>
      <w:sz w:val="18"/>
      <w:szCs w:val="18"/>
      <w:shd w:fill="auto" w:val="clear"/>
    </w:rPr>
  </w:style>
  <w:style w:type="character" w:styleId="Csf229d0ff9">
    <w:name w:val="csf229d0ff9"/>
    <w:qFormat/>
    <w:rPr>
      <w:rFonts w:ascii="Arial" w:hAnsi="Arial" w:cs="Arial"/>
      <w:b w:val="false"/>
      <w:bCs w:val="false"/>
      <w:i w:val="false"/>
      <w:iCs w:val="false"/>
      <w:color w:val="000000"/>
      <w:sz w:val="18"/>
      <w:szCs w:val="18"/>
      <w:shd w:fill="auto" w:val="clear"/>
    </w:rPr>
  </w:style>
  <w:style w:type="character" w:styleId="Csab6e076950">
    <w:name w:val="csab6e076950"/>
    <w:qFormat/>
    <w:rPr>
      <w:rFonts w:ascii="Arial" w:hAnsi="Arial" w:cs="Arial"/>
      <w:b w:val="false"/>
      <w:bCs w:val="false"/>
      <w:i w:val="false"/>
      <w:iCs w:val="false"/>
      <w:color w:val="000000"/>
      <w:sz w:val="18"/>
      <w:szCs w:val="18"/>
      <w:shd w:fill="auto" w:val="clear"/>
    </w:rPr>
  </w:style>
  <w:style w:type="character" w:styleId="Csab6e0769107">
    <w:name w:val="csab6e0769107"/>
    <w:qFormat/>
    <w:rPr>
      <w:rFonts w:ascii="Arial" w:hAnsi="Arial" w:cs="Arial"/>
      <w:b w:val="false"/>
      <w:bCs w:val="false"/>
      <w:i w:val="false"/>
      <w:iCs w:val="false"/>
      <w:color w:val="000000"/>
      <w:sz w:val="18"/>
      <w:szCs w:val="18"/>
      <w:shd w:fill="auto" w:val="clear"/>
    </w:rPr>
  </w:style>
  <w:style w:type="character" w:styleId="Csab6e076910">
    <w:name w:val="csab6e076910"/>
    <w:qFormat/>
    <w:rPr>
      <w:rFonts w:ascii="Arial" w:hAnsi="Arial" w:cs="Arial"/>
      <w:b w:val="false"/>
      <w:bCs w:val="false"/>
      <w:i w:val="false"/>
      <w:iCs w:val="false"/>
      <w:color w:val="000000"/>
      <w:sz w:val="18"/>
      <w:szCs w:val="18"/>
      <w:shd w:fill="auto" w:val="clear"/>
    </w:rPr>
  </w:style>
  <w:style w:type="character" w:styleId="Csab6e076929">
    <w:name w:val="csab6e076929"/>
    <w:qFormat/>
    <w:rPr>
      <w:rFonts w:ascii="Arial" w:hAnsi="Arial" w:cs="Arial"/>
      <w:b w:val="false"/>
      <w:bCs w:val="false"/>
      <w:i w:val="false"/>
      <w:iCs w:val="false"/>
      <w:color w:val="000000"/>
      <w:sz w:val="18"/>
      <w:szCs w:val="18"/>
      <w:shd w:fill="auto" w:val="clear"/>
    </w:rPr>
  </w:style>
  <w:style w:type="character" w:styleId="Csf229d0ff17">
    <w:name w:val="csf229d0ff17"/>
    <w:qFormat/>
    <w:rPr>
      <w:rFonts w:ascii="Arial" w:hAnsi="Arial" w:cs="Arial"/>
      <w:b w:val="false"/>
      <w:bCs w:val="false"/>
      <w:i w:val="false"/>
      <w:iCs w:val="false"/>
      <w:color w:val="000000"/>
      <w:sz w:val="18"/>
      <w:szCs w:val="18"/>
      <w:shd w:fill="auto" w:val="clear"/>
    </w:rPr>
  </w:style>
  <w:style w:type="character" w:styleId="Csab6e076981">
    <w:name w:val="csab6e076981"/>
    <w:qFormat/>
    <w:rPr>
      <w:rFonts w:ascii="Arial" w:hAnsi="Arial" w:cs="Arial"/>
      <w:b w:val="false"/>
      <w:bCs w:val="false"/>
      <w:i w:val="false"/>
      <w:iCs w:val="false"/>
      <w:color w:val="000000"/>
      <w:sz w:val="18"/>
      <w:szCs w:val="18"/>
      <w:shd w:fill="auto" w:val="clear"/>
    </w:rPr>
  </w:style>
  <w:style w:type="character" w:styleId="Csab6e076982">
    <w:name w:val="csab6e076982"/>
    <w:qFormat/>
    <w:rPr>
      <w:rFonts w:ascii="Arial" w:hAnsi="Arial" w:cs="Arial"/>
      <w:b w:val="false"/>
      <w:bCs w:val="false"/>
      <w:i w:val="false"/>
      <w:iCs w:val="false"/>
      <w:color w:val="000000"/>
      <w:sz w:val="18"/>
      <w:szCs w:val="18"/>
      <w:shd w:fill="auto" w:val="clear"/>
    </w:rPr>
  </w:style>
  <w:style w:type="character" w:styleId="Csf229d0ff11">
    <w:name w:val="csf229d0ff11"/>
    <w:qFormat/>
    <w:rPr>
      <w:rFonts w:ascii="Arial" w:hAnsi="Arial" w:cs="Arial"/>
      <w:b w:val="false"/>
      <w:bCs w:val="false"/>
      <w:i w:val="false"/>
      <w:iCs w:val="false"/>
      <w:color w:val="000000"/>
      <w:sz w:val="18"/>
      <w:szCs w:val="18"/>
      <w:shd w:fill="auto" w:val="clear"/>
    </w:rPr>
  </w:style>
  <w:style w:type="character" w:styleId="Csf229d0ff32">
    <w:name w:val="csf229d0ff32"/>
    <w:qFormat/>
    <w:rPr>
      <w:rFonts w:ascii="Arial" w:hAnsi="Arial" w:cs="Arial"/>
      <w:b w:val="false"/>
      <w:bCs w:val="false"/>
      <w:i w:val="false"/>
      <w:iCs w:val="false"/>
      <w:color w:val="000000"/>
      <w:sz w:val="18"/>
      <w:szCs w:val="18"/>
      <w:shd w:fill="auto" w:val="clear"/>
    </w:rPr>
  </w:style>
  <w:style w:type="character" w:styleId="Csafaf574182">
    <w:name w:val="csafaf574182"/>
    <w:qFormat/>
    <w:rPr>
      <w:rFonts w:ascii="Arial" w:hAnsi="Arial" w:cs="Arial"/>
      <w:b/>
      <w:bCs/>
      <w:i w:val="false"/>
      <w:iCs w:val="false"/>
      <w:color w:val="000000"/>
      <w:sz w:val="18"/>
      <w:szCs w:val="18"/>
      <w:shd w:fill="auto" w:val="clear"/>
    </w:rPr>
  </w:style>
  <w:style w:type="character" w:styleId="Csab6e076980">
    <w:name w:val="csab6e076980"/>
    <w:qFormat/>
    <w:rPr>
      <w:rFonts w:ascii="Arial" w:hAnsi="Arial" w:cs="Arial"/>
      <w:b w:val="false"/>
      <w:bCs w:val="false"/>
      <w:i w:val="false"/>
      <w:iCs w:val="false"/>
      <w:color w:val="000000"/>
      <w:sz w:val="18"/>
      <w:szCs w:val="18"/>
      <w:shd w:fill="auto" w:val="clear"/>
    </w:rPr>
  </w:style>
  <w:style w:type="character" w:styleId="Csf229d0ff53">
    <w:name w:val="csf229d0ff53"/>
    <w:qFormat/>
    <w:rPr>
      <w:rFonts w:ascii="Arial" w:hAnsi="Arial" w:cs="Arial"/>
      <w:b w:val="false"/>
      <w:bCs w:val="false"/>
      <w:i w:val="false"/>
      <w:iCs w:val="false"/>
      <w:color w:val="000000"/>
      <w:sz w:val="18"/>
      <w:szCs w:val="18"/>
      <w:shd w:fill="auto" w:val="clear"/>
    </w:rPr>
  </w:style>
  <w:style w:type="character" w:styleId="Csb3e8c9cf8">
    <w:name w:val="csb3e8c9cf8"/>
    <w:qFormat/>
    <w:rPr>
      <w:rFonts w:ascii="Arial" w:hAnsi="Arial" w:cs="Arial"/>
      <w:b/>
      <w:bCs/>
      <w:i w:val="false"/>
      <w:iCs w:val="false"/>
      <w:color w:val="000000"/>
      <w:sz w:val="18"/>
      <w:szCs w:val="18"/>
      <w:shd w:fill="auto" w:val="clear"/>
    </w:rPr>
  </w:style>
  <w:style w:type="character" w:styleId="Csab6e076961">
    <w:name w:val="csab6e076961"/>
    <w:qFormat/>
    <w:rPr>
      <w:rFonts w:ascii="Arial" w:hAnsi="Arial" w:cs="Arial"/>
      <w:b w:val="false"/>
      <w:bCs w:val="false"/>
      <w:i w:val="false"/>
      <w:iCs w:val="false"/>
      <w:color w:val="000000"/>
      <w:sz w:val="18"/>
      <w:szCs w:val="18"/>
      <w:shd w:fill="auto" w:val="clear"/>
    </w:rPr>
  </w:style>
  <w:style w:type="character" w:styleId="Csf229d0ff27">
    <w:name w:val="csf229d0ff27"/>
    <w:qFormat/>
    <w:rPr>
      <w:rFonts w:ascii="Arial" w:hAnsi="Arial" w:cs="Arial"/>
      <w:b w:val="false"/>
      <w:bCs w:val="false"/>
      <w:i w:val="false"/>
      <w:iCs w:val="false"/>
      <w:color w:val="000000"/>
      <w:sz w:val="18"/>
      <w:szCs w:val="18"/>
      <w:shd w:fill="auto" w:val="clear"/>
    </w:rPr>
  </w:style>
  <w:style w:type="character" w:styleId="Csf229d0ff3">
    <w:name w:val="csf229d0ff3"/>
    <w:qFormat/>
    <w:rPr>
      <w:rFonts w:ascii="Arial" w:hAnsi="Arial" w:cs="Arial"/>
      <w:b w:val="false"/>
      <w:bCs w:val="false"/>
      <w:i w:val="false"/>
      <w:iCs w:val="false"/>
      <w:color w:val="000000"/>
      <w:sz w:val="18"/>
      <w:szCs w:val="18"/>
      <w:shd w:fill="auto" w:val="clear"/>
    </w:rPr>
  </w:style>
  <w:style w:type="character" w:styleId="Csab6e0769122">
    <w:name w:val="csab6e0769122"/>
    <w:qFormat/>
    <w:rPr>
      <w:rFonts w:ascii="Arial" w:hAnsi="Arial" w:cs="Arial"/>
      <w:b w:val="false"/>
      <w:bCs w:val="false"/>
      <w:i w:val="false"/>
      <w:iCs w:val="false"/>
      <w:color w:val="000000"/>
      <w:sz w:val="18"/>
      <w:szCs w:val="18"/>
      <w:shd w:fill="auto" w:val="clear"/>
    </w:rPr>
  </w:style>
  <w:style w:type="character" w:styleId="Csab6e076957">
    <w:name w:val="csab6e076957"/>
    <w:qFormat/>
    <w:rPr>
      <w:rFonts w:ascii="Arial" w:hAnsi="Arial" w:cs="Arial"/>
      <w:b w:val="false"/>
      <w:bCs w:val="false"/>
      <w:i w:val="false"/>
      <w:iCs w:val="false"/>
      <w:color w:val="000000"/>
      <w:sz w:val="18"/>
      <w:szCs w:val="18"/>
      <w:shd w:fill="auto" w:val="clear"/>
    </w:rPr>
  </w:style>
  <w:style w:type="character" w:styleId="Csab6e076941">
    <w:name w:val="csab6e076941"/>
    <w:qFormat/>
    <w:rPr>
      <w:rFonts w:ascii="Arial" w:hAnsi="Arial" w:cs="Arial"/>
      <w:b w:val="false"/>
      <w:bCs w:val="false"/>
      <w:i w:val="false"/>
      <w:iCs w:val="false"/>
      <w:color w:val="000000"/>
      <w:sz w:val="18"/>
      <w:szCs w:val="18"/>
      <w:shd w:fill="auto" w:val="clear"/>
    </w:rPr>
  </w:style>
  <w:style w:type="character" w:styleId="Csab6e076991">
    <w:name w:val="csab6e076991"/>
    <w:qFormat/>
    <w:rPr>
      <w:rFonts w:ascii="Arial" w:hAnsi="Arial" w:cs="Arial"/>
      <w:b w:val="false"/>
      <w:bCs w:val="false"/>
      <w:i w:val="false"/>
      <w:iCs w:val="false"/>
      <w:color w:val="000000"/>
      <w:sz w:val="18"/>
      <w:szCs w:val="18"/>
      <w:shd w:fill="auto" w:val="clear"/>
    </w:rPr>
  </w:style>
  <w:style w:type="character" w:styleId="Csab6e0769156">
    <w:name w:val="csab6e0769156"/>
    <w:qFormat/>
    <w:rPr>
      <w:rFonts w:ascii="Arial" w:hAnsi="Arial" w:cs="Arial"/>
      <w:b w:val="false"/>
      <w:bCs w:val="false"/>
      <w:i w:val="false"/>
      <w:iCs w:val="false"/>
      <w:color w:val="000000"/>
      <w:sz w:val="18"/>
      <w:szCs w:val="18"/>
      <w:shd w:fill="auto" w:val="clear"/>
    </w:rPr>
  </w:style>
  <w:style w:type="character" w:styleId="Csafaf5741248">
    <w:name w:val="csafaf5741248"/>
    <w:qFormat/>
    <w:rPr>
      <w:rFonts w:ascii="Arial" w:hAnsi="Arial" w:cs="Arial"/>
      <w:b/>
      <w:bCs/>
      <w:i w:val="false"/>
      <w:iCs w:val="false"/>
      <w:color w:val="000000"/>
      <w:sz w:val="18"/>
      <w:szCs w:val="18"/>
      <w:shd w:fill="auto" w:val="clear"/>
    </w:rPr>
  </w:style>
  <w:style w:type="character" w:styleId="Csab6e0769276">
    <w:name w:val="csab6e0769276"/>
    <w:qFormat/>
    <w:rPr>
      <w:rFonts w:ascii="Arial" w:hAnsi="Arial" w:cs="Arial"/>
      <w:b w:val="false"/>
      <w:bCs w:val="false"/>
      <w:i w:val="false"/>
      <w:iCs w:val="false"/>
      <w:color w:val="000000"/>
      <w:sz w:val="18"/>
      <w:szCs w:val="18"/>
      <w:shd w:fill="auto" w:val="clear"/>
    </w:rPr>
  </w:style>
  <w:style w:type="character" w:styleId="Csab6e0769219">
    <w:name w:val="csab6e0769219"/>
    <w:qFormat/>
    <w:rPr>
      <w:rFonts w:ascii="Arial" w:hAnsi="Arial" w:cs="Arial"/>
      <w:b w:val="false"/>
      <w:bCs w:val="false"/>
      <w:i w:val="false"/>
      <w:iCs w:val="false"/>
      <w:color w:val="000000"/>
      <w:sz w:val="18"/>
      <w:szCs w:val="18"/>
      <w:shd w:fill="auto" w:val="clear"/>
    </w:rPr>
  </w:style>
  <w:style w:type="character" w:styleId="Csafaf574111">
    <w:name w:val="csafaf574111"/>
    <w:qFormat/>
    <w:rPr>
      <w:rFonts w:ascii="Arial" w:hAnsi="Arial" w:cs="Arial"/>
      <w:b/>
      <w:bCs/>
      <w:i w:val="false"/>
      <w:iCs w:val="false"/>
      <w:color w:val="000000"/>
      <w:sz w:val="18"/>
      <w:szCs w:val="18"/>
      <w:shd w:fill="auto" w:val="clear"/>
    </w:rPr>
  </w:style>
  <w:style w:type="character" w:styleId="Csf229d0ff13">
    <w:name w:val="csf229d0ff13"/>
    <w:qFormat/>
    <w:rPr>
      <w:rFonts w:ascii="Arial" w:hAnsi="Arial" w:cs="Arial"/>
      <w:b w:val="false"/>
      <w:bCs w:val="false"/>
      <w:i w:val="false"/>
      <w:iCs w:val="false"/>
      <w:color w:val="000000"/>
      <w:sz w:val="18"/>
      <w:szCs w:val="18"/>
      <w:shd w:fill="auto" w:val="clear"/>
    </w:rPr>
  </w:style>
  <w:style w:type="character" w:styleId="Csab6e0769131">
    <w:name w:val="csab6e0769131"/>
    <w:qFormat/>
    <w:rPr>
      <w:rFonts w:ascii="Arial" w:hAnsi="Arial" w:cs="Arial"/>
      <w:b w:val="false"/>
      <w:bCs w:val="false"/>
      <w:i w:val="false"/>
      <w:iCs w:val="false"/>
      <w:color w:val="000000"/>
      <w:sz w:val="18"/>
      <w:szCs w:val="18"/>
      <w:shd w:fill="auto" w:val="clear"/>
    </w:rPr>
  </w:style>
  <w:style w:type="character" w:styleId="Csafaf574199">
    <w:name w:val="csafaf574199"/>
    <w:qFormat/>
    <w:rPr>
      <w:rFonts w:ascii="Arial" w:hAnsi="Arial" w:cs="Arial"/>
      <w:b/>
      <w:bCs/>
      <w:i w:val="false"/>
      <w:iCs w:val="false"/>
      <w:color w:val="000000"/>
      <w:sz w:val="18"/>
      <w:szCs w:val="18"/>
      <w:shd w:fill="auto" w:val="clear"/>
    </w:rPr>
  </w:style>
  <w:style w:type="character" w:styleId="Csafaf5741100">
    <w:name w:val="csafaf5741100"/>
    <w:qFormat/>
    <w:rPr>
      <w:rFonts w:ascii="Arial" w:hAnsi="Arial" w:cs="Arial"/>
      <w:b/>
      <w:bCs/>
      <w:i w:val="false"/>
      <w:iCs w:val="false"/>
      <w:color w:val="000000"/>
      <w:sz w:val="18"/>
      <w:szCs w:val="18"/>
      <w:shd w:fill="auto" w:val="clear"/>
    </w:rPr>
  </w:style>
  <w:style w:type="character" w:styleId="Style13">
    <w:name w:val="Основной текст с отступом Знак"/>
    <w:qFormat/>
    <w:rPr>
      <w:rFonts w:ascii="Times New Roman" w:hAnsi="Times New Roman" w:eastAsia="Times New Roman" w:cs="Times New Roman"/>
      <w:sz w:val="24"/>
      <w:szCs w:val="24"/>
      <w:lang w:val="ru-RU"/>
    </w:rPr>
  </w:style>
  <w:style w:type="character" w:styleId="Csf229d0ff16">
    <w:name w:val="csf229d0ff16"/>
    <w:qFormat/>
    <w:rPr>
      <w:rFonts w:ascii="Arial" w:hAnsi="Arial" w:cs="Arial"/>
      <w:b w:val="false"/>
      <w:bCs w:val="false"/>
      <w:i w:val="false"/>
      <w:iCs w:val="false"/>
      <w:color w:val="000000"/>
      <w:sz w:val="18"/>
      <w:szCs w:val="18"/>
      <w:shd w:fill="auto" w:val="clear"/>
    </w:rPr>
  </w:style>
  <w:style w:type="character" w:styleId="Cs188c92b51">
    <w:name w:val="cs188c92b51"/>
    <w:qFormat/>
    <w:rPr>
      <w:rFonts w:ascii="Times New Roman" w:hAnsi="Times New Roman" w:cs="Times New Roman"/>
      <w:b w:val="false"/>
      <w:bCs w:val="false"/>
      <w:i w:val="false"/>
      <w:iCs w:val="false"/>
      <w:color w:val="000000"/>
      <w:sz w:val="26"/>
      <w:szCs w:val="26"/>
      <w:shd w:fill="auto" w:val="clear"/>
    </w:rPr>
  </w:style>
  <w:style w:type="character" w:styleId="3">
    <w:name w:val="Основной текст 3 Знак"/>
    <w:qFormat/>
    <w:rPr>
      <w:rFonts w:ascii="Times New Roman" w:hAnsi="Times New Roman" w:eastAsia="Times New Roman" w:cs="Times New Roman"/>
      <w:sz w:val="16"/>
      <w:szCs w:val="16"/>
    </w:rPr>
  </w:style>
  <w:style w:type="character" w:styleId="Csab6e076931">
    <w:name w:val="csab6e076931"/>
    <w:qFormat/>
    <w:rPr>
      <w:rFonts w:ascii="Arial" w:hAnsi="Arial" w:cs="Arial"/>
      <w:b w:val="false"/>
      <w:bCs w:val="false"/>
      <w:i w:val="false"/>
      <w:iCs w:val="false"/>
      <w:color w:val="000000"/>
      <w:sz w:val="18"/>
      <w:szCs w:val="18"/>
      <w:shd w:fill="auto" w:val="clear"/>
    </w:rPr>
  </w:style>
  <w:style w:type="character" w:styleId="Csab6e076928">
    <w:name w:val="csab6e076928"/>
    <w:qFormat/>
    <w:rPr>
      <w:rFonts w:ascii="Arial" w:hAnsi="Arial" w:cs="Arial"/>
      <w:b w:val="false"/>
      <w:bCs w:val="false"/>
      <w:i w:val="false"/>
      <w:iCs w:val="false"/>
      <w:color w:val="000000"/>
      <w:sz w:val="18"/>
      <w:szCs w:val="18"/>
      <w:shd w:fill="auto" w:val="clear"/>
    </w:rPr>
  </w:style>
  <w:style w:type="character" w:styleId="Csf229d0ff15">
    <w:name w:val="csf229d0ff15"/>
    <w:qFormat/>
    <w:rPr>
      <w:rFonts w:ascii="Arial" w:hAnsi="Arial" w:cs="Arial"/>
      <w:b w:val="false"/>
      <w:bCs w:val="false"/>
      <w:i w:val="false"/>
      <w:iCs w:val="false"/>
      <w:color w:val="000000"/>
      <w:sz w:val="18"/>
      <w:szCs w:val="18"/>
      <w:shd w:fill="auto" w:val="clear"/>
    </w:rPr>
  </w:style>
  <w:style w:type="character" w:styleId="Csafaf574134">
    <w:name w:val="csafaf574134"/>
    <w:qFormat/>
    <w:rPr>
      <w:rFonts w:ascii="Arial" w:hAnsi="Arial" w:cs="Arial"/>
      <w:b/>
      <w:bCs/>
      <w:i w:val="false"/>
      <w:iCs w:val="false"/>
      <w:color w:val="000000"/>
      <w:sz w:val="18"/>
      <w:szCs w:val="18"/>
      <w:shd w:fill="auto" w:val="clear"/>
    </w:rPr>
  </w:style>
  <w:style w:type="character" w:styleId="Csf229d0ff25">
    <w:name w:val="csf229d0ff25"/>
    <w:qFormat/>
    <w:rPr>
      <w:rFonts w:ascii="Arial" w:hAnsi="Arial" w:cs="Arial"/>
      <w:b w:val="false"/>
      <w:bCs w:val="false"/>
      <w:i w:val="false"/>
      <w:iCs w:val="false"/>
      <w:color w:val="000000"/>
      <w:sz w:val="18"/>
      <w:szCs w:val="18"/>
      <w:shd w:fill="auto" w:val="clear"/>
    </w:rPr>
  </w:style>
  <w:style w:type="character" w:styleId="Cs95e872d01">
    <w:name w:val="cs95e872d01"/>
    <w:qFormat/>
    <w:rPr/>
  </w:style>
  <w:style w:type="character" w:styleId="Csb3e8c9cf10">
    <w:name w:val="csb3e8c9cf10"/>
    <w:qFormat/>
    <w:rPr>
      <w:rFonts w:ascii="Arial" w:hAnsi="Arial" w:cs="Arial"/>
      <w:b/>
      <w:bCs/>
      <w:i w:val="false"/>
      <w:iCs w:val="false"/>
      <w:color w:val="000000"/>
      <w:sz w:val="18"/>
      <w:szCs w:val="18"/>
      <w:shd w:fill="auto" w:val="clear"/>
    </w:rPr>
  </w:style>
  <w:style w:type="character" w:styleId="Csafaf574127">
    <w:name w:val="csafaf574127"/>
    <w:qFormat/>
    <w:rPr>
      <w:rFonts w:ascii="Arial" w:hAnsi="Arial" w:cs="Arial"/>
      <w:b/>
      <w:bCs/>
      <w:i w:val="false"/>
      <w:iCs w:val="false"/>
      <w:color w:val="000000"/>
      <w:sz w:val="18"/>
      <w:szCs w:val="18"/>
      <w:shd w:fill="auto" w:val="clear"/>
    </w:rPr>
  </w:style>
  <w:style w:type="character" w:styleId="Csf229d0ff10">
    <w:name w:val="csf229d0ff10"/>
    <w:qFormat/>
    <w:rPr>
      <w:rFonts w:ascii="Arial" w:hAnsi="Arial" w:cs="Arial"/>
      <w:b w:val="false"/>
      <w:bCs w:val="false"/>
      <w:i w:val="false"/>
      <w:iCs w:val="false"/>
      <w:color w:val="000000"/>
      <w:sz w:val="18"/>
      <w:szCs w:val="18"/>
      <w:shd w:fill="auto" w:val="clear"/>
    </w:rPr>
  </w:style>
  <w:style w:type="character" w:styleId="Csab6e0769103">
    <w:name w:val="csab6e0769103"/>
    <w:qFormat/>
    <w:rPr>
      <w:rFonts w:ascii="Arial" w:hAnsi="Arial" w:cs="Arial"/>
      <w:b w:val="false"/>
      <w:bCs w:val="false"/>
      <w:i w:val="false"/>
      <w:iCs w:val="false"/>
      <w:color w:val="000000"/>
      <w:sz w:val="18"/>
      <w:szCs w:val="18"/>
      <w:shd w:fill="auto" w:val="clear"/>
    </w:rPr>
  </w:style>
  <w:style w:type="character" w:styleId="Csab6e0769104">
    <w:name w:val="csab6e0769104"/>
    <w:qFormat/>
    <w:rPr>
      <w:rFonts w:ascii="Arial" w:hAnsi="Arial" w:cs="Arial"/>
      <w:b w:val="false"/>
      <w:bCs w:val="false"/>
      <w:i w:val="false"/>
      <w:iCs w:val="false"/>
      <w:color w:val="000000"/>
      <w:sz w:val="18"/>
      <w:szCs w:val="18"/>
      <w:shd w:fill="auto" w:val="clear"/>
    </w:rPr>
  </w:style>
  <w:style w:type="character" w:styleId="Csafaf5741105">
    <w:name w:val="csafaf5741105"/>
    <w:qFormat/>
    <w:rPr>
      <w:rFonts w:ascii="Arial" w:hAnsi="Arial" w:cs="Arial"/>
      <w:b/>
      <w:bCs/>
      <w:i w:val="false"/>
      <w:iCs w:val="false"/>
      <w:color w:val="000000"/>
      <w:sz w:val="18"/>
      <w:szCs w:val="18"/>
      <w:shd w:fill="auto" w:val="clear"/>
    </w:rPr>
  </w:style>
  <w:style w:type="character" w:styleId="Csafaf5741106">
    <w:name w:val="csafaf5741106"/>
    <w:qFormat/>
    <w:rPr>
      <w:rFonts w:ascii="Arial" w:hAnsi="Arial" w:cs="Arial"/>
      <w:b/>
      <w:bCs/>
      <w:i w:val="false"/>
      <w:iCs w:val="false"/>
      <w:color w:val="000000"/>
      <w:sz w:val="18"/>
      <w:szCs w:val="18"/>
      <w:shd w:fill="auto" w:val="clear"/>
    </w:rPr>
  </w:style>
  <w:style w:type="character" w:styleId="Csafaf5741216">
    <w:name w:val="csafaf5741216"/>
    <w:qFormat/>
    <w:rPr>
      <w:rFonts w:ascii="Arial" w:hAnsi="Arial" w:cs="Arial"/>
      <w:b/>
      <w:bCs/>
      <w:i w:val="false"/>
      <w:iCs w:val="false"/>
      <w:color w:val="000000"/>
      <w:sz w:val="18"/>
      <w:szCs w:val="18"/>
      <w:shd w:fill="auto" w:val="clear"/>
    </w:rPr>
  </w:style>
  <w:style w:type="character" w:styleId="Csf229d0ff19">
    <w:name w:val="csf229d0ff19"/>
    <w:qFormat/>
    <w:rPr>
      <w:rFonts w:ascii="Arial" w:hAnsi="Arial" w:cs="Arial"/>
      <w:b w:val="false"/>
      <w:bCs w:val="false"/>
      <w:i w:val="false"/>
      <w:iCs w:val="false"/>
      <w:color w:val="000000"/>
      <w:sz w:val="18"/>
      <w:szCs w:val="18"/>
      <w:shd w:fill="auto" w:val="clear"/>
    </w:rPr>
  </w:style>
  <w:style w:type="character" w:styleId="Csf229d0ff24">
    <w:name w:val="csf229d0ff24"/>
    <w:qFormat/>
    <w:rPr>
      <w:rFonts w:ascii="Arial" w:hAnsi="Arial" w:cs="Arial"/>
      <w:b w:val="false"/>
      <w:bCs w:val="false"/>
      <w:i w:val="false"/>
      <w:iCs w:val="false"/>
      <w:color w:val="000000"/>
      <w:sz w:val="18"/>
      <w:szCs w:val="18"/>
      <w:shd w:fill="auto" w:val="clear"/>
    </w:rPr>
  </w:style>
  <w:style w:type="character" w:styleId="Csf229d0ff14">
    <w:name w:val="csf229d0ff14"/>
    <w:qFormat/>
    <w:rPr>
      <w:rFonts w:ascii="Arial" w:hAnsi="Arial" w:cs="Arial"/>
      <w:b w:val="false"/>
      <w:bCs w:val="false"/>
      <w:i w:val="false"/>
      <w:iCs w:val="false"/>
      <w:color w:val="000000"/>
      <w:sz w:val="18"/>
      <w:szCs w:val="18"/>
      <w:shd w:fill="auto" w:val="clear"/>
    </w:rPr>
  </w:style>
  <w:style w:type="character" w:styleId="31">
    <w:name w:val="Основной текст с отступом 3 Знак"/>
    <w:qFormat/>
    <w:rPr>
      <w:rFonts w:ascii="Times New Roman" w:hAnsi="Times New Roman" w:cs="Times New Roman"/>
      <w:sz w:val="16"/>
      <w:szCs w:val="16"/>
      <w:lang w:val="ru-RU"/>
    </w:rPr>
  </w:style>
  <w:style w:type="character" w:styleId="Csab6e0769225">
    <w:name w:val="csab6e0769225"/>
    <w:qFormat/>
    <w:rPr>
      <w:rFonts w:ascii="Arial" w:hAnsi="Arial" w:cs="Arial"/>
      <w:b w:val="false"/>
      <w:bCs w:val="false"/>
      <w:i w:val="false"/>
      <w:iCs w:val="false"/>
      <w:color w:val="000000"/>
      <w:sz w:val="18"/>
      <w:szCs w:val="18"/>
      <w:shd w:fill="auto" w:val="clear"/>
    </w:rPr>
  </w:style>
  <w:style w:type="character" w:styleId="Csb3e8c9cf3">
    <w:name w:val="csb3e8c9cf3"/>
    <w:qFormat/>
    <w:rPr>
      <w:rFonts w:ascii="Arial" w:hAnsi="Arial" w:cs="Arial"/>
      <w:b/>
      <w:bCs/>
      <w:i w:val="false"/>
      <w:iCs w:val="false"/>
      <w:color w:val="000000"/>
      <w:sz w:val="18"/>
      <w:szCs w:val="18"/>
      <w:shd w:fill="auto" w:val="clear"/>
    </w:rPr>
  </w:style>
  <w:style w:type="character" w:styleId="Csb86c8cfe1">
    <w:name w:val="csb86c8cfe1"/>
    <w:qFormat/>
    <w:rPr>
      <w:rFonts w:ascii="Times New Roman" w:hAnsi="Times New Roman" w:cs="Times New Roman"/>
      <w:b/>
      <w:bCs/>
      <w:i w:val="false"/>
      <w:iCs w:val="false"/>
      <w:color w:val="000000"/>
      <w:sz w:val="24"/>
      <w:szCs w:val="24"/>
    </w:rPr>
  </w:style>
  <w:style w:type="character" w:styleId="Csf229d0ff21">
    <w:name w:val="csf229d0ff21"/>
    <w:qFormat/>
    <w:rPr>
      <w:rFonts w:ascii="Arial" w:hAnsi="Arial" w:cs="Arial"/>
      <w:b w:val="false"/>
      <w:bCs w:val="false"/>
      <w:i w:val="false"/>
      <w:iCs w:val="false"/>
      <w:color w:val="000000"/>
      <w:sz w:val="18"/>
      <w:szCs w:val="18"/>
    </w:rPr>
  </w:style>
  <w:style w:type="character" w:styleId="Csf229d0ff26">
    <w:name w:val="csf229d0ff26"/>
    <w:qFormat/>
    <w:rPr>
      <w:rFonts w:ascii="Arial" w:hAnsi="Arial" w:cs="Arial"/>
      <w:b w:val="false"/>
      <w:bCs w:val="false"/>
      <w:i w:val="false"/>
      <w:iCs w:val="false"/>
      <w:color w:val="000000"/>
      <w:sz w:val="18"/>
      <w:szCs w:val="18"/>
      <w:shd w:fill="auto" w:val="clear"/>
    </w:rPr>
  </w:style>
  <w:style w:type="character" w:styleId="Cs8c2cf3831">
    <w:name w:val="cs8c2cf3831"/>
    <w:qFormat/>
    <w:rPr>
      <w:rFonts w:ascii="Arial" w:hAnsi="Arial" w:cs="Arial"/>
      <w:b/>
      <w:bCs/>
      <w:i/>
      <w:iCs/>
      <w:color w:val="102B56"/>
      <w:sz w:val="18"/>
      <w:szCs w:val="18"/>
      <w:shd w:fill="auto" w:val="clear"/>
    </w:rPr>
  </w:style>
  <w:style w:type="character" w:styleId="Csd71f5e5a1">
    <w:name w:val="csd71f5e5a1"/>
    <w:qFormat/>
    <w:rPr>
      <w:rFonts w:ascii="Arial" w:hAnsi="Arial" w:cs="Arial"/>
      <w:b w:val="false"/>
      <w:bCs w:val="false"/>
      <w:i/>
      <w:iCs/>
      <w:color w:val="102B56"/>
      <w:sz w:val="18"/>
      <w:szCs w:val="18"/>
      <w:shd w:fill="auto" w:val="clear"/>
    </w:rPr>
  </w:style>
  <w:style w:type="character" w:styleId="Cs8f6c24af1">
    <w:name w:val="cs8f6c24af1"/>
    <w:qFormat/>
    <w:rPr>
      <w:rFonts w:ascii="Arial" w:hAnsi="Arial" w:cs="Arial"/>
      <w:b/>
      <w:bCs/>
      <w:i w:val="false"/>
      <w:iCs w:val="false"/>
      <w:color w:val="102B56"/>
      <w:sz w:val="18"/>
      <w:szCs w:val="18"/>
      <w:shd w:fill="auto" w:val="clear"/>
    </w:rPr>
  </w:style>
  <w:style w:type="character" w:styleId="Csa5a0f5421">
    <w:name w:val="csa5a0f5421"/>
    <w:qFormat/>
    <w:rPr>
      <w:rFonts w:ascii="Arial" w:hAnsi="Arial" w:cs="Arial"/>
      <w:b w:val="false"/>
      <w:bCs w:val="false"/>
      <w:i w:val="false"/>
      <w:iCs w:val="false"/>
      <w:color w:val="102B56"/>
      <w:sz w:val="18"/>
      <w:szCs w:val="18"/>
      <w:shd w:fill="auto" w:val="clear"/>
    </w:rPr>
  </w:style>
  <w:style w:type="character" w:styleId="Cs3f9137501">
    <w:name w:val="cs3f9137501"/>
    <w:qFormat/>
    <w:rPr>
      <w:rFonts w:ascii="Arial" w:hAnsi="Arial" w:cs="Arial"/>
      <w:b w:val="false"/>
      <w:bCs w:val="false"/>
      <w:i/>
      <w:iCs/>
      <w:color w:val="102B56"/>
      <w:sz w:val="18"/>
      <w:szCs w:val="18"/>
      <w:u w:val="single"/>
      <w:shd w:fill="auto" w:val="clear"/>
    </w:rPr>
  </w:style>
  <w:style w:type="character" w:styleId="LineNumbering">
    <w:name w:val="Line Numbering"/>
    <w:rPr>
      <w:rFonts w:ascii="Segoe UI" w:hAnsi="Segoe UI" w:cs="Segoe UI"/>
      <w:color w:val="000000"/>
      <w:sz w:val="18"/>
      <w:szCs w:val="18"/>
    </w:rPr>
  </w:style>
  <w:style w:type="character" w:styleId="InternetLink">
    <w:name w:val="Internet Link"/>
    <w:rPr>
      <w:rFonts w:ascii="Segoe UI" w:hAnsi="Segoe UI" w:cs="Segoe UI"/>
      <w:color w:val="0000FF"/>
      <w:sz w:val="18"/>
      <w:szCs w:val="18"/>
      <w:u w:val="single"/>
    </w:rPr>
  </w:style>
  <w:style w:type="character" w:styleId="Csa939b0971">
    <w:name w:val="csa939b0971"/>
    <w:qFormat/>
    <w:rPr>
      <w:rFonts w:ascii="Times New Roman" w:hAnsi="Times New Roman" w:cs="Times New Roman"/>
      <w:b/>
      <w:bCs/>
      <w:i/>
      <w:iCs/>
      <w:color w:val="000000"/>
      <w:sz w:val="20"/>
      <w:szCs w:val="20"/>
      <w:shd w:fill="auto" w:val="clear"/>
    </w:rPr>
  </w:style>
  <w:style w:type="character" w:styleId="Style14">
    <w:name w:val="Знак примечания"/>
    <w:qFormat/>
    <w:rPr>
      <w:sz w:val="16"/>
      <w:szCs w:val="16"/>
    </w:rPr>
  </w:style>
  <w:style w:type="character" w:styleId="Style15">
    <w:name w:val="Текст примечания Знак"/>
    <w:qFormat/>
    <w:rPr>
      <w:rFonts w:ascii="Times New Roman" w:hAnsi="Times New Roman" w:eastAsia="Times New Roman" w:cs="Times New Roman"/>
    </w:rPr>
  </w:style>
  <w:style w:type="character" w:styleId="Style16">
    <w:name w:val="Тема примечания Знак"/>
    <w:qFormat/>
    <w:rPr>
      <w:rFonts w:ascii="Times New Roman" w:hAnsi="Times New Roman" w:eastAsia="Times New Roman" w:cs="Times New Roman"/>
      <w:b/>
      <w:bCs/>
    </w:rPr>
  </w:style>
  <w:style w:type="character" w:styleId="Csb3e8c9cf69">
    <w:name w:val="csb3e8c9cf69"/>
    <w:qFormat/>
    <w:rPr>
      <w:rFonts w:ascii="Arial" w:hAnsi="Arial" w:cs="Arial"/>
      <w:b/>
      <w:bCs/>
      <w:i w:val="false"/>
      <w:iCs w:val="false"/>
      <w:color w:val="000000"/>
      <w:sz w:val="18"/>
      <w:szCs w:val="18"/>
      <w:shd w:fill="auto" w:val="clear"/>
    </w:rPr>
  </w:style>
  <w:style w:type="character" w:styleId="Csf229d0ff64">
    <w:name w:val="csf229d0ff64"/>
    <w:qFormat/>
    <w:rPr>
      <w:rFonts w:ascii="Arial" w:hAnsi="Arial" w:cs="Arial"/>
      <w:b w:val="false"/>
      <w:bCs w:val="false"/>
      <w:i w:val="false"/>
      <w:iCs w:val="false"/>
      <w:color w:val="000000"/>
      <w:sz w:val="18"/>
      <w:szCs w:val="18"/>
      <w:shd w:fill="auto" w:val="clear"/>
    </w:rPr>
  </w:style>
  <w:style w:type="character" w:styleId="Csd398459525">
    <w:name w:val="csd398459525"/>
    <w:qFormat/>
    <w:rPr>
      <w:rFonts w:ascii="Arial" w:hAnsi="Arial" w:cs="Arial"/>
      <w:b/>
      <w:bCs/>
      <w:i/>
      <w:iCs/>
      <w:color w:val="000000"/>
      <w:sz w:val="18"/>
      <w:szCs w:val="18"/>
      <w:u w:val="single"/>
      <w:shd w:fill="auto" w:val="clear"/>
    </w:rPr>
  </w:style>
  <w:style w:type="character" w:styleId="Csd3c90d4325">
    <w:name w:val="csd3c90d4325"/>
    <w:qFormat/>
    <w:rPr>
      <w:rFonts w:ascii="Arial" w:hAnsi="Arial" w:cs="Arial"/>
      <w:b w:val="false"/>
      <w:bCs w:val="false"/>
      <w:i/>
      <w:iCs/>
      <w:color w:val="000000"/>
      <w:sz w:val="18"/>
      <w:szCs w:val="18"/>
      <w:shd w:fill="auto" w:val="clear"/>
    </w:rPr>
  </w:style>
  <w:style w:type="character" w:styleId="Csb86c8cfe3">
    <w:name w:val="csb86c8cfe3"/>
    <w:qFormat/>
    <w:rPr>
      <w:rFonts w:ascii="Times New Roman" w:hAnsi="Times New Roman" w:cs="Times New Roman"/>
      <w:b/>
      <w:bCs/>
      <w:i w:val="false"/>
      <w:iCs w:val="false"/>
      <w:color w:val="000000"/>
      <w:sz w:val="24"/>
      <w:szCs w:val="24"/>
      <w:shd w:fill="auto" w:val="clear"/>
    </w:rPr>
  </w:style>
  <w:style w:type="character" w:styleId="Csab6e076977">
    <w:name w:val="csab6e076977"/>
    <w:qFormat/>
    <w:rPr>
      <w:rFonts w:ascii="Arial" w:hAnsi="Arial" w:cs="Arial"/>
      <w:b w:val="false"/>
      <w:bCs w:val="false"/>
      <w:i w:val="false"/>
      <w:iCs w:val="false"/>
      <w:color w:val="000000"/>
      <w:sz w:val="18"/>
      <w:szCs w:val="18"/>
      <w:shd w:fill="auto" w:val="clear"/>
    </w:rPr>
  </w:style>
  <w:style w:type="character" w:styleId="Cs9f0a40401">
    <w:name w:val="cs9f0a40401"/>
    <w:qFormat/>
    <w:rPr>
      <w:rFonts w:ascii="Arial" w:hAnsi="Arial" w:cs="Arial"/>
      <w:b w:val="false"/>
      <w:bCs w:val="false"/>
      <w:i w:val="false"/>
      <w:iCs w:val="false"/>
      <w:color w:val="000000"/>
      <w:sz w:val="20"/>
      <w:szCs w:val="20"/>
      <w:shd w:fill="auto" w:val="clear"/>
    </w:rPr>
  </w:style>
  <w:style w:type="character" w:styleId="Csb3e8c9cf23">
    <w:name w:val="csb3e8c9cf23"/>
    <w:qFormat/>
    <w:rPr>
      <w:rFonts w:ascii="Arial" w:hAnsi="Arial" w:cs="Arial"/>
      <w:b/>
      <w:bCs/>
      <w:i w:val="false"/>
      <w:iCs w:val="false"/>
      <w:color w:val="000000"/>
      <w:sz w:val="18"/>
      <w:szCs w:val="18"/>
      <w:shd w:fill="auto" w:val="clear"/>
    </w:rPr>
  </w:style>
  <w:style w:type="character" w:styleId="Cs607602ac2">
    <w:name w:val="cs607602ac2"/>
    <w:qFormat/>
    <w:rPr>
      <w:rFonts w:ascii="Arial" w:hAnsi="Arial" w:cs="Arial"/>
      <w:b/>
      <w:bCs/>
      <w:i w:val="false"/>
      <w:iCs w:val="false"/>
      <w:color w:val="000000"/>
      <w:sz w:val="18"/>
      <w:szCs w:val="18"/>
      <w:u w:val="single"/>
      <w:shd w:fill="auto" w:val="clear"/>
    </w:rPr>
  </w:style>
  <w:style w:type="character" w:styleId="Csab6e0769291">
    <w:name w:val="csab6e0769291"/>
    <w:qFormat/>
    <w:rPr>
      <w:rFonts w:ascii="Arial" w:hAnsi="Arial" w:cs="Arial"/>
      <w:b w:val="false"/>
      <w:bCs w:val="false"/>
      <w:i w:val="false"/>
      <w:iCs w:val="false"/>
      <w:color w:val="000000"/>
      <w:sz w:val="18"/>
      <w:szCs w:val="18"/>
      <w:shd w:fill="auto" w:val="clear"/>
    </w:rPr>
  </w:style>
  <w:style w:type="character" w:styleId="Csafaf5741219">
    <w:name w:val="csafaf5741219"/>
    <w:qFormat/>
    <w:rPr>
      <w:rFonts w:ascii="Arial" w:hAnsi="Arial" w:cs="Arial"/>
      <w:b/>
      <w:bCs/>
      <w:i w:val="false"/>
      <w:iCs w:val="false"/>
      <w:color w:val="000000"/>
      <w:sz w:val="18"/>
      <w:szCs w:val="18"/>
      <w:shd w:fill="auto" w:val="clear"/>
    </w:rPr>
  </w:style>
  <w:style w:type="character" w:styleId="Csf562b92915">
    <w:name w:val="csf562b92915"/>
    <w:qFormat/>
    <w:rPr>
      <w:rFonts w:ascii="Arial" w:hAnsi="Arial" w:cs="Arial"/>
      <w:b/>
      <w:bCs/>
      <w:i/>
      <w:iCs/>
      <w:color w:val="000000"/>
      <w:sz w:val="18"/>
      <w:szCs w:val="18"/>
      <w:shd w:fill="auto" w:val="clear"/>
    </w:rPr>
  </w:style>
  <w:style w:type="character" w:styleId="Cseed234731">
    <w:name w:val="cseed234731"/>
    <w:qFormat/>
    <w:rPr>
      <w:rFonts w:ascii="Arial" w:hAnsi="Arial" w:cs="Arial"/>
      <w:b/>
      <w:bCs/>
      <w:i/>
      <w:iCs/>
      <w:color w:val="000000"/>
      <w:sz w:val="12"/>
      <w:szCs w:val="12"/>
      <w:shd w:fill="auto" w:val="clear"/>
    </w:rPr>
  </w:style>
  <w:style w:type="character" w:styleId="Csb3e8c9cf35">
    <w:name w:val="csb3e8c9cf35"/>
    <w:qFormat/>
    <w:rPr>
      <w:rFonts w:ascii="Arial" w:hAnsi="Arial" w:cs="Arial"/>
      <w:b/>
      <w:bCs/>
      <w:i w:val="false"/>
      <w:iCs w:val="false"/>
      <w:color w:val="000000"/>
      <w:sz w:val="18"/>
      <w:szCs w:val="18"/>
      <w:shd w:fill="auto" w:val="clear"/>
    </w:rPr>
  </w:style>
  <w:style w:type="character" w:styleId="Csb3e8c9cf28">
    <w:name w:val="csb3e8c9cf28"/>
    <w:qFormat/>
    <w:rPr>
      <w:rFonts w:ascii="Arial" w:hAnsi="Arial" w:cs="Arial"/>
      <w:b/>
      <w:bCs/>
      <w:i w:val="false"/>
      <w:iCs w:val="false"/>
      <w:color w:val="000000"/>
      <w:sz w:val="18"/>
      <w:szCs w:val="18"/>
      <w:shd w:fill="auto" w:val="clear"/>
    </w:rPr>
  </w:style>
  <w:style w:type="character" w:styleId="Csf562b9296">
    <w:name w:val="csf562b9296"/>
    <w:qFormat/>
    <w:rPr>
      <w:rFonts w:ascii="Arial" w:hAnsi="Arial" w:cs="Arial"/>
      <w:b/>
      <w:bCs/>
      <w:i/>
      <w:iCs/>
      <w:color w:val="000000"/>
      <w:sz w:val="18"/>
      <w:szCs w:val="18"/>
      <w:shd w:fill="auto" w:val="clear"/>
    </w:rPr>
  </w:style>
  <w:style w:type="character" w:styleId="Csab6e076930">
    <w:name w:val="csab6e076930"/>
    <w:qFormat/>
    <w:rPr>
      <w:rFonts w:ascii="Arial" w:hAnsi="Arial" w:cs="Arial"/>
      <w:b w:val="false"/>
      <w:bCs w:val="false"/>
      <w:i w:val="false"/>
      <w:iCs w:val="false"/>
      <w:color w:val="000000"/>
      <w:sz w:val="18"/>
      <w:szCs w:val="18"/>
      <w:shd w:fill="auto" w:val="clear"/>
    </w:rPr>
  </w:style>
  <w:style w:type="character" w:styleId="14">
    <w:name w:val="Основной текст (14)_"/>
    <w:qFormat/>
    <w:rPr>
      <w:rFonts w:ascii="Times New Roman" w:hAnsi="Times New Roman" w:cs="Times New Roman"/>
      <w:sz w:val="21"/>
      <w:szCs w:val="21"/>
      <w:shd w:fill="FFFFFF" w:val="clear"/>
    </w:rPr>
  </w:style>
  <w:style w:type="character" w:styleId="Csab6e076965">
    <w:name w:val="csab6e076965"/>
    <w:qFormat/>
    <w:rPr>
      <w:rFonts w:ascii="Arial" w:hAnsi="Arial" w:cs="Arial"/>
      <w:b w:val="false"/>
      <w:bCs w:val="false"/>
      <w:i w:val="false"/>
      <w:iCs w:val="false"/>
      <w:color w:val="000000"/>
      <w:sz w:val="18"/>
      <w:szCs w:val="18"/>
      <w:shd w:fill="auto" w:val="clear"/>
    </w:rPr>
  </w:style>
  <w:style w:type="character" w:styleId="Csf229d0ff33">
    <w:name w:val="csf229d0ff33"/>
    <w:qFormat/>
    <w:rPr>
      <w:rFonts w:ascii="Arial" w:hAnsi="Arial" w:cs="Arial"/>
      <w:b w:val="false"/>
      <w:bCs w:val="false"/>
      <w:i w:val="false"/>
      <w:iCs w:val="false"/>
      <w:color w:val="000000"/>
      <w:sz w:val="18"/>
      <w:szCs w:val="18"/>
      <w:shd w:fill="auto" w:val="clear"/>
    </w:rPr>
  </w:style>
  <w:style w:type="character" w:styleId="Csab6e076920">
    <w:name w:val="csab6e076920"/>
    <w:qFormat/>
    <w:rPr>
      <w:rFonts w:ascii="Arial" w:hAnsi="Arial" w:cs="Arial"/>
      <w:b w:val="false"/>
      <w:bCs w:val="false"/>
      <w:i w:val="false"/>
      <w:iCs w:val="false"/>
      <w:color w:val="000000"/>
      <w:sz w:val="18"/>
      <w:szCs w:val="18"/>
      <w:shd w:fill="auto" w:val="clear"/>
    </w:rPr>
  </w:style>
  <w:style w:type="character" w:styleId="Csf229d0ff28">
    <w:name w:val="csf229d0ff28"/>
    <w:qFormat/>
    <w:rPr>
      <w:rFonts w:ascii="Arial" w:hAnsi="Arial" w:cs="Arial"/>
      <w:b w:val="false"/>
      <w:bCs w:val="false"/>
      <w:i w:val="false"/>
      <w:iCs w:val="false"/>
      <w:color w:val="000000"/>
      <w:sz w:val="18"/>
      <w:szCs w:val="18"/>
      <w:shd w:fill="auto" w:val="clear"/>
    </w:rPr>
  </w:style>
  <w:style w:type="character" w:styleId="Csf229d0ff50">
    <w:name w:val="csf229d0ff50"/>
    <w:qFormat/>
    <w:rPr>
      <w:rFonts w:ascii="Arial" w:hAnsi="Arial" w:cs="Arial"/>
      <w:b w:val="false"/>
      <w:bCs w:val="false"/>
      <w:i w:val="false"/>
      <w:iCs w:val="false"/>
      <w:color w:val="000000"/>
      <w:sz w:val="18"/>
      <w:szCs w:val="18"/>
      <w:shd w:fill="auto" w:val="clear"/>
    </w:rPr>
  </w:style>
  <w:style w:type="character" w:styleId="Csf229d0ff22">
    <w:name w:val="csf229d0ff22"/>
    <w:qFormat/>
    <w:rPr>
      <w:rFonts w:ascii="Arial" w:hAnsi="Arial" w:cs="Arial"/>
      <w:b w:val="false"/>
      <w:bCs w:val="false"/>
      <w:i w:val="false"/>
      <w:iCs w:val="false"/>
      <w:color w:val="000000"/>
      <w:sz w:val="18"/>
      <w:szCs w:val="18"/>
      <w:shd w:fill="auto" w:val="clear"/>
    </w:rPr>
  </w:style>
  <w:style w:type="character" w:styleId="Csf229d0ff83">
    <w:name w:val="csf229d0ff83"/>
    <w:qFormat/>
    <w:rPr>
      <w:rFonts w:ascii="Arial" w:hAnsi="Arial" w:cs="Arial"/>
      <w:b w:val="false"/>
      <w:bCs w:val="false"/>
      <w:i w:val="false"/>
      <w:iCs w:val="false"/>
      <w:color w:val="000000"/>
      <w:sz w:val="18"/>
      <w:szCs w:val="18"/>
      <w:shd w:fill="auto" w:val="clear"/>
    </w:rPr>
  </w:style>
  <w:style w:type="character" w:styleId="Csf229d0ff76">
    <w:name w:val="csf229d0ff76"/>
    <w:qFormat/>
    <w:rPr>
      <w:rFonts w:ascii="Arial" w:hAnsi="Arial" w:cs="Arial"/>
      <w:b w:val="false"/>
      <w:bCs w:val="false"/>
      <w:i w:val="false"/>
      <w:iCs w:val="false"/>
      <w:color w:val="000000"/>
      <w:sz w:val="18"/>
      <w:szCs w:val="18"/>
      <w:shd w:fill="auto" w:val="clear"/>
    </w:rPr>
  </w:style>
  <w:style w:type="character" w:styleId="Csf229d0ff20">
    <w:name w:val="csf229d0ff20"/>
    <w:qFormat/>
    <w:rPr>
      <w:rFonts w:ascii="Arial" w:hAnsi="Arial" w:cs="Arial"/>
      <w:b w:val="false"/>
      <w:bCs w:val="false"/>
      <w:i w:val="false"/>
      <w:iCs w:val="false"/>
      <w:color w:val="000000"/>
      <w:sz w:val="18"/>
      <w:szCs w:val="18"/>
      <w:shd w:fill="auto" w:val="clear"/>
    </w:rPr>
  </w:style>
  <w:style w:type="character" w:styleId="Csab6e07697">
    <w:name w:val="csab6e07697"/>
    <w:qFormat/>
    <w:rPr>
      <w:rFonts w:ascii="Arial" w:hAnsi="Arial" w:cs="Arial"/>
      <w:b w:val="false"/>
      <w:bCs w:val="false"/>
      <w:i w:val="false"/>
      <w:iCs w:val="false"/>
      <w:color w:val="000000"/>
      <w:sz w:val="18"/>
      <w:szCs w:val="18"/>
      <w:shd w:fill="auto" w:val="clear"/>
    </w:rPr>
  </w:style>
  <w:style w:type="character" w:styleId="Csb3e8c9cf94">
    <w:name w:val="csb3e8c9cf94"/>
    <w:qFormat/>
    <w:rPr>
      <w:rFonts w:ascii="Arial" w:hAnsi="Arial" w:cs="Arial"/>
      <w:b/>
      <w:bCs/>
      <w:i w:val="false"/>
      <w:iCs w:val="false"/>
      <w:color w:val="000000"/>
      <w:sz w:val="18"/>
      <w:szCs w:val="18"/>
      <w:shd w:fill="auto" w:val="clear"/>
    </w:rPr>
  </w:style>
  <w:style w:type="character" w:styleId="Csf229d0ff91">
    <w:name w:val="csf229d0ff91"/>
    <w:qFormat/>
    <w:rPr>
      <w:rFonts w:ascii="Arial" w:hAnsi="Arial" w:cs="Arial"/>
      <w:b w:val="false"/>
      <w:bCs w:val="false"/>
      <w:i w:val="false"/>
      <w:iCs w:val="false"/>
      <w:color w:val="000000"/>
      <w:sz w:val="18"/>
      <w:szCs w:val="18"/>
      <w:shd w:fill="auto" w:val="clear"/>
    </w:rPr>
  </w:style>
  <w:style w:type="character" w:styleId="21">
    <w:name w:val="Заголовок 2 Знак1"/>
    <w:qFormat/>
    <w:rPr>
      <w:rFonts w:ascii="Arial" w:hAnsi="Arial" w:eastAsia="Times New Roman" w:cs="Arial"/>
      <w:b/>
      <w:caps/>
      <w:sz w:val="16"/>
      <w:lang w:val="ru-RU"/>
    </w:rPr>
  </w:style>
  <w:style w:type="character" w:styleId="41">
    <w:name w:val="Заголовок 4 Знак1"/>
    <w:qFormat/>
    <w:rPr>
      <w:rFonts w:ascii="Arial" w:hAnsi="Arial" w:eastAsia="Times New Roman" w:cs="Arial"/>
      <w:b/>
      <w:lang w:val="ru-RU"/>
    </w:rPr>
  </w:style>
  <w:style w:type="character" w:styleId="Csf229d0ff74">
    <w:name w:val="csf229d0ff74"/>
    <w:qFormat/>
    <w:rPr>
      <w:rFonts w:ascii="Arial" w:hAnsi="Arial" w:cs="Arial"/>
      <w:b w:val="false"/>
      <w:bCs w:val="false"/>
      <w:i w:val="false"/>
      <w:iCs w:val="false"/>
      <w:color w:val="000000"/>
      <w:sz w:val="18"/>
      <w:szCs w:val="18"/>
      <w:shd w:fill="auto" w:val="clear"/>
    </w:rPr>
  </w:style>
  <w:style w:type="character" w:styleId="Csf229d0ff97">
    <w:name w:val="csf229d0ff97"/>
    <w:qFormat/>
    <w:rPr>
      <w:rFonts w:ascii="Arial" w:hAnsi="Arial" w:cs="Arial"/>
      <w:b w:val="false"/>
      <w:bCs w:val="false"/>
      <w:i w:val="false"/>
      <w:iCs w:val="false"/>
      <w:color w:val="000000"/>
      <w:sz w:val="18"/>
      <w:szCs w:val="18"/>
      <w:shd w:fill="auto" w:val="clear"/>
    </w:rPr>
  </w:style>
  <w:style w:type="character" w:styleId="Csab6e076939">
    <w:name w:val="csab6e076939"/>
    <w:qFormat/>
    <w:rPr>
      <w:rFonts w:ascii="Arial" w:hAnsi="Arial" w:cs="Arial"/>
      <w:b w:val="false"/>
      <w:bCs w:val="false"/>
      <w:i w:val="false"/>
      <w:iCs w:val="false"/>
      <w:color w:val="000000"/>
      <w:sz w:val="18"/>
      <w:szCs w:val="18"/>
      <w:shd w:fill="auto" w:val="clear"/>
    </w:rPr>
  </w:style>
  <w:style w:type="character" w:styleId="Csf229d0ff57">
    <w:name w:val="csf229d0ff57"/>
    <w:qFormat/>
    <w:rPr>
      <w:rFonts w:ascii="Arial" w:hAnsi="Arial" w:cs="Arial"/>
      <w:b w:val="false"/>
      <w:bCs w:val="false"/>
      <w:i w:val="false"/>
      <w:iCs w:val="false"/>
      <w:color w:val="000000"/>
      <w:sz w:val="18"/>
      <w:szCs w:val="18"/>
      <w:shd w:fill="auto" w:val="clear"/>
    </w:rPr>
  </w:style>
  <w:style w:type="character" w:styleId="Csf229d0ff149">
    <w:name w:val="csf229d0ff149"/>
    <w:qFormat/>
    <w:rPr>
      <w:rFonts w:ascii="Arial" w:hAnsi="Arial" w:cs="Arial"/>
      <w:b w:val="false"/>
      <w:bCs w:val="false"/>
      <w:i w:val="false"/>
      <w:iCs w:val="false"/>
      <w:color w:val="000000"/>
      <w:sz w:val="18"/>
      <w:szCs w:val="18"/>
      <w:shd w:fill="auto" w:val="clear"/>
    </w:rPr>
  </w:style>
  <w:style w:type="character" w:styleId="Csf229d0ff65">
    <w:name w:val="csf229d0ff65"/>
    <w:qFormat/>
    <w:rPr>
      <w:rFonts w:ascii="Arial" w:hAnsi="Arial" w:cs="Arial"/>
      <w:b w:val="false"/>
      <w:bCs w:val="false"/>
      <w:i w:val="false"/>
      <w:iCs w:val="false"/>
      <w:color w:val="000000"/>
      <w:sz w:val="18"/>
      <w:szCs w:val="18"/>
      <w:shd w:fill="auto" w:val="clear"/>
    </w:rPr>
  </w:style>
  <w:style w:type="character" w:styleId="Csf229d0ff132">
    <w:name w:val="csf229d0ff132"/>
    <w:qFormat/>
    <w:rPr>
      <w:rFonts w:ascii="Arial" w:hAnsi="Arial" w:cs="Arial"/>
      <w:b w:val="false"/>
      <w:bCs w:val="false"/>
      <w:i w:val="false"/>
      <w:iCs w:val="false"/>
      <w:color w:val="000000"/>
      <w:sz w:val="18"/>
      <w:szCs w:val="18"/>
      <w:shd w:fill="auto" w:val="clear"/>
    </w:rPr>
  </w:style>
  <w:style w:type="character" w:styleId="Csf229d0ff96">
    <w:name w:val="csf229d0ff96"/>
    <w:qFormat/>
    <w:rPr>
      <w:rFonts w:ascii="Arial" w:hAnsi="Arial" w:cs="Arial"/>
      <w:b w:val="false"/>
      <w:bCs w:val="false"/>
      <w:i w:val="false"/>
      <w:iCs w:val="false"/>
      <w:color w:val="000000"/>
      <w:sz w:val="18"/>
      <w:szCs w:val="18"/>
      <w:shd w:fill="auto" w:val="clear"/>
    </w:rPr>
  </w:style>
  <w:style w:type="character" w:styleId="Csf229d0ff148">
    <w:name w:val="csf229d0ff148"/>
    <w:qFormat/>
    <w:rPr>
      <w:rFonts w:ascii="Arial" w:hAnsi="Arial" w:cs="Arial"/>
      <w:b w:val="false"/>
      <w:bCs w:val="false"/>
      <w:i w:val="false"/>
      <w:iCs w:val="false"/>
      <w:color w:val="000000"/>
      <w:sz w:val="18"/>
      <w:szCs w:val="18"/>
      <w:shd w:fill="auto" w:val="clear"/>
    </w:rPr>
  </w:style>
  <w:style w:type="character" w:styleId="Csf229d0ff176">
    <w:name w:val="csf229d0ff176"/>
    <w:qFormat/>
    <w:rPr>
      <w:rFonts w:ascii="Arial" w:hAnsi="Arial" w:cs="Arial"/>
      <w:b w:val="false"/>
      <w:bCs w:val="false"/>
      <w:i w:val="false"/>
      <w:iCs w:val="false"/>
      <w:color w:val="000000"/>
      <w:sz w:val="18"/>
      <w:szCs w:val="18"/>
      <w:shd w:fill="auto" w:val="clear"/>
    </w:rPr>
  </w:style>
  <w:style w:type="character" w:styleId="Csf229d0ff231">
    <w:name w:val="csf229d0ff231"/>
    <w:qFormat/>
    <w:rPr>
      <w:rFonts w:ascii="Arial" w:hAnsi="Arial" w:cs="Arial"/>
      <w:b w:val="false"/>
      <w:bCs w:val="false"/>
      <w:i w:val="false"/>
      <w:iCs w:val="false"/>
      <w:color w:val="000000"/>
      <w:sz w:val="18"/>
      <w:szCs w:val="18"/>
      <w:shd w:fill="auto" w:val="clear"/>
    </w:rPr>
  </w:style>
  <w:style w:type="character" w:styleId="Csf229d0ff238">
    <w:name w:val="csf229d0ff238"/>
    <w:qFormat/>
    <w:rPr>
      <w:rFonts w:ascii="Arial" w:hAnsi="Arial" w:cs="Arial"/>
      <w:b w:val="false"/>
      <w:bCs w:val="false"/>
      <w:i w:val="false"/>
      <w:iCs w:val="false"/>
      <w:color w:val="000000"/>
      <w:sz w:val="18"/>
      <w:szCs w:val="18"/>
      <w:shd w:fill="auto" w:val="clear"/>
    </w:rPr>
  </w:style>
  <w:style w:type="character" w:styleId="Csf229d0ff127">
    <w:name w:val="csf229d0ff127"/>
    <w:qFormat/>
    <w:rPr>
      <w:rFonts w:ascii="Arial" w:hAnsi="Arial" w:cs="Arial"/>
      <w:b w:val="false"/>
      <w:bCs w:val="false"/>
      <w:i w:val="false"/>
      <w:iCs w:val="false"/>
      <w:color w:val="000000"/>
      <w:sz w:val="18"/>
      <w:szCs w:val="18"/>
      <w:shd w:fill="auto" w:val="clear"/>
    </w:rPr>
  </w:style>
  <w:style w:type="character" w:styleId="Csab6e076951">
    <w:name w:val="csab6e076951"/>
    <w:qFormat/>
    <w:rPr>
      <w:rFonts w:ascii="Arial" w:hAnsi="Arial" w:cs="Arial"/>
      <w:b w:val="false"/>
      <w:bCs w:val="false"/>
      <w:i w:val="false"/>
      <w:iCs w:val="false"/>
      <w:color w:val="000000"/>
      <w:sz w:val="18"/>
      <w:szCs w:val="18"/>
      <w:shd w:fill="auto" w:val="clear"/>
    </w:rPr>
  </w:style>
  <w:style w:type="character" w:styleId="Csf229d0ff43">
    <w:name w:val="csf229d0ff43"/>
    <w:qFormat/>
    <w:rPr>
      <w:rFonts w:ascii="Arial" w:hAnsi="Arial" w:cs="Arial"/>
      <w:b w:val="false"/>
      <w:bCs w:val="false"/>
      <w:i w:val="false"/>
      <w:iCs w:val="false"/>
      <w:color w:val="000000"/>
      <w:sz w:val="18"/>
      <w:szCs w:val="18"/>
      <w:shd w:fill="auto" w:val="clear"/>
    </w:rPr>
  </w:style>
  <w:style w:type="character" w:styleId="Cs958d30211">
    <w:name w:val="cs958d30211"/>
    <w:qFormat/>
    <w:rPr>
      <w:rFonts w:ascii="Microsoft YaHei" w:hAnsi="Microsoft YaHei" w:eastAsia="Microsoft YaHei" w:cs="Microsoft YaHei"/>
      <w:b w:val="false"/>
      <w:bCs w:val="false"/>
      <w:i w:val="false"/>
      <w:iCs w:val="false"/>
      <w:color w:val="000000"/>
      <w:sz w:val="18"/>
      <w:szCs w:val="18"/>
      <w:shd w:fill="auto" w:val="clear"/>
    </w:rPr>
  </w:style>
  <w:style w:type="character" w:styleId="Csab6e07691">
    <w:name w:val="csab6e07691"/>
    <w:qFormat/>
    <w:rPr>
      <w:rFonts w:ascii="Arial" w:hAnsi="Arial" w:cs="Arial"/>
      <w:b w:val="false"/>
      <w:bCs w:val="false"/>
      <w:i w:val="false"/>
      <w:iCs w:val="false"/>
      <w:color w:val="000000"/>
      <w:sz w:val="18"/>
      <w:szCs w:val="18"/>
      <w:shd w:fill="auto" w:val="clear"/>
    </w:rPr>
  </w:style>
  <w:style w:type="character" w:styleId="Csf229d0ff193">
    <w:name w:val="csf229d0ff193"/>
    <w:qFormat/>
    <w:rPr>
      <w:rFonts w:ascii="Arial" w:hAnsi="Arial" w:cs="Arial"/>
      <w:b w:val="false"/>
      <w:bCs w:val="false"/>
      <w:i w:val="false"/>
      <w:iCs w:val="false"/>
      <w:color w:val="000000"/>
      <w:sz w:val="18"/>
      <w:szCs w:val="18"/>
      <w:shd w:fill="auto" w:val="clear"/>
    </w:rPr>
  </w:style>
  <w:style w:type="character" w:styleId="Csab6e076922">
    <w:name w:val="csab6e076922"/>
    <w:qFormat/>
    <w:rPr>
      <w:rFonts w:ascii="Arial" w:hAnsi="Arial" w:cs="Arial"/>
      <w:b w:val="false"/>
      <w:bCs w:val="false"/>
      <w:i w:val="false"/>
      <w:iCs w:val="false"/>
      <w:color w:val="000000"/>
      <w:sz w:val="18"/>
      <w:szCs w:val="18"/>
      <w:shd w:fill="auto" w:val="clear"/>
    </w:rPr>
  </w:style>
  <w:style w:type="character" w:styleId="Csab6e076996">
    <w:name w:val="csab6e076996"/>
    <w:qFormat/>
    <w:rPr>
      <w:rFonts w:ascii="Arial" w:hAnsi="Arial" w:cs="Arial"/>
      <w:b w:val="false"/>
      <w:bCs w:val="false"/>
      <w:i w:val="false"/>
      <w:iCs w:val="false"/>
      <w:color w:val="000000"/>
      <w:sz w:val="18"/>
      <w:szCs w:val="18"/>
      <w:shd w:fill="auto" w:val="clear"/>
    </w:rPr>
  </w:style>
  <w:style w:type="character" w:styleId="Csab6e076995">
    <w:name w:val="csab6e076995"/>
    <w:qFormat/>
    <w:rPr>
      <w:rFonts w:ascii="Arial" w:hAnsi="Arial" w:cs="Arial"/>
      <w:b w:val="false"/>
      <w:bCs w:val="false"/>
      <w:i w:val="false"/>
      <w:iCs w:val="false"/>
      <w:color w:val="000000"/>
      <w:sz w:val="18"/>
      <w:szCs w:val="18"/>
      <w:shd w:fill="auto" w:val="clear"/>
    </w:rPr>
  </w:style>
  <w:style w:type="character" w:styleId="Csf229d0ff200">
    <w:name w:val="csf229d0ff200"/>
    <w:qFormat/>
    <w:rPr>
      <w:rFonts w:ascii="Arial" w:hAnsi="Arial" w:cs="Arial"/>
      <w:b w:val="false"/>
      <w:bCs w:val="false"/>
      <w:i w:val="false"/>
      <w:iCs w:val="false"/>
      <w:color w:val="000000"/>
      <w:sz w:val="18"/>
      <w:szCs w:val="18"/>
      <w:shd w:fill="auto" w:val="clear"/>
    </w:rPr>
  </w:style>
  <w:style w:type="character" w:styleId="Csba294252">
    <w:name w:val="csba294252"/>
    <w:qFormat/>
    <w:rPr>
      <w:rFonts w:ascii="Segoe UI" w:hAnsi="Segoe UI" w:cs="Segoe UI"/>
      <w:b/>
      <w:bCs/>
      <w:i/>
      <w:iCs/>
      <w:color w:val="102B56"/>
      <w:sz w:val="18"/>
      <w:szCs w:val="18"/>
      <w:shd w:fill="auto" w:val="clear"/>
    </w:rPr>
  </w:style>
  <w:style w:type="character" w:styleId="Csf229d0ff131">
    <w:name w:val="csf229d0ff131"/>
    <w:qFormat/>
    <w:rPr>
      <w:rFonts w:ascii="Arial" w:hAnsi="Arial" w:cs="Arial"/>
      <w:b w:val="false"/>
      <w:bCs w:val="false"/>
      <w:i w:val="false"/>
      <w:iCs w:val="false"/>
      <w:color w:val="000000"/>
      <w:sz w:val="18"/>
      <w:szCs w:val="18"/>
      <w:shd w:fill="auto" w:val="clear"/>
    </w:rPr>
  </w:style>
  <w:style w:type="character" w:styleId="Csf229d0ff154">
    <w:name w:val="csf229d0ff154"/>
    <w:qFormat/>
    <w:rPr>
      <w:rFonts w:ascii="Arial" w:hAnsi="Arial" w:cs="Arial"/>
      <w:b w:val="false"/>
      <w:bCs w:val="false"/>
      <w:i w:val="false"/>
      <w:iCs w:val="false"/>
      <w:color w:val="000000"/>
      <w:sz w:val="18"/>
      <w:szCs w:val="18"/>
      <w:shd w:fill="auto" w:val="clear"/>
    </w:rPr>
  </w:style>
  <w:style w:type="character" w:styleId="Csa5a0f5422">
    <w:name w:val="csa5a0f5422"/>
    <w:qFormat/>
    <w:rPr>
      <w:rFonts w:ascii="Arial" w:hAnsi="Arial" w:cs="Arial"/>
      <w:b w:val="false"/>
      <w:bCs w:val="false"/>
      <w:i w:val="false"/>
      <w:iCs w:val="false"/>
      <w:color w:val="102B56"/>
      <w:sz w:val="18"/>
      <w:szCs w:val="18"/>
      <w:shd w:fill="auto" w:val="clear"/>
    </w:rPr>
  </w:style>
  <w:style w:type="character" w:styleId="Csf229d0ff153">
    <w:name w:val="csf229d0ff153"/>
    <w:qFormat/>
    <w:rPr>
      <w:rFonts w:ascii="Arial" w:hAnsi="Arial" w:cs="Arial"/>
      <w:b w:val="false"/>
      <w:bCs w:val="false"/>
      <w:i w:val="false"/>
      <w:iCs w:val="false"/>
      <w:color w:val="000000"/>
      <w:sz w:val="18"/>
      <w:szCs w:val="18"/>
      <w:shd w:fill="auto" w:val="clear"/>
    </w:rPr>
  </w:style>
  <w:style w:type="character" w:styleId="Cs7ca65d8c1">
    <w:name w:val="cs7ca65d8c1"/>
    <w:qFormat/>
    <w:rPr>
      <w:rFonts w:ascii="Segoe UI" w:hAnsi="Segoe UI" w:cs="Segoe UI"/>
      <w:b w:val="false"/>
      <w:bCs w:val="false"/>
      <w:i w:val="false"/>
      <w:iCs w:val="false"/>
      <w:color w:val="102B56"/>
      <w:sz w:val="18"/>
      <w:szCs w:val="18"/>
      <w:shd w:fill="auto" w:val="clear"/>
    </w:rPr>
  </w:style>
  <w:style w:type="character" w:styleId="Csf229d0ff166">
    <w:name w:val="csf229d0ff166"/>
    <w:qFormat/>
    <w:rPr>
      <w:rFonts w:ascii="Arial" w:hAnsi="Arial" w:cs="Arial"/>
      <w:b w:val="false"/>
      <w:bCs w:val="false"/>
      <w:i w:val="false"/>
      <w:iCs w:val="false"/>
      <w:color w:val="000000"/>
      <w:sz w:val="18"/>
      <w:szCs w:val="18"/>
      <w:shd w:fill="auto" w:val="clear"/>
    </w:rPr>
  </w:style>
  <w:style w:type="character" w:styleId="Csf229d0ff177">
    <w:name w:val="csf229d0ff177"/>
    <w:qFormat/>
    <w:rPr>
      <w:rFonts w:ascii="Arial" w:hAnsi="Arial" w:cs="Arial"/>
      <w:b w:val="false"/>
      <w:bCs w:val="false"/>
      <w:i w:val="false"/>
      <w:iCs w:val="false"/>
      <w:color w:val="000000"/>
      <w:sz w:val="18"/>
      <w:szCs w:val="18"/>
      <w:shd w:fill="auto" w:val="clear"/>
    </w:rPr>
  </w:style>
  <w:style w:type="character" w:styleId="Csf229d0ff104">
    <w:name w:val="csf229d0ff104"/>
    <w:qFormat/>
    <w:rPr>
      <w:rFonts w:ascii="Arial" w:hAnsi="Arial" w:cs="Arial"/>
      <w:b w:val="false"/>
      <w:bCs w:val="false"/>
      <w:i w:val="false"/>
      <w:iCs w:val="false"/>
      <w:color w:val="000000"/>
      <w:sz w:val="18"/>
      <w:szCs w:val="18"/>
      <w:shd w:fill="auto" w:val="clear"/>
    </w:rPr>
  </w:style>
  <w:style w:type="character" w:styleId="Csf229d0ff156">
    <w:name w:val="csf229d0ff156"/>
    <w:qFormat/>
    <w:rPr>
      <w:rFonts w:ascii="Arial" w:hAnsi="Arial" w:cs="Arial"/>
      <w:b w:val="false"/>
      <w:bCs w:val="false"/>
      <w:i w:val="false"/>
      <w:iCs w:val="false"/>
      <w:color w:val="000000"/>
      <w:sz w:val="18"/>
      <w:szCs w:val="18"/>
      <w:shd w:fill="auto" w:val="clear"/>
    </w:rPr>
  </w:style>
  <w:style w:type="character" w:styleId="Csab6e076917">
    <w:name w:val="csab6e076917"/>
    <w:qFormat/>
    <w:rPr>
      <w:rFonts w:ascii="Arial" w:hAnsi="Arial" w:cs="Arial"/>
      <w:b w:val="false"/>
      <w:bCs w:val="false"/>
      <w:i w:val="false"/>
      <w:iCs w:val="false"/>
      <w:color w:val="000000"/>
      <w:sz w:val="18"/>
      <w:szCs w:val="18"/>
      <w:shd w:fill="auto" w:val="clear"/>
    </w:rPr>
  </w:style>
  <w:style w:type="character" w:styleId="Csab6e076935">
    <w:name w:val="csab6e076935"/>
    <w:qFormat/>
    <w:rPr>
      <w:rFonts w:ascii="Arial" w:hAnsi="Arial" w:cs="Arial"/>
      <w:b w:val="false"/>
      <w:bCs w:val="false"/>
      <w:i w:val="false"/>
      <w:iCs w:val="false"/>
      <w:color w:val="000000"/>
      <w:sz w:val="18"/>
      <w:szCs w:val="18"/>
      <w:shd w:fill="auto" w:val="clear"/>
    </w:rPr>
  </w:style>
  <w:style w:type="character" w:styleId="Csab6e076934">
    <w:name w:val="csab6e076934"/>
    <w:qFormat/>
    <w:rPr>
      <w:rFonts w:ascii="Arial" w:hAnsi="Arial" w:cs="Arial"/>
      <w:b w:val="false"/>
      <w:bCs w:val="false"/>
      <w:i w:val="false"/>
      <w:iCs w:val="false"/>
      <w:color w:val="000000"/>
      <w:sz w:val="18"/>
      <w:szCs w:val="18"/>
      <w:shd w:fill="auto" w:val="clear"/>
    </w:rPr>
  </w:style>
  <w:style w:type="character" w:styleId="Csf229d0ff121">
    <w:name w:val="csf229d0ff121"/>
    <w:qFormat/>
    <w:rPr>
      <w:rFonts w:ascii="Arial" w:hAnsi="Arial" w:cs="Arial"/>
      <w:b w:val="false"/>
      <w:bCs w:val="false"/>
      <w:i w:val="false"/>
      <w:iCs w:val="false"/>
      <w:color w:val="000000"/>
      <w:sz w:val="18"/>
      <w:szCs w:val="18"/>
      <w:shd w:fill="auto" w:val="clear"/>
    </w:rPr>
  </w:style>
  <w:style w:type="character" w:styleId="Csf229d0ff105">
    <w:name w:val="csf229d0ff105"/>
    <w:qFormat/>
    <w:rPr>
      <w:rFonts w:ascii="Arial" w:hAnsi="Arial" w:cs="Arial"/>
      <w:b w:val="false"/>
      <w:bCs w:val="false"/>
      <w:i w:val="false"/>
      <w:iCs w:val="false"/>
      <w:color w:val="000000"/>
      <w:sz w:val="18"/>
      <w:szCs w:val="18"/>
      <w:shd w:fill="auto" w:val="clear"/>
    </w:rPr>
  </w:style>
  <w:style w:type="character" w:styleId="Csab6e076976">
    <w:name w:val="csab6e076976"/>
    <w:qFormat/>
    <w:rPr>
      <w:rFonts w:ascii="Arial" w:hAnsi="Arial" w:cs="Arial"/>
      <w:b w:val="false"/>
      <w:bCs w:val="false"/>
      <w:i w:val="false"/>
      <w:iCs w:val="false"/>
      <w:color w:val="000000"/>
      <w:sz w:val="18"/>
      <w:szCs w:val="18"/>
      <w:shd w:fill="auto" w:val="clear"/>
    </w:rPr>
  </w:style>
  <w:style w:type="character" w:styleId="Csf229d0ff169">
    <w:name w:val="csf229d0ff169"/>
    <w:qFormat/>
    <w:rPr>
      <w:rFonts w:ascii="Arial" w:hAnsi="Arial" w:cs="Arial"/>
      <w:b w:val="false"/>
      <w:bCs w:val="false"/>
      <w:i w:val="false"/>
      <w:iCs w:val="false"/>
      <w:color w:val="000000"/>
      <w:sz w:val="18"/>
      <w:szCs w:val="18"/>
      <w:shd w:fill="auto" w:val="clear"/>
    </w:rPr>
  </w:style>
  <w:style w:type="character" w:styleId="Csab6e076938">
    <w:name w:val="csab6e076938"/>
    <w:qFormat/>
    <w:rPr>
      <w:rFonts w:ascii="Arial" w:hAnsi="Arial" w:cs="Arial"/>
      <w:b w:val="false"/>
      <w:bCs w:val="false"/>
      <w:i w:val="false"/>
      <w:iCs w:val="false"/>
      <w:color w:val="000000"/>
      <w:sz w:val="18"/>
      <w:szCs w:val="18"/>
      <w:shd w:fill="auto" w:val="clear"/>
    </w:rPr>
  </w:style>
  <w:style w:type="character" w:styleId="Csf562b9293">
    <w:name w:val="csf562b9293"/>
    <w:qFormat/>
    <w:rPr>
      <w:rFonts w:ascii="Arial" w:hAnsi="Arial" w:cs="Arial"/>
      <w:b/>
      <w:bCs/>
      <w:i/>
      <w:iCs/>
      <w:color w:val="000000"/>
      <w:sz w:val="18"/>
      <w:szCs w:val="18"/>
      <w:shd w:fill="auto" w:val="clear"/>
    </w:rPr>
  </w:style>
  <w:style w:type="character" w:styleId="Csf229d0ff144">
    <w:name w:val="csf229d0ff144"/>
    <w:qFormat/>
    <w:rPr>
      <w:rFonts w:ascii="Arial" w:hAnsi="Arial" w:cs="Arial"/>
      <w:b w:val="false"/>
      <w:bCs w:val="false"/>
      <w:i w:val="false"/>
      <w:iCs w:val="false"/>
      <w:color w:val="000000"/>
      <w:sz w:val="18"/>
      <w:szCs w:val="18"/>
      <w:shd w:fill="auto" w:val="clear"/>
    </w:rPr>
  </w:style>
  <w:style w:type="character" w:styleId="Csf229d0ff318">
    <w:name w:val="csf229d0ff318"/>
    <w:qFormat/>
    <w:rPr>
      <w:rFonts w:ascii="Arial" w:hAnsi="Arial" w:cs="Arial"/>
      <w:b w:val="false"/>
      <w:bCs w:val="false"/>
      <w:i w:val="false"/>
      <w:iCs w:val="false"/>
      <w:color w:val="000000"/>
      <w:sz w:val="18"/>
      <w:szCs w:val="18"/>
      <w:shd w:fill="auto" w:val="clear"/>
    </w:rPr>
  </w:style>
  <w:style w:type="character" w:styleId="Csf562b9294">
    <w:name w:val="csf562b9294"/>
    <w:qFormat/>
    <w:rPr>
      <w:rFonts w:ascii="Arial" w:hAnsi="Arial" w:cs="Arial"/>
      <w:b/>
      <w:bCs/>
      <w:i/>
      <w:iCs/>
      <w:color w:val="000000"/>
      <w:sz w:val="18"/>
      <w:szCs w:val="18"/>
      <w:shd w:fill="auto" w:val="clear"/>
    </w:rPr>
  </w:style>
  <w:style w:type="character" w:styleId="Csf229d0ff122">
    <w:name w:val="csf229d0ff122"/>
    <w:qFormat/>
    <w:rPr>
      <w:rFonts w:ascii="Arial" w:hAnsi="Arial" w:cs="Arial"/>
      <w:b w:val="false"/>
      <w:bCs w:val="false"/>
      <w:i w:val="false"/>
      <w:iCs w:val="false"/>
      <w:color w:val="000000"/>
      <w:sz w:val="18"/>
      <w:szCs w:val="18"/>
      <w:shd w:fill="auto" w:val="clear"/>
    </w:rPr>
  </w:style>
  <w:style w:type="character" w:styleId="Csf229d0ff167">
    <w:name w:val="csf229d0ff167"/>
    <w:qFormat/>
    <w:rPr>
      <w:rFonts w:ascii="Arial" w:hAnsi="Arial" w:cs="Arial"/>
      <w:b w:val="false"/>
      <w:bCs w:val="false"/>
      <w:i w:val="false"/>
      <w:iCs w:val="false"/>
      <w:color w:val="000000"/>
      <w:sz w:val="18"/>
      <w:szCs w:val="18"/>
      <w:shd w:fill="auto" w:val="clear"/>
    </w:rPr>
  </w:style>
  <w:style w:type="character" w:styleId="Csf229d0ff62">
    <w:name w:val="csf229d0ff62"/>
    <w:qFormat/>
    <w:rPr>
      <w:rFonts w:ascii="Arial" w:hAnsi="Arial" w:cs="Arial"/>
      <w:b w:val="false"/>
      <w:bCs w:val="false"/>
      <w:i w:val="false"/>
      <w:iCs w:val="false"/>
      <w:color w:val="000000"/>
      <w:sz w:val="18"/>
      <w:szCs w:val="18"/>
      <w:shd w:fill="auto" w:val="clear"/>
    </w:rPr>
  </w:style>
  <w:style w:type="character" w:styleId="Csf229d0ff68">
    <w:name w:val="csf229d0ff68"/>
    <w:qFormat/>
    <w:rPr>
      <w:rFonts w:ascii="Arial" w:hAnsi="Arial" w:cs="Arial"/>
      <w:b w:val="false"/>
      <w:bCs w:val="false"/>
      <w:i w:val="false"/>
      <w:iCs w:val="false"/>
      <w:color w:val="000000"/>
      <w:sz w:val="18"/>
      <w:szCs w:val="18"/>
      <w:shd w:fill="auto" w:val="clear"/>
    </w:rPr>
  </w:style>
  <w:style w:type="character" w:styleId="Csf229d0ff138">
    <w:name w:val="csf229d0ff138"/>
    <w:qFormat/>
    <w:rPr>
      <w:rFonts w:ascii="Arial" w:hAnsi="Arial" w:cs="Arial"/>
      <w:b w:val="false"/>
      <w:bCs w:val="false"/>
      <w:i w:val="false"/>
      <w:iCs w:val="false"/>
      <w:color w:val="000000"/>
      <w:sz w:val="18"/>
      <w:szCs w:val="18"/>
      <w:shd w:fill="auto" w:val="clear"/>
    </w:rPr>
  </w:style>
  <w:style w:type="character" w:styleId="Csf229d0ff160">
    <w:name w:val="csf229d0ff160"/>
    <w:qFormat/>
    <w:rPr>
      <w:rFonts w:ascii="Arial" w:hAnsi="Arial" w:cs="Arial"/>
      <w:b w:val="false"/>
      <w:bCs w:val="false"/>
      <w:i w:val="false"/>
      <w:iCs w:val="false"/>
      <w:color w:val="000000"/>
      <w:sz w:val="18"/>
      <w:szCs w:val="18"/>
      <w:shd w:fill="auto" w:val="clear"/>
    </w:rPr>
  </w:style>
  <w:style w:type="character" w:styleId="Csf06730b61">
    <w:name w:val="csf06730b61"/>
    <w:qFormat/>
    <w:rPr>
      <w:rFonts w:ascii="Times New Roman" w:hAnsi="Times New Roman" w:cs="Times New Roman"/>
      <w:b/>
      <w:bCs/>
      <w:i w:val="false"/>
      <w:iCs w:val="false"/>
      <w:color w:val="000000"/>
      <w:sz w:val="16"/>
      <w:szCs w:val="16"/>
      <w:shd w:fill="auto" w:val="clear"/>
    </w:rPr>
  </w:style>
  <w:style w:type="character" w:styleId="Csab6e076955">
    <w:name w:val="csab6e076955"/>
    <w:qFormat/>
    <w:rPr>
      <w:rFonts w:ascii="Arial" w:hAnsi="Arial" w:cs="Arial"/>
      <w:b w:val="false"/>
      <w:bCs w:val="false"/>
      <w:i w:val="false"/>
      <w:iCs w:val="false"/>
      <w:color w:val="000000"/>
      <w:sz w:val="18"/>
      <w:szCs w:val="18"/>
      <w:shd w:fill="auto" w:val="clear"/>
    </w:rPr>
  </w:style>
  <w:style w:type="character" w:styleId="Csf229d0ff31">
    <w:name w:val="csf229d0ff31"/>
    <w:qFormat/>
    <w:rPr>
      <w:rFonts w:ascii="Arial" w:hAnsi="Arial" w:cs="Arial"/>
      <w:b w:val="false"/>
      <w:bCs w:val="false"/>
      <w:i w:val="false"/>
      <w:iCs w:val="false"/>
      <w:color w:val="000000"/>
      <w:sz w:val="18"/>
      <w:szCs w:val="18"/>
      <w:shd w:fill="auto" w:val="clear"/>
    </w:rPr>
  </w:style>
  <w:style w:type="character" w:styleId="Csb3e8c9cf66">
    <w:name w:val="csb3e8c9cf66"/>
    <w:qFormat/>
    <w:rPr>
      <w:rFonts w:ascii="Arial" w:hAnsi="Arial" w:cs="Arial"/>
      <w:b/>
      <w:bCs/>
      <w:i w:val="false"/>
      <w:iCs w:val="false"/>
      <w:color w:val="000000"/>
      <w:sz w:val="18"/>
      <w:szCs w:val="18"/>
      <w:shd w:fill="auto" w:val="clear"/>
    </w:rPr>
  </w:style>
  <w:style w:type="character" w:styleId="Arial9">
    <w:name w:val="Arial9(без отступов) Знак"/>
    <w:qFormat/>
    <w:rPr>
      <w:rFonts w:ascii="Arial" w:hAnsi="Arial" w:cs="Arial"/>
      <w:sz w:val="18"/>
      <w:szCs w:val="18"/>
      <w:lang w:val="ru-RU"/>
    </w:rPr>
  </w:style>
  <w:style w:type="character" w:styleId="Csf229d0ff178">
    <w:name w:val="csf229d0ff178"/>
    <w:qFormat/>
    <w:rPr>
      <w:rFonts w:ascii="Arial" w:hAnsi="Arial" w:cs="Arial"/>
      <w:b w:val="false"/>
      <w:bCs w:val="false"/>
      <w:i w:val="false"/>
      <w:iCs w:val="false"/>
      <w:color w:val="000000"/>
      <w:sz w:val="18"/>
      <w:szCs w:val="18"/>
      <w:shd w:fill="auto" w:val="clear"/>
    </w:rPr>
  </w:style>
  <w:style w:type="character" w:styleId="Csb3e8c9cf163">
    <w:name w:val="csb3e8c9cf163"/>
    <w:qFormat/>
    <w:rPr>
      <w:rFonts w:ascii="Arial" w:hAnsi="Arial" w:cs="Arial"/>
      <w:b/>
      <w:bCs/>
      <w:i w:val="false"/>
      <w:iCs w:val="false"/>
      <w:color w:val="000000"/>
      <w:sz w:val="18"/>
      <w:szCs w:val="18"/>
      <w:shd w:fill="auto" w:val="clear"/>
    </w:rPr>
  </w:style>
  <w:style w:type="character" w:styleId="Cs7864ebcf1">
    <w:name w:val="cs7864ebcf1"/>
    <w:qFormat/>
    <w:rPr>
      <w:rFonts w:ascii="Times New Roman" w:hAnsi="Times New Roman" w:cs="Times New Roman"/>
      <w:b/>
      <w:bCs/>
      <w:i w:val="false"/>
      <w:iCs w:val="false"/>
      <w:color w:val="000000"/>
      <w:sz w:val="26"/>
      <w:szCs w:val="26"/>
      <w:shd w:fill="auto" w:val="clear"/>
    </w:rPr>
  </w:style>
  <w:style w:type="character" w:styleId="Csf229d0ff8">
    <w:name w:val="csf229d0ff8"/>
    <w:qFormat/>
    <w:rPr>
      <w:rFonts w:ascii="Arial" w:hAnsi="Arial" w:cs="Arial"/>
      <w:b w:val="false"/>
      <w:bCs w:val="false"/>
      <w:i w:val="false"/>
      <w:iCs w:val="false"/>
      <w:color w:val="000000"/>
      <w:sz w:val="18"/>
      <w:szCs w:val="18"/>
      <w:shd w:fill="auto" w:val="clear"/>
    </w:rPr>
  </w:style>
  <w:style w:type="character" w:styleId="Cs9b006263">
    <w:name w:val="cs9b006263"/>
    <w:qFormat/>
    <w:rPr>
      <w:rFonts w:ascii="Arial" w:hAnsi="Arial" w:cs="Arial"/>
      <w:b/>
      <w:bCs/>
      <w:i w:val="false"/>
      <w:iCs w:val="false"/>
      <w:color w:val="000000"/>
      <w:sz w:val="20"/>
      <w:szCs w:val="20"/>
      <w:shd w:fill="auto" w:val="clear"/>
    </w:rPr>
  </w:style>
  <w:style w:type="character" w:styleId="Csf229d0ff36">
    <w:name w:val="csf229d0ff36"/>
    <w:qFormat/>
    <w:rPr>
      <w:rFonts w:ascii="Arial" w:hAnsi="Arial" w:cs="Arial"/>
      <w:b w:val="false"/>
      <w:bCs w:val="false"/>
      <w:i w:val="false"/>
      <w:iCs w:val="false"/>
      <w:color w:val="000000"/>
      <w:sz w:val="18"/>
      <w:szCs w:val="18"/>
      <w:shd w:fill="auto" w:val="clear"/>
    </w:rPr>
  </w:style>
  <w:style w:type="character" w:styleId="Csf229d0ff100">
    <w:name w:val="csf229d0ff100"/>
    <w:qFormat/>
    <w:rPr>
      <w:rFonts w:ascii="Arial" w:hAnsi="Arial" w:cs="Arial"/>
      <w:b w:val="false"/>
      <w:bCs w:val="false"/>
      <w:i w:val="false"/>
      <w:iCs w:val="false"/>
      <w:color w:val="000000"/>
      <w:sz w:val="18"/>
      <w:szCs w:val="18"/>
      <w:shd w:fill="auto" w:val="clear"/>
    </w:rPr>
  </w:style>
  <w:style w:type="character" w:styleId="Csf229d0ff110">
    <w:name w:val="csf229d0ff110"/>
    <w:qFormat/>
    <w:rPr>
      <w:rFonts w:ascii="Arial" w:hAnsi="Arial" w:cs="Arial"/>
      <w:b w:val="false"/>
      <w:bCs w:val="false"/>
      <w:i w:val="false"/>
      <w:iCs w:val="false"/>
      <w:color w:val="000000"/>
      <w:sz w:val="18"/>
      <w:szCs w:val="18"/>
      <w:shd w:fill="auto" w:val="clear"/>
    </w:rPr>
  </w:style>
  <w:style w:type="character" w:styleId="Csf229d0ff125">
    <w:name w:val="csf229d0ff125"/>
    <w:qFormat/>
    <w:rPr>
      <w:rFonts w:ascii="Arial" w:hAnsi="Arial" w:cs="Arial"/>
      <w:b w:val="false"/>
      <w:bCs w:val="false"/>
      <w:i w:val="false"/>
      <w:iCs w:val="false"/>
      <w:color w:val="000000"/>
      <w:sz w:val="18"/>
      <w:szCs w:val="18"/>
      <w:shd w:fill="auto" w:val="clear"/>
    </w:rPr>
  </w:style>
  <w:style w:type="character" w:styleId="Csf229d0ff80">
    <w:name w:val="csf229d0ff80"/>
    <w:qFormat/>
    <w:rPr>
      <w:rFonts w:ascii="Arial" w:hAnsi="Arial" w:cs="Arial"/>
      <w:b w:val="false"/>
      <w:bCs w:val="false"/>
      <w:i w:val="false"/>
      <w:iCs w:val="false"/>
      <w:color w:val="000000"/>
      <w:sz w:val="18"/>
      <w:szCs w:val="18"/>
      <w:shd w:fill="auto" w:val="clear"/>
    </w:rPr>
  </w:style>
  <w:style w:type="character" w:styleId="Csf229d0ff102">
    <w:name w:val="csf229d0ff102"/>
    <w:qFormat/>
    <w:rPr>
      <w:rFonts w:ascii="Arial" w:hAnsi="Arial" w:cs="Arial"/>
      <w:b w:val="false"/>
      <w:bCs w:val="false"/>
      <w:i w:val="false"/>
      <w:iCs w:val="false"/>
      <w:color w:val="000000"/>
      <w:sz w:val="18"/>
      <w:szCs w:val="18"/>
      <w:shd w:fill="auto" w:val="clear"/>
    </w:rPr>
  </w:style>
  <w:style w:type="character" w:styleId="Csf229d0ff49">
    <w:name w:val="csf229d0ff49"/>
    <w:qFormat/>
    <w:rPr>
      <w:rFonts w:ascii="Arial" w:hAnsi="Arial" w:cs="Arial"/>
      <w:b w:val="false"/>
      <w:bCs w:val="false"/>
      <w:i w:val="false"/>
      <w:iCs w:val="false"/>
      <w:color w:val="000000"/>
      <w:sz w:val="18"/>
      <w:szCs w:val="18"/>
      <w:shd w:fill="auto" w:val="clear"/>
    </w:rPr>
  </w:style>
  <w:style w:type="character" w:styleId="Csab6e076954">
    <w:name w:val="csab6e076954"/>
    <w:qFormat/>
    <w:rPr>
      <w:rFonts w:ascii="Arial" w:hAnsi="Arial" w:cs="Arial"/>
      <w:b w:val="false"/>
      <w:bCs w:val="false"/>
      <w:i w:val="false"/>
      <w:iCs w:val="false"/>
      <w:color w:val="000000"/>
      <w:sz w:val="18"/>
      <w:szCs w:val="18"/>
      <w:shd w:fill="auto" w:val="clear"/>
    </w:rPr>
  </w:style>
  <w:style w:type="character" w:styleId="Csf562b9295">
    <w:name w:val="csf562b9295"/>
    <w:qFormat/>
    <w:rPr>
      <w:rFonts w:ascii="Arial" w:hAnsi="Arial" w:cs="Arial"/>
      <w:b/>
      <w:bCs/>
      <w:i/>
      <w:iCs/>
      <w:color w:val="000000"/>
      <w:sz w:val="18"/>
      <w:szCs w:val="18"/>
      <w:shd w:fill="auto" w:val="clear"/>
    </w:rPr>
  </w:style>
  <w:style w:type="character" w:styleId="Csf229d0ff142">
    <w:name w:val="csf229d0ff142"/>
    <w:qFormat/>
    <w:rPr>
      <w:rFonts w:ascii="Arial" w:hAnsi="Arial" w:cs="Arial"/>
      <w:b w:val="false"/>
      <w:bCs w:val="false"/>
      <w:i w:val="false"/>
      <w:iCs w:val="false"/>
      <w:color w:val="000000"/>
      <w:sz w:val="18"/>
      <w:szCs w:val="18"/>
      <w:shd w:fill="auto" w:val="clear"/>
    </w:rPr>
  </w:style>
  <w:style w:type="character" w:styleId="Csf229d0ff152">
    <w:name w:val="csf229d0ff152"/>
    <w:qFormat/>
    <w:rPr>
      <w:rFonts w:ascii="Arial" w:hAnsi="Arial" w:cs="Arial"/>
      <w:b w:val="false"/>
      <w:bCs w:val="false"/>
      <w:i w:val="false"/>
      <w:iCs w:val="false"/>
      <w:color w:val="000000"/>
      <w:sz w:val="18"/>
      <w:szCs w:val="18"/>
      <w:shd w:fill="auto" w:val="clear"/>
    </w:rPr>
  </w:style>
  <w:style w:type="character" w:styleId="Csf229d0ff95">
    <w:name w:val="csf229d0ff95"/>
    <w:qFormat/>
    <w:rPr>
      <w:rFonts w:ascii="Arial" w:hAnsi="Arial" w:cs="Arial"/>
      <w:b w:val="false"/>
      <w:bCs w:val="false"/>
      <w:i w:val="false"/>
      <w:iCs w:val="false"/>
      <w:color w:val="000000"/>
      <w:sz w:val="18"/>
      <w:szCs w:val="18"/>
      <w:shd w:fill="auto" w:val="clear"/>
    </w:rPr>
  </w:style>
  <w:style w:type="character" w:styleId="Csab6e076992">
    <w:name w:val="csab6e076992"/>
    <w:qFormat/>
    <w:rPr>
      <w:rFonts w:ascii="Arial" w:hAnsi="Arial" w:cs="Arial"/>
      <w:b w:val="false"/>
      <w:bCs w:val="false"/>
      <w:i w:val="false"/>
      <w:iCs w:val="false"/>
      <w:color w:val="000000"/>
      <w:sz w:val="18"/>
      <w:szCs w:val="18"/>
      <w:shd w:fill="auto" w:val="clear"/>
    </w:rPr>
  </w:style>
  <w:style w:type="character" w:styleId="Csab6e076975">
    <w:name w:val="csab6e076975"/>
    <w:qFormat/>
    <w:rPr>
      <w:rFonts w:ascii="Arial" w:hAnsi="Arial" w:cs="Arial"/>
      <w:b w:val="false"/>
      <w:bCs w:val="false"/>
      <w:i w:val="false"/>
      <w:iCs w:val="false"/>
      <w:color w:val="000000"/>
      <w:sz w:val="18"/>
      <w:szCs w:val="18"/>
      <w:shd w:fill="auto" w:val="clear"/>
    </w:rPr>
  </w:style>
  <w:style w:type="character" w:styleId="Csf229d0ff23">
    <w:name w:val="csf229d0ff23"/>
    <w:qFormat/>
    <w:rPr>
      <w:rFonts w:ascii="Arial" w:hAnsi="Arial" w:cs="Arial"/>
      <w:b w:val="false"/>
      <w:bCs w:val="false"/>
      <w:i w:val="false"/>
      <w:iCs w:val="false"/>
      <w:color w:val="000000"/>
      <w:sz w:val="18"/>
      <w:szCs w:val="18"/>
      <w:shd w:fill="auto" w:val="clear"/>
    </w:rPr>
  </w:style>
  <w:style w:type="character" w:styleId="Csab6e076944">
    <w:name w:val="csab6e076944"/>
    <w:qFormat/>
    <w:rPr>
      <w:rFonts w:ascii="Arial" w:hAnsi="Arial" w:cs="Arial"/>
      <w:b w:val="false"/>
      <w:bCs w:val="false"/>
      <w:i w:val="false"/>
      <w:iCs w:val="false"/>
      <w:color w:val="000000"/>
      <w:sz w:val="18"/>
      <w:szCs w:val="18"/>
      <w:shd w:fill="auto" w:val="clear"/>
    </w:rPr>
  </w:style>
  <w:style w:type="character" w:styleId="Csab6e076946">
    <w:name w:val="csab6e076946"/>
    <w:qFormat/>
    <w:rPr>
      <w:rFonts w:ascii="Arial" w:hAnsi="Arial" w:cs="Arial"/>
      <w:b w:val="false"/>
      <w:bCs w:val="false"/>
      <w:i w:val="false"/>
      <w:iCs w:val="false"/>
      <w:color w:val="000000"/>
      <w:sz w:val="18"/>
      <w:szCs w:val="18"/>
      <w:shd w:fill="auto" w:val="clear"/>
    </w:rPr>
  </w:style>
  <w:style w:type="character" w:styleId="Csf229d0ff103">
    <w:name w:val="csf229d0ff103"/>
    <w:qFormat/>
    <w:rPr>
      <w:rFonts w:ascii="Arial" w:hAnsi="Arial" w:cs="Arial"/>
      <w:b w:val="false"/>
      <w:bCs w:val="false"/>
      <w:i w:val="false"/>
      <w:iCs w:val="false"/>
      <w:color w:val="000000"/>
      <w:sz w:val="18"/>
      <w:szCs w:val="18"/>
      <w:shd w:fill="auto" w:val="clear"/>
    </w:rPr>
  </w:style>
  <w:style w:type="character" w:styleId="Csf229d0ff82">
    <w:name w:val="csf229d0ff82"/>
    <w:qFormat/>
    <w:rPr>
      <w:rFonts w:ascii="Arial" w:hAnsi="Arial" w:cs="Arial"/>
      <w:b w:val="false"/>
      <w:bCs w:val="false"/>
      <w:i w:val="false"/>
      <w:iCs w:val="false"/>
      <w:color w:val="000000"/>
      <w:sz w:val="18"/>
      <w:szCs w:val="18"/>
      <w:shd w:fill="auto" w:val="clear"/>
    </w:rPr>
  </w:style>
  <w:style w:type="character" w:styleId="Csf229d0ff101">
    <w:name w:val="csf229d0ff101"/>
    <w:qFormat/>
    <w:rPr>
      <w:rFonts w:ascii="Arial" w:hAnsi="Arial" w:cs="Arial"/>
      <w:b w:val="false"/>
      <w:bCs w:val="false"/>
      <w:i w:val="false"/>
      <w:iCs w:val="false"/>
      <w:color w:val="000000"/>
      <w:sz w:val="18"/>
      <w:szCs w:val="18"/>
      <w:shd w:fill="auto" w:val="clear"/>
    </w:rPr>
  </w:style>
  <w:style w:type="character" w:styleId="Csb3e8c9cf108">
    <w:name w:val="csb3e8c9cf108"/>
    <w:qFormat/>
    <w:rPr>
      <w:rFonts w:ascii="Arial" w:hAnsi="Arial" w:cs="Arial"/>
      <w:b/>
      <w:bCs/>
      <w:i w:val="false"/>
      <w:iCs w:val="false"/>
      <w:color w:val="000000"/>
      <w:sz w:val="18"/>
      <w:szCs w:val="18"/>
      <w:shd w:fill="auto" w:val="clear"/>
    </w:rPr>
  </w:style>
  <w:style w:type="character" w:styleId="Csf229d0ff107">
    <w:name w:val="csf229d0ff107"/>
    <w:qFormat/>
    <w:rPr>
      <w:rFonts w:ascii="Arial" w:hAnsi="Arial" w:cs="Arial"/>
      <w:b w:val="false"/>
      <w:bCs w:val="false"/>
      <w:i w:val="false"/>
      <w:iCs w:val="false"/>
      <w:color w:val="000000"/>
      <w:sz w:val="18"/>
      <w:szCs w:val="18"/>
      <w:shd w:fill="auto" w:val="clear"/>
    </w:rPr>
  </w:style>
  <w:style w:type="character" w:styleId="Csf562b9291">
    <w:name w:val="csf562b9291"/>
    <w:qFormat/>
    <w:rPr>
      <w:rFonts w:ascii="Arial" w:hAnsi="Arial" w:cs="Arial"/>
      <w:b/>
      <w:bCs/>
      <w:i/>
      <w:iCs/>
      <w:color w:val="000000"/>
      <w:sz w:val="18"/>
      <w:szCs w:val="18"/>
      <w:shd w:fill="auto" w:val="clear"/>
    </w:rPr>
  </w:style>
  <w:style w:type="character" w:styleId="Csab6e076993">
    <w:name w:val="csab6e076993"/>
    <w:qFormat/>
    <w:rPr>
      <w:rFonts w:ascii="Arial" w:hAnsi="Arial" w:cs="Arial"/>
      <w:b w:val="false"/>
      <w:bCs w:val="false"/>
      <w:i w:val="false"/>
      <w:iCs w:val="false"/>
      <w:color w:val="000000"/>
      <w:sz w:val="18"/>
      <w:szCs w:val="18"/>
      <w:shd w:fill="auto" w:val="clear"/>
    </w:rPr>
  </w:style>
  <w:style w:type="character" w:styleId="Arial96">
    <w:name w:val="Arial9+6пт Знак"/>
    <w:qFormat/>
    <w:rPr>
      <w:rFonts w:ascii="Arial" w:hAnsi="Arial" w:cs="Arial"/>
      <w:sz w:val="18"/>
      <w:lang w:val="ru-RU"/>
    </w:rPr>
  </w:style>
  <w:style w:type="character" w:styleId="Csf229d0ff86">
    <w:name w:val="csf229d0ff86"/>
    <w:qFormat/>
    <w:rPr>
      <w:rFonts w:ascii="Arial" w:hAnsi="Arial" w:cs="Arial"/>
      <w:b w:val="false"/>
      <w:bCs w:val="false"/>
      <w:i w:val="false"/>
      <w:iCs w:val="false"/>
      <w:color w:val="000000"/>
      <w:sz w:val="18"/>
      <w:szCs w:val="18"/>
      <w:shd w:fill="auto" w:val="clear"/>
    </w:rPr>
  </w:style>
  <w:style w:type="character" w:styleId="Csba2942511">
    <w:name w:val="csba2942511"/>
    <w:qFormat/>
    <w:rPr>
      <w:rFonts w:ascii="Segoe UI" w:hAnsi="Segoe UI" w:cs="Segoe UI"/>
      <w:b/>
      <w:bCs/>
      <w:i/>
      <w:iCs/>
      <w:color w:val="102B56"/>
      <w:sz w:val="18"/>
      <w:szCs w:val="18"/>
      <w:shd w:fill="auto" w:val="clear"/>
    </w:rPr>
  </w:style>
  <w:style w:type="character" w:styleId="Csab6e076914">
    <w:name w:val="csab6e076914"/>
    <w:qFormat/>
    <w:rPr>
      <w:rFonts w:ascii="Arial" w:hAnsi="Arial" w:cs="Arial"/>
      <w:b w:val="false"/>
      <w:bCs w:val="false"/>
      <w:i w:val="false"/>
      <w:iCs w:val="false"/>
      <w:color w:val="000000"/>
      <w:sz w:val="18"/>
      <w:szCs w:val="18"/>
    </w:rPr>
  </w:style>
  <w:style w:type="character" w:styleId="Csf229d0ff134">
    <w:name w:val="csf229d0ff134"/>
    <w:qFormat/>
    <w:rPr>
      <w:rFonts w:ascii="Arial" w:hAnsi="Arial" w:cs="Arial"/>
      <w:b w:val="false"/>
      <w:bCs w:val="false"/>
      <w:i w:val="false"/>
      <w:iCs w:val="false"/>
      <w:color w:val="000000"/>
      <w:sz w:val="18"/>
      <w:szCs w:val="18"/>
      <w:shd w:fill="auto" w:val="clear"/>
    </w:rPr>
  </w:style>
  <w:style w:type="character" w:styleId="Csed36d4af2">
    <w:name w:val="csed36d4af2"/>
    <w:qFormat/>
    <w:rPr>
      <w:rFonts w:ascii="Arial" w:hAnsi="Arial" w:cs="Arial"/>
      <w:b/>
      <w:bCs/>
      <w:i/>
      <w:iCs/>
      <w:color w:val="000000"/>
      <w:sz w:val="20"/>
      <w:szCs w:val="20"/>
      <w:shd w:fill="auto" w:val="clear"/>
    </w:rPr>
  </w:style>
  <w:style w:type="character" w:styleId="32">
    <w:name w:val="Заголовок 3 Знак"/>
    <w:qFormat/>
    <w:rPr>
      <w:rFonts w:ascii="Arial" w:hAnsi="Arial" w:cs="Arial"/>
      <w:b/>
      <w:bCs/>
      <w:sz w:val="24"/>
      <w:szCs w:val="24"/>
    </w:rPr>
  </w:style>
  <w:style w:type="character" w:styleId="6">
    <w:name w:val="Заголовок 6 Знак"/>
    <w:qFormat/>
    <w:rPr>
      <w:rFonts w:ascii="Times New Roman" w:hAnsi="Times New Roman" w:cs="Times New Roman"/>
      <w:b/>
      <w:bCs/>
      <w:sz w:val="22"/>
      <w:szCs w:val="22"/>
    </w:rPr>
  </w:style>
  <w:style w:type="character" w:styleId="VisitedInternetLink">
    <w:name w:val="Visited Internet Link"/>
    <w:rPr>
      <w:color w:val="954F72"/>
      <w:u w:val="single"/>
    </w:rPr>
  </w:style>
  <w:style w:type="character" w:styleId="Style17">
    <w:name w:val="Заголовок Знак"/>
    <w:qFormat/>
    <w:rPr>
      <w:rFonts w:ascii="Times New Roman" w:hAnsi="Times New Roman" w:cs="Times New Roman"/>
      <w:sz w:val="24"/>
      <w:szCs w:val="24"/>
    </w:rPr>
  </w:style>
  <w:style w:type="character" w:styleId="22">
    <w:name w:val="Основной текст 2 Знак"/>
    <w:qFormat/>
    <w:rPr>
      <w:rFonts w:ascii="Times New Roman" w:hAnsi="Times New Roman" w:cs="Times New Roman"/>
      <w:sz w:val="24"/>
      <w:szCs w:val="24"/>
    </w:rPr>
  </w:style>
  <w:style w:type="character" w:styleId="Style18">
    <w:name w:val="Название Знак"/>
    <w:qFormat/>
    <w:rPr>
      <w:rFonts w:ascii="Cambria" w:hAnsi="Cambria" w:cs="Cambria"/>
      <w:color w:val="17365D"/>
      <w:spacing w:val="5"/>
    </w:rPr>
  </w:style>
  <w:style w:type="character" w:styleId="Style19">
    <w:name w:val="Верхній колонтитул Знак"/>
    <w:qFormat/>
    <w:rPr/>
  </w:style>
  <w:style w:type="character" w:styleId="Style20">
    <w:name w:val="Нижній колонтитул Знак"/>
    <w:qFormat/>
    <w:rPr/>
  </w:style>
  <w:style w:type="character" w:styleId="Style21">
    <w:name w:val="Назва Знак"/>
    <w:qFormat/>
    <w:rPr>
      <w:rFonts w:ascii="Calibri Light" w:hAnsi="Calibri Light" w:cs="Calibri Light"/>
      <w:spacing w:val="-10"/>
    </w:rPr>
  </w:style>
  <w:style w:type="character" w:styleId="23">
    <w:name w:val="Основний текст 2 Знак"/>
    <w:qFormat/>
    <w:rPr/>
  </w:style>
  <w:style w:type="character" w:styleId="Style22">
    <w:name w:val="Текст у виносці Знак"/>
    <w:qFormat/>
    <w:rPr>
      <w:rFonts w:ascii="Segoe UI" w:hAnsi="Segoe UI" w:cs="Segoe UI"/>
    </w:rPr>
  </w:style>
  <w:style w:type="character" w:styleId="Emailstyle45">
    <w:name w:val="emailstyle45"/>
    <w:qFormat/>
    <w:rPr>
      <w:rFonts w:ascii="Calibri" w:hAnsi="Calibri" w:cs="Calibri"/>
      <w:color w:val="000000"/>
    </w:rPr>
  </w:style>
  <w:style w:type="character" w:styleId="Error">
    <w:name w:val="error"/>
    <w:qFormat/>
    <w:rPr/>
  </w:style>
  <w:style w:type="character" w:styleId="TimesNewRoman121">
    <w:name w:val="Стиль Times New Roman 12 пт1"/>
    <w:qFormat/>
    <w:rPr>
      <w:rFonts w:ascii="Times New Roman" w:hAnsi="Times New Roman" w:cs="Times New Roman"/>
    </w:rPr>
  </w:style>
  <w:style w:type="character" w:styleId="Cs95e872d03">
    <w:name w:val="cs95e872d03"/>
    <w:qFormat/>
    <w:rPr/>
  </w:style>
  <w:style w:type="character" w:styleId="Cs7a65ad241">
    <w:name w:val="cs7a65ad241"/>
    <w:qFormat/>
    <w:rPr>
      <w:rFonts w:ascii="Times New Roman" w:hAnsi="Times New Roman" w:cs="Times New Roman"/>
      <w:b/>
      <w:bCs/>
      <w:i w:val="false"/>
      <w:iCs w:val="false"/>
      <w:color w:val="000000"/>
      <w:sz w:val="26"/>
      <w:szCs w:val="26"/>
    </w:rPr>
  </w:style>
  <w:style w:type="character" w:styleId="Csccf5e31620">
    <w:name w:val="csccf5e31620"/>
    <w:qFormat/>
    <w:rPr>
      <w:rFonts w:ascii="Arial" w:hAnsi="Arial" w:cs="Arial"/>
      <w:b/>
      <w:bCs/>
      <w:i w:val="false"/>
      <w:iCs w:val="false"/>
      <w:color w:val="000000"/>
      <w:sz w:val="18"/>
      <w:szCs w:val="18"/>
      <w:shd w:fill="auto" w:val="clear"/>
    </w:rPr>
  </w:style>
  <w:style w:type="character" w:styleId="Cs9ff1b61120">
    <w:name w:val="cs9ff1b61120"/>
    <w:qFormat/>
    <w:rPr>
      <w:rFonts w:ascii="Arial" w:hAnsi="Arial" w:cs="Arial"/>
      <w:b w:val="false"/>
      <w:bCs w:val="false"/>
      <w:i w:val="false"/>
      <w:iCs w:val="false"/>
      <w:color w:val="000000"/>
      <w:sz w:val="18"/>
      <w:szCs w:val="18"/>
      <w:shd w:fill="auto" w:val="clear"/>
    </w:rPr>
  </w:style>
  <w:style w:type="character" w:styleId="Cs9ff1b61111">
    <w:name w:val="cs9ff1b61111"/>
    <w:qFormat/>
    <w:rPr>
      <w:rFonts w:ascii="Arial" w:hAnsi="Arial" w:cs="Arial"/>
      <w:b w:val="false"/>
      <w:bCs w:val="false"/>
      <w:i w:val="false"/>
      <w:iCs w:val="false"/>
      <w:color w:val="000000"/>
      <w:sz w:val="18"/>
      <w:szCs w:val="18"/>
      <w:shd w:fill="auto" w:val="clear"/>
    </w:rPr>
  </w:style>
  <w:style w:type="character" w:styleId="Cs9ff1b611205">
    <w:name w:val="cs9ff1b611205"/>
    <w:qFormat/>
    <w:rPr>
      <w:rFonts w:ascii="Arial" w:hAnsi="Arial" w:cs="Arial"/>
      <w:b w:val="false"/>
      <w:bCs w:val="false"/>
      <w:i w:val="false"/>
      <w:iCs w:val="false"/>
      <w:color w:val="000000"/>
      <w:sz w:val="18"/>
      <w:szCs w:val="18"/>
      <w:shd w:fill="auto" w:val="clear"/>
    </w:rPr>
  </w:style>
  <w:style w:type="character" w:styleId="Csab6e0769173">
    <w:name w:val="csab6e0769173"/>
    <w:qFormat/>
    <w:rPr>
      <w:rFonts w:ascii="Arial" w:hAnsi="Arial" w:cs="Arial"/>
      <w:b w:val="false"/>
      <w:bCs w:val="false"/>
      <w:i w:val="false"/>
      <w:iCs w:val="false"/>
      <w:color w:val="000000"/>
      <w:sz w:val="18"/>
      <w:szCs w:val="18"/>
      <w:shd w:fill="auto" w:val="clear"/>
    </w:rPr>
  </w:style>
  <w:style w:type="character" w:styleId="Cs9ff1b61121">
    <w:name w:val="cs9ff1b61121"/>
    <w:qFormat/>
    <w:rPr>
      <w:rFonts w:ascii="Arial" w:hAnsi="Arial" w:cs="Arial"/>
      <w:b w:val="false"/>
      <w:bCs w:val="false"/>
      <w:i w:val="false"/>
      <w:iCs w:val="false"/>
      <w:color w:val="000000"/>
      <w:sz w:val="18"/>
      <w:szCs w:val="18"/>
      <w:shd w:fill="auto" w:val="clear"/>
    </w:rPr>
  </w:style>
  <w:style w:type="character" w:styleId="Csccf5e316219">
    <w:name w:val="csccf5e316219"/>
    <w:qFormat/>
    <w:rPr>
      <w:rFonts w:ascii="Arial" w:hAnsi="Arial" w:cs="Arial"/>
      <w:b/>
      <w:bCs/>
      <w:i w:val="false"/>
      <w:iCs w:val="false"/>
      <w:color w:val="000000"/>
      <w:sz w:val="18"/>
      <w:szCs w:val="18"/>
      <w:shd w:fill="auto" w:val="clear"/>
    </w:rPr>
  </w:style>
  <w:style w:type="character" w:styleId="Cs9ff1b611210">
    <w:name w:val="cs9ff1b611210"/>
    <w:qFormat/>
    <w:rPr>
      <w:rFonts w:ascii="Arial" w:hAnsi="Arial" w:cs="Arial"/>
      <w:b w:val="false"/>
      <w:bCs w:val="false"/>
      <w:i w:val="false"/>
      <w:iCs w:val="false"/>
      <w:color w:val="000000"/>
      <w:sz w:val="18"/>
      <w:szCs w:val="18"/>
      <w:shd w:fill="auto" w:val="clear"/>
    </w:rPr>
  </w:style>
  <w:style w:type="character" w:styleId="Csab6e076970">
    <w:name w:val="csab6e076970"/>
    <w:qFormat/>
    <w:rPr>
      <w:rFonts w:ascii="Arial" w:hAnsi="Arial" w:cs="Arial"/>
      <w:b w:val="false"/>
      <w:bCs w:val="false"/>
      <w:i w:val="false"/>
      <w:iCs w:val="false"/>
      <w:color w:val="000000"/>
      <w:sz w:val="18"/>
      <w:szCs w:val="18"/>
      <w:shd w:fill="auto" w:val="clear"/>
    </w:rPr>
  </w:style>
  <w:style w:type="character" w:styleId="Cs9ff1b61152">
    <w:name w:val="cs9ff1b61152"/>
    <w:qFormat/>
    <w:rPr>
      <w:rFonts w:ascii="Arial" w:hAnsi="Arial" w:cs="Arial"/>
      <w:b w:val="false"/>
      <w:bCs w:val="false"/>
      <w:i w:val="false"/>
      <w:iCs w:val="false"/>
      <w:color w:val="000000"/>
      <w:sz w:val="18"/>
      <w:szCs w:val="18"/>
      <w:shd w:fill="auto" w:val="clear"/>
    </w:rPr>
  </w:style>
  <w:style w:type="character" w:styleId="Cse1a752c62">
    <w:name w:val="cse1a752c62"/>
    <w:qFormat/>
    <w:rPr>
      <w:rFonts w:ascii="Arial" w:hAnsi="Arial" w:cs="Arial"/>
      <w:b w:val="false"/>
      <w:bCs w:val="false"/>
      <w:i w:val="false"/>
      <w:iCs w:val="false"/>
      <w:color w:val="000000"/>
      <w:sz w:val="18"/>
      <w:szCs w:val="18"/>
      <w:shd w:fill="auto" w:val="clear"/>
    </w:rPr>
  </w:style>
  <w:style w:type="character" w:styleId="Cs9ff1b6119">
    <w:name w:val="cs9ff1b6119"/>
    <w:qFormat/>
    <w:rPr>
      <w:rFonts w:ascii="Arial" w:hAnsi="Arial" w:cs="Arial"/>
      <w:b w:val="false"/>
      <w:bCs w:val="false"/>
      <w:i w:val="false"/>
      <w:iCs w:val="false"/>
      <w:color w:val="000000"/>
      <w:sz w:val="18"/>
      <w:szCs w:val="18"/>
      <w:shd w:fill="auto" w:val="clear"/>
    </w:rPr>
  </w:style>
  <w:style w:type="character" w:styleId="Cs9ff1b61138">
    <w:name w:val="cs9ff1b61138"/>
    <w:qFormat/>
    <w:rPr>
      <w:rFonts w:ascii="Arial" w:hAnsi="Arial" w:cs="Arial"/>
      <w:b w:val="false"/>
      <w:bCs w:val="false"/>
      <w:i w:val="false"/>
      <w:iCs w:val="false"/>
      <w:color w:val="000000"/>
      <w:sz w:val="18"/>
      <w:szCs w:val="18"/>
      <w:shd w:fill="auto" w:val="clear"/>
    </w:rPr>
  </w:style>
  <w:style w:type="character" w:styleId="Csbd30b5e52">
    <w:name w:val="csbd30b5e52"/>
    <w:qFormat/>
    <w:rPr>
      <w:rFonts w:ascii="Times New Roman" w:hAnsi="Times New Roman" w:cs="Times New Roman"/>
      <w:b w:val="false"/>
      <w:bCs w:val="false"/>
      <w:i/>
      <w:iCs/>
      <w:color w:val="000000"/>
      <w:sz w:val="18"/>
      <w:szCs w:val="18"/>
    </w:rPr>
  </w:style>
  <w:style w:type="character" w:styleId="Cs176e94eb2">
    <w:name w:val="cs176e94eb2"/>
    <w:qFormat/>
    <w:rPr>
      <w:rFonts w:ascii="Times New Roman" w:hAnsi="Times New Roman" w:cs="Times New Roman"/>
      <w:b/>
      <w:bCs/>
      <w:i w:val="false"/>
      <w:iCs w:val="false"/>
      <w:color w:val="000000"/>
      <w:sz w:val="18"/>
      <w:szCs w:val="18"/>
    </w:rPr>
  </w:style>
  <w:style w:type="character" w:styleId="Cscc47389a2">
    <w:name w:val="cscc47389a2"/>
    <w:qFormat/>
    <w:rPr>
      <w:rFonts w:ascii="Times New Roman" w:hAnsi="Times New Roman" w:cs="Times New Roman"/>
      <w:b w:val="false"/>
      <w:bCs w:val="false"/>
      <w:i w:val="false"/>
      <w:iCs w:val="false"/>
      <w:color w:val="000000"/>
      <w:sz w:val="18"/>
      <w:szCs w:val="18"/>
    </w:rPr>
  </w:style>
  <w:style w:type="character" w:styleId="Csbd30b5e54">
    <w:name w:val="csbd30b5e54"/>
    <w:qFormat/>
    <w:rPr>
      <w:rFonts w:ascii="Times New Roman" w:hAnsi="Times New Roman" w:cs="Times New Roman"/>
      <w:b w:val="false"/>
      <w:bCs w:val="false"/>
      <w:i/>
      <w:iCs/>
      <w:color w:val="000000"/>
      <w:sz w:val="18"/>
      <w:szCs w:val="18"/>
    </w:rPr>
  </w:style>
  <w:style w:type="character" w:styleId="Cs176e94eb4">
    <w:name w:val="cs176e94eb4"/>
    <w:qFormat/>
    <w:rPr>
      <w:rFonts w:ascii="Times New Roman" w:hAnsi="Times New Roman" w:cs="Times New Roman"/>
      <w:b/>
      <w:bCs/>
      <w:i w:val="false"/>
      <w:iCs w:val="false"/>
      <w:color w:val="000000"/>
      <w:sz w:val="18"/>
      <w:szCs w:val="18"/>
    </w:rPr>
  </w:style>
  <w:style w:type="character" w:styleId="Cscc47389a4">
    <w:name w:val="cscc47389a4"/>
    <w:qFormat/>
    <w:rPr>
      <w:rFonts w:ascii="Times New Roman" w:hAnsi="Times New Roman" w:cs="Times New Roman"/>
      <w:b w:val="false"/>
      <w:bCs w:val="false"/>
      <w:i w:val="false"/>
      <w:iCs w:val="false"/>
      <w:color w:val="000000"/>
      <w:sz w:val="18"/>
      <w:szCs w:val="18"/>
    </w:rPr>
  </w:style>
  <w:style w:type="character" w:styleId="Cs786de70b1">
    <w:name w:val="cs786de70b1"/>
    <w:qFormat/>
    <w:rPr>
      <w:rFonts w:ascii="Segoe UI" w:hAnsi="Segoe UI" w:cs="Segoe UI"/>
      <w:b w:val="false"/>
      <w:bCs w:val="false"/>
      <w:i w:val="false"/>
      <w:iCs w:val="false"/>
      <w:color w:val="000000"/>
      <w:sz w:val="18"/>
      <w:szCs w:val="18"/>
    </w:rPr>
  </w:style>
  <w:style w:type="character" w:styleId="Csbd30b5e56">
    <w:name w:val="csbd30b5e56"/>
    <w:qFormat/>
    <w:rPr>
      <w:rFonts w:ascii="Times New Roman" w:hAnsi="Times New Roman" w:cs="Times New Roman"/>
      <w:b w:val="false"/>
      <w:bCs w:val="false"/>
      <w:i/>
      <w:iCs/>
      <w:color w:val="000000"/>
      <w:sz w:val="18"/>
      <w:szCs w:val="18"/>
    </w:rPr>
  </w:style>
  <w:style w:type="character" w:styleId="Cs176e94eb6">
    <w:name w:val="cs176e94eb6"/>
    <w:qFormat/>
    <w:rPr>
      <w:rFonts w:ascii="Times New Roman" w:hAnsi="Times New Roman" w:cs="Times New Roman"/>
      <w:b/>
      <w:bCs/>
      <w:i w:val="false"/>
      <w:iCs w:val="false"/>
      <w:color w:val="000000"/>
      <w:sz w:val="18"/>
      <w:szCs w:val="18"/>
    </w:rPr>
  </w:style>
  <w:style w:type="character" w:styleId="Cscc47389a6">
    <w:name w:val="cscc47389a6"/>
    <w:qFormat/>
    <w:rPr>
      <w:rFonts w:ascii="Times New Roman" w:hAnsi="Times New Roman" w:cs="Times New Roman"/>
      <w:b w:val="false"/>
      <w:bCs w:val="false"/>
      <w:i w:val="false"/>
      <w:iCs w:val="false"/>
      <w:color w:val="000000"/>
      <w:sz w:val="18"/>
      <w:szCs w:val="18"/>
    </w:rPr>
  </w:style>
  <w:style w:type="character" w:styleId="Cs9ff1b61195">
    <w:name w:val="cs9ff1b61195"/>
    <w:qFormat/>
    <w:rPr>
      <w:rFonts w:ascii="Arial" w:hAnsi="Arial" w:cs="Arial"/>
      <w:b w:val="false"/>
      <w:bCs w:val="false"/>
      <w:i w:val="false"/>
      <w:iCs w:val="false"/>
      <w:color w:val="000000"/>
      <w:sz w:val="18"/>
      <w:szCs w:val="18"/>
      <w:shd w:fill="auto" w:val="clear"/>
    </w:rPr>
  </w:style>
  <w:style w:type="character" w:styleId="Csab6e07698">
    <w:name w:val="csab6e07698"/>
    <w:qFormat/>
    <w:rPr>
      <w:rFonts w:ascii="Arial" w:hAnsi="Arial" w:cs="Arial"/>
      <w:b w:val="false"/>
      <w:bCs w:val="false"/>
      <w:i w:val="false"/>
      <w:iCs w:val="false"/>
      <w:color w:val="000000"/>
      <w:sz w:val="18"/>
      <w:szCs w:val="18"/>
      <w:shd w:fill="auto" w:val="clear"/>
    </w:rPr>
  </w:style>
  <w:style w:type="character" w:styleId="Csab6e07699">
    <w:name w:val="csab6e07699"/>
    <w:qFormat/>
    <w:rPr>
      <w:rFonts w:ascii="Arial" w:hAnsi="Arial" w:cs="Arial"/>
      <w:b w:val="false"/>
      <w:bCs w:val="false"/>
      <w:i w:val="false"/>
      <w:iCs w:val="false"/>
      <w:color w:val="000000"/>
      <w:sz w:val="18"/>
      <w:szCs w:val="18"/>
      <w:shd w:fill="auto" w:val="clear"/>
    </w:rPr>
  </w:style>
  <w:style w:type="character" w:styleId="Csafaf57419">
    <w:name w:val="csafaf57419"/>
    <w:qFormat/>
    <w:rPr>
      <w:rFonts w:ascii="Arial" w:hAnsi="Arial" w:cs="Arial"/>
      <w:b/>
      <w:bCs/>
      <w:i w:val="false"/>
      <w:iCs w:val="false"/>
      <w:color w:val="000000"/>
      <w:sz w:val="18"/>
      <w:szCs w:val="18"/>
      <w:shd w:fill="auto" w:val="clear"/>
    </w:rPr>
  </w:style>
  <w:style w:type="character" w:styleId="Csafaf574110">
    <w:name w:val="csafaf574110"/>
    <w:qFormat/>
    <w:rPr>
      <w:rFonts w:ascii="Arial" w:hAnsi="Arial" w:cs="Arial"/>
      <w:b/>
      <w:bCs/>
      <w:i w:val="false"/>
      <w:iCs w:val="false"/>
      <w:color w:val="000000"/>
      <w:sz w:val="18"/>
      <w:szCs w:val="18"/>
      <w:shd w:fill="auto" w:val="clear"/>
    </w:rPr>
  </w:style>
  <w:style w:type="character" w:styleId="Csab6e076911">
    <w:name w:val="csab6e076911"/>
    <w:qFormat/>
    <w:rPr>
      <w:rFonts w:ascii="Arial" w:hAnsi="Arial" w:cs="Arial"/>
      <w:b w:val="false"/>
      <w:bCs w:val="false"/>
      <w:i w:val="false"/>
      <w:iCs w:val="false"/>
      <w:color w:val="000000"/>
      <w:sz w:val="18"/>
      <w:szCs w:val="18"/>
      <w:shd w:fill="auto" w:val="clear"/>
    </w:rPr>
  </w:style>
  <w:style w:type="character" w:styleId="Csafaf574112">
    <w:name w:val="csafaf574112"/>
    <w:qFormat/>
    <w:rPr>
      <w:rFonts w:ascii="Arial" w:hAnsi="Arial" w:cs="Arial"/>
      <w:b/>
      <w:bCs/>
      <w:i w:val="false"/>
      <w:iCs w:val="false"/>
      <w:color w:val="000000"/>
      <w:sz w:val="18"/>
      <w:szCs w:val="18"/>
      <w:shd w:fill="auto" w:val="clear"/>
    </w:rPr>
  </w:style>
  <w:style w:type="character" w:styleId="Csab6e076912">
    <w:name w:val="csab6e076912"/>
    <w:qFormat/>
    <w:rPr>
      <w:rFonts w:ascii="Arial" w:hAnsi="Arial" w:cs="Arial"/>
      <w:b w:val="false"/>
      <w:bCs w:val="false"/>
      <w:i w:val="false"/>
      <w:iCs w:val="false"/>
      <w:color w:val="000000"/>
      <w:sz w:val="18"/>
      <w:szCs w:val="18"/>
      <w:shd w:fill="auto" w:val="clear"/>
    </w:rPr>
  </w:style>
  <w:style w:type="character" w:styleId="Csafaf574113">
    <w:name w:val="csafaf574113"/>
    <w:qFormat/>
    <w:rPr>
      <w:rFonts w:ascii="Arial" w:hAnsi="Arial" w:cs="Arial"/>
      <w:b/>
      <w:bCs/>
      <w:i w:val="false"/>
      <w:iCs w:val="false"/>
      <w:color w:val="000000"/>
      <w:sz w:val="18"/>
      <w:szCs w:val="18"/>
      <w:shd w:fill="auto" w:val="clear"/>
    </w:rPr>
  </w:style>
  <w:style w:type="character" w:styleId="Csab6e076913">
    <w:name w:val="csab6e076913"/>
    <w:qFormat/>
    <w:rPr>
      <w:rFonts w:ascii="Arial" w:hAnsi="Arial" w:cs="Arial"/>
      <w:b w:val="false"/>
      <w:bCs w:val="false"/>
      <w:i w:val="false"/>
      <w:iCs w:val="false"/>
      <w:color w:val="000000"/>
      <w:sz w:val="18"/>
      <w:szCs w:val="18"/>
      <w:shd w:fill="auto" w:val="clear"/>
    </w:rPr>
  </w:style>
  <w:style w:type="character" w:styleId="Csafaf574114">
    <w:name w:val="csafaf574114"/>
    <w:qFormat/>
    <w:rPr>
      <w:rFonts w:ascii="Arial" w:hAnsi="Arial" w:cs="Arial"/>
      <w:b/>
      <w:bCs/>
      <w:i w:val="false"/>
      <w:iCs w:val="false"/>
      <w:color w:val="000000"/>
      <w:sz w:val="18"/>
      <w:szCs w:val="18"/>
      <w:shd w:fill="auto" w:val="clear"/>
    </w:rPr>
  </w:style>
  <w:style w:type="character" w:styleId="Csafaf574115">
    <w:name w:val="csafaf574115"/>
    <w:qFormat/>
    <w:rPr>
      <w:rFonts w:ascii="Arial" w:hAnsi="Arial" w:cs="Arial"/>
      <w:b/>
      <w:bCs/>
      <w:i w:val="false"/>
      <w:iCs w:val="false"/>
      <w:color w:val="000000"/>
      <w:sz w:val="18"/>
      <w:szCs w:val="18"/>
      <w:shd w:fill="auto" w:val="clear"/>
    </w:rPr>
  </w:style>
  <w:style w:type="character" w:styleId="Csab6e076915">
    <w:name w:val="csab6e076915"/>
    <w:qFormat/>
    <w:rPr>
      <w:rFonts w:ascii="Arial" w:hAnsi="Arial" w:cs="Arial"/>
      <w:b w:val="false"/>
      <w:bCs w:val="false"/>
      <w:i w:val="false"/>
      <w:iCs w:val="false"/>
      <w:color w:val="000000"/>
      <w:sz w:val="18"/>
      <w:szCs w:val="18"/>
      <w:shd w:fill="auto" w:val="clear"/>
    </w:rPr>
  </w:style>
  <w:style w:type="character" w:styleId="Csafaf57415">
    <w:name w:val="csafaf57415"/>
    <w:qFormat/>
    <w:rPr>
      <w:rFonts w:ascii="Arial" w:hAnsi="Arial" w:cs="Arial"/>
      <w:b/>
      <w:bCs/>
      <w:i w:val="false"/>
      <w:iCs w:val="false"/>
      <w:color w:val="000000"/>
      <w:sz w:val="18"/>
      <w:szCs w:val="18"/>
      <w:shd w:fill="auto" w:val="clear"/>
    </w:rPr>
  </w:style>
  <w:style w:type="character" w:styleId="Csab6e07695">
    <w:name w:val="csab6e07695"/>
    <w:qFormat/>
    <w:rPr>
      <w:rFonts w:ascii="Arial" w:hAnsi="Arial" w:cs="Arial"/>
      <w:b w:val="false"/>
      <w:bCs w:val="false"/>
      <w:i w:val="false"/>
      <w:iCs w:val="false"/>
      <w:color w:val="000000"/>
      <w:sz w:val="18"/>
      <w:szCs w:val="18"/>
      <w:shd w:fill="auto" w:val="clear"/>
    </w:rPr>
  </w:style>
  <w:style w:type="character" w:styleId="Csafaf57416">
    <w:name w:val="csafaf57416"/>
    <w:qFormat/>
    <w:rPr>
      <w:rFonts w:ascii="Arial" w:hAnsi="Arial" w:cs="Arial"/>
      <w:b/>
      <w:bCs/>
      <w:i w:val="false"/>
      <w:iCs w:val="false"/>
      <w:color w:val="000000"/>
      <w:sz w:val="18"/>
      <w:szCs w:val="18"/>
      <w:shd w:fill="auto" w:val="clear"/>
    </w:rPr>
  </w:style>
  <w:style w:type="character" w:styleId="Csab6e07696">
    <w:name w:val="csab6e07696"/>
    <w:qFormat/>
    <w:rPr>
      <w:rFonts w:ascii="Arial" w:hAnsi="Arial" w:cs="Arial"/>
      <w:b w:val="false"/>
      <w:bCs w:val="false"/>
      <w:i w:val="false"/>
      <w:iCs w:val="false"/>
      <w:color w:val="000000"/>
      <w:sz w:val="18"/>
      <w:szCs w:val="18"/>
      <w:shd w:fill="auto" w:val="clear"/>
    </w:rPr>
  </w:style>
  <w:style w:type="character" w:styleId="Csafaf57417">
    <w:name w:val="csafaf57417"/>
    <w:qFormat/>
    <w:rPr>
      <w:rFonts w:ascii="Arial" w:hAnsi="Arial" w:cs="Arial"/>
      <w:b/>
      <w:bCs/>
      <w:i w:val="false"/>
      <w:iCs w:val="false"/>
      <w:color w:val="000000"/>
      <w:sz w:val="18"/>
      <w:szCs w:val="18"/>
      <w:shd w:fill="auto" w:val="clear"/>
    </w:rPr>
  </w:style>
  <w:style w:type="character" w:styleId="Csafaf57418">
    <w:name w:val="csafaf57418"/>
    <w:qFormat/>
    <w:rPr>
      <w:rFonts w:ascii="Arial" w:hAnsi="Arial" w:cs="Arial"/>
      <w:b/>
      <w:bCs/>
      <w:i w:val="false"/>
      <w:iCs w:val="false"/>
      <w:color w:val="000000"/>
      <w:sz w:val="18"/>
      <w:szCs w:val="18"/>
      <w:shd w:fill="auto" w:val="clear"/>
    </w:rPr>
  </w:style>
  <w:style w:type="character" w:styleId="Csccf5e316113">
    <w:name w:val="csccf5e316113"/>
    <w:qFormat/>
    <w:rPr>
      <w:rFonts w:ascii="Arial" w:hAnsi="Arial" w:cs="Arial"/>
      <w:b/>
      <w:bCs/>
      <w:i w:val="false"/>
      <w:iCs w:val="false"/>
      <w:color w:val="000000"/>
      <w:sz w:val="18"/>
      <w:szCs w:val="18"/>
      <w:shd w:fill="auto" w:val="clear"/>
    </w:rPr>
  </w:style>
  <w:style w:type="character" w:styleId="Cs9ff1b611113">
    <w:name w:val="cs9ff1b611113"/>
    <w:qFormat/>
    <w:rPr>
      <w:rFonts w:ascii="Arial" w:hAnsi="Arial" w:cs="Arial"/>
      <w:b w:val="false"/>
      <w:bCs w:val="false"/>
      <w:i w:val="false"/>
      <w:iCs w:val="false"/>
      <w:color w:val="000000"/>
      <w:sz w:val="18"/>
      <w:szCs w:val="18"/>
      <w:shd w:fill="auto" w:val="clear"/>
    </w:rPr>
  </w:style>
  <w:style w:type="character" w:styleId="Cs95bf81471">
    <w:name w:val="cs95bf81471"/>
    <w:qFormat/>
    <w:rPr>
      <w:rFonts w:ascii="Times New Roman" w:hAnsi="Times New Roman" w:cs="Times New Roman"/>
      <w:b w:val="false"/>
      <w:bCs w:val="false"/>
      <w:i w:val="false"/>
      <w:iCs w:val="false"/>
      <w:color w:val="000000"/>
      <w:sz w:val="26"/>
      <w:szCs w:val="26"/>
      <w:shd w:fill="auto" w:val="clear"/>
    </w:rPr>
  </w:style>
  <w:style w:type="character" w:styleId="Csab6e076921">
    <w:name w:val="csab6e076921"/>
    <w:qFormat/>
    <w:rPr>
      <w:rFonts w:ascii="Arial" w:hAnsi="Arial" w:cs="Arial"/>
      <w:b w:val="false"/>
      <w:bCs w:val="false"/>
      <w:i w:val="false"/>
      <w:iCs w:val="false"/>
      <w:color w:val="000000"/>
      <w:sz w:val="18"/>
      <w:szCs w:val="18"/>
      <w:shd w:fill="auto" w:val="clear"/>
    </w:rPr>
  </w:style>
  <w:style w:type="character" w:styleId="Cs9ff1b611140">
    <w:name w:val="cs9ff1b611140"/>
    <w:qFormat/>
    <w:rPr>
      <w:rFonts w:ascii="Arial" w:hAnsi="Arial" w:cs="Arial"/>
      <w:b w:val="false"/>
      <w:bCs w:val="false"/>
      <w:i w:val="false"/>
      <w:iCs w:val="false"/>
      <w:color w:val="000000"/>
      <w:sz w:val="18"/>
      <w:szCs w:val="18"/>
      <w:shd w:fill="auto" w:val="clear"/>
    </w:rPr>
  </w:style>
  <w:style w:type="character" w:styleId="Cs9ff1b611142">
    <w:name w:val="cs9ff1b611142"/>
    <w:qFormat/>
    <w:rPr>
      <w:rFonts w:ascii="Arial" w:hAnsi="Arial" w:cs="Arial"/>
      <w:b w:val="false"/>
      <w:bCs w:val="false"/>
      <w:i w:val="false"/>
      <w:iCs w:val="false"/>
      <w:color w:val="000000"/>
      <w:sz w:val="18"/>
      <w:szCs w:val="18"/>
      <w:shd w:fill="auto" w:val="clear"/>
    </w:rPr>
  </w:style>
  <w:style w:type="character" w:styleId="Cs9ff1b61159">
    <w:name w:val="cs9ff1b61159"/>
    <w:qFormat/>
    <w:rPr>
      <w:rFonts w:ascii="Arial" w:hAnsi="Arial" w:cs="Arial"/>
      <w:b w:val="false"/>
      <w:bCs w:val="false"/>
      <w:i w:val="false"/>
      <w:iCs w:val="false"/>
      <w:color w:val="000000"/>
      <w:sz w:val="18"/>
      <w:szCs w:val="18"/>
      <w:shd w:fill="auto" w:val="clear"/>
    </w:rPr>
  </w:style>
  <w:style w:type="character" w:styleId="Csab6e0769109">
    <w:name w:val="csab6e0769109"/>
    <w:qFormat/>
    <w:rPr>
      <w:rFonts w:ascii="Arial" w:hAnsi="Arial" w:cs="Arial"/>
      <w:b w:val="false"/>
      <w:bCs w:val="false"/>
      <w:i w:val="false"/>
      <w:iCs w:val="false"/>
      <w:color w:val="000000"/>
      <w:sz w:val="18"/>
      <w:szCs w:val="18"/>
      <w:shd w:fill="auto" w:val="clear"/>
    </w:rPr>
  </w:style>
  <w:style w:type="character" w:styleId="Cs9ff1b61143">
    <w:name w:val="cs9ff1b61143"/>
    <w:qFormat/>
    <w:rPr>
      <w:rFonts w:ascii="Arial" w:hAnsi="Arial" w:cs="Arial"/>
      <w:b w:val="false"/>
      <w:bCs w:val="false"/>
      <w:i w:val="false"/>
      <w:iCs w:val="false"/>
      <w:color w:val="000000"/>
      <w:sz w:val="18"/>
      <w:szCs w:val="18"/>
      <w:shd w:fill="auto" w:val="clear"/>
    </w:rPr>
  </w:style>
  <w:style w:type="character" w:styleId="Csb2c72e392">
    <w:name w:val="csb2c72e392"/>
    <w:qFormat/>
    <w:rPr>
      <w:rFonts w:ascii="Segoe UI" w:hAnsi="Segoe UI" w:cs="Segoe UI"/>
      <w:b/>
      <w:bCs/>
      <w:i w:val="false"/>
      <w:iCs w:val="false"/>
      <w:color w:val="000000"/>
      <w:sz w:val="24"/>
      <w:szCs w:val="24"/>
      <w:shd w:fill="auto" w:val="clear"/>
    </w:rPr>
  </w:style>
  <w:style w:type="character" w:styleId="Csab6e076924">
    <w:name w:val="csab6e076924"/>
    <w:qFormat/>
    <w:rPr>
      <w:rFonts w:ascii="Arial" w:hAnsi="Arial" w:cs="Arial"/>
      <w:b w:val="false"/>
      <w:bCs w:val="false"/>
      <w:i w:val="false"/>
      <w:iCs w:val="false"/>
      <w:color w:val="000000"/>
      <w:sz w:val="18"/>
      <w:szCs w:val="18"/>
      <w:shd w:fill="auto" w:val="clear"/>
    </w:rPr>
  </w:style>
  <w:style w:type="character" w:styleId="Csab6e076959">
    <w:name w:val="csab6e076959"/>
    <w:qFormat/>
    <w:rPr>
      <w:rFonts w:ascii="Arial" w:hAnsi="Arial" w:cs="Arial"/>
      <w:b w:val="false"/>
      <w:bCs w:val="false"/>
      <w:i w:val="false"/>
      <w:iCs w:val="false"/>
      <w:color w:val="000000"/>
      <w:sz w:val="18"/>
      <w:szCs w:val="18"/>
      <w:shd w:fill="auto" w:val="clear"/>
    </w:rPr>
  </w:style>
  <w:style w:type="character" w:styleId="Csccf5e3168">
    <w:name w:val="csccf5e3168"/>
    <w:qFormat/>
    <w:rPr>
      <w:rFonts w:ascii="Arial" w:hAnsi="Arial" w:cs="Arial"/>
      <w:b/>
      <w:bCs/>
      <w:i w:val="false"/>
      <w:iCs w:val="false"/>
      <w:color w:val="000000"/>
      <w:sz w:val="18"/>
      <w:szCs w:val="18"/>
      <w:shd w:fill="auto" w:val="clear"/>
    </w:rPr>
  </w:style>
  <w:style w:type="character" w:styleId="Csab6e0769127">
    <w:name w:val="csab6e0769127"/>
    <w:qFormat/>
    <w:rPr>
      <w:rFonts w:ascii="Arial" w:hAnsi="Arial" w:cs="Arial"/>
      <w:b w:val="false"/>
      <w:bCs w:val="false"/>
      <w:i w:val="false"/>
      <w:iCs w:val="false"/>
      <w:color w:val="000000"/>
      <w:sz w:val="18"/>
      <w:szCs w:val="18"/>
      <w:shd w:fill="auto" w:val="clear"/>
    </w:rPr>
  </w:style>
  <w:style w:type="character" w:styleId="Csccf5e31625">
    <w:name w:val="csccf5e31625"/>
    <w:qFormat/>
    <w:rPr>
      <w:rFonts w:ascii="Arial" w:hAnsi="Arial" w:cs="Arial"/>
      <w:b/>
      <w:bCs/>
      <w:i w:val="false"/>
      <w:iCs w:val="false"/>
      <w:color w:val="000000"/>
      <w:sz w:val="18"/>
      <w:szCs w:val="18"/>
      <w:shd w:fill="auto" w:val="clear"/>
    </w:rPr>
  </w:style>
  <w:style w:type="character" w:styleId="Cs9ff1b61124">
    <w:name w:val="cs9ff1b61124"/>
    <w:qFormat/>
    <w:rPr>
      <w:rFonts w:ascii="Arial" w:hAnsi="Arial" w:cs="Arial"/>
      <w:b w:val="false"/>
      <w:bCs w:val="false"/>
      <w:i w:val="false"/>
      <w:iCs w:val="false"/>
      <w:color w:val="000000"/>
      <w:sz w:val="18"/>
      <w:szCs w:val="18"/>
      <w:shd w:fill="auto" w:val="clear"/>
    </w:rPr>
  </w:style>
  <w:style w:type="character" w:styleId="Csab6e076916">
    <w:name w:val="csab6e076916"/>
    <w:qFormat/>
    <w:rPr>
      <w:rFonts w:ascii="Arial" w:hAnsi="Arial" w:cs="Arial"/>
      <w:b w:val="false"/>
      <w:bCs w:val="false"/>
      <w:i w:val="false"/>
      <w:iCs w:val="false"/>
      <w:color w:val="000000"/>
      <w:sz w:val="18"/>
      <w:szCs w:val="18"/>
      <w:shd w:fill="auto" w:val="clear"/>
    </w:rPr>
  </w:style>
  <w:style w:type="character" w:styleId="Cs2e2c6f9f1">
    <w:name w:val="cs2e2c6f9f1"/>
    <w:qFormat/>
    <w:rPr>
      <w:rFonts w:ascii="Arial" w:hAnsi="Arial" w:cs="Arial"/>
      <w:b/>
      <w:bCs/>
      <w:i/>
      <w:iCs/>
      <w:color w:val="000000"/>
      <w:sz w:val="18"/>
      <w:szCs w:val="18"/>
      <w:shd w:fill="auto" w:val="clear"/>
    </w:rPr>
  </w:style>
  <w:style w:type="character" w:styleId="Cs9ff1b61157">
    <w:name w:val="cs9ff1b61157"/>
    <w:qFormat/>
    <w:rPr>
      <w:rFonts w:ascii="Arial" w:hAnsi="Arial" w:cs="Arial"/>
      <w:b w:val="false"/>
      <w:bCs w:val="false"/>
      <w:i w:val="false"/>
      <w:iCs w:val="false"/>
      <w:color w:val="000000"/>
      <w:sz w:val="18"/>
      <w:szCs w:val="18"/>
      <w:shd w:fill="auto" w:val="clear"/>
    </w:rPr>
  </w:style>
  <w:style w:type="character" w:styleId="Cs9ff1b6114">
    <w:name w:val="cs9ff1b6114"/>
    <w:qFormat/>
    <w:rPr>
      <w:rFonts w:ascii="Arial" w:hAnsi="Arial" w:cs="Arial"/>
      <w:b w:val="false"/>
      <w:bCs w:val="false"/>
      <w:i w:val="false"/>
      <w:iCs w:val="false"/>
      <w:color w:val="000000"/>
      <w:sz w:val="18"/>
      <w:szCs w:val="18"/>
      <w:shd w:fill="auto" w:val="clear"/>
    </w:rPr>
  </w:style>
  <w:style w:type="character" w:styleId="Cs9ff1b61193">
    <w:name w:val="cs9ff1b61193"/>
    <w:qFormat/>
    <w:rPr>
      <w:rFonts w:ascii="Arial" w:hAnsi="Arial" w:cs="Arial"/>
      <w:b w:val="false"/>
      <w:bCs w:val="false"/>
      <w:i w:val="false"/>
      <w:iCs w:val="false"/>
      <w:color w:val="000000"/>
      <w:sz w:val="18"/>
      <w:szCs w:val="18"/>
      <w:shd w:fill="auto" w:val="clear"/>
    </w:rPr>
  </w:style>
  <w:style w:type="character" w:styleId="Cs9ff1b611101">
    <w:name w:val="cs9ff1b611101"/>
    <w:qFormat/>
    <w:rPr>
      <w:rFonts w:ascii="Arial" w:hAnsi="Arial" w:cs="Arial"/>
      <w:b w:val="false"/>
      <w:bCs w:val="false"/>
      <w:i w:val="false"/>
      <w:iCs w:val="false"/>
      <w:color w:val="000000"/>
      <w:sz w:val="18"/>
      <w:szCs w:val="18"/>
      <w:shd w:fill="auto" w:val="clear"/>
    </w:rPr>
  </w:style>
  <w:style w:type="character" w:styleId="Cs9ff1b61128">
    <w:name w:val="cs9ff1b61128"/>
    <w:qFormat/>
    <w:rPr>
      <w:rFonts w:ascii="Arial" w:hAnsi="Arial" w:cs="Arial"/>
      <w:b w:val="false"/>
      <w:bCs w:val="false"/>
      <w:i w:val="false"/>
      <w:iCs w:val="false"/>
      <w:color w:val="000000"/>
      <w:sz w:val="18"/>
      <w:szCs w:val="18"/>
      <w:shd w:fill="auto" w:val="clear"/>
    </w:rPr>
  </w:style>
  <w:style w:type="character" w:styleId="Cs95e872d02">
    <w:name w:val="cs95e872d02"/>
    <w:qFormat/>
    <w:rPr/>
  </w:style>
  <w:style w:type="character" w:styleId="Cs237f67f12">
    <w:name w:val="cs237f67f12"/>
    <w:qFormat/>
    <w:rPr>
      <w:rFonts w:ascii="Segoe UI" w:hAnsi="Segoe UI" w:cs="Segoe UI"/>
      <w:b w:val="false"/>
      <w:bCs w:val="false"/>
      <w:i w:val="false"/>
      <w:iCs w:val="false"/>
      <w:color w:val="000000"/>
      <w:sz w:val="24"/>
      <w:szCs w:val="24"/>
      <w:shd w:fill="auto" w:val="clear"/>
    </w:rPr>
  </w:style>
  <w:style w:type="character" w:styleId="Cs9ff1b6118">
    <w:name w:val="cs9ff1b6118"/>
    <w:qFormat/>
    <w:rPr>
      <w:rFonts w:ascii="Arial" w:hAnsi="Arial" w:cs="Arial"/>
      <w:b w:val="false"/>
      <w:bCs w:val="false"/>
      <w:i w:val="false"/>
      <w:iCs w:val="false"/>
      <w:color w:val="000000"/>
      <w:sz w:val="18"/>
      <w:szCs w:val="18"/>
      <w:shd w:fill="auto" w:val="clear"/>
    </w:rPr>
  </w:style>
  <w:style w:type="character" w:styleId="Arial91">
    <w:name w:val="arial9(жирнбез интерв) Знак"/>
    <w:qFormat/>
    <w:rPr>
      <w:rFonts w:ascii="Arial" w:hAnsi="Arial" w:cs="Arial"/>
      <w:b/>
      <w:sz w:val="18"/>
      <w:lang w:val="ru-RU"/>
    </w:rPr>
  </w:style>
  <w:style w:type="character" w:styleId="Csccf5e316151">
    <w:name w:val="csccf5e316151"/>
    <w:qFormat/>
    <w:rPr>
      <w:rFonts w:ascii="Arial" w:hAnsi="Arial" w:cs="Arial"/>
      <w:b/>
      <w:bCs/>
      <w:i w:val="false"/>
      <w:iCs w:val="false"/>
      <w:color w:val="000000"/>
      <w:sz w:val="18"/>
      <w:szCs w:val="18"/>
      <w:shd w:fill="auto" w:val="clear"/>
    </w:rPr>
  </w:style>
  <w:style w:type="character" w:styleId="Cs9ff1b611150">
    <w:name w:val="cs9ff1b611150"/>
    <w:qFormat/>
    <w:rPr>
      <w:rFonts w:ascii="Arial" w:hAnsi="Arial" w:cs="Arial"/>
      <w:b w:val="false"/>
      <w:bCs w:val="false"/>
      <w:i w:val="false"/>
      <w:iCs w:val="false"/>
      <w:color w:val="000000"/>
      <w:sz w:val="18"/>
      <w:szCs w:val="18"/>
      <w:shd w:fill="auto" w:val="clear"/>
    </w:rPr>
  </w:style>
  <w:style w:type="character" w:styleId="Csae0413f64">
    <w:name w:val="csae0413f64"/>
    <w:qFormat/>
    <w:rPr>
      <w:rFonts w:ascii="Arial" w:hAnsi="Arial" w:cs="Arial"/>
      <w:b/>
      <w:bCs/>
      <w:i w:val="false"/>
      <w:iCs w:val="false"/>
      <w:color w:val="000000"/>
      <w:sz w:val="18"/>
      <w:szCs w:val="18"/>
      <w:shd w:fill="auto" w:val="clear"/>
    </w:rPr>
  </w:style>
  <w:style w:type="character" w:styleId="Cs9ff1b61155">
    <w:name w:val="cs9ff1b61155"/>
    <w:qFormat/>
    <w:rPr>
      <w:rFonts w:ascii="Arial" w:hAnsi="Arial" w:cs="Arial"/>
      <w:b w:val="false"/>
      <w:bCs w:val="false"/>
      <w:i w:val="false"/>
      <w:iCs w:val="false"/>
      <w:color w:val="000000"/>
      <w:sz w:val="18"/>
      <w:szCs w:val="18"/>
      <w:shd w:fill="auto" w:val="clear"/>
    </w:rPr>
  </w:style>
  <w:style w:type="character" w:styleId="Cs9ff1b61182">
    <w:name w:val="cs9ff1b61182"/>
    <w:qFormat/>
    <w:rPr>
      <w:rFonts w:ascii="Arial" w:hAnsi="Arial" w:cs="Arial"/>
      <w:b w:val="false"/>
      <w:bCs w:val="false"/>
      <w:i w:val="false"/>
      <w:iCs w:val="false"/>
      <w:color w:val="000000"/>
      <w:sz w:val="18"/>
      <w:szCs w:val="18"/>
      <w:shd w:fill="auto" w:val="clear"/>
    </w:rPr>
  </w:style>
  <w:style w:type="character" w:styleId="Cs9ff1b61183">
    <w:name w:val="cs9ff1b61183"/>
    <w:qFormat/>
    <w:rPr>
      <w:rFonts w:ascii="Arial" w:hAnsi="Arial" w:cs="Arial"/>
      <w:b w:val="false"/>
      <w:bCs w:val="false"/>
      <w:i w:val="false"/>
      <w:iCs w:val="false"/>
      <w:color w:val="000000"/>
      <w:sz w:val="18"/>
      <w:szCs w:val="18"/>
      <w:shd w:fill="auto" w:val="clear"/>
    </w:rPr>
  </w:style>
  <w:style w:type="character" w:styleId="Spelle">
    <w:name w:val="spelle"/>
    <w:qFormat/>
    <w:rPr/>
  </w:style>
  <w:style w:type="character" w:styleId="Cs4df2502e8">
    <w:name w:val="cs4df2502e8"/>
    <w:qFormat/>
    <w:rPr>
      <w:rFonts w:ascii="Arial" w:hAnsi="Arial" w:cs="Arial"/>
      <w:b w:val="false"/>
      <w:bCs w:val="false"/>
      <w:i/>
      <w:iCs/>
      <w:color w:val="000000"/>
      <w:sz w:val="18"/>
      <w:szCs w:val="18"/>
      <w:shd w:fill="auto" w:val="clear"/>
    </w:rPr>
  </w:style>
  <w:style w:type="character" w:styleId="Cscc47389a1">
    <w:name w:val="cscc47389a1"/>
    <w:qFormat/>
    <w:rPr>
      <w:rFonts w:ascii="Times New Roman" w:hAnsi="Times New Roman" w:cs="Times New Roman"/>
      <w:b w:val="false"/>
      <w:bCs w:val="false"/>
      <w:i w:val="false"/>
      <w:iCs w:val="false"/>
      <w:color w:val="000000"/>
      <w:sz w:val="18"/>
      <w:szCs w:val="18"/>
      <w:shd w:fill="auto" w:val="clear"/>
    </w:rPr>
  </w:style>
  <w:style w:type="character" w:styleId="Cs176e94eb1">
    <w:name w:val="cs176e94eb1"/>
    <w:qFormat/>
    <w:rPr>
      <w:rFonts w:ascii="Times New Roman" w:hAnsi="Times New Roman" w:cs="Times New Roman"/>
      <w:b/>
      <w:bCs/>
      <w:i w:val="false"/>
      <w:iCs w:val="false"/>
      <w:color w:val="000000"/>
      <w:sz w:val="18"/>
      <w:szCs w:val="18"/>
      <w:shd w:fill="auto" w:val="clear"/>
    </w:rPr>
  </w:style>
  <w:style w:type="character" w:styleId="Csafaf574135">
    <w:name w:val="csafaf574135"/>
    <w:qFormat/>
    <w:rPr>
      <w:rFonts w:ascii="Arial" w:hAnsi="Arial" w:cs="Arial"/>
      <w:b/>
      <w:bCs/>
      <w:i w:val="false"/>
      <w:iCs w:val="false"/>
      <w:color w:val="000000"/>
      <w:sz w:val="18"/>
      <w:szCs w:val="18"/>
      <w:shd w:fill="auto" w:val="clear"/>
    </w:rPr>
  </w:style>
  <w:style w:type="character" w:styleId="Csafaf574136">
    <w:name w:val="csafaf574136"/>
    <w:qFormat/>
    <w:rPr>
      <w:rFonts w:ascii="Arial" w:hAnsi="Arial" w:cs="Arial"/>
      <w:b/>
      <w:bCs/>
      <w:i w:val="false"/>
      <w:iCs w:val="false"/>
      <w:color w:val="000000"/>
      <w:sz w:val="18"/>
      <w:szCs w:val="18"/>
      <w:shd w:fill="auto" w:val="clear"/>
    </w:rPr>
  </w:style>
  <w:style w:type="character" w:styleId="Csab6e076936">
    <w:name w:val="csab6e076936"/>
    <w:qFormat/>
    <w:rPr>
      <w:rFonts w:ascii="Arial" w:hAnsi="Arial" w:cs="Arial"/>
      <w:b w:val="false"/>
      <w:bCs w:val="false"/>
      <w:i w:val="false"/>
      <w:iCs w:val="false"/>
      <w:color w:val="000000"/>
      <w:sz w:val="18"/>
      <w:szCs w:val="18"/>
      <w:shd w:fill="auto" w:val="clear"/>
    </w:rPr>
  </w:style>
  <w:style w:type="character" w:styleId="Csafaf574137">
    <w:name w:val="csafaf574137"/>
    <w:qFormat/>
    <w:rPr>
      <w:rFonts w:ascii="Arial" w:hAnsi="Arial" w:cs="Arial"/>
      <w:b/>
      <w:bCs/>
      <w:i w:val="false"/>
      <w:iCs w:val="false"/>
      <w:color w:val="000000"/>
      <w:sz w:val="18"/>
      <w:szCs w:val="18"/>
      <w:shd w:fill="auto" w:val="clear"/>
    </w:rPr>
  </w:style>
  <w:style w:type="character" w:styleId="Csab6e076937">
    <w:name w:val="csab6e076937"/>
    <w:qFormat/>
    <w:rPr>
      <w:rFonts w:ascii="Arial" w:hAnsi="Arial" w:cs="Arial"/>
      <w:b w:val="false"/>
      <w:bCs w:val="false"/>
      <w:i w:val="false"/>
      <w:iCs w:val="false"/>
      <w:color w:val="000000"/>
      <w:sz w:val="18"/>
      <w:szCs w:val="18"/>
      <w:shd w:fill="auto" w:val="clear"/>
    </w:rPr>
  </w:style>
  <w:style w:type="character" w:styleId="Csafaf574138">
    <w:name w:val="csafaf574138"/>
    <w:qFormat/>
    <w:rPr>
      <w:rFonts w:ascii="Arial" w:hAnsi="Arial" w:cs="Arial"/>
      <w:b/>
      <w:bCs/>
      <w:i w:val="false"/>
      <w:iCs w:val="false"/>
      <w:color w:val="000000"/>
      <w:sz w:val="18"/>
      <w:szCs w:val="18"/>
      <w:shd w:fill="auto" w:val="clear"/>
    </w:rPr>
  </w:style>
  <w:style w:type="character" w:styleId="Csafaf574139">
    <w:name w:val="csafaf574139"/>
    <w:qFormat/>
    <w:rPr>
      <w:rFonts w:ascii="Arial" w:hAnsi="Arial" w:cs="Arial"/>
      <w:b/>
      <w:bCs/>
      <w:i w:val="false"/>
      <w:iCs w:val="false"/>
      <w:color w:val="000000"/>
      <w:sz w:val="18"/>
      <w:szCs w:val="18"/>
      <w:shd w:fill="auto" w:val="clear"/>
    </w:rPr>
  </w:style>
  <w:style w:type="character" w:styleId="Csafaf574140">
    <w:name w:val="csafaf574140"/>
    <w:qFormat/>
    <w:rPr>
      <w:rFonts w:ascii="Arial" w:hAnsi="Arial" w:cs="Arial"/>
      <w:b/>
      <w:bCs/>
      <w:i w:val="false"/>
      <w:iCs w:val="false"/>
      <w:color w:val="000000"/>
      <w:sz w:val="18"/>
      <w:szCs w:val="18"/>
      <w:shd w:fill="auto" w:val="clear"/>
    </w:rPr>
  </w:style>
  <w:style w:type="character" w:styleId="Csab6e076940">
    <w:name w:val="csab6e076940"/>
    <w:qFormat/>
    <w:rPr>
      <w:rFonts w:ascii="Arial" w:hAnsi="Arial" w:cs="Arial"/>
      <w:b w:val="false"/>
      <w:bCs w:val="false"/>
      <w:i w:val="false"/>
      <w:iCs w:val="false"/>
      <w:color w:val="000000"/>
      <w:sz w:val="18"/>
      <w:szCs w:val="18"/>
      <w:shd w:fill="auto" w:val="clear"/>
    </w:rPr>
  </w:style>
  <w:style w:type="character" w:styleId="Csafaf574141">
    <w:name w:val="csafaf574141"/>
    <w:qFormat/>
    <w:rPr>
      <w:rFonts w:ascii="Arial" w:hAnsi="Arial" w:cs="Arial"/>
      <w:b/>
      <w:bCs/>
      <w:i w:val="false"/>
      <w:iCs w:val="false"/>
      <w:color w:val="000000"/>
      <w:sz w:val="18"/>
      <w:szCs w:val="18"/>
      <w:shd w:fill="auto" w:val="clear"/>
    </w:rPr>
  </w:style>
  <w:style w:type="character" w:styleId="Csafaf574142">
    <w:name w:val="csafaf574142"/>
    <w:qFormat/>
    <w:rPr>
      <w:rFonts w:ascii="Arial" w:hAnsi="Arial" w:cs="Arial"/>
      <w:b/>
      <w:bCs/>
      <w:i w:val="false"/>
      <w:iCs w:val="false"/>
      <w:color w:val="000000"/>
      <w:sz w:val="18"/>
      <w:szCs w:val="18"/>
      <w:shd w:fill="auto" w:val="clear"/>
    </w:rPr>
  </w:style>
  <w:style w:type="character" w:styleId="Csab6e076942">
    <w:name w:val="csab6e076942"/>
    <w:qFormat/>
    <w:rPr>
      <w:rFonts w:ascii="Arial" w:hAnsi="Arial" w:cs="Arial"/>
      <w:b w:val="false"/>
      <w:bCs w:val="false"/>
      <w:i w:val="false"/>
      <w:iCs w:val="false"/>
      <w:color w:val="000000"/>
      <w:sz w:val="18"/>
      <w:szCs w:val="18"/>
      <w:shd w:fill="auto" w:val="clear"/>
    </w:rPr>
  </w:style>
  <w:style w:type="character" w:styleId="Csafaf574143">
    <w:name w:val="csafaf574143"/>
    <w:qFormat/>
    <w:rPr>
      <w:rFonts w:ascii="Arial" w:hAnsi="Arial" w:cs="Arial"/>
      <w:b/>
      <w:bCs/>
      <w:i w:val="false"/>
      <w:iCs w:val="false"/>
      <w:color w:val="000000"/>
      <w:sz w:val="18"/>
      <w:szCs w:val="18"/>
      <w:shd w:fill="auto" w:val="clear"/>
    </w:rPr>
  </w:style>
  <w:style w:type="character" w:styleId="Csab6e076943">
    <w:name w:val="csab6e076943"/>
    <w:qFormat/>
    <w:rPr>
      <w:rFonts w:ascii="Arial" w:hAnsi="Arial" w:cs="Arial"/>
      <w:b w:val="false"/>
      <w:bCs w:val="false"/>
      <w:i w:val="false"/>
      <w:iCs w:val="false"/>
      <w:color w:val="000000"/>
      <w:sz w:val="18"/>
      <w:szCs w:val="18"/>
      <w:shd w:fill="auto" w:val="clear"/>
    </w:rPr>
  </w:style>
  <w:style w:type="character" w:styleId="Csafaf574144">
    <w:name w:val="csafaf574144"/>
    <w:qFormat/>
    <w:rPr>
      <w:rFonts w:ascii="Arial" w:hAnsi="Arial" w:cs="Arial"/>
      <w:b/>
      <w:bCs/>
      <w:i w:val="false"/>
      <w:iCs w:val="false"/>
      <w:color w:val="000000"/>
      <w:sz w:val="18"/>
      <w:szCs w:val="18"/>
      <w:shd w:fill="auto" w:val="clear"/>
    </w:rPr>
  </w:style>
  <w:style w:type="character" w:styleId="Csafaf574145">
    <w:name w:val="csafaf574145"/>
    <w:qFormat/>
    <w:rPr>
      <w:rFonts w:ascii="Arial" w:hAnsi="Arial" w:cs="Arial"/>
      <w:b/>
      <w:bCs/>
      <w:i w:val="false"/>
      <w:iCs w:val="false"/>
      <w:color w:val="000000"/>
      <w:sz w:val="18"/>
      <w:szCs w:val="18"/>
      <w:shd w:fill="auto" w:val="clear"/>
    </w:rPr>
  </w:style>
  <w:style w:type="character" w:styleId="Csab6e076945">
    <w:name w:val="csab6e076945"/>
    <w:qFormat/>
    <w:rPr>
      <w:rFonts w:ascii="Arial" w:hAnsi="Arial" w:cs="Arial"/>
      <w:b w:val="false"/>
      <w:bCs w:val="false"/>
      <w:i w:val="false"/>
      <w:iCs w:val="false"/>
      <w:color w:val="000000"/>
      <w:sz w:val="18"/>
      <w:szCs w:val="18"/>
      <w:shd w:fill="auto" w:val="clear"/>
    </w:rPr>
  </w:style>
  <w:style w:type="character" w:styleId="Csafaf574146">
    <w:name w:val="csafaf574146"/>
    <w:qFormat/>
    <w:rPr>
      <w:rFonts w:ascii="Arial" w:hAnsi="Arial" w:cs="Arial"/>
      <w:b/>
      <w:bCs/>
      <w:i w:val="false"/>
      <w:iCs w:val="false"/>
      <w:color w:val="000000"/>
      <w:sz w:val="18"/>
      <w:szCs w:val="18"/>
      <w:shd w:fill="auto" w:val="clear"/>
    </w:rPr>
  </w:style>
  <w:style w:type="character" w:styleId="Csafaf574147">
    <w:name w:val="csafaf574147"/>
    <w:qFormat/>
    <w:rPr>
      <w:rFonts w:ascii="Arial" w:hAnsi="Arial" w:cs="Arial"/>
      <w:b/>
      <w:bCs/>
      <w:i w:val="false"/>
      <w:iCs w:val="false"/>
      <w:color w:val="000000"/>
      <w:sz w:val="18"/>
      <w:szCs w:val="18"/>
      <w:shd w:fill="auto" w:val="clear"/>
    </w:rPr>
  </w:style>
  <w:style w:type="character" w:styleId="Csafaf574148">
    <w:name w:val="csafaf574148"/>
    <w:qFormat/>
    <w:rPr>
      <w:rFonts w:ascii="Arial" w:hAnsi="Arial" w:cs="Arial"/>
      <w:b/>
      <w:bCs/>
      <w:i w:val="false"/>
      <w:iCs w:val="false"/>
      <w:color w:val="000000"/>
      <w:sz w:val="18"/>
      <w:szCs w:val="18"/>
      <w:shd w:fill="auto" w:val="clear"/>
    </w:rPr>
  </w:style>
  <w:style w:type="character" w:styleId="Csab6e076948">
    <w:name w:val="csab6e076948"/>
    <w:qFormat/>
    <w:rPr>
      <w:rFonts w:ascii="Arial" w:hAnsi="Arial" w:cs="Arial"/>
      <w:b w:val="false"/>
      <w:bCs w:val="false"/>
      <w:i w:val="false"/>
      <w:iCs w:val="false"/>
      <w:color w:val="000000"/>
      <w:sz w:val="18"/>
      <w:szCs w:val="18"/>
      <w:shd w:fill="auto" w:val="clear"/>
    </w:rPr>
  </w:style>
  <w:style w:type="character" w:styleId="Csafaf574149">
    <w:name w:val="csafaf574149"/>
    <w:qFormat/>
    <w:rPr>
      <w:rFonts w:ascii="Arial" w:hAnsi="Arial" w:cs="Arial"/>
      <w:b/>
      <w:bCs/>
      <w:i w:val="false"/>
      <w:iCs w:val="false"/>
      <w:color w:val="000000"/>
      <w:sz w:val="18"/>
      <w:szCs w:val="18"/>
      <w:shd w:fill="auto" w:val="clear"/>
    </w:rPr>
  </w:style>
  <w:style w:type="character" w:styleId="Csab6e076949">
    <w:name w:val="csab6e076949"/>
    <w:qFormat/>
    <w:rPr>
      <w:rFonts w:ascii="Arial" w:hAnsi="Arial" w:cs="Arial"/>
      <w:b w:val="false"/>
      <w:bCs w:val="false"/>
      <w:i w:val="false"/>
      <w:iCs w:val="false"/>
      <w:color w:val="000000"/>
      <w:sz w:val="18"/>
      <w:szCs w:val="18"/>
      <w:shd w:fill="auto" w:val="clear"/>
    </w:rPr>
  </w:style>
  <w:style w:type="character" w:styleId="Csafaf574150">
    <w:name w:val="csafaf574150"/>
    <w:qFormat/>
    <w:rPr>
      <w:rFonts w:ascii="Arial" w:hAnsi="Arial" w:cs="Arial"/>
      <w:b/>
      <w:bCs/>
      <w:i w:val="false"/>
      <w:iCs w:val="false"/>
      <w:color w:val="000000"/>
      <w:sz w:val="18"/>
      <w:szCs w:val="18"/>
      <w:shd w:fill="auto" w:val="clear"/>
    </w:rPr>
  </w:style>
  <w:style w:type="character" w:styleId="Csafaf574151">
    <w:name w:val="csafaf574151"/>
    <w:qFormat/>
    <w:rPr>
      <w:rFonts w:ascii="Arial" w:hAnsi="Arial" w:cs="Arial"/>
      <w:b/>
      <w:bCs/>
      <w:i w:val="false"/>
      <w:iCs w:val="false"/>
      <w:color w:val="000000"/>
      <w:sz w:val="18"/>
      <w:szCs w:val="18"/>
      <w:shd w:fill="auto" w:val="clear"/>
    </w:rPr>
  </w:style>
  <w:style w:type="character" w:styleId="Csafaf574152">
    <w:name w:val="csafaf574152"/>
    <w:qFormat/>
    <w:rPr>
      <w:rFonts w:ascii="Arial" w:hAnsi="Arial" w:cs="Arial"/>
      <w:b/>
      <w:bCs/>
      <w:i w:val="false"/>
      <w:iCs w:val="false"/>
      <w:color w:val="000000"/>
      <w:sz w:val="18"/>
      <w:szCs w:val="18"/>
      <w:shd w:fill="auto" w:val="clear"/>
    </w:rPr>
  </w:style>
  <w:style w:type="character" w:styleId="Csab6e076952">
    <w:name w:val="csab6e076952"/>
    <w:qFormat/>
    <w:rPr>
      <w:rFonts w:ascii="Arial" w:hAnsi="Arial" w:cs="Arial"/>
      <w:b w:val="false"/>
      <w:bCs w:val="false"/>
      <w:i w:val="false"/>
      <w:iCs w:val="false"/>
      <w:color w:val="000000"/>
      <w:sz w:val="18"/>
      <w:szCs w:val="18"/>
      <w:shd w:fill="auto" w:val="clear"/>
    </w:rPr>
  </w:style>
  <w:style w:type="character" w:styleId="Csafaf574153">
    <w:name w:val="csafaf574153"/>
    <w:qFormat/>
    <w:rPr>
      <w:rFonts w:ascii="Arial" w:hAnsi="Arial" w:cs="Arial"/>
      <w:b/>
      <w:bCs/>
      <w:i w:val="false"/>
      <w:iCs w:val="false"/>
      <w:color w:val="000000"/>
      <w:sz w:val="18"/>
      <w:szCs w:val="18"/>
      <w:shd w:fill="auto" w:val="clear"/>
    </w:rPr>
  </w:style>
  <w:style w:type="character" w:styleId="Csab6e076953">
    <w:name w:val="csab6e076953"/>
    <w:qFormat/>
    <w:rPr>
      <w:rFonts w:ascii="Arial" w:hAnsi="Arial" w:cs="Arial"/>
      <w:b w:val="false"/>
      <w:bCs w:val="false"/>
      <w:i w:val="false"/>
      <w:iCs w:val="false"/>
      <w:color w:val="000000"/>
      <w:sz w:val="18"/>
      <w:szCs w:val="18"/>
      <w:shd w:fill="auto" w:val="clear"/>
    </w:rPr>
  </w:style>
  <w:style w:type="character" w:styleId="Csafaf574154">
    <w:name w:val="csafaf574154"/>
    <w:qFormat/>
    <w:rPr>
      <w:rFonts w:ascii="Arial" w:hAnsi="Arial" w:cs="Arial"/>
      <w:b/>
      <w:bCs/>
      <w:i w:val="false"/>
      <w:iCs w:val="false"/>
      <w:color w:val="000000"/>
      <w:sz w:val="18"/>
      <w:szCs w:val="18"/>
      <w:shd w:fill="auto" w:val="clear"/>
    </w:rPr>
  </w:style>
  <w:style w:type="character" w:styleId="Csafaf574155">
    <w:name w:val="csafaf574155"/>
    <w:qFormat/>
    <w:rPr>
      <w:rFonts w:ascii="Arial" w:hAnsi="Arial" w:cs="Arial"/>
      <w:b/>
      <w:bCs/>
      <w:i w:val="false"/>
      <w:iCs w:val="false"/>
      <w:color w:val="000000"/>
      <w:sz w:val="18"/>
      <w:szCs w:val="18"/>
      <w:shd w:fill="auto" w:val="clear"/>
    </w:rPr>
  </w:style>
  <w:style w:type="character" w:styleId="Csafaf574156">
    <w:name w:val="csafaf574156"/>
    <w:qFormat/>
    <w:rPr>
      <w:rFonts w:ascii="Arial" w:hAnsi="Arial" w:cs="Arial"/>
      <w:b/>
      <w:bCs/>
      <w:i w:val="false"/>
      <w:iCs w:val="false"/>
      <w:color w:val="000000"/>
      <w:sz w:val="18"/>
      <w:szCs w:val="18"/>
      <w:shd w:fill="auto" w:val="clear"/>
    </w:rPr>
  </w:style>
  <w:style w:type="character" w:styleId="Csab6e076956">
    <w:name w:val="csab6e076956"/>
    <w:qFormat/>
    <w:rPr>
      <w:rFonts w:ascii="Arial" w:hAnsi="Arial" w:cs="Arial"/>
      <w:b w:val="false"/>
      <w:bCs w:val="false"/>
      <w:i w:val="false"/>
      <w:iCs w:val="false"/>
      <w:color w:val="000000"/>
      <w:sz w:val="18"/>
      <w:szCs w:val="18"/>
      <w:shd w:fill="auto" w:val="clear"/>
    </w:rPr>
  </w:style>
  <w:style w:type="character" w:styleId="Csafaf574157">
    <w:name w:val="csafaf574157"/>
    <w:qFormat/>
    <w:rPr>
      <w:rFonts w:ascii="Arial" w:hAnsi="Arial" w:cs="Arial"/>
      <w:b/>
      <w:bCs/>
      <w:i w:val="false"/>
      <w:iCs w:val="false"/>
      <w:color w:val="000000"/>
      <w:sz w:val="18"/>
      <w:szCs w:val="18"/>
      <w:shd w:fill="auto" w:val="clear"/>
    </w:rPr>
  </w:style>
  <w:style w:type="character" w:styleId="Csafaf574158">
    <w:name w:val="csafaf574158"/>
    <w:qFormat/>
    <w:rPr>
      <w:rFonts w:ascii="Arial" w:hAnsi="Arial" w:cs="Arial"/>
      <w:b/>
      <w:bCs/>
      <w:i w:val="false"/>
      <w:iCs w:val="false"/>
      <w:color w:val="000000"/>
      <w:sz w:val="18"/>
      <w:szCs w:val="18"/>
      <w:shd w:fill="auto" w:val="clear"/>
    </w:rPr>
  </w:style>
  <w:style w:type="character" w:styleId="Csab6e076958">
    <w:name w:val="csab6e076958"/>
    <w:qFormat/>
    <w:rPr>
      <w:rFonts w:ascii="Arial" w:hAnsi="Arial" w:cs="Arial"/>
      <w:b w:val="false"/>
      <w:bCs w:val="false"/>
      <w:i w:val="false"/>
      <w:iCs w:val="false"/>
      <w:color w:val="000000"/>
      <w:sz w:val="18"/>
      <w:szCs w:val="18"/>
      <w:shd w:fill="auto" w:val="clear"/>
    </w:rPr>
  </w:style>
  <w:style w:type="character" w:styleId="Csafaf574159">
    <w:name w:val="csafaf574159"/>
    <w:qFormat/>
    <w:rPr>
      <w:rFonts w:ascii="Arial" w:hAnsi="Arial" w:cs="Arial"/>
      <w:b/>
      <w:bCs/>
      <w:i w:val="false"/>
      <w:iCs w:val="false"/>
      <w:color w:val="000000"/>
      <w:sz w:val="18"/>
      <w:szCs w:val="18"/>
      <w:shd w:fill="auto" w:val="clear"/>
    </w:rPr>
  </w:style>
  <w:style w:type="character" w:styleId="Csafaf574160">
    <w:name w:val="csafaf574160"/>
    <w:qFormat/>
    <w:rPr>
      <w:rFonts w:ascii="Arial" w:hAnsi="Arial" w:cs="Arial"/>
      <w:b/>
      <w:bCs/>
      <w:i w:val="false"/>
      <w:iCs w:val="false"/>
      <w:color w:val="000000"/>
      <w:sz w:val="18"/>
      <w:szCs w:val="18"/>
      <w:shd w:fill="auto" w:val="clear"/>
    </w:rPr>
  </w:style>
  <w:style w:type="character" w:styleId="Csab6e076960">
    <w:name w:val="csab6e076960"/>
    <w:qFormat/>
    <w:rPr>
      <w:rFonts w:ascii="Arial" w:hAnsi="Arial" w:cs="Arial"/>
      <w:b w:val="false"/>
      <w:bCs w:val="false"/>
      <w:i w:val="false"/>
      <w:iCs w:val="false"/>
      <w:color w:val="000000"/>
      <w:sz w:val="18"/>
      <w:szCs w:val="18"/>
      <w:shd w:fill="auto" w:val="clear"/>
    </w:rPr>
  </w:style>
  <w:style w:type="character" w:styleId="Csafaf574163">
    <w:name w:val="csafaf574163"/>
    <w:qFormat/>
    <w:rPr>
      <w:rFonts w:ascii="Arial" w:hAnsi="Arial" w:cs="Arial"/>
      <w:b/>
      <w:bCs/>
      <w:i w:val="false"/>
      <w:iCs w:val="false"/>
      <w:color w:val="000000"/>
      <w:sz w:val="18"/>
      <w:szCs w:val="18"/>
      <w:shd w:fill="auto" w:val="clear"/>
    </w:rPr>
  </w:style>
  <w:style w:type="character" w:styleId="Csab6e076963">
    <w:name w:val="csab6e076963"/>
    <w:qFormat/>
    <w:rPr>
      <w:rFonts w:ascii="Arial" w:hAnsi="Arial" w:cs="Arial"/>
      <w:b w:val="false"/>
      <w:bCs w:val="false"/>
      <w:i w:val="false"/>
      <w:iCs w:val="false"/>
      <w:color w:val="000000"/>
      <w:sz w:val="18"/>
      <w:szCs w:val="18"/>
      <w:shd w:fill="auto" w:val="clear"/>
    </w:rPr>
  </w:style>
  <w:style w:type="character" w:styleId="Csafaf574164">
    <w:name w:val="csafaf574164"/>
    <w:qFormat/>
    <w:rPr>
      <w:rFonts w:ascii="Arial" w:hAnsi="Arial" w:cs="Arial"/>
      <w:b/>
      <w:bCs/>
      <w:i w:val="false"/>
      <w:iCs w:val="false"/>
      <w:color w:val="000000"/>
      <w:sz w:val="18"/>
      <w:szCs w:val="18"/>
      <w:shd w:fill="auto" w:val="clear"/>
    </w:rPr>
  </w:style>
  <w:style w:type="character" w:styleId="Csab6e076964">
    <w:name w:val="csab6e076964"/>
    <w:qFormat/>
    <w:rPr>
      <w:rFonts w:ascii="Arial" w:hAnsi="Arial" w:cs="Arial"/>
      <w:b w:val="false"/>
      <w:bCs w:val="false"/>
      <w:i w:val="false"/>
      <w:iCs w:val="false"/>
      <w:color w:val="000000"/>
      <w:sz w:val="18"/>
      <w:szCs w:val="18"/>
      <w:shd w:fill="auto" w:val="clear"/>
    </w:rPr>
  </w:style>
  <w:style w:type="character" w:styleId="Csafaf574165">
    <w:name w:val="csafaf574165"/>
    <w:qFormat/>
    <w:rPr>
      <w:rFonts w:ascii="Arial" w:hAnsi="Arial" w:cs="Arial"/>
      <w:b/>
      <w:bCs/>
      <w:i w:val="false"/>
      <w:iCs w:val="false"/>
      <w:color w:val="000000"/>
      <w:sz w:val="18"/>
      <w:szCs w:val="18"/>
      <w:shd w:fill="auto" w:val="clear"/>
    </w:rPr>
  </w:style>
  <w:style w:type="character" w:styleId="Csafaf574166">
    <w:name w:val="csafaf574166"/>
    <w:qFormat/>
    <w:rPr>
      <w:rFonts w:ascii="Arial" w:hAnsi="Arial" w:cs="Arial"/>
      <w:b/>
      <w:bCs/>
      <w:i w:val="false"/>
      <w:iCs w:val="false"/>
      <w:color w:val="000000"/>
      <w:sz w:val="18"/>
      <w:szCs w:val="18"/>
      <w:shd w:fill="auto" w:val="clear"/>
    </w:rPr>
  </w:style>
  <w:style w:type="character" w:styleId="Csab6e076966">
    <w:name w:val="csab6e076966"/>
    <w:qFormat/>
    <w:rPr>
      <w:rFonts w:ascii="Arial" w:hAnsi="Arial" w:cs="Arial"/>
      <w:b w:val="false"/>
      <w:bCs w:val="false"/>
      <w:i w:val="false"/>
      <w:iCs w:val="false"/>
      <w:color w:val="000000"/>
      <w:sz w:val="18"/>
      <w:szCs w:val="18"/>
      <w:shd w:fill="auto" w:val="clear"/>
    </w:rPr>
  </w:style>
  <w:style w:type="character" w:styleId="Csafaf574167">
    <w:name w:val="csafaf574167"/>
    <w:qFormat/>
    <w:rPr>
      <w:rFonts w:ascii="Arial" w:hAnsi="Arial" w:cs="Arial"/>
      <w:b/>
      <w:bCs/>
      <w:i w:val="false"/>
      <w:iCs w:val="false"/>
      <w:color w:val="000000"/>
      <w:sz w:val="18"/>
      <w:szCs w:val="18"/>
      <w:shd w:fill="auto" w:val="clear"/>
    </w:rPr>
  </w:style>
  <w:style w:type="character" w:styleId="Csab6e076967">
    <w:name w:val="csab6e076967"/>
    <w:qFormat/>
    <w:rPr>
      <w:rFonts w:ascii="Arial" w:hAnsi="Arial" w:cs="Arial"/>
      <w:b w:val="false"/>
      <w:bCs w:val="false"/>
      <w:i w:val="false"/>
      <w:iCs w:val="false"/>
      <w:color w:val="000000"/>
      <w:sz w:val="18"/>
      <w:szCs w:val="18"/>
      <w:shd w:fill="auto" w:val="clear"/>
    </w:rPr>
  </w:style>
  <w:style w:type="character" w:styleId="Csafaf574168">
    <w:name w:val="csafaf574168"/>
    <w:qFormat/>
    <w:rPr>
      <w:rFonts w:ascii="Arial" w:hAnsi="Arial" w:cs="Arial"/>
      <w:b/>
      <w:bCs/>
      <w:i w:val="false"/>
      <w:iCs w:val="false"/>
      <w:color w:val="000000"/>
      <w:sz w:val="18"/>
      <w:szCs w:val="18"/>
      <w:shd w:fill="auto" w:val="clear"/>
    </w:rPr>
  </w:style>
  <w:style w:type="character" w:styleId="Csab6e076968">
    <w:name w:val="csab6e076968"/>
    <w:qFormat/>
    <w:rPr>
      <w:rFonts w:ascii="Arial" w:hAnsi="Arial" w:cs="Arial"/>
      <w:b w:val="false"/>
      <w:bCs w:val="false"/>
      <w:i w:val="false"/>
      <w:iCs w:val="false"/>
      <w:color w:val="000000"/>
      <w:sz w:val="18"/>
      <w:szCs w:val="18"/>
      <w:shd w:fill="auto" w:val="clear"/>
    </w:rPr>
  </w:style>
  <w:style w:type="character" w:styleId="Csafaf574169">
    <w:name w:val="csafaf574169"/>
    <w:qFormat/>
    <w:rPr>
      <w:rFonts w:ascii="Arial" w:hAnsi="Arial" w:cs="Arial"/>
      <w:b/>
      <w:bCs/>
      <w:i w:val="false"/>
      <w:iCs w:val="false"/>
      <w:color w:val="000000"/>
      <w:sz w:val="18"/>
      <w:szCs w:val="18"/>
      <w:shd w:fill="auto" w:val="clear"/>
    </w:rPr>
  </w:style>
  <w:style w:type="character" w:styleId="Csab6e076969">
    <w:name w:val="csab6e076969"/>
    <w:qFormat/>
    <w:rPr>
      <w:rFonts w:ascii="Arial" w:hAnsi="Arial" w:cs="Arial"/>
      <w:b w:val="false"/>
      <w:bCs w:val="false"/>
      <w:i w:val="false"/>
      <w:iCs w:val="false"/>
      <w:color w:val="000000"/>
      <w:sz w:val="18"/>
      <w:szCs w:val="18"/>
      <w:shd w:fill="auto" w:val="clear"/>
    </w:rPr>
  </w:style>
  <w:style w:type="character" w:styleId="Csafaf574170">
    <w:name w:val="csafaf574170"/>
    <w:qFormat/>
    <w:rPr>
      <w:rFonts w:ascii="Arial" w:hAnsi="Arial" w:cs="Arial"/>
      <w:b/>
      <w:bCs/>
      <w:i w:val="false"/>
      <w:iCs w:val="false"/>
      <w:color w:val="000000"/>
      <w:sz w:val="18"/>
      <w:szCs w:val="18"/>
      <w:shd w:fill="auto" w:val="clear"/>
    </w:rPr>
  </w:style>
  <w:style w:type="character" w:styleId="Csafaf574171">
    <w:name w:val="csafaf574171"/>
    <w:qFormat/>
    <w:rPr>
      <w:rFonts w:ascii="Arial" w:hAnsi="Arial" w:cs="Arial"/>
      <w:b/>
      <w:bCs/>
      <w:i w:val="false"/>
      <w:iCs w:val="false"/>
      <w:color w:val="000000"/>
      <w:sz w:val="18"/>
      <w:szCs w:val="18"/>
      <w:shd w:fill="auto" w:val="clear"/>
    </w:rPr>
  </w:style>
  <w:style w:type="character" w:styleId="Csab6e076971">
    <w:name w:val="csab6e076971"/>
    <w:qFormat/>
    <w:rPr>
      <w:rFonts w:ascii="Arial" w:hAnsi="Arial" w:cs="Arial"/>
      <w:b w:val="false"/>
      <w:bCs w:val="false"/>
      <w:i w:val="false"/>
      <w:iCs w:val="false"/>
      <w:color w:val="000000"/>
      <w:sz w:val="18"/>
      <w:szCs w:val="18"/>
      <w:shd w:fill="auto" w:val="clear"/>
    </w:rPr>
  </w:style>
  <w:style w:type="character" w:styleId="Csafaf574172">
    <w:name w:val="csafaf574172"/>
    <w:qFormat/>
    <w:rPr>
      <w:rFonts w:ascii="Arial" w:hAnsi="Arial" w:cs="Arial"/>
      <w:b/>
      <w:bCs/>
      <w:i w:val="false"/>
      <w:iCs w:val="false"/>
      <w:color w:val="000000"/>
      <w:sz w:val="18"/>
      <w:szCs w:val="18"/>
      <w:shd w:fill="auto" w:val="clear"/>
    </w:rPr>
  </w:style>
  <w:style w:type="character" w:styleId="Csab6e076972">
    <w:name w:val="csab6e076972"/>
    <w:qFormat/>
    <w:rPr>
      <w:rFonts w:ascii="Arial" w:hAnsi="Arial" w:cs="Arial"/>
      <w:b w:val="false"/>
      <w:bCs w:val="false"/>
      <w:i w:val="false"/>
      <w:iCs w:val="false"/>
      <w:color w:val="000000"/>
      <w:sz w:val="18"/>
      <w:szCs w:val="18"/>
      <w:shd w:fill="auto" w:val="clear"/>
    </w:rPr>
  </w:style>
  <w:style w:type="character" w:styleId="Csafaf574173">
    <w:name w:val="csafaf574173"/>
    <w:qFormat/>
    <w:rPr>
      <w:rFonts w:ascii="Arial" w:hAnsi="Arial" w:cs="Arial"/>
      <w:b/>
      <w:bCs/>
      <w:i w:val="false"/>
      <w:iCs w:val="false"/>
      <w:color w:val="000000"/>
      <w:sz w:val="18"/>
      <w:szCs w:val="18"/>
      <w:shd w:fill="auto" w:val="clear"/>
    </w:rPr>
  </w:style>
  <w:style w:type="character" w:styleId="Csab6e076973">
    <w:name w:val="csab6e076973"/>
    <w:qFormat/>
    <w:rPr>
      <w:rFonts w:ascii="Arial" w:hAnsi="Arial" w:cs="Arial"/>
      <w:b w:val="false"/>
      <w:bCs w:val="false"/>
      <w:i w:val="false"/>
      <w:iCs w:val="false"/>
      <w:color w:val="000000"/>
      <w:sz w:val="18"/>
      <w:szCs w:val="18"/>
      <w:shd w:fill="auto" w:val="clear"/>
    </w:rPr>
  </w:style>
  <w:style w:type="character" w:styleId="Csafaf574174">
    <w:name w:val="csafaf574174"/>
    <w:qFormat/>
    <w:rPr>
      <w:rFonts w:ascii="Arial" w:hAnsi="Arial" w:cs="Arial"/>
      <w:b/>
      <w:bCs/>
      <w:i w:val="false"/>
      <w:iCs w:val="false"/>
      <w:color w:val="000000"/>
      <w:sz w:val="18"/>
      <w:szCs w:val="18"/>
      <w:shd w:fill="auto" w:val="clear"/>
    </w:rPr>
  </w:style>
  <w:style w:type="character" w:styleId="Csab6e076974">
    <w:name w:val="csab6e076974"/>
    <w:qFormat/>
    <w:rPr>
      <w:rFonts w:ascii="Arial" w:hAnsi="Arial" w:cs="Arial"/>
      <w:b w:val="false"/>
      <w:bCs w:val="false"/>
      <w:i w:val="false"/>
      <w:iCs w:val="false"/>
      <w:color w:val="000000"/>
      <w:sz w:val="18"/>
      <w:szCs w:val="18"/>
      <w:shd w:fill="auto" w:val="clear"/>
    </w:rPr>
  </w:style>
  <w:style w:type="character" w:styleId="Csafaf574175">
    <w:name w:val="csafaf574175"/>
    <w:qFormat/>
    <w:rPr>
      <w:rFonts w:ascii="Arial" w:hAnsi="Arial" w:cs="Arial"/>
      <w:b/>
      <w:bCs/>
      <w:i w:val="false"/>
      <w:iCs w:val="false"/>
      <w:color w:val="000000"/>
      <w:sz w:val="18"/>
      <w:szCs w:val="18"/>
      <w:shd w:fill="auto" w:val="clear"/>
    </w:rPr>
  </w:style>
  <w:style w:type="character" w:styleId="Csafaf574176">
    <w:name w:val="csafaf574176"/>
    <w:qFormat/>
    <w:rPr>
      <w:rFonts w:ascii="Arial" w:hAnsi="Arial" w:cs="Arial"/>
      <w:b/>
      <w:bCs/>
      <w:i w:val="false"/>
      <w:iCs w:val="false"/>
      <w:color w:val="000000"/>
      <w:sz w:val="18"/>
      <w:szCs w:val="18"/>
      <w:shd w:fill="auto" w:val="clear"/>
    </w:rPr>
  </w:style>
  <w:style w:type="character" w:styleId="Csafaf574177">
    <w:name w:val="csafaf574177"/>
    <w:qFormat/>
    <w:rPr>
      <w:rFonts w:ascii="Arial" w:hAnsi="Arial" w:cs="Arial"/>
      <w:b/>
      <w:bCs/>
      <w:i w:val="false"/>
      <w:iCs w:val="false"/>
      <w:color w:val="000000"/>
      <w:sz w:val="18"/>
      <w:szCs w:val="18"/>
      <w:shd w:fill="auto" w:val="clear"/>
    </w:rPr>
  </w:style>
  <w:style w:type="character" w:styleId="Cs9ff1b61169">
    <w:name w:val="cs9ff1b61169"/>
    <w:qFormat/>
    <w:rPr>
      <w:rFonts w:ascii="Arial" w:hAnsi="Arial" w:cs="Arial"/>
      <w:b w:val="false"/>
      <w:bCs w:val="false"/>
      <w:i w:val="false"/>
      <w:iCs w:val="false"/>
      <w:color w:val="000000"/>
      <w:sz w:val="18"/>
      <w:szCs w:val="18"/>
      <w:shd w:fill="auto" w:val="clear"/>
    </w:rPr>
  </w:style>
  <w:style w:type="character" w:styleId="Csa16174ba1">
    <w:name w:val="csa16174ba1"/>
    <w:qFormat/>
    <w:rPr>
      <w:rFonts w:ascii="Arial" w:hAnsi="Arial" w:cs="Arial"/>
      <w:b w:val="false"/>
      <w:bCs w:val="false"/>
      <w:i w:val="false"/>
      <w:iCs w:val="false"/>
      <w:color w:val="000000"/>
      <w:sz w:val="20"/>
      <w:szCs w:val="20"/>
      <w:shd w:fill="auto" w:val="clear"/>
    </w:rPr>
  </w:style>
  <w:style w:type="character" w:styleId="Csafaf574161">
    <w:name w:val="csafaf574161"/>
    <w:qFormat/>
    <w:rPr>
      <w:rFonts w:ascii="Arial" w:hAnsi="Arial" w:cs="Arial"/>
      <w:b/>
      <w:bCs/>
      <w:i w:val="false"/>
      <w:iCs w:val="false"/>
      <w:color w:val="000000"/>
      <w:sz w:val="18"/>
      <w:szCs w:val="18"/>
      <w:shd w:fill="auto" w:val="clear"/>
    </w:rPr>
  </w:style>
  <w:style w:type="character" w:styleId="Csafaf574162">
    <w:name w:val="csafaf574162"/>
    <w:qFormat/>
    <w:rPr>
      <w:rFonts w:ascii="Arial" w:hAnsi="Arial" w:cs="Arial"/>
      <w:b/>
      <w:bCs/>
      <w:i w:val="false"/>
      <w:iCs w:val="false"/>
      <w:color w:val="000000"/>
      <w:sz w:val="18"/>
      <w:szCs w:val="18"/>
      <w:shd w:fill="auto" w:val="clear"/>
    </w:rPr>
  </w:style>
  <w:style w:type="character" w:styleId="Csab6e076962">
    <w:name w:val="csab6e076962"/>
    <w:qFormat/>
    <w:rPr>
      <w:rFonts w:ascii="Arial" w:hAnsi="Arial" w:cs="Arial"/>
      <w:b w:val="false"/>
      <w:bCs w:val="false"/>
      <w:i w:val="false"/>
      <w:iCs w:val="false"/>
      <w:color w:val="000000"/>
      <w:sz w:val="18"/>
      <w:szCs w:val="18"/>
      <w:shd w:fill="auto" w:val="clear"/>
    </w:rPr>
  </w:style>
  <w:style w:type="paragraph" w:styleId="Heading">
    <w:name w:val="Heading"/>
    <w:basedOn w:val="Normal"/>
    <w:next w:val="TextBody"/>
    <w:qFormat/>
    <w:pPr/>
    <w:rPr>
      <w:rFonts w:eastAsia="Calibri"/>
      <w:lang w:val="en-US"/>
    </w:rPr>
  </w:style>
  <w:style w:type="paragraph" w:styleId="TextBody">
    <w:name w:val="Body Text"/>
    <w:basedOn w:val="Normal"/>
    <w:pPr>
      <w:spacing w:lineRule="auto" w:line="288" w:before="0" w:after="140"/>
    </w:pPr>
    <w:rPr/>
  </w:style>
  <w:style w:type="paragraph" w:styleId="List">
    <w:name w:val="List"/>
    <w:basedOn w:val="TextBody"/>
    <w:pPr/>
    <w:rPr/>
  </w:style>
  <w:style w:type="paragraph" w:styleId="Caption">
    <w:name w:val="Caption"/>
    <w:basedOn w:val="Normal"/>
    <w:qFormat/>
    <w:pPr>
      <w:suppressLineNumbers/>
      <w:spacing w:before="120" w:after="120"/>
    </w:pPr>
    <w:rPr>
      <w:i/>
      <w:iCs/>
      <w:sz w:val="24"/>
      <w:szCs w:val="24"/>
    </w:rPr>
  </w:style>
  <w:style w:type="paragraph" w:styleId="Index">
    <w:name w:val="Index"/>
    <w:basedOn w:val="Normal"/>
    <w:qFormat/>
    <w:pPr>
      <w:suppressLineNumbers/>
    </w:pPr>
    <w:rPr/>
  </w:style>
  <w:style w:type="paragraph" w:styleId="11">
    <w:name w:val="Обычный1"/>
    <w:basedOn w:val="Normal"/>
    <w:qFormat/>
    <w:pPr/>
    <w:rPr/>
  </w:style>
  <w:style w:type="paragraph" w:styleId="Msolistparagraph">
    <w:name w:val="msolistparagraph"/>
    <w:basedOn w:val="Normal"/>
    <w:qFormat/>
    <w:pPr>
      <w:spacing w:before="0" w:after="0"/>
      <w:ind w:left="720" w:hanging="0"/>
      <w:contextualSpacing/>
    </w:pPr>
    <w:rPr/>
  </w:style>
  <w:style w:type="paragraph" w:styleId="Encryption">
    <w:name w:val="Encryption"/>
    <w:basedOn w:val="Normal"/>
    <w:qFormat/>
    <w:pPr>
      <w:jc w:val="both"/>
    </w:pPr>
    <w:rPr>
      <w:b/>
      <w:bCs/>
      <w:i/>
      <w:iCs/>
    </w:rPr>
  </w:style>
  <w:style w:type="paragraph" w:styleId="211">
    <w:name w:val="Заголовок 21"/>
    <w:basedOn w:val="Normal"/>
    <w:qFormat/>
    <w:pPr/>
    <w:rPr/>
  </w:style>
  <w:style w:type="paragraph" w:styleId="411">
    <w:name w:val="Заголовок 41"/>
    <w:basedOn w:val="Normal"/>
    <w:qFormat/>
    <w:pPr/>
    <w:rPr/>
  </w:style>
  <w:style w:type="paragraph" w:styleId="Header">
    <w:name w:val="Header"/>
    <w:basedOn w:val="Normal"/>
    <w:pPr/>
    <w:rPr/>
  </w:style>
  <w:style w:type="paragraph" w:styleId="Footer">
    <w:name w:val="Footer"/>
    <w:basedOn w:val="Normal"/>
    <w:pPr/>
    <w:rPr/>
  </w:style>
  <w:style w:type="paragraph" w:styleId="Style23">
    <w:name w:val="Текст выноски"/>
    <w:basedOn w:val="Normal"/>
    <w:qFormat/>
    <w:pPr/>
    <w:rPr>
      <w:rFonts w:ascii="Tahoma" w:hAnsi="Tahoma" w:cs="Tahoma"/>
      <w:sz w:val="16"/>
      <w:szCs w:val="16"/>
      <w:lang w:val="ru-RU"/>
    </w:rPr>
  </w:style>
  <w:style w:type="paragraph" w:styleId="BodyTextIndent2">
    <w:name w:val="Body Text Indent2"/>
    <w:basedOn w:val="Normal"/>
    <w:qFormat/>
    <w:pPr>
      <w:jc w:val="center"/>
    </w:pPr>
    <w:rPr>
      <w:rFonts w:ascii="Arial" w:hAnsi="Arial" w:cs="Arial"/>
      <w:b/>
      <w:i/>
      <w:sz w:val="18"/>
      <w:szCs w:val="20"/>
    </w:rPr>
  </w:style>
  <w:style w:type="paragraph" w:styleId="12">
    <w:name w:val="Основной текст с отступом1"/>
    <w:basedOn w:val="Normal"/>
    <w:qFormat/>
    <w:pPr>
      <w:spacing w:before="120" w:after="120"/>
    </w:pPr>
    <w:rPr>
      <w:rFonts w:ascii="Arial" w:hAnsi="Arial" w:cs="Arial"/>
      <w:sz w:val="18"/>
      <w:szCs w:val="20"/>
      <w:lang w:val="ru-RU"/>
    </w:rPr>
  </w:style>
  <w:style w:type="paragraph" w:styleId="Cs95e872d0">
    <w:name w:val="cs95e872d0"/>
    <w:basedOn w:val="Normal"/>
    <w:qFormat/>
    <w:pPr/>
    <w:rPr>
      <w:lang w:val="ru-RU"/>
    </w:rPr>
  </w:style>
  <w:style w:type="paragraph" w:styleId="TextBodyIndent">
    <w:name w:val="Body Text Indent"/>
    <w:basedOn w:val="Normal"/>
    <w:pPr>
      <w:spacing w:before="0" w:after="120"/>
      <w:ind w:left="283" w:hanging="0"/>
    </w:pPr>
    <w:rPr>
      <w:lang w:val="ru-RU"/>
    </w:rPr>
  </w:style>
  <w:style w:type="paragraph" w:styleId="33">
    <w:name w:val="Основной текст 3"/>
    <w:basedOn w:val="Normal"/>
    <w:qFormat/>
    <w:pPr>
      <w:spacing w:before="0" w:after="120"/>
    </w:pPr>
    <w:rPr>
      <w:sz w:val="16"/>
      <w:szCs w:val="16"/>
    </w:rPr>
  </w:style>
  <w:style w:type="paragraph" w:styleId="24">
    <w:name w:val="Основной текст с отступом2"/>
    <w:basedOn w:val="Normal"/>
    <w:qFormat/>
    <w:pPr>
      <w:ind w:firstLine="708"/>
      <w:jc w:val="both"/>
    </w:pPr>
    <w:rPr>
      <w:rFonts w:ascii="Arial" w:hAnsi="Arial" w:cs="Arial"/>
      <w:b/>
      <w:sz w:val="18"/>
      <w:szCs w:val="20"/>
    </w:rPr>
  </w:style>
  <w:style w:type="paragraph" w:styleId="34">
    <w:name w:val="Основной текст с отступом3"/>
    <w:basedOn w:val="Normal"/>
    <w:qFormat/>
    <w:pPr>
      <w:ind w:firstLine="708"/>
      <w:jc w:val="both"/>
    </w:pPr>
    <w:rPr>
      <w:rFonts w:ascii="Arial" w:hAnsi="Arial" w:cs="Arial"/>
      <w:b/>
      <w:sz w:val="18"/>
      <w:szCs w:val="20"/>
    </w:rPr>
  </w:style>
  <w:style w:type="paragraph" w:styleId="42">
    <w:name w:val="Основной текст с отступом4"/>
    <w:basedOn w:val="Normal"/>
    <w:qFormat/>
    <w:pPr>
      <w:ind w:firstLine="708"/>
      <w:jc w:val="both"/>
    </w:pPr>
    <w:rPr>
      <w:rFonts w:ascii="Arial" w:hAnsi="Arial" w:cs="Arial"/>
      <w:b/>
      <w:sz w:val="18"/>
      <w:szCs w:val="20"/>
    </w:rPr>
  </w:style>
  <w:style w:type="paragraph" w:styleId="5">
    <w:name w:val="Основной текст с отступом5"/>
    <w:basedOn w:val="Normal"/>
    <w:qFormat/>
    <w:pPr>
      <w:ind w:firstLine="708"/>
      <w:jc w:val="both"/>
    </w:pPr>
    <w:rPr>
      <w:rFonts w:ascii="Arial" w:hAnsi="Arial" w:cs="Arial"/>
      <w:b/>
      <w:sz w:val="18"/>
      <w:szCs w:val="20"/>
    </w:rPr>
  </w:style>
  <w:style w:type="paragraph" w:styleId="Cse71256d6">
    <w:name w:val="cse71256d6"/>
    <w:basedOn w:val="Normal"/>
    <w:qFormat/>
    <w:pPr>
      <w:ind w:left="1440" w:hanging="0"/>
    </w:pPr>
    <w:rPr/>
  </w:style>
  <w:style w:type="paragraph" w:styleId="61">
    <w:name w:val="Основной текст с отступом6"/>
    <w:basedOn w:val="Normal"/>
    <w:qFormat/>
    <w:pPr>
      <w:ind w:firstLine="708"/>
      <w:jc w:val="both"/>
    </w:pPr>
    <w:rPr>
      <w:rFonts w:ascii="Arial" w:hAnsi="Arial" w:cs="Arial"/>
      <w:b/>
      <w:sz w:val="18"/>
      <w:szCs w:val="20"/>
    </w:rPr>
  </w:style>
  <w:style w:type="paragraph" w:styleId="7">
    <w:name w:val="Основной текст с отступом7"/>
    <w:basedOn w:val="Normal"/>
    <w:qFormat/>
    <w:pPr>
      <w:ind w:firstLine="708"/>
      <w:jc w:val="both"/>
    </w:pPr>
    <w:rPr>
      <w:rFonts w:ascii="Arial" w:hAnsi="Arial" w:cs="Arial"/>
      <w:b/>
      <w:sz w:val="18"/>
      <w:szCs w:val="20"/>
    </w:rPr>
  </w:style>
  <w:style w:type="paragraph" w:styleId="8">
    <w:name w:val="Основной текст с отступом8"/>
    <w:basedOn w:val="Normal"/>
    <w:qFormat/>
    <w:pPr>
      <w:ind w:firstLine="708"/>
      <w:jc w:val="both"/>
    </w:pPr>
    <w:rPr>
      <w:rFonts w:ascii="Arial" w:hAnsi="Arial" w:cs="Arial"/>
      <w:b/>
      <w:sz w:val="18"/>
      <w:szCs w:val="20"/>
    </w:rPr>
  </w:style>
  <w:style w:type="paragraph" w:styleId="9">
    <w:name w:val="Основной текст с отступом9"/>
    <w:basedOn w:val="Normal"/>
    <w:qFormat/>
    <w:pPr>
      <w:ind w:firstLine="708"/>
      <w:jc w:val="both"/>
    </w:pPr>
    <w:rPr>
      <w:rFonts w:ascii="Arial" w:hAnsi="Arial" w:cs="Arial"/>
      <w:b/>
      <w:sz w:val="18"/>
      <w:szCs w:val="20"/>
    </w:rPr>
  </w:style>
  <w:style w:type="paragraph" w:styleId="111">
    <w:name w:val="Основной текст с отступом11"/>
    <w:basedOn w:val="Normal"/>
    <w:qFormat/>
    <w:pPr>
      <w:ind w:firstLine="708"/>
      <w:jc w:val="both"/>
    </w:pPr>
    <w:rPr>
      <w:rFonts w:ascii="Arial" w:hAnsi="Arial" w:cs="Arial"/>
      <w:b/>
      <w:sz w:val="18"/>
      <w:szCs w:val="20"/>
    </w:rPr>
  </w:style>
  <w:style w:type="paragraph" w:styleId="10">
    <w:name w:val="Основной текст с отступом10"/>
    <w:basedOn w:val="Normal"/>
    <w:qFormat/>
    <w:pPr>
      <w:ind w:firstLine="708"/>
      <w:jc w:val="both"/>
    </w:pPr>
    <w:rPr>
      <w:rFonts w:ascii="Arial" w:hAnsi="Arial" w:cs="Arial"/>
      <w:b/>
      <w:sz w:val="18"/>
      <w:szCs w:val="20"/>
    </w:rPr>
  </w:style>
  <w:style w:type="paragraph" w:styleId="112">
    <w:name w:val="Обычный11"/>
    <w:basedOn w:val="Normal"/>
    <w:qFormat/>
    <w:pPr/>
    <w:rPr/>
  </w:style>
  <w:style w:type="paragraph" w:styleId="110">
    <w:name w:val="Основной текст с отступом110"/>
    <w:basedOn w:val="Normal"/>
    <w:qFormat/>
    <w:pPr>
      <w:ind w:firstLine="708"/>
      <w:jc w:val="both"/>
    </w:pPr>
    <w:rPr>
      <w:rFonts w:ascii="Arial" w:hAnsi="Arial" w:cs="Arial"/>
      <w:b/>
      <w:sz w:val="18"/>
      <w:szCs w:val="22"/>
    </w:rPr>
  </w:style>
  <w:style w:type="paragraph" w:styleId="35">
    <w:name w:val="Основной текст с отступом 3"/>
    <w:basedOn w:val="Normal"/>
    <w:qFormat/>
    <w:pPr>
      <w:spacing w:before="0" w:after="120"/>
      <w:ind w:left="283" w:hanging="0"/>
    </w:pPr>
    <w:rPr>
      <w:rFonts w:eastAsia="Calibri"/>
      <w:sz w:val="16"/>
      <w:szCs w:val="16"/>
      <w:lang w:val="ru-RU"/>
    </w:rPr>
  </w:style>
  <w:style w:type="paragraph" w:styleId="121">
    <w:name w:val="Основной текст с отступом12"/>
    <w:basedOn w:val="Normal"/>
    <w:qFormat/>
    <w:pPr>
      <w:ind w:firstLine="708"/>
      <w:jc w:val="both"/>
    </w:pPr>
    <w:rPr>
      <w:rFonts w:ascii="Arial" w:hAnsi="Arial" w:cs="Arial"/>
      <w:b/>
      <w:sz w:val="18"/>
      <w:szCs w:val="20"/>
    </w:rPr>
  </w:style>
  <w:style w:type="paragraph" w:styleId="13">
    <w:name w:val="Основной текст с отступом13"/>
    <w:basedOn w:val="Normal"/>
    <w:qFormat/>
    <w:pPr>
      <w:ind w:firstLine="708"/>
      <w:jc w:val="both"/>
    </w:pPr>
    <w:rPr>
      <w:rFonts w:ascii="Arial" w:hAnsi="Arial" w:cs="Arial"/>
      <w:b/>
      <w:sz w:val="18"/>
      <w:szCs w:val="20"/>
    </w:rPr>
  </w:style>
  <w:style w:type="paragraph" w:styleId="141">
    <w:name w:val="Основной текст с отступом14"/>
    <w:basedOn w:val="Normal"/>
    <w:qFormat/>
    <w:pPr>
      <w:ind w:firstLine="708"/>
      <w:jc w:val="both"/>
    </w:pPr>
    <w:rPr>
      <w:rFonts w:ascii="Arial" w:hAnsi="Arial" w:cs="Arial"/>
      <w:b/>
      <w:sz w:val="18"/>
      <w:szCs w:val="20"/>
    </w:rPr>
  </w:style>
  <w:style w:type="paragraph" w:styleId="15">
    <w:name w:val="Основной текст с отступом15"/>
    <w:basedOn w:val="Normal"/>
    <w:qFormat/>
    <w:pPr>
      <w:ind w:firstLine="708"/>
      <w:jc w:val="both"/>
    </w:pPr>
    <w:rPr>
      <w:rFonts w:ascii="Arial" w:hAnsi="Arial" w:cs="Arial"/>
      <w:b/>
      <w:sz w:val="18"/>
      <w:szCs w:val="20"/>
    </w:rPr>
  </w:style>
  <w:style w:type="paragraph" w:styleId="16">
    <w:name w:val="Основной текст с отступом16"/>
    <w:basedOn w:val="Normal"/>
    <w:qFormat/>
    <w:pPr>
      <w:ind w:firstLine="708"/>
      <w:jc w:val="both"/>
    </w:pPr>
    <w:rPr>
      <w:rFonts w:ascii="Arial" w:hAnsi="Arial" w:cs="Arial"/>
      <w:b/>
      <w:sz w:val="18"/>
      <w:szCs w:val="20"/>
    </w:rPr>
  </w:style>
  <w:style w:type="paragraph" w:styleId="17">
    <w:name w:val="Основной текст с отступом17"/>
    <w:basedOn w:val="Normal"/>
    <w:qFormat/>
    <w:pPr>
      <w:ind w:firstLine="708"/>
      <w:jc w:val="both"/>
    </w:pPr>
    <w:rPr>
      <w:rFonts w:ascii="Arial" w:hAnsi="Arial" w:cs="Arial"/>
      <w:b/>
      <w:sz w:val="18"/>
      <w:szCs w:val="20"/>
    </w:rPr>
  </w:style>
  <w:style w:type="paragraph" w:styleId="18">
    <w:name w:val="Основной текст с отступом18"/>
    <w:basedOn w:val="Normal"/>
    <w:qFormat/>
    <w:pPr>
      <w:ind w:firstLine="708"/>
      <w:jc w:val="both"/>
    </w:pPr>
    <w:rPr>
      <w:rFonts w:ascii="Arial" w:hAnsi="Arial" w:cs="Arial"/>
      <w:b/>
      <w:sz w:val="18"/>
      <w:szCs w:val="20"/>
    </w:rPr>
  </w:style>
  <w:style w:type="paragraph" w:styleId="19">
    <w:name w:val="Основной текст с отступом19"/>
    <w:basedOn w:val="Normal"/>
    <w:qFormat/>
    <w:pPr>
      <w:ind w:firstLine="708"/>
      <w:jc w:val="both"/>
    </w:pPr>
    <w:rPr>
      <w:rFonts w:ascii="Arial" w:hAnsi="Arial" w:cs="Arial"/>
      <w:b/>
      <w:sz w:val="18"/>
      <w:szCs w:val="20"/>
    </w:rPr>
  </w:style>
  <w:style w:type="paragraph" w:styleId="20">
    <w:name w:val="Основной текст с отступом20"/>
    <w:basedOn w:val="Normal"/>
    <w:qFormat/>
    <w:pPr>
      <w:ind w:firstLine="708"/>
      <w:jc w:val="both"/>
    </w:pPr>
    <w:rPr>
      <w:rFonts w:ascii="Arial" w:hAnsi="Arial" w:cs="Arial"/>
      <w:b/>
      <w:sz w:val="18"/>
      <w:szCs w:val="20"/>
    </w:rPr>
  </w:style>
  <w:style w:type="paragraph" w:styleId="Cs80d9435b">
    <w:name w:val="cs80d9435b"/>
    <w:basedOn w:val="Normal"/>
    <w:qFormat/>
    <w:pPr>
      <w:jc w:val="both"/>
    </w:pPr>
    <w:rPr>
      <w:rFonts w:ascii="Arial" w:hAnsi="Arial" w:cs="Arial"/>
    </w:rPr>
  </w:style>
  <w:style w:type="paragraph" w:styleId="212">
    <w:name w:val="Основной текст с отступом21"/>
    <w:basedOn w:val="Normal"/>
    <w:qFormat/>
    <w:pPr>
      <w:ind w:firstLine="708"/>
      <w:jc w:val="both"/>
    </w:pPr>
    <w:rPr>
      <w:rFonts w:ascii="Arial" w:hAnsi="Arial" w:cs="Arial"/>
      <w:b/>
      <w:sz w:val="18"/>
      <w:szCs w:val="20"/>
    </w:rPr>
  </w:style>
  <w:style w:type="paragraph" w:styleId="231">
    <w:name w:val="Основной текст с отступом23"/>
    <w:basedOn w:val="Normal"/>
    <w:qFormat/>
    <w:pPr>
      <w:ind w:firstLine="708"/>
      <w:jc w:val="both"/>
    </w:pPr>
    <w:rPr>
      <w:rFonts w:ascii="Arial" w:hAnsi="Arial" w:cs="Arial"/>
      <w:b/>
      <w:sz w:val="18"/>
      <w:szCs w:val="20"/>
    </w:rPr>
  </w:style>
  <w:style w:type="paragraph" w:styleId="26">
    <w:name w:val="Основной текст с отступом26"/>
    <w:basedOn w:val="Normal"/>
    <w:qFormat/>
    <w:pPr>
      <w:ind w:firstLine="708"/>
      <w:jc w:val="both"/>
    </w:pPr>
    <w:rPr>
      <w:rFonts w:ascii="Arial" w:hAnsi="Arial" w:cs="Arial"/>
      <w:b/>
      <w:sz w:val="18"/>
      <w:szCs w:val="20"/>
    </w:rPr>
  </w:style>
  <w:style w:type="paragraph" w:styleId="28">
    <w:name w:val="Основной текст с отступом28"/>
    <w:basedOn w:val="Normal"/>
    <w:qFormat/>
    <w:pPr>
      <w:ind w:firstLine="708"/>
      <w:jc w:val="both"/>
    </w:pPr>
    <w:rPr>
      <w:rFonts w:ascii="Arial" w:hAnsi="Arial" w:cs="Arial"/>
      <w:b/>
      <w:sz w:val="18"/>
      <w:szCs w:val="20"/>
    </w:rPr>
  </w:style>
  <w:style w:type="paragraph" w:styleId="29">
    <w:name w:val="Основной текст с отступом29"/>
    <w:basedOn w:val="Normal"/>
    <w:qFormat/>
    <w:pPr>
      <w:ind w:firstLine="708"/>
      <w:jc w:val="both"/>
    </w:pPr>
    <w:rPr>
      <w:rFonts w:ascii="Arial" w:hAnsi="Arial" w:cs="Arial"/>
      <w:b/>
      <w:sz w:val="18"/>
      <w:szCs w:val="20"/>
    </w:rPr>
  </w:style>
  <w:style w:type="paragraph" w:styleId="311">
    <w:name w:val="Основной текст с отступом31"/>
    <w:basedOn w:val="Normal"/>
    <w:qFormat/>
    <w:pPr>
      <w:ind w:firstLine="708"/>
      <w:jc w:val="both"/>
    </w:pPr>
    <w:rPr>
      <w:rFonts w:ascii="Arial" w:hAnsi="Arial" w:cs="Arial"/>
      <w:b/>
      <w:sz w:val="18"/>
      <w:szCs w:val="20"/>
    </w:rPr>
  </w:style>
  <w:style w:type="paragraph" w:styleId="321">
    <w:name w:val="Основной текст с отступом32"/>
    <w:basedOn w:val="Normal"/>
    <w:qFormat/>
    <w:pPr>
      <w:ind w:firstLine="708"/>
      <w:jc w:val="both"/>
    </w:pPr>
    <w:rPr>
      <w:rFonts w:ascii="Arial" w:hAnsi="Arial" w:cs="Arial"/>
      <w:b/>
      <w:sz w:val="18"/>
      <w:szCs w:val="20"/>
    </w:rPr>
  </w:style>
  <w:style w:type="paragraph" w:styleId="331">
    <w:name w:val="Основной текст с отступом33"/>
    <w:basedOn w:val="Normal"/>
    <w:qFormat/>
    <w:pPr>
      <w:ind w:firstLine="708"/>
      <w:jc w:val="both"/>
    </w:pPr>
    <w:rPr>
      <w:rFonts w:ascii="Arial" w:hAnsi="Arial" w:cs="Arial"/>
      <w:b/>
      <w:sz w:val="18"/>
      <w:szCs w:val="20"/>
    </w:rPr>
  </w:style>
  <w:style w:type="paragraph" w:styleId="351">
    <w:name w:val="Основной текст с отступом35"/>
    <w:basedOn w:val="Normal"/>
    <w:qFormat/>
    <w:pPr>
      <w:ind w:firstLine="708"/>
      <w:jc w:val="both"/>
    </w:pPr>
    <w:rPr>
      <w:rFonts w:ascii="Arial" w:hAnsi="Arial" w:cs="Arial"/>
      <w:b/>
      <w:sz w:val="18"/>
      <w:szCs w:val="20"/>
    </w:rPr>
  </w:style>
  <w:style w:type="paragraph" w:styleId="341">
    <w:name w:val="Основной текст с отступом34"/>
    <w:basedOn w:val="Normal"/>
    <w:qFormat/>
    <w:pPr>
      <w:ind w:firstLine="708"/>
      <w:jc w:val="both"/>
    </w:pPr>
    <w:rPr>
      <w:rFonts w:ascii="Arial" w:hAnsi="Arial" w:cs="Arial"/>
      <w:b/>
      <w:sz w:val="18"/>
      <w:szCs w:val="20"/>
    </w:rPr>
  </w:style>
  <w:style w:type="paragraph" w:styleId="36">
    <w:name w:val="Основной текст с отступом36"/>
    <w:basedOn w:val="Normal"/>
    <w:qFormat/>
    <w:pPr>
      <w:ind w:firstLine="708"/>
      <w:jc w:val="both"/>
    </w:pPr>
    <w:rPr>
      <w:rFonts w:ascii="Arial" w:hAnsi="Arial" w:cs="Arial"/>
      <w:b/>
      <w:sz w:val="18"/>
      <w:szCs w:val="20"/>
    </w:rPr>
  </w:style>
  <w:style w:type="paragraph" w:styleId="37">
    <w:name w:val="Основной текст с отступом37"/>
    <w:basedOn w:val="Normal"/>
    <w:qFormat/>
    <w:pPr>
      <w:ind w:firstLine="708"/>
      <w:jc w:val="both"/>
    </w:pPr>
    <w:rPr>
      <w:rFonts w:ascii="Arial" w:hAnsi="Arial" w:cs="Arial"/>
      <w:b/>
      <w:sz w:val="18"/>
      <w:szCs w:val="20"/>
    </w:rPr>
  </w:style>
  <w:style w:type="paragraph" w:styleId="Style24">
    <w:name w:val="Текст примечания"/>
    <w:basedOn w:val="Normal"/>
    <w:qFormat/>
    <w:pPr/>
    <w:rPr>
      <w:sz w:val="20"/>
      <w:szCs w:val="20"/>
    </w:rPr>
  </w:style>
  <w:style w:type="paragraph" w:styleId="Style25">
    <w:name w:val="Тема примечания"/>
    <w:basedOn w:val="Style24"/>
    <w:next w:val="Style24"/>
    <w:qFormat/>
    <w:pPr/>
    <w:rPr>
      <w:b/>
      <w:bCs/>
    </w:rPr>
  </w:style>
  <w:style w:type="paragraph" w:styleId="Style26">
    <w:name w:val="Рецензия"/>
    <w:qFormat/>
    <w:pPr>
      <w:widowControl/>
    </w:pPr>
    <w:rPr>
      <w:rFonts w:ascii="Times New Roman" w:hAnsi="Times New Roman" w:eastAsia="Times New Roman" w:cs="Times New Roman"/>
      <w:color w:val="auto"/>
      <w:sz w:val="24"/>
      <w:szCs w:val="24"/>
      <w:lang w:val="uk-UA" w:bidi="ar-SA" w:eastAsia="zh-CN"/>
    </w:rPr>
  </w:style>
  <w:style w:type="paragraph" w:styleId="Csfeeeeb43">
    <w:name w:val="csfeeeeb43"/>
    <w:basedOn w:val="Normal"/>
    <w:qFormat/>
    <w:pPr/>
    <w:rPr>
      <w:rFonts w:ascii="Arial" w:hAnsi="Arial" w:cs="Arial"/>
    </w:rPr>
  </w:style>
  <w:style w:type="paragraph" w:styleId="38">
    <w:name w:val="Основной текст с отступом38"/>
    <w:basedOn w:val="Normal"/>
    <w:qFormat/>
    <w:pPr>
      <w:ind w:firstLine="708"/>
      <w:jc w:val="both"/>
    </w:pPr>
    <w:rPr>
      <w:rFonts w:ascii="Arial" w:hAnsi="Arial" w:cs="Arial"/>
      <w:b/>
      <w:sz w:val="18"/>
      <w:szCs w:val="20"/>
    </w:rPr>
  </w:style>
  <w:style w:type="paragraph" w:styleId="39">
    <w:name w:val="Основной текст с отступом39"/>
    <w:basedOn w:val="Normal"/>
    <w:qFormat/>
    <w:pPr>
      <w:ind w:firstLine="708"/>
      <w:jc w:val="both"/>
    </w:pPr>
    <w:rPr>
      <w:rFonts w:ascii="Arial" w:hAnsi="Arial" w:cs="Arial"/>
      <w:b/>
      <w:sz w:val="18"/>
      <w:szCs w:val="20"/>
    </w:rPr>
  </w:style>
  <w:style w:type="paragraph" w:styleId="40">
    <w:name w:val="Основной текст с отступом40"/>
    <w:basedOn w:val="Normal"/>
    <w:qFormat/>
    <w:pPr>
      <w:ind w:firstLine="708"/>
      <w:jc w:val="both"/>
    </w:pPr>
    <w:rPr>
      <w:rFonts w:ascii="Arial" w:hAnsi="Arial" w:cs="Arial"/>
      <w:b/>
      <w:sz w:val="18"/>
      <w:szCs w:val="20"/>
    </w:rPr>
  </w:style>
  <w:style w:type="paragraph" w:styleId="412">
    <w:name w:val="Основной текст с отступом41"/>
    <w:basedOn w:val="Normal"/>
    <w:qFormat/>
    <w:pPr>
      <w:ind w:firstLine="708"/>
      <w:jc w:val="both"/>
    </w:pPr>
    <w:rPr>
      <w:rFonts w:ascii="Arial" w:hAnsi="Arial" w:cs="Arial"/>
      <w:b/>
      <w:sz w:val="18"/>
      <w:szCs w:val="20"/>
    </w:rPr>
  </w:style>
  <w:style w:type="paragraph" w:styleId="421">
    <w:name w:val="Основной текст с отступом42"/>
    <w:basedOn w:val="Normal"/>
    <w:qFormat/>
    <w:pPr>
      <w:ind w:firstLine="708"/>
      <w:jc w:val="both"/>
    </w:pPr>
    <w:rPr>
      <w:rFonts w:ascii="Arial" w:hAnsi="Arial" w:cs="Arial"/>
      <w:b/>
      <w:sz w:val="18"/>
      <w:szCs w:val="20"/>
    </w:rPr>
  </w:style>
  <w:style w:type="paragraph" w:styleId="43">
    <w:name w:val="Основной текст с отступом43"/>
    <w:basedOn w:val="Normal"/>
    <w:qFormat/>
    <w:pPr>
      <w:ind w:firstLine="708"/>
      <w:jc w:val="both"/>
    </w:pPr>
    <w:rPr>
      <w:rFonts w:ascii="Arial" w:hAnsi="Arial" w:cs="Arial"/>
      <w:b/>
      <w:sz w:val="18"/>
      <w:szCs w:val="20"/>
    </w:rPr>
  </w:style>
  <w:style w:type="paragraph" w:styleId="44">
    <w:name w:val="Основной текст с отступом44"/>
    <w:basedOn w:val="Normal"/>
    <w:qFormat/>
    <w:pPr>
      <w:ind w:firstLine="708"/>
      <w:jc w:val="both"/>
    </w:pPr>
    <w:rPr>
      <w:rFonts w:ascii="Arial" w:hAnsi="Arial" w:cs="Arial"/>
      <w:b/>
      <w:sz w:val="18"/>
      <w:szCs w:val="20"/>
    </w:rPr>
  </w:style>
  <w:style w:type="paragraph" w:styleId="45">
    <w:name w:val="Основной текст с отступом45"/>
    <w:basedOn w:val="Normal"/>
    <w:qFormat/>
    <w:pPr>
      <w:ind w:firstLine="708"/>
      <w:jc w:val="both"/>
    </w:pPr>
    <w:rPr>
      <w:rFonts w:ascii="Arial" w:hAnsi="Arial" w:cs="Arial"/>
      <w:b/>
      <w:sz w:val="18"/>
      <w:szCs w:val="20"/>
    </w:rPr>
  </w:style>
  <w:style w:type="paragraph" w:styleId="46">
    <w:name w:val="Основной текст с отступом46"/>
    <w:basedOn w:val="Normal"/>
    <w:qFormat/>
    <w:pPr>
      <w:ind w:firstLine="708"/>
      <w:jc w:val="both"/>
    </w:pPr>
    <w:rPr>
      <w:rFonts w:ascii="Arial" w:hAnsi="Arial" w:cs="Arial"/>
      <w:b/>
      <w:sz w:val="18"/>
      <w:szCs w:val="20"/>
    </w:rPr>
  </w:style>
  <w:style w:type="paragraph" w:styleId="47">
    <w:name w:val="Основной текст с отступом47"/>
    <w:basedOn w:val="Normal"/>
    <w:qFormat/>
    <w:pPr>
      <w:ind w:firstLine="708"/>
      <w:jc w:val="both"/>
    </w:pPr>
    <w:rPr>
      <w:rFonts w:ascii="Arial" w:hAnsi="Arial" w:cs="Arial"/>
      <w:b/>
      <w:sz w:val="18"/>
      <w:szCs w:val="20"/>
    </w:rPr>
  </w:style>
  <w:style w:type="paragraph" w:styleId="48">
    <w:name w:val="Основной текст с отступом48"/>
    <w:basedOn w:val="Normal"/>
    <w:qFormat/>
    <w:pPr>
      <w:ind w:firstLine="708"/>
      <w:jc w:val="both"/>
    </w:pPr>
    <w:rPr>
      <w:rFonts w:ascii="Arial" w:hAnsi="Arial" w:cs="Arial"/>
      <w:b/>
      <w:sz w:val="18"/>
      <w:szCs w:val="20"/>
    </w:rPr>
  </w:style>
  <w:style w:type="paragraph" w:styleId="49">
    <w:name w:val="Основной текст с отступом49"/>
    <w:basedOn w:val="Normal"/>
    <w:qFormat/>
    <w:pPr>
      <w:ind w:firstLine="708"/>
      <w:jc w:val="both"/>
    </w:pPr>
    <w:rPr>
      <w:rFonts w:ascii="Arial" w:hAnsi="Arial" w:cs="Arial"/>
      <w:b/>
      <w:sz w:val="18"/>
      <w:szCs w:val="20"/>
    </w:rPr>
  </w:style>
  <w:style w:type="paragraph" w:styleId="50">
    <w:name w:val="Основной текст с отступом50"/>
    <w:basedOn w:val="Normal"/>
    <w:qFormat/>
    <w:pPr>
      <w:ind w:firstLine="708"/>
      <w:jc w:val="both"/>
    </w:pPr>
    <w:rPr>
      <w:rFonts w:ascii="Arial" w:hAnsi="Arial" w:cs="Arial"/>
      <w:b/>
      <w:sz w:val="18"/>
      <w:szCs w:val="20"/>
    </w:rPr>
  </w:style>
  <w:style w:type="paragraph" w:styleId="52">
    <w:name w:val="Основной текст с отступом52"/>
    <w:basedOn w:val="Normal"/>
    <w:qFormat/>
    <w:pPr>
      <w:ind w:firstLine="708"/>
      <w:jc w:val="both"/>
    </w:pPr>
    <w:rPr>
      <w:rFonts w:ascii="Arial" w:hAnsi="Arial" w:cs="Arial"/>
      <w:b/>
      <w:sz w:val="18"/>
      <w:szCs w:val="20"/>
    </w:rPr>
  </w:style>
  <w:style w:type="paragraph" w:styleId="53">
    <w:name w:val="Основной текст с отступом53"/>
    <w:basedOn w:val="Normal"/>
    <w:qFormat/>
    <w:pPr>
      <w:ind w:firstLine="708"/>
      <w:jc w:val="both"/>
    </w:pPr>
    <w:rPr>
      <w:rFonts w:ascii="Arial" w:hAnsi="Arial" w:cs="Arial"/>
      <w:b/>
      <w:sz w:val="18"/>
      <w:szCs w:val="20"/>
    </w:rPr>
  </w:style>
  <w:style w:type="paragraph" w:styleId="54">
    <w:name w:val="Основной текст с отступом54"/>
    <w:basedOn w:val="Normal"/>
    <w:qFormat/>
    <w:pPr>
      <w:ind w:firstLine="708"/>
      <w:jc w:val="both"/>
    </w:pPr>
    <w:rPr>
      <w:rFonts w:ascii="Arial" w:hAnsi="Arial" w:cs="Arial"/>
      <w:b/>
      <w:sz w:val="18"/>
      <w:szCs w:val="20"/>
    </w:rPr>
  </w:style>
  <w:style w:type="paragraph" w:styleId="57">
    <w:name w:val="Основной текст с отступом57"/>
    <w:basedOn w:val="Normal"/>
    <w:qFormat/>
    <w:pPr>
      <w:ind w:firstLine="708"/>
      <w:jc w:val="both"/>
    </w:pPr>
    <w:rPr>
      <w:rFonts w:ascii="Arial" w:hAnsi="Arial" w:cs="Arial"/>
      <w:b/>
      <w:sz w:val="18"/>
      <w:szCs w:val="20"/>
    </w:rPr>
  </w:style>
  <w:style w:type="paragraph" w:styleId="59">
    <w:name w:val="Основной текст с отступом59"/>
    <w:basedOn w:val="Normal"/>
    <w:qFormat/>
    <w:pPr>
      <w:ind w:firstLine="708"/>
      <w:jc w:val="both"/>
    </w:pPr>
    <w:rPr>
      <w:rFonts w:ascii="Arial" w:hAnsi="Arial" w:cs="Arial"/>
      <w:b/>
      <w:sz w:val="18"/>
      <w:szCs w:val="20"/>
    </w:rPr>
  </w:style>
  <w:style w:type="paragraph" w:styleId="60">
    <w:name w:val="Основной текст с отступом60"/>
    <w:basedOn w:val="Normal"/>
    <w:qFormat/>
    <w:pPr>
      <w:ind w:firstLine="708"/>
      <w:jc w:val="both"/>
    </w:pPr>
    <w:rPr>
      <w:rFonts w:ascii="Arial" w:hAnsi="Arial" w:cs="Arial"/>
      <w:b/>
      <w:sz w:val="18"/>
      <w:szCs w:val="20"/>
    </w:rPr>
  </w:style>
  <w:style w:type="paragraph" w:styleId="611">
    <w:name w:val="Основной текст с отступом61"/>
    <w:basedOn w:val="Normal"/>
    <w:qFormat/>
    <w:pPr>
      <w:ind w:firstLine="708"/>
      <w:jc w:val="both"/>
    </w:pPr>
    <w:rPr>
      <w:rFonts w:ascii="Arial" w:hAnsi="Arial" w:cs="Arial"/>
      <w:b/>
      <w:sz w:val="18"/>
      <w:szCs w:val="20"/>
    </w:rPr>
  </w:style>
  <w:style w:type="paragraph" w:styleId="25">
    <w:name w:val="Обычный2"/>
    <w:qFormat/>
    <w:pPr>
      <w:widowControl/>
    </w:pPr>
    <w:rPr>
      <w:rFonts w:ascii="Times New Roman" w:hAnsi="Times New Roman" w:eastAsia="Times New Roman" w:cs="Times New Roman"/>
      <w:color w:val="auto"/>
      <w:sz w:val="24"/>
      <w:szCs w:val="20"/>
      <w:lang w:val="uk-UA" w:bidi="ar-SA" w:eastAsia="zh-CN"/>
    </w:rPr>
  </w:style>
  <w:style w:type="paragraph" w:styleId="221">
    <w:name w:val="Основной текст с отступом22"/>
    <w:basedOn w:val="Normal"/>
    <w:qFormat/>
    <w:pPr>
      <w:spacing w:before="120" w:after="120"/>
    </w:pPr>
    <w:rPr>
      <w:rFonts w:ascii="Arial" w:hAnsi="Arial" w:cs="Arial"/>
      <w:sz w:val="18"/>
      <w:szCs w:val="20"/>
      <w:lang w:val="ru-RU"/>
    </w:rPr>
  </w:style>
  <w:style w:type="paragraph" w:styleId="222">
    <w:name w:val="Заголовок 22"/>
    <w:basedOn w:val="Normal"/>
    <w:qFormat/>
    <w:pPr/>
    <w:rPr>
      <w:rFonts w:ascii="Arial" w:hAnsi="Arial" w:cs="Arial"/>
      <w:b/>
      <w:caps/>
      <w:sz w:val="16"/>
      <w:szCs w:val="20"/>
      <w:lang w:val="ru-RU"/>
    </w:rPr>
  </w:style>
  <w:style w:type="paragraph" w:styleId="422">
    <w:name w:val="Заголовок 42"/>
    <w:basedOn w:val="Normal"/>
    <w:qFormat/>
    <w:pPr/>
    <w:rPr>
      <w:rFonts w:ascii="Arial" w:hAnsi="Arial" w:cs="Arial"/>
      <w:b/>
      <w:sz w:val="20"/>
      <w:szCs w:val="20"/>
      <w:lang w:val="ru-RU"/>
    </w:rPr>
  </w:style>
  <w:style w:type="paragraph" w:styleId="310">
    <w:name w:val="Обычный3"/>
    <w:qFormat/>
    <w:pPr>
      <w:widowControl/>
    </w:pPr>
    <w:rPr>
      <w:rFonts w:ascii="Times New Roman" w:hAnsi="Times New Roman" w:eastAsia="Times New Roman" w:cs="Times New Roman"/>
      <w:color w:val="auto"/>
      <w:sz w:val="24"/>
      <w:szCs w:val="20"/>
      <w:lang w:val="uk-UA" w:bidi="ar-SA" w:eastAsia="zh-CN"/>
    </w:rPr>
  </w:style>
  <w:style w:type="paragraph" w:styleId="241">
    <w:name w:val="Основной текст с отступом24"/>
    <w:basedOn w:val="Normal"/>
    <w:qFormat/>
    <w:pPr>
      <w:spacing w:before="120" w:after="120"/>
    </w:pPr>
    <w:rPr>
      <w:rFonts w:ascii="Arial" w:hAnsi="Arial" w:cs="Arial"/>
      <w:sz w:val="18"/>
      <w:szCs w:val="20"/>
      <w:lang w:val="ru-RU"/>
    </w:rPr>
  </w:style>
  <w:style w:type="paragraph" w:styleId="232">
    <w:name w:val="Заголовок 23"/>
    <w:basedOn w:val="Normal"/>
    <w:qFormat/>
    <w:pPr/>
    <w:rPr>
      <w:rFonts w:ascii="Arial" w:hAnsi="Arial" w:cs="Arial"/>
      <w:b/>
      <w:caps/>
      <w:sz w:val="16"/>
      <w:szCs w:val="20"/>
      <w:lang w:val="ru-RU"/>
    </w:rPr>
  </w:style>
  <w:style w:type="paragraph" w:styleId="431">
    <w:name w:val="Заголовок 43"/>
    <w:basedOn w:val="Normal"/>
    <w:qFormat/>
    <w:pPr/>
    <w:rPr>
      <w:rFonts w:ascii="Arial" w:hAnsi="Arial" w:cs="Arial"/>
      <w:b/>
      <w:sz w:val="20"/>
      <w:szCs w:val="20"/>
      <w:lang w:val="ru-RU"/>
    </w:rPr>
  </w:style>
  <w:style w:type="paragraph" w:styleId="BodyTextIndent">
    <w:name w:val="Body Text Indent"/>
    <w:basedOn w:val="Normal"/>
    <w:qFormat/>
    <w:pPr>
      <w:spacing w:before="120" w:after="120"/>
    </w:pPr>
    <w:rPr>
      <w:rFonts w:ascii="Arial" w:hAnsi="Arial" w:cs="Arial"/>
      <w:sz w:val="18"/>
      <w:szCs w:val="20"/>
      <w:lang w:val="ru-RU"/>
    </w:rPr>
  </w:style>
  <w:style w:type="paragraph" w:styleId="WWHeading2">
    <w:name w:val="WW-Heading 2"/>
    <w:basedOn w:val="Normal"/>
    <w:qFormat/>
    <w:pPr/>
    <w:rPr>
      <w:rFonts w:ascii="Arial" w:hAnsi="Arial" w:cs="Arial"/>
      <w:b/>
      <w:caps/>
      <w:sz w:val="16"/>
      <w:szCs w:val="20"/>
      <w:lang w:val="ru-RU"/>
    </w:rPr>
  </w:style>
  <w:style w:type="paragraph" w:styleId="WWHeading4">
    <w:name w:val="WW-Heading 4"/>
    <w:basedOn w:val="Normal"/>
    <w:qFormat/>
    <w:pPr/>
    <w:rPr>
      <w:rFonts w:ascii="Arial" w:hAnsi="Arial" w:cs="Arial"/>
      <w:b/>
      <w:sz w:val="20"/>
      <w:szCs w:val="20"/>
      <w:lang w:val="ru-RU"/>
    </w:rPr>
  </w:style>
  <w:style w:type="paragraph" w:styleId="62">
    <w:name w:val="Основной текст с отступом62"/>
    <w:basedOn w:val="Normal"/>
    <w:qFormat/>
    <w:pPr>
      <w:ind w:firstLine="708"/>
      <w:jc w:val="both"/>
    </w:pPr>
    <w:rPr>
      <w:rFonts w:ascii="Arial" w:hAnsi="Arial" w:cs="Arial"/>
      <w:b/>
      <w:sz w:val="18"/>
      <w:szCs w:val="20"/>
    </w:rPr>
  </w:style>
  <w:style w:type="paragraph" w:styleId="64">
    <w:name w:val="Основной текст с отступом64"/>
    <w:basedOn w:val="Normal"/>
    <w:qFormat/>
    <w:pPr>
      <w:ind w:firstLine="708"/>
      <w:jc w:val="both"/>
    </w:pPr>
    <w:rPr>
      <w:rFonts w:ascii="Arial" w:hAnsi="Arial" w:cs="Arial"/>
      <w:b/>
      <w:sz w:val="18"/>
      <w:szCs w:val="20"/>
    </w:rPr>
  </w:style>
  <w:style w:type="paragraph" w:styleId="63">
    <w:name w:val="Основной текст с отступом63"/>
    <w:basedOn w:val="Normal"/>
    <w:qFormat/>
    <w:pPr>
      <w:ind w:firstLine="708"/>
      <w:jc w:val="both"/>
    </w:pPr>
    <w:rPr>
      <w:rFonts w:ascii="Arial" w:hAnsi="Arial" w:cs="Arial"/>
      <w:b/>
      <w:sz w:val="18"/>
      <w:szCs w:val="20"/>
    </w:rPr>
  </w:style>
  <w:style w:type="paragraph" w:styleId="65">
    <w:name w:val="Основной текст с отступом65"/>
    <w:basedOn w:val="Normal"/>
    <w:qFormat/>
    <w:pPr>
      <w:ind w:firstLine="708"/>
      <w:jc w:val="both"/>
    </w:pPr>
    <w:rPr>
      <w:rFonts w:ascii="Arial" w:hAnsi="Arial" w:cs="Arial"/>
      <w:b/>
      <w:sz w:val="18"/>
      <w:szCs w:val="20"/>
    </w:rPr>
  </w:style>
  <w:style w:type="paragraph" w:styleId="66">
    <w:name w:val="Основной текст с отступом66"/>
    <w:basedOn w:val="Normal"/>
    <w:qFormat/>
    <w:pPr>
      <w:ind w:firstLine="708"/>
      <w:jc w:val="both"/>
    </w:pPr>
    <w:rPr>
      <w:rFonts w:ascii="Arial" w:hAnsi="Arial" w:cs="Arial"/>
      <w:b/>
      <w:sz w:val="18"/>
      <w:szCs w:val="20"/>
    </w:rPr>
  </w:style>
  <w:style w:type="paragraph" w:styleId="67">
    <w:name w:val="Основной текст с отступом67"/>
    <w:basedOn w:val="Normal"/>
    <w:qFormat/>
    <w:pPr>
      <w:ind w:firstLine="708"/>
      <w:jc w:val="both"/>
    </w:pPr>
    <w:rPr>
      <w:rFonts w:ascii="Arial" w:hAnsi="Arial" w:cs="Arial"/>
      <w:b/>
      <w:sz w:val="18"/>
      <w:szCs w:val="20"/>
    </w:rPr>
  </w:style>
  <w:style w:type="paragraph" w:styleId="68">
    <w:name w:val="Основной текст с отступом68"/>
    <w:basedOn w:val="Normal"/>
    <w:qFormat/>
    <w:pPr>
      <w:ind w:firstLine="708"/>
      <w:jc w:val="both"/>
    </w:pPr>
    <w:rPr>
      <w:rFonts w:ascii="Arial" w:hAnsi="Arial" w:cs="Arial"/>
      <w:b/>
      <w:sz w:val="18"/>
      <w:szCs w:val="20"/>
    </w:rPr>
  </w:style>
  <w:style w:type="paragraph" w:styleId="69">
    <w:name w:val="Основной текст с отступом69"/>
    <w:basedOn w:val="Normal"/>
    <w:qFormat/>
    <w:pPr>
      <w:ind w:firstLine="708"/>
      <w:jc w:val="both"/>
    </w:pPr>
    <w:rPr>
      <w:rFonts w:ascii="Arial" w:hAnsi="Arial" w:cs="Arial"/>
      <w:b/>
      <w:sz w:val="18"/>
      <w:szCs w:val="20"/>
    </w:rPr>
  </w:style>
  <w:style w:type="paragraph" w:styleId="70">
    <w:name w:val="Основной текст с отступом70"/>
    <w:basedOn w:val="Normal"/>
    <w:qFormat/>
    <w:pPr>
      <w:ind w:firstLine="708"/>
      <w:jc w:val="both"/>
    </w:pPr>
    <w:rPr>
      <w:rFonts w:ascii="Arial" w:hAnsi="Arial" w:cs="Arial"/>
      <w:b/>
      <w:sz w:val="18"/>
      <w:szCs w:val="20"/>
    </w:rPr>
  </w:style>
  <w:style w:type="paragraph" w:styleId="71">
    <w:name w:val="Основной текст с отступом71"/>
    <w:basedOn w:val="Normal"/>
    <w:qFormat/>
    <w:pPr>
      <w:ind w:firstLine="708"/>
      <w:jc w:val="both"/>
    </w:pPr>
    <w:rPr>
      <w:rFonts w:ascii="Arial" w:hAnsi="Arial" w:cs="Arial"/>
      <w:b/>
      <w:sz w:val="18"/>
      <w:szCs w:val="20"/>
    </w:rPr>
  </w:style>
  <w:style w:type="paragraph" w:styleId="72">
    <w:name w:val="Основной текст с отступом72"/>
    <w:basedOn w:val="Normal"/>
    <w:qFormat/>
    <w:pPr>
      <w:ind w:firstLine="708"/>
      <w:jc w:val="both"/>
    </w:pPr>
    <w:rPr>
      <w:rFonts w:ascii="Arial" w:hAnsi="Arial" w:cs="Arial"/>
      <w:b/>
      <w:sz w:val="18"/>
      <w:szCs w:val="20"/>
    </w:rPr>
  </w:style>
  <w:style w:type="paragraph" w:styleId="142">
    <w:name w:val="Основной текст (14)"/>
    <w:basedOn w:val="Normal"/>
    <w:qFormat/>
    <w:pPr>
      <w:widowControl w:val="false"/>
      <w:shd w:fill="FFFFFF" w:val="clear"/>
      <w:spacing w:lineRule="exact" w:line="278"/>
      <w:jc w:val="center"/>
    </w:pPr>
    <w:rPr>
      <w:rFonts w:eastAsia="Calibri"/>
      <w:sz w:val="21"/>
      <w:szCs w:val="21"/>
    </w:rPr>
  </w:style>
  <w:style w:type="paragraph" w:styleId="73">
    <w:name w:val="Основной текст с отступом73"/>
    <w:basedOn w:val="Normal"/>
    <w:qFormat/>
    <w:pPr>
      <w:ind w:firstLine="708"/>
      <w:jc w:val="both"/>
    </w:pPr>
    <w:rPr>
      <w:rFonts w:ascii="Arial" w:hAnsi="Arial" w:cs="Arial"/>
      <w:b/>
      <w:sz w:val="18"/>
      <w:szCs w:val="20"/>
    </w:rPr>
  </w:style>
  <w:style w:type="paragraph" w:styleId="74">
    <w:name w:val="Основной текст с отступом74"/>
    <w:basedOn w:val="Normal"/>
    <w:qFormat/>
    <w:pPr>
      <w:ind w:firstLine="708"/>
      <w:jc w:val="both"/>
    </w:pPr>
    <w:rPr>
      <w:rFonts w:ascii="Arial" w:hAnsi="Arial" w:cs="Arial"/>
      <w:b/>
      <w:sz w:val="18"/>
      <w:szCs w:val="20"/>
    </w:rPr>
  </w:style>
  <w:style w:type="paragraph" w:styleId="75">
    <w:name w:val="Основной текст с отступом75"/>
    <w:basedOn w:val="Normal"/>
    <w:qFormat/>
    <w:pPr>
      <w:ind w:firstLine="708"/>
      <w:jc w:val="both"/>
    </w:pPr>
    <w:rPr>
      <w:rFonts w:ascii="Arial" w:hAnsi="Arial" w:cs="Arial"/>
      <w:b/>
      <w:sz w:val="18"/>
      <w:szCs w:val="20"/>
    </w:rPr>
  </w:style>
  <w:style w:type="paragraph" w:styleId="76">
    <w:name w:val="Основной текст с отступом76"/>
    <w:basedOn w:val="Normal"/>
    <w:qFormat/>
    <w:pPr>
      <w:ind w:firstLine="708"/>
      <w:jc w:val="both"/>
    </w:pPr>
    <w:rPr>
      <w:rFonts w:ascii="Arial" w:hAnsi="Arial" w:cs="Arial"/>
      <w:b/>
      <w:sz w:val="18"/>
      <w:szCs w:val="20"/>
    </w:rPr>
  </w:style>
  <w:style w:type="paragraph" w:styleId="77">
    <w:name w:val="Основной текст с отступом77"/>
    <w:basedOn w:val="Normal"/>
    <w:qFormat/>
    <w:pPr>
      <w:ind w:firstLine="708"/>
      <w:jc w:val="both"/>
    </w:pPr>
    <w:rPr>
      <w:rFonts w:ascii="Arial" w:hAnsi="Arial" w:cs="Arial"/>
      <w:b/>
      <w:sz w:val="18"/>
      <w:szCs w:val="20"/>
    </w:rPr>
  </w:style>
  <w:style w:type="paragraph" w:styleId="78">
    <w:name w:val="Основной текст с отступом78"/>
    <w:basedOn w:val="Normal"/>
    <w:qFormat/>
    <w:pPr>
      <w:ind w:firstLine="708"/>
      <w:jc w:val="both"/>
    </w:pPr>
    <w:rPr>
      <w:rFonts w:ascii="Arial" w:hAnsi="Arial" w:cs="Arial"/>
      <w:b/>
      <w:sz w:val="18"/>
      <w:szCs w:val="20"/>
    </w:rPr>
  </w:style>
  <w:style w:type="paragraph" w:styleId="79">
    <w:name w:val="Основной текст с отступом79"/>
    <w:basedOn w:val="Normal"/>
    <w:qFormat/>
    <w:pPr>
      <w:ind w:firstLine="708"/>
      <w:jc w:val="both"/>
    </w:pPr>
    <w:rPr>
      <w:rFonts w:ascii="Arial" w:hAnsi="Arial" w:cs="Arial"/>
      <w:b/>
      <w:sz w:val="18"/>
      <w:szCs w:val="20"/>
    </w:rPr>
  </w:style>
  <w:style w:type="paragraph" w:styleId="81">
    <w:name w:val="Основной текст с отступом81"/>
    <w:basedOn w:val="Normal"/>
    <w:qFormat/>
    <w:pPr>
      <w:ind w:firstLine="708"/>
      <w:jc w:val="both"/>
    </w:pPr>
    <w:rPr>
      <w:rFonts w:ascii="Arial" w:hAnsi="Arial" w:cs="Arial"/>
      <w:b/>
      <w:sz w:val="18"/>
      <w:szCs w:val="20"/>
    </w:rPr>
  </w:style>
  <w:style w:type="paragraph" w:styleId="82">
    <w:name w:val="Основной текст с отступом82"/>
    <w:basedOn w:val="Normal"/>
    <w:qFormat/>
    <w:pPr>
      <w:ind w:firstLine="708"/>
      <w:jc w:val="both"/>
    </w:pPr>
    <w:rPr>
      <w:rFonts w:ascii="Arial" w:hAnsi="Arial" w:cs="Arial"/>
      <w:b/>
      <w:sz w:val="18"/>
      <w:szCs w:val="20"/>
    </w:rPr>
  </w:style>
  <w:style w:type="paragraph" w:styleId="84">
    <w:name w:val="Основной текст с отступом84"/>
    <w:basedOn w:val="Normal"/>
    <w:qFormat/>
    <w:pPr>
      <w:ind w:firstLine="708"/>
      <w:jc w:val="both"/>
    </w:pPr>
    <w:rPr>
      <w:rFonts w:ascii="Arial" w:hAnsi="Arial" w:cs="Arial"/>
      <w:b/>
      <w:sz w:val="18"/>
      <w:szCs w:val="20"/>
    </w:rPr>
  </w:style>
  <w:style w:type="paragraph" w:styleId="85">
    <w:name w:val="Основной текст с отступом85"/>
    <w:basedOn w:val="Normal"/>
    <w:qFormat/>
    <w:pPr>
      <w:ind w:firstLine="708"/>
      <w:jc w:val="both"/>
    </w:pPr>
    <w:rPr>
      <w:rFonts w:ascii="Arial" w:hAnsi="Arial" w:cs="Arial"/>
      <w:b/>
      <w:sz w:val="18"/>
      <w:szCs w:val="20"/>
    </w:rPr>
  </w:style>
  <w:style w:type="paragraph" w:styleId="86">
    <w:name w:val="Основной текст с отступом86"/>
    <w:basedOn w:val="Normal"/>
    <w:qFormat/>
    <w:pPr>
      <w:ind w:firstLine="708"/>
      <w:jc w:val="both"/>
    </w:pPr>
    <w:rPr>
      <w:rFonts w:ascii="Arial" w:hAnsi="Arial" w:cs="Arial"/>
      <w:b/>
      <w:sz w:val="18"/>
      <w:szCs w:val="20"/>
    </w:rPr>
  </w:style>
  <w:style w:type="paragraph" w:styleId="87">
    <w:name w:val="Основной текст с отступом87"/>
    <w:basedOn w:val="Normal"/>
    <w:qFormat/>
    <w:pPr>
      <w:ind w:firstLine="708"/>
      <w:jc w:val="both"/>
    </w:pPr>
    <w:rPr>
      <w:rFonts w:ascii="Arial" w:hAnsi="Arial" w:cs="Arial"/>
      <w:b/>
      <w:sz w:val="18"/>
      <w:szCs w:val="20"/>
    </w:rPr>
  </w:style>
  <w:style w:type="paragraph" w:styleId="88">
    <w:name w:val="Основной текст с отступом88"/>
    <w:basedOn w:val="Normal"/>
    <w:qFormat/>
    <w:pPr>
      <w:ind w:firstLine="708"/>
      <w:jc w:val="both"/>
    </w:pPr>
    <w:rPr>
      <w:rFonts w:ascii="Arial" w:hAnsi="Arial" w:cs="Arial"/>
      <w:b/>
      <w:sz w:val="18"/>
      <w:szCs w:val="20"/>
    </w:rPr>
  </w:style>
  <w:style w:type="paragraph" w:styleId="89">
    <w:name w:val="Основной текст с отступом89"/>
    <w:basedOn w:val="Normal"/>
    <w:qFormat/>
    <w:pPr>
      <w:ind w:firstLine="708"/>
      <w:jc w:val="both"/>
    </w:pPr>
    <w:rPr>
      <w:rFonts w:ascii="Arial" w:hAnsi="Arial" w:cs="Arial"/>
      <w:b/>
      <w:sz w:val="18"/>
      <w:szCs w:val="20"/>
    </w:rPr>
  </w:style>
  <w:style w:type="paragraph" w:styleId="91">
    <w:name w:val="Основной текст с отступом91"/>
    <w:basedOn w:val="Normal"/>
    <w:qFormat/>
    <w:pPr>
      <w:ind w:firstLine="708"/>
      <w:jc w:val="both"/>
    </w:pPr>
    <w:rPr>
      <w:rFonts w:ascii="Arial" w:hAnsi="Arial" w:cs="Arial"/>
      <w:b/>
      <w:sz w:val="18"/>
      <w:szCs w:val="20"/>
    </w:rPr>
  </w:style>
  <w:style w:type="paragraph" w:styleId="92">
    <w:name w:val="Основной текст с отступом92"/>
    <w:basedOn w:val="Normal"/>
    <w:qFormat/>
    <w:pPr>
      <w:ind w:firstLine="708"/>
      <w:jc w:val="both"/>
    </w:pPr>
    <w:rPr>
      <w:rFonts w:ascii="Arial" w:hAnsi="Arial" w:cs="Arial"/>
      <w:b/>
      <w:sz w:val="18"/>
      <w:szCs w:val="20"/>
    </w:rPr>
  </w:style>
  <w:style w:type="paragraph" w:styleId="93">
    <w:name w:val="Основной текст с отступом93"/>
    <w:basedOn w:val="Normal"/>
    <w:qFormat/>
    <w:pPr>
      <w:ind w:firstLine="708"/>
      <w:jc w:val="both"/>
    </w:pPr>
    <w:rPr>
      <w:rFonts w:ascii="Arial" w:hAnsi="Arial" w:cs="Arial"/>
      <w:b/>
      <w:sz w:val="18"/>
      <w:szCs w:val="20"/>
    </w:rPr>
  </w:style>
  <w:style w:type="paragraph" w:styleId="94">
    <w:name w:val="Основной текст с отступом94"/>
    <w:basedOn w:val="Normal"/>
    <w:qFormat/>
    <w:pPr>
      <w:ind w:firstLine="708"/>
      <w:jc w:val="both"/>
    </w:pPr>
    <w:rPr>
      <w:rFonts w:ascii="Arial" w:hAnsi="Arial" w:cs="Arial"/>
      <w:b/>
      <w:sz w:val="18"/>
      <w:szCs w:val="20"/>
    </w:rPr>
  </w:style>
  <w:style w:type="paragraph" w:styleId="95">
    <w:name w:val="Основной текст с отступом95"/>
    <w:basedOn w:val="Normal"/>
    <w:qFormat/>
    <w:pPr>
      <w:ind w:firstLine="708"/>
      <w:jc w:val="both"/>
    </w:pPr>
    <w:rPr>
      <w:rFonts w:ascii="Arial" w:hAnsi="Arial" w:cs="Arial"/>
      <w:b/>
      <w:sz w:val="18"/>
      <w:szCs w:val="20"/>
    </w:rPr>
  </w:style>
  <w:style w:type="paragraph" w:styleId="97">
    <w:name w:val="Основной текст с отступом97"/>
    <w:basedOn w:val="Normal"/>
    <w:qFormat/>
    <w:pPr>
      <w:ind w:firstLine="708"/>
      <w:jc w:val="both"/>
    </w:pPr>
    <w:rPr>
      <w:rFonts w:ascii="Arial" w:hAnsi="Arial" w:cs="Arial"/>
      <w:b/>
      <w:sz w:val="18"/>
      <w:szCs w:val="20"/>
    </w:rPr>
  </w:style>
  <w:style w:type="paragraph" w:styleId="99">
    <w:name w:val="Основной текст с отступом99"/>
    <w:basedOn w:val="Normal"/>
    <w:qFormat/>
    <w:pPr>
      <w:ind w:firstLine="708"/>
      <w:jc w:val="both"/>
    </w:pPr>
    <w:rPr>
      <w:rFonts w:ascii="Arial" w:hAnsi="Arial" w:cs="Arial"/>
      <w:b/>
      <w:sz w:val="18"/>
      <w:szCs w:val="20"/>
    </w:rPr>
  </w:style>
  <w:style w:type="paragraph" w:styleId="100">
    <w:name w:val="Основной текст с отступом100"/>
    <w:basedOn w:val="Normal"/>
    <w:qFormat/>
    <w:pPr>
      <w:ind w:firstLine="708"/>
      <w:jc w:val="both"/>
    </w:pPr>
    <w:rPr>
      <w:rFonts w:ascii="Arial" w:hAnsi="Arial" w:cs="Arial"/>
      <w:b/>
      <w:sz w:val="18"/>
      <w:szCs w:val="20"/>
    </w:rPr>
  </w:style>
  <w:style w:type="paragraph" w:styleId="101">
    <w:name w:val="Основной текст с отступом101"/>
    <w:basedOn w:val="Normal"/>
    <w:qFormat/>
    <w:pPr>
      <w:ind w:firstLine="708"/>
      <w:jc w:val="both"/>
    </w:pPr>
    <w:rPr>
      <w:rFonts w:ascii="Arial" w:hAnsi="Arial" w:cs="Arial"/>
      <w:b/>
      <w:sz w:val="18"/>
      <w:szCs w:val="20"/>
    </w:rPr>
  </w:style>
  <w:style w:type="paragraph" w:styleId="102">
    <w:name w:val="Основной текст с отступом102"/>
    <w:basedOn w:val="Normal"/>
    <w:qFormat/>
    <w:pPr>
      <w:ind w:firstLine="708"/>
      <w:jc w:val="both"/>
    </w:pPr>
    <w:rPr>
      <w:rFonts w:ascii="Arial" w:hAnsi="Arial" w:cs="Arial"/>
      <w:b/>
      <w:sz w:val="18"/>
      <w:szCs w:val="20"/>
    </w:rPr>
  </w:style>
  <w:style w:type="paragraph" w:styleId="103">
    <w:name w:val="Основной текст с отступом103"/>
    <w:basedOn w:val="Normal"/>
    <w:qFormat/>
    <w:pPr>
      <w:ind w:firstLine="708"/>
      <w:jc w:val="both"/>
    </w:pPr>
    <w:rPr>
      <w:rFonts w:ascii="Arial" w:hAnsi="Arial" w:cs="Arial"/>
      <w:b/>
      <w:sz w:val="18"/>
      <w:szCs w:val="20"/>
    </w:rPr>
  </w:style>
  <w:style w:type="paragraph" w:styleId="104">
    <w:name w:val="Основной текст с отступом104"/>
    <w:basedOn w:val="Normal"/>
    <w:qFormat/>
    <w:pPr>
      <w:ind w:firstLine="708"/>
      <w:jc w:val="both"/>
    </w:pPr>
    <w:rPr>
      <w:rFonts w:ascii="Arial" w:hAnsi="Arial" w:cs="Arial"/>
      <w:b/>
      <w:sz w:val="18"/>
      <w:szCs w:val="20"/>
    </w:rPr>
  </w:style>
  <w:style w:type="paragraph" w:styleId="105">
    <w:name w:val="Основной текст с отступом105"/>
    <w:basedOn w:val="Normal"/>
    <w:qFormat/>
    <w:pPr>
      <w:ind w:firstLine="708"/>
      <w:jc w:val="both"/>
    </w:pPr>
    <w:rPr>
      <w:rFonts w:ascii="Arial" w:hAnsi="Arial" w:cs="Arial"/>
      <w:b/>
      <w:sz w:val="18"/>
      <w:szCs w:val="20"/>
    </w:rPr>
  </w:style>
  <w:style w:type="paragraph" w:styleId="107">
    <w:name w:val="Основной текст с отступом107"/>
    <w:basedOn w:val="Normal"/>
    <w:qFormat/>
    <w:pPr>
      <w:ind w:firstLine="708"/>
      <w:jc w:val="both"/>
    </w:pPr>
    <w:rPr>
      <w:rFonts w:ascii="Arial" w:hAnsi="Arial" w:cs="Arial"/>
      <w:b/>
      <w:sz w:val="18"/>
      <w:szCs w:val="20"/>
    </w:rPr>
  </w:style>
  <w:style w:type="paragraph" w:styleId="109">
    <w:name w:val="Основной текст с отступом109"/>
    <w:basedOn w:val="Normal"/>
    <w:qFormat/>
    <w:pPr>
      <w:ind w:firstLine="708"/>
      <w:jc w:val="both"/>
    </w:pPr>
    <w:rPr>
      <w:rFonts w:ascii="Arial" w:hAnsi="Arial" w:cs="Arial"/>
      <w:b/>
      <w:sz w:val="18"/>
      <w:szCs w:val="20"/>
    </w:rPr>
  </w:style>
  <w:style w:type="paragraph" w:styleId="1111">
    <w:name w:val="Основной текст с отступом111"/>
    <w:basedOn w:val="Normal"/>
    <w:qFormat/>
    <w:pPr>
      <w:ind w:firstLine="708"/>
      <w:jc w:val="both"/>
    </w:pPr>
    <w:rPr>
      <w:rFonts w:ascii="Arial" w:hAnsi="Arial" w:cs="Arial"/>
      <w:b/>
      <w:sz w:val="18"/>
      <w:szCs w:val="20"/>
    </w:rPr>
  </w:style>
  <w:style w:type="paragraph" w:styleId="1121">
    <w:name w:val="Основной текст с отступом112"/>
    <w:basedOn w:val="Normal"/>
    <w:qFormat/>
    <w:pPr>
      <w:ind w:firstLine="708"/>
      <w:jc w:val="both"/>
    </w:pPr>
    <w:rPr>
      <w:rFonts w:ascii="Arial" w:hAnsi="Arial" w:cs="Arial"/>
      <w:b/>
      <w:sz w:val="18"/>
      <w:szCs w:val="20"/>
    </w:rPr>
  </w:style>
  <w:style w:type="paragraph" w:styleId="113">
    <w:name w:val="Основной текст с отступом113"/>
    <w:basedOn w:val="Normal"/>
    <w:qFormat/>
    <w:pPr>
      <w:ind w:firstLine="708"/>
      <w:jc w:val="both"/>
    </w:pPr>
    <w:rPr>
      <w:rFonts w:ascii="Arial" w:hAnsi="Arial" w:cs="Arial"/>
      <w:b/>
      <w:sz w:val="18"/>
      <w:szCs w:val="20"/>
    </w:rPr>
  </w:style>
  <w:style w:type="paragraph" w:styleId="114">
    <w:name w:val="Основной текст с отступом114"/>
    <w:basedOn w:val="Normal"/>
    <w:qFormat/>
    <w:pPr>
      <w:ind w:firstLine="708"/>
      <w:jc w:val="both"/>
    </w:pPr>
    <w:rPr>
      <w:rFonts w:ascii="Arial" w:hAnsi="Arial" w:cs="Arial"/>
      <w:b/>
      <w:sz w:val="18"/>
      <w:szCs w:val="20"/>
    </w:rPr>
  </w:style>
  <w:style w:type="paragraph" w:styleId="115">
    <w:name w:val="Основной текст с отступом115"/>
    <w:basedOn w:val="Normal"/>
    <w:qFormat/>
    <w:pPr>
      <w:ind w:firstLine="708"/>
      <w:jc w:val="both"/>
    </w:pPr>
    <w:rPr>
      <w:rFonts w:ascii="Arial" w:hAnsi="Arial" w:cs="Arial"/>
      <w:b/>
      <w:sz w:val="18"/>
      <w:szCs w:val="20"/>
    </w:rPr>
  </w:style>
  <w:style w:type="paragraph" w:styleId="116">
    <w:name w:val="Основной текст с отступом116"/>
    <w:basedOn w:val="Normal"/>
    <w:qFormat/>
    <w:pPr>
      <w:ind w:firstLine="708"/>
      <w:jc w:val="both"/>
    </w:pPr>
    <w:rPr>
      <w:rFonts w:ascii="Arial" w:hAnsi="Arial" w:cs="Arial"/>
      <w:b/>
      <w:sz w:val="18"/>
      <w:szCs w:val="20"/>
    </w:rPr>
  </w:style>
  <w:style w:type="paragraph" w:styleId="117">
    <w:name w:val="Основной текст с отступом117"/>
    <w:basedOn w:val="Normal"/>
    <w:qFormat/>
    <w:pPr>
      <w:ind w:firstLine="708"/>
      <w:jc w:val="both"/>
    </w:pPr>
    <w:rPr>
      <w:rFonts w:ascii="Arial" w:hAnsi="Arial" w:cs="Arial"/>
      <w:b/>
      <w:sz w:val="18"/>
      <w:szCs w:val="20"/>
    </w:rPr>
  </w:style>
  <w:style w:type="paragraph" w:styleId="118">
    <w:name w:val="Основной текст с отступом118"/>
    <w:basedOn w:val="Normal"/>
    <w:qFormat/>
    <w:pPr>
      <w:ind w:firstLine="708"/>
      <w:jc w:val="both"/>
    </w:pPr>
    <w:rPr>
      <w:rFonts w:ascii="Arial" w:hAnsi="Arial" w:cs="Arial"/>
      <w:b/>
      <w:sz w:val="18"/>
      <w:szCs w:val="20"/>
    </w:rPr>
  </w:style>
  <w:style w:type="paragraph" w:styleId="119">
    <w:name w:val="Основной текст с отступом119"/>
    <w:basedOn w:val="Normal"/>
    <w:qFormat/>
    <w:pPr>
      <w:ind w:firstLine="708"/>
      <w:jc w:val="both"/>
    </w:pPr>
    <w:rPr>
      <w:rFonts w:ascii="Arial" w:hAnsi="Arial" w:cs="Arial"/>
      <w:b/>
      <w:sz w:val="18"/>
      <w:szCs w:val="20"/>
    </w:rPr>
  </w:style>
  <w:style w:type="paragraph" w:styleId="120">
    <w:name w:val="Основной текст с отступом120"/>
    <w:basedOn w:val="Normal"/>
    <w:qFormat/>
    <w:pPr>
      <w:ind w:firstLine="708"/>
      <w:jc w:val="both"/>
    </w:pPr>
    <w:rPr>
      <w:rFonts w:ascii="Arial" w:hAnsi="Arial" w:cs="Arial"/>
      <w:b/>
      <w:sz w:val="18"/>
      <w:szCs w:val="20"/>
    </w:rPr>
  </w:style>
  <w:style w:type="paragraph" w:styleId="1211">
    <w:name w:val="Основной текст с отступом121"/>
    <w:basedOn w:val="Normal"/>
    <w:qFormat/>
    <w:pPr>
      <w:ind w:firstLine="708"/>
      <w:jc w:val="both"/>
    </w:pPr>
    <w:rPr>
      <w:rFonts w:ascii="Arial" w:hAnsi="Arial" w:cs="Arial"/>
      <w:b/>
      <w:sz w:val="18"/>
      <w:szCs w:val="20"/>
    </w:rPr>
  </w:style>
  <w:style w:type="paragraph" w:styleId="122">
    <w:name w:val="Основной текст с отступом122"/>
    <w:basedOn w:val="Normal"/>
    <w:qFormat/>
    <w:pPr>
      <w:ind w:firstLine="708"/>
      <w:jc w:val="both"/>
    </w:pPr>
    <w:rPr>
      <w:rFonts w:ascii="Arial" w:hAnsi="Arial" w:cs="Arial"/>
      <w:b/>
      <w:sz w:val="18"/>
      <w:szCs w:val="20"/>
    </w:rPr>
  </w:style>
  <w:style w:type="paragraph" w:styleId="125">
    <w:name w:val="Основной текст с отступом125"/>
    <w:basedOn w:val="Normal"/>
    <w:qFormat/>
    <w:pPr>
      <w:ind w:firstLine="708"/>
      <w:jc w:val="both"/>
    </w:pPr>
    <w:rPr>
      <w:rFonts w:ascii="Arial" w:hAnsi="Arial" w:cs="Arial"/>
      <w:b/>
      <w:sz w:val="18"/>
      <w:szCs w:val="20"/>
    </w:rPr>
  </w:style>
  <w:style w:type="paragraph" w:styleId="124">
    <w:name w:val="Основной текст с отступом124"/>
    <w:basedOn w:val="Normal"/>
    <w:qFormat/>
    <w:pPr>
      <w:ind w:firstLine="708"/>
      <w:jc w:val="both"/>
    </w:pPr>
    <w:rPr>
      <w:rFonts w:ascii="Arial" w:hAnsi="Arial" w:cs="Arial"/>
      <w:b/>
      <w:sz w:val="18"/>
      <w:szCs w:val="20"/>
    </w:rPr>
  </w:style>
  <w:style w:type="paragraph" w:styleId="126">
    <w:name w:val="Основной текст с отступом126"/>
    <w:basedOn w:val="Normal"/>
    <w:qFormat/>
    <w:pPr>
      <w:ind w:firstLine="708"/>
      <w:jc w:val="both"/>
    </w:pPr>
    <w:rPr>
      <w:rFonts w:ascii="Arial" w:hAnsi="Arial" w:cs="Arial"/>
      <w:b/>
      <w:sz w:val="18"/>
      <w:szCs w:val="20"/>
    </w:rPr>
  </w:style>
  <w:style w:type="paragraph" w:styleId="127">
    <w:name w:val="Основной текст с отступом127"/>
    <w:basedOn w:val="Normal"/>
    <w:qFormat/>
    <w:pPr>
      <w:ind w:firstLine="708"/>
      <w:jc w:val="both"/>
    </w:pPr>
    <w:rPr>
      <w:rFonts w:ascii="Arial" w:hAnsi="Arial" w:cs="Arial"/>
      <w:b/>
      <w:sz w:val="18"/>
      <w:szCs w:val="20"/>
    </w:rPr>
  </w:style>
  <w:style w:type="paragraph" w:styleId="128">
    <w:name w:val="Основной текст с отступом128"/>
    <w:basedOn w:val="Normal"/>
    <w:qFormat/>
    <w:pPr>
      <w:ind w:firstLine="708"/>
      <w:jc w:val="both"/>
    </w:pPr>
    <w:rPr>
      <w:rFonts w:ascii="Arial" w:hAnsi="Arial" w:cs="Arial"/>
      <w:b/>
      <w:sz w:val="18"/>
      <w:szCs w:val="20"/>
    </w:rPr>
  </w:style>
  <w:style w:type="paragraph" w:styleId="129">
    <w:name w:val="Основной текст с отступом129"/>
    <w:basedOn w:val="Normal"/>
    <w:qFormat/>
    <w:pPr>
      <w:ind w:firstLine="708"/>
      <w:jc w:val="both"/>
    </w:pPr>
    <w:rPr>
      <w:rFonts w:ascii="Arial" w:hAnsi="Arial" w:cs="Arial"/>
      <w:b/>
      <w:sz w:val="18"/>
      <w:szCs w:val="20"/>
    </w:rPr>
  </w:style>
  <w:style w:type="paragraph" w:styleId="130">
    <w:name w:val="Основной текст с отступом130"/>
    <w:basedOn w:val="Normal"/>
    <w:qFormat/>
    <w:pPr>
      <w:ind w:firstLine="708"/>
      <w:jc w:val="both"/>
    </w:pPr>
    <w:rPr>
      <w:rFonts w:ascii="Arial" w:hAnsi="Arial" w:cs="Arial"/>
      <w:b/>
      <w:sz w:val="18"/>
      <w:szCs w:val="20"/>
    </w:rPr>
  </w:style>
  <w:style w:type="paragraph" w:styleId="131">
    <w:name w:val="Основной текст с отступом131"/>
    <w:basedOn w:val="Normal"/>
    <w:qFormat/>
    <w:pPr>
      <w:ind w:firstLine="708"/>
      <w:jc w:val="both"/>
    </w:pPr>
    <w:rPr>
      <w:rFonts w:ascii="Arial" w:hAnsi="Arial" w:cs="Arial"/>
      <w:b/>
      <w:sz w:val="18"/>
      <w:szCs w:val="20"/>
    </w:rPr>
  </w:style>
  <w:style w:type="paragraph" w:styleId="133">
    <w:name w:val="Основной текст с отступом133"/>
    <w:basedOn w:val="Normal"/>
    <w:qFormat/>
    <w:pPr>
      <w:ind w:firstLine="708"/>
      <w:jc w:val="both"/>
    </w:pPr>
    <w:rPr>
      <w:rFonts w:ascii="Arial" w:hAnsi="Arial" w:cs="Arial"/>
      <w:b/>
      <w:sz w:val="18"/>
      <w:szCs w:val="20"/>
    </w:rPr>
  </w:style>
  <w:style w:type="paragraph" w:styleId="132">
    <w:name w:val="Основной текст с отступом132"/>
    <w:basedOn w:val="Normal"/>
    <w:qFormat/>
    <w:pPr>
      <w:ind w:firstLine="708"/>
      <w:jc w:val="both"/>
    </w:pPr>
    <w:rPr>
      <w:rFonts w:ascii="Arial" w:hAnsi="Arial" w:cs="Arial"/>
      <w:b/>
      <w:sz w:val="18"/>
      <w:szCs w:val="20"/>
    </w:rPr>
  </w:style>
  <w:style w:type="paragraph" w:styleId="135">
    <w:name w:val="Основной текст с отступом135"/>
    <w:basedOn w:val="Normal"/>
    <w:qFormat/>
    <w:pPr>
      <w:ind w:firstLine="708"/>
      <w:jc w:val="both"/>
    </w:pPr>
    <w:rPr>
      <w:rFonts w:ascii="Arial" w:hAnsi="Arial" w:cs="Arial"/>
      <w:b/>
      <w:sz w:val="18"/>
      <w:szCs w:val="20"/>
    </w:rPr>
  </w:style>
  <w:style w:type="paragraph" w:styleId="136">
    <w:name w:val="Основной текст с отступом136"/>
    <w:basedOn w:val="Normal"/>
    <w:qFormat/>
    <w:pPr>
      <w:ind w:firstLine="708"/>
      <w:jc w:val="both"/>
    </w:pPr>
    <w:rPr>
      <w:rFonts w:ascii="Arial" w:hAnsi="Arial" w:cs="Arial"/>
      <w:b/>
      <w:sz w:val="18"/>
      <w:szCs w:val="20"/>
    </w:rPr>
  </w:style>
  <w:style w:type="paragraph" w:styleId="137">
    <w:name w:val="Основной текст с отступом137"/>
    <w:basedOn w:val="Normal"/>
    <w:qFormat/>
    <w:pPr>
      <w:ind w:firstLine="708"/>
      <w:jc w:val="both"/>
    </w:pPr>
    <w:rPr>
      <w:rFonts w:ascii="Arial" w:hAnsi="Arial" w:cs="Arial"/>
      <w:b/>
      <w:sz w:val="18"/>
      <w:szCs w:val="20"/>
    </w:rPr>
  </w:style>
  <w:style w:type="paragraph" w:styleId="138">
    <w:name w:val="Основной текст с отступом138"/>
    <w:basedOn w:val="Normal"/>
    <w:qFormat/>
    <w:pPr>
      <w:ind w:firstLine="708"/>
      <w:jc w:val="both"/>
    </w:pPr>
    <w:rPr>
      <w:rFonts w:ascii="Arial" w:hAnsi="Arial" w:cs="Arial"/>
      <w:b/>
      <w:sz w:val="18"/>
      <w:szCs w:val="20"/>
    </w:rPr>
  </w:style>
  <w:style w:type="paragraph" w:styleId="139">
    <w:name w:val="Основной текст с отступом139"/>
    <w:basedOn w:val="Normal"/>
    <w:qFormat/>
    <w:pPr>
      <w:ind w:firstLine="708"/>
      <w:jc w:val="both"/>
    </w:pPr>
    <w:rPr>
      <w:rFonts w:ascii="Arial" w:hAnsi="Arial" w:cs="Arial"/>
      <w:b/>
      <w:sz w:val="18"/>
      <w:szCs w:val="20"/>
    </w:rPr>
  </w:style>
  <w:style w:type="paragraph" w:styleId="140">
    <w:name w:val="Основной текст с отступом140"/>
    <w:basedOn w:val="Normal"/>
    <w:qFormat/>
    <w:pPr>
      <w:ind w:firstLine="708"/>
      <w:jc w:val="both"/>
    </w:pPr>
    <w:rPr>
      <w:rFonts w:ascii="Arial" w:hAnsi="Arial" w:cs="Arial"/>
      <w:b/>
      <w:sz w:val="18"/>
      <w:szCs w:val="20"/>
    </w:rPr>
  </w:style>
  <w:style w:type="paragraph" w:styleId="1411">
    <w:name w:val="Основной текст с отступом141"/>
    <w:basedOn w:val="Normal"/>
    <w:qFormat/>
    <w:pPr>
      <w:ind w:firstLine="708"/>
      <w:jc w:val="both"/>
    </w:pPr>
    <w:rPr>
      <w:rFonts w:ascii="Arial" w:hAnsi="Arial" w:cs="Arial"/>
      <w:b/>
      <w:sz w:val="18"/>
      <w:szCs w:val="20"/>
    </w:rPr>
  </w:style>
  <w:style w:type="paragraph" w:styleId="Arial92">
    <w:name w:val="Arial9(без отступов)"/>
    <w:qFormat/>
    <w:pPr>
      <w:widowControl/>
      <w:ind w:left="-113" w:hanging="0"/>
    </w:pPr>
    <w:rPr>
      <w:rFonts w:ascii="Arial" w:hAnsi="Arial" w:eastAsia="Calibri" w:cs="Arial"/>
      <w:color w:val="auto"/>
      <w:sz w:val="18"/>
      <w:szCs w:val="18"/>
      <w:lang w:val="ru-RU" w:bidi="ar-SA" w:eastAsia="zh-CN"/>
    </w:rPr>
  </w:style>
  <w:style w:type="paragraph" w:styleId="Style27">
    <w:name w:val="Абзац списка"/>
    <w:basedOn w:val="Normal"/>
    <w:qFormat/>
    <w:pPr>
      <w:snapToGrid w:val="false"/>
      <w:spacing w:before="0" w:after="0"/>
      <w:ind w:left="720" w:hanging="0"/>
      <w:contextualSpacing/>
    </w:pPr>
    <w:rPr>
      <w:rFonts w:ascii="Arial" w:hAnsi="Arial" w:cs="Arial"/>
      <w:sz w:val="28"/>
      <w:szCs w:val="20"/>
      <w:lang w:val="ru-RU"/>
    </w:rPr>
  </w:style>
  <w:style w:type="paragraph" w:styleId="Arial93">
    <w:name w:val="Arial9(жирн)"/>
    <w:qFormat/>
    <w:pPr>
      <w:keepNext w:val="true"/>
      <w:widowControl/>
      <w:tabs>
        <w:tab w:val="left" w:pos="210" w:leader="none"/>
      </w:tabs>
      <w:autoSpaceDE w:val="false"/>
      <w:spacing w:before="120" w:after="0"/>
    </w:pPr>
    <w:rPr>
      <w:rFonts w:ascii="Arial" w:hAnsi="Arial" w:eastAsia="Times New Roman" w:cs="Arial"/>
      <w:b/>
      <w:bCs/>
      <w:color w:val="auto"/>
      <w:sz w:val="18"/>
      <w:szCs w:val="20"/>
      <w:lang w:val="en-US" w:bidi="ar-SA" w:eastAsia="zh-CN"/>
    </w:rPr>
  </w:style>
  <w:style w:type="paragraph" w:styleId="Arial961">
    <w:name w:val="Arial9+6пт"/>
    <w:basedOn w:val="Normal"/>
    <w:qFormat/>
    <w:pPr>
      <w:snapToGrid w:val="false"/>
      <w:spacing w:before="120" w:after="0"/>
    </w:pPr>
    <w:rPr>
      <w:rFonts w:ascii="Arial" w:hAnsi="Arial" w:eastAsia="Calibri" w:cs="Arial"/>
      <w:sz w:val="18"/>
      <w:szCs w:val="20"/>
      <w:lang w:val="ru-RU"/>
    </w:rPr>
  </w:style>
  <w:style w:type="paragraph" w:styleId="Msonormal">
    <w:name w:val="msonormal"/>
    <w:basedOn w:val="Normal"/>
    <w:qFormat/>
    <w:pPr>
      <w:spacing w:before="280" w:after="280"/>
    </w:pPr>
    <w:rPr>
      <w:rFonts w:eastAsia="Calibri"/>
      <w:lang w:val="en-US"/>
    </w:rPr>
  </w:style>
  <w:style w:type="paragraph" w:styleId="27">
    <w:name w:val="Основной текст 2"/>
    <w:basedOn w:val="Normal"/>
    <w:qFormat/>
    <w:pPr/>
    <w:rPr>
      <w:rFonts w:eastAsia="Calibri"/>
      <w:lang w:val="en-US"/>
    </w:rPr>
  </w:style>
  <w:style w:type="paragraph" w:styleId="Style28">
    <w:name w:val="Название"/>
    <w:basedOn w:val="Normal"/>
    <w:qFormat/>
    <w:pPr/>
    <w:rPr>
      <w:rFonts w:ascii="Cambria" w:hAnsi="Cambria" w:eastAsia="Calibri" w:cs="Cambria"/>
      <w:color w:val="17365D"/>
      <w:spacing w:val="5"/>
      <w:sz w:val="20"/>
      <w:szCs w:val="20"/>
      <w:lang w:val="en-US"/>
    </w:rPr>
  </w:style>
  <w:style w:type="paragraph" w:styleId="210">
    <w:name w:val="Верхній колонтитул2"/>
    <w:basedOn w:val="Normal"/>
    <w:qFormat/>
    <w:pPr/>
    <w:rPr>
      <w:rFonts w:ascii="Calibri" w:hAnsi="Calibri" w:eastAsia="Calibri" w:cs="Calibri"/>
      <w:sz w:val="20"/>
      <w:szCs w:val="20"/>
      <w:lang w:val="en-US"/>
    </w:rPr>
  </w:style>
  <w:style w:type="paragraph" w:styleId="213">
    <w:name w:val="Нижній колонтитул2"/>
    <w:basedOn w:val="Normal"/>
    <w:qFormat/>
    <w:pPr/>
    <w:rPr>
      <w:rFonts w:ascii="Calibri" w:hAnsi="Calibri" w:eastAsia="Calibri" w:cs="Calibri"/>
      <w:sz w:val="20"/>
      <w:szCs w:val="20"/>
      <w:lang w:val="en-US"/>
    </w:rPr>
  </w:style>
  <w:style w:type="paragraph" w:styleId="214">
    <w:name w:val="Назва2"/>
    <w:basedOn w:val="Normal"/>
    <w:qFormat/>
    <w:pPr/>
    <w:rPr>
      <w:rFonts w:ascii="Calibri Light" w:hAnsi="Calibri Light" w:eastAsia="Calibri" w:cs="Calibri Light"/>
      <w:spacing w:val="-10"/>
      <w:sz w:val="20"/>
      <w:szCs w:val="20"/>
      <w:lang w:val="en-US"/>
    </w:rPr>
  </w:style>
  <w:style w:type="paragraph" w:styleId="223">
    <w:name w:val="Основний текст 22"/>
    <w:basedOn w:val="Normal"/>
    <w:qFormat/>
    <w:pPr/>
    <w:rPr>
      <w:rFonts w:ascii="Calibri" w:hAnsi="Calibri" w:eastAsia="Calibri" w:cs="Calibri"/>
      <w:sz w:val="20"/>
      <w:szCs w:val="20"/>
      <w:lang w:val="en-US"/>
    </w:rPr>
  </w:style>
  <w:style w:type="paragraph" w:styleId="215">
    <w:name w:val="Текст у виносці2"/>
    <w:basedOn w:val="Normal"/>
    <w:qFormat/>
    <w:pPr/>
    <w:rPr>
      <w:rFonts w:ascii="Segoe UI" w:hAnsi="Segoe UI" w:eastAsia="Calibri" w:cs="Segoe UI"/>
      <w:sz w:val="20"/>
      <w:szCs w:val="20"/>
      <w:lang w:val="en-US"/>
    </w:rPr>
  </w:style>
  <w:style w:type="paragraph" w:styleId="143">
    <w:name w:val="Основной текст с отступом143"/>
    <w:basedOn w:val="Normal"/>
    <w:qFormat/>
    <w:pPr>
      <w:ind w:firstLine="708"/>
      <w:jc w:val="both"/>
    </w:pPr>
    <w:rPr>
      <w:rFonts w:ascii="Arial" w:hAnsi="Arial" w:cs="Arial"/>
      <w:b/>
      <w:sz w:val="18"/>
      <w:szCs w:val="20"/>
      <w:lang w:val="en-US"/>
    </w:rPr>
  </w:style>
  <w:style w:type="paragraph" w:styleId="144">
    <w:name w:val="Основной текст с отступом144"/>
    <w:basedOn w:val="Normal"/>
    <w:qFormat/>
    <w:pPr>
      <w:ind w:firstLine="708"/>
      <w:jc w:val="both"/>
    </w:pPr>
    <w:rPr>
      <w:rFonts w:ascii="Arial" w:hAnsi="Arial" w:cs="Arial"/>
      <w:b/>
      <w:sz w:val="18"/>
      <w:szCs w:val="20"/>
      <w:lang w:val="en-US"/>
    </w:rPr>
  </w:style>
  <w:style w:type="paragraph" w:styleId="145">
    <w:name w:val="Основной текст с отступом145"/>
    <w:basedOn w:val="Normal"/>
    <w:qFormat/>
    <w:pPr>
      <w:ind w:firstLine="708"/>
      <w:jc w:val="both"/>
    </w:pPr>
    <w:rPr>
      <w:rFonts w:ascii="Arial" w:hAnsi="Arial" w:cs="Arial"/>
      <w:b/>
      <w:sz w:val="18"/>
      <w:szCs w:val="20"/>
      <w:lang w:val="en-US"/>
    </w:rPr>
  </w:style>
  <w:style w:type="paragraph" w:styleId="147">
    <w:name w:val="Основной текст с отступом147"/>
    <w:basedOn w:val="Normal"/>
    <w:qFormat/>
    <w:pPr>
      <w:ind w:firstLine="708"/>
      <w:jc w:val="both"/>
    </w:pPr>
    <w:rPr>
      <w:rFonts w:ascii="Arial" w:hAnsi="Arial" w:cs="Arial"/>
      <w:b/>
      <w:sz w:val="18"/>
      <w:szCs w:val="20"/>
      <w:lang w:val="en-US"/>
    </w:rPr>
  </w:style>
  <w:style w:type="paragraph" w:styleId="148">
    <w:name w:val="Основной текст с отступом148"/>
    <w:basedOn w:val="Normal"/>
    <w:qFormat/>
    <w:pPr>
      <w:ind w:firstLine="708"/>
      <w:jc w:val="both"/>
    </w:pPr>
    <w:rPr>
      <w:rFonts w:ascii="Arial" w:hAnsi="Arial" w:cs="Arial"/>
      <w:b/>
      <w:sz w:val="18"/>
      <w:szCs w:val="20"/>
      <w:lang w:val="en-US"/>
    </w:rPr>
  </w:style>
  <w:style w:type="paragraph" w:styleId="149">
    <w:name w:val="Основной текст с отступом149"/>
    <w:basedOn w:val="Normal"/>
    <w:qFormat/>
    <w:pPr>
      <w:ind w:firstLine="708"/>
      <w:jc w:val="both"/>
    </w:pPr>
    <w:rPr>
      <w:rFonts w:ascii="Arial" w:hAnsi="Arial" w:cs="Arial"/>
      <w:b/>
      <w:sz w:val="18"/>
      <w:szCs w:val="20"/>
      <w:lang w:val="en-US"/>
    </w:rPr>
  </w:style>
  <w:style w:type="paragraph" w:styleId="Arial94">
    <w:name w:val="Стиль Arial9(жирн) + не полужирный"/>
    <w:basedOn w:val="Normal"/>
    <w:qFormat/>
    <w:pPr>
      <w:keepNext w:val="true"/>
      <w:tabs>
        <w:tab w:val="left" w:pos="210" w:leader="none"/>
      </w:tabs>
      <w:autoSpaceDE w:val="false"/>
      <w:spacing w:before="120" w:after="0"/>
    </w:pPr>
    <w:rPr>
      <w:rFonts w:ascii="Arial" w:hAnsi="Arial" w:eastAsia="Calibri" w:cs="Arial"/>
      <w:b/>
      <w:sz w:val="18"/>
      <w:szCs w:val="20"/>
      <w:lang w:val="en-US"/>
    </w:rPr>
  </w:style>
  <w:style w:type="paragraph" w:styleId="150">
    <w:name w:val="Основной текст с отступом150"/>
    <w:basedOn w:val="Normal"/>
    <w:qFormat/>
    <w:pPr>
      <w:ind w:firstLine="708"/>
      <w:jc w:val="both"/>
    </w:pPr>
    <w:rPr>
      <w:rFonts w:ascii="Arial" w:hAnsi="Arial" w:cs="Arial"/>
      <w:b/>
      <w:sz w:val="18"/>
      <w:szCs w:val="20"/>
      <w:lang w:val="en-US"/>
    </w:rPr>
  </w:style>
  <w:style w:type="paragraph" w:styleId="156">
    <w:name w:val="Основной текст с отступом156"/>
    <w:basedOn w:val="Normal"/>
    <w:qFormat/>
    <w:pPr>
      <w:ind w:firstLine="708"/>
      <w:jc w:val="both"/>
    </w:pPr>
    <w:rPr>
      <w:rFonts w:ascii="Arial" w:hAnsi="Arial" w:cs="Arial"/>
      <w:b/>
      <w:sz w:val="18"/>
      <w:szCs w:val="20"/>
      <w:lang w:val="en-US"/>
    </w:rPr>
  </w:style>
  <w:style w:type="paragraph" w:styleId="157">
    <w:name w:val="Основной текст с отступом157"/>
    <w:basedOn w:val="Normal"/>
    <w:qFormat/>
    <w:pPr>
      <w:ind w:firstLine="708"/>
      <w:jc w:val="both"/>
    </w:pPr>
    <w:rPr>
      <w:rFonts w:ascii="Arial" w:hAnsi="Arial" w:cs="Arial"/>
      <w:b/>
      <w:sz w:val="18"/>
      <w:szCs w:val="20"/>
      <w:lang w:val="en-US"/>
    </w:rPr>
  </w:style>
  <w:style w:type="paragraph" w:styleId="162">
    <w:name w:val="Основной текст с отступом162"/>
    <w:basedOn w:val="Normal"/>
    <w:qFormat/>
    <w:pPr>
      <w:ind w:firstLine="708"/>
      <w:jc w:val="both"/>
    </w:pPr>
    <w:rPr>
      <w:rFonts w:ascii="Arial" w:hAnsi="Arial" w:cs="Arial"/>
      <w:b/>
      <w:sz w:val="18"/>
      <w:szCs w:val="20"/>
      <w:lang w:val="en-US"/>
    </w:rPr>
  </w:style>
  <w:style w:type="paragraph" w:styleId="163">
    <w:name w:val="Основной текст с отступом163"/>
    <w:basedOn w:val="Normal"/>
    <w:qFormat/>
    <w:pPr>
      <w:ind w:firstLine="708"/>
      <w:jc w:val="both"/>
    </w:pPr>
    <w:rPr>
      <w:rFonts w:ascii="Arial" w:hAnsi="Arial" w:cs="Arial"/>
      <w:b/>
      <w:sz w:val="18"/>
      <w:szCs w:val="20"/>
      <w:lang w:val="en-US"/>
    </w:rPr>
  </w:style>
  <w:style w:type="paragraph" w:styleId="165">
    <w:name w:val="Основной текст с отступом165"/>
    <w:basedOn w:val="Normal"/>
    <w:qFormat/>
    <w:pPr>
      <w:ind w:firstLine="708"/>
      <w:jc w:val="both"/>
    </w:pPr>
    <w:rPr>
      <w:rFonts w:ascii="Arial" w:hAnsi="Arial" w:cs="Arial"/>
      <w:b/>
      <w:sz w:val="18"/>
      <w:szCs w:val="20"/>
      <w:lang w:val="en-US"/>
    </w:rPr>
  </w:style>
  <w:style w:type="paragraph" w:styleId="168">
    <w:name w:val="Основной текст с отступом168"/>
    <w:basedOn w:val="Normal"/>
    <w:qFormat/>
    <w:pPr>
      <w:ind w:firstLine="708"/>
      <w:jc w:val="both"/>
    </w:pPr>
    <w:rPr>
      <w:rFonts w:ascii="Arial" w:hAnsi="Arial" w:cs="Arial"/>
      <w:b/>
      <w:sz w:val="18"/>
      <w:szCs w:val="20"/>
      <w:lang w:val="en-US"/>
    </w:rPr>
  </w:style>
  <w:style w:type="paragraph" w:styleId="169">
    <w:name w:val="Основной текст с отступом169"/>
    <w:basedOn w:val="Normal"/>
    <w:qFormat/>
    <w:pPr>
      <w:ind w:firstLine="708"/>
      <w:jc w:val="both"/>
    </w:pPr>
    <w:rPr>
      <w:rFonts w:ascii="Arial" w:hAnsi="Arial" w:cs="Arial"/>
      <w:b/>
      <w:sz w:val="18"/>
      <w:szCs w:val="20"/>
      <w:lang w:val="en-US"/>
    </w:rPr>
  </w:style>
  <w:style w:type="paragraph" w:styleId="170">
    <w:name w:val="Основной текст с отступом170"/>
    <w:basedOn w:val="Normal"/>
    <w:qFormat/>
    <w:pPr>
      <w:ind w:firstLine="708"/>
      <w:jc w:val="both"/>
    </w:pPr>
    <w:rPr>
      <w:rFonts w:ascii="Arial" w:hAnsi="Arial" w:cs="Arial"/>
      <w:b/>
      <w:sz w:val="18"/>
      <w:szCs w:val="20"/>
      <w:lang w:val="en-US"/>
    </w:rPr>
  </w:style>
  <w:style w:type="paragraph" w:styleId="171">
    <w:name w:val="Основной текст с отступом171"/>
    <w:basedOn w:val="Normal"/>
    <w:qFormat/>
    <w:pPr>
      <w:ind w:firstLine="708"/>
      <w:jc w:val="both"/>
    </w:pPr>
    <w:rPr>
      <w:rFonts w:ascii="Arial" w:hAnsi="Arial" w:cs="Arial"/>
      <w:b/>
      <w:sz w:val="18"/>
      <w:szCs w:val="20"/>
      <w:lang w:val="en-US"/>
    </w:rPr>
  </w:style>
  <w:style w:type="paragraph" w:styleId="172">
    <w:name w:val="Основной текст с отступом172"/>
    <w:basedOn w:val="Normal"/>
    <w:qFormat/>
    <w:pPr>
      <w:ind w:firstLine="708"/>
      <w:jc w:val="both"/>
    </w:pPr>
    <w:rPr>
      <w:rFonts w:ascii="Arial" w:hAnsi="Arial" w:cs="Arial"/>
      <w:b/>
      <w:sz w:val="18"/>
      <w:szCs w:val="20"/>
      <w:lang w:val="en-US"/>
    </w:rPr>
  </w:style>
  <w:style w:type="paragraph" w:styleId="173">
    <w:name w:val="Основной текст с отступом173"/>
    <w:basedOn w:val="Normal"/>
    <w:qFormat/>
    <w:pPr>
      <w:ind w:firstLine="708"/>
      <w:jc w:val="both"/>
    </w:pPr>
    <w:rPr>
      <w:rFonts w:ascii="Arial" w:hAnsi="Arial" w:cs="Arial"/>
      <w:b/>
      <w:sz w:val="18"/>
      <w:szCs w:val="20"/>
      <w:lang w:val="en-US"/>
    </w:rPr>
  </w:style>
  <w:style w:type="paragraph" w:styleId="174">
    <w:name w:val="Основной текст с отступом174"/>
    <w:basedOn w:val="Normal"/>
    <w:qFormat/>
    <w:pPr>
      <w:ind w:firstLine="708"/>
      <w:jc w:val="both"/>
    </w:pPr>
    <w:rPr>
      <w:rFonts w:ascii="Arial" w:hAnsi="Arial" w:cs="Arial"/>
      <w:b/>
      <w:sz w:val="18"/>
      <w:szCs w:val="20"/>
      <w:lang w:val="en-US"/>
    </w:rPr>
  </w:style>
  <w:style w:type="paragraph" w:styleId="175">
    <w:name w:val="Основной текст с отступом175"/>
    <w:basedOn w:val="Normal"/>
    <w:qFormat/>
    <w:pPr>
      <w:ind w:firstLine="708"/>
      <w:jc w:val="both"/>
    </w:pPr>
    <w:rPr>
      <w:rFonts w:ascii="Arial" w:hAnsi="Arial" w:cs="Arial"/>
      <w:b/>
      <w:sz w:val="18"/>
      <w:szCs w:val="20"/>
      <w:lang w:val="en-US"/>
    </w:rPr>
  </w:style>
  <w:style w:type="paragraph" w:styleId="176">
    <w:name w:val="Основной текст с отступом176"/>
    <w:basedOn w:val="Normal"/>
    <w:qFormat/>
    <w:pPr>
      <w:ind w:firstLine="708"/>
      <w:jc w:val="both"/>
    </w:pPr>
    <w:rPr>
      <w:rFonts w:ascii="Arial" w:hAnsi="Arial" w:cs="Arial"/>
      <w:b/>
      <w:sz w:val="18"/>
      <w:szCs w:val="20"/>
      <w:lang w:val="en-US"/>
    </w:rPr>
  </w:style>
  <w:style w:type="paragraph" w:styleId="177">
    <w:name w:val="Основной текст с отступом177"/>
    <w:basedOn w:val="Normal"/>
    <w:qFormat/>
    <w:pPr>
      <w:ind w:firstLine="708"/>
      <w:jc w:val="both"/>
    </w:pPr>
    <w:rPr>
      <w:rFonts w:ascii="Arial" w:hAnsi="Arial" w:cs="Arial"/>
      <w:b/>
      <w:sz w:val="18"/>
      <w:szCs w:val="20"/>
      <w:lang w:val="en-US"/>
    </w:rPr>
  </w:style>
  <w:style w:type="paragraph" w:styleId="178">
    <w:name w:val="Основной текст с отступом178"/>
    <w:basedOn w:val="Normal"/>
    <w:qFormat/>
    <w:pPr>
      <w:ind w:firstLine="708"/>
      <w:jc w:val="both"/>
    </w:pPr>
    <w:rPr>
      <w:rFonts w:ascii="Arial" w:hAnsi="Arial" w:cs="Arial"/>
      <w:b/>
      <w:sz w:val="18"/>
      <w:szCs w:val="20"/>
      <w:lang w:val="en-US"/>
    </w:rPr>
  </w:style>
  <w:style w:type="paragraph" w:styleId="179">
    <w:name w:val="Основной текст с отступом179"/>
    <w:basedOn w:val="Normal"/>
    <w:qFormat/>
    <w:pPr>
      <w:ind w:firstLine="708"/>
      <w:jc w:val="both"/>
    </w:pPr>
    <w:rPr>
      <w:rFonts w:ascii="Arial" w:hAnsi="Arial" w:cs="Arial"/>
      <w:b/>
      <w:sz w:val="18"/>
      <w:szCs w:val="20"/>
      <w:lang w:val="en-US"/>
    </w:rPr>
  </w:style>
  <w:style w:type="paragraph" w:styleId="180">
    <w:name w:val="Основной текст с отступом180"/>
    <w:basedOn w:val="Normal"/>
    <w:qFormat/>
    <w:pPr>
      <w:ind w:firstLine="708"/>
      <w:jc w:val="both"/>
    </w:pPr>
    <w:rPr>
      <w:rFonts w:ascii="Arial" w:hAnsi="Arial" w:cs="Arial"/>
      <w:b/>
      <w:sz w:val="18"/>
      <w:szCs w:val="20"/>
      <w:lang w:val="en-US"/>
    </w:rPr>
  </w:style>
  <w:style w:type="paragraph" w:styleId="181">
    <w:name w:val="Основной текст с отступом181"/>
    <w:basedOn w:val="Normal"/>
    <w:qFormat/>
    <w:pPr>
      <w:ind w:firstLine="708"/>
      <w:jc w:val="both"/>
    </w:pPr>
    <w:rPr>
      <w:rFonts w:ascii="Arial" w:hAnsi="Arial" w:cs="Arial"/>
      <w:b/>
      <w:sz w:val="18"/>
      <w:szCs w:val="20"/>
      <w:lang w:val="en-US"/>
    </w:rPr>
  </w:style>
  <w:style w:type="paragraph" w:styleId="182">
    <w:name w:val="Основной текст с отступом182"/>
    <w:basedOn w:val="Normal"/>
    <w:qFormat/>
    <w:pPr>
      <w:ind w:firstLine="708"/>
      <w:jc w:val="both"/>
    </w:pPr>
    <w:rPr>
      <w:rFonts w:ascii="Arial" w:hAnsi="Arial" w:cs="Arial"/>
      <w:b/>
      <w:sz w:val="18"/>
      <w:szCs w:val="20"/>
      <w:lang w:val="en-US"/>
    </w:rPr>
  </w:style>
  <w:style w:type="paragraph" w:styleId="123">
    <w:name w:val="Верхній колонтитул1"/>
    <w:basedOn w:val="Normal"/>
    <w:qFormat/>
    <w:pPr/>
    <w:rPr>
      <w:rFonts w:ascii="Calibri" w:hAnsi="Calibri" w:eastAsia="Calibri" w:cs="Calibri"/>
      <w:sz w:val="20"/>
      <w:szCs w:val="20"/>
      <w:lang w:val="en-US"/>
    </w:rPr>
  </w:style>
  <w:style w:type="paragraph" w:styleId="134">
    <w:name w:val="Нижній колонтитул1"/>
    <w:basedOn w:val="Normal"/>
    <w:qFormat/>
    <w:pPr/>
    <w:rPr>
      <w:rFonts w:ascii="Calibri" w:hAnsi="Calibri" w:eastAsia="Calibri" w:cs="Calibri"/>
      <w:sz w:val="20"/>
      <w:szCs w:val="20"/>
      <w:lang w:val="en-US"/>
    </w:rPr>
  </w:style>
  <w:style w:type="paragraph" w:styleId="146">
    <w:name w:val="Назва1"/>
    <w:basedOn w:val="Normal"/>
    <w:qFormat/>
    <w:pPr/>
    <w:rPr>
      <w:rFonts w:ascii="Calibri Light" w:hAnsi="Calibri Light" w:eastAsia="Calibri" w:cs="Calibri Light"/>
      <w:spacing w:val="-10"/>
      <w:sz w:val="20"/>
      <w:szCs w:val="20"/>
      <w:lang w:val="en-US"/>
    </w:rPr>
  </w:style>
  <w:style w:type="paragraph" w:styleId="216">
    <w:name w:val="Основний текст 21"/>
    <w:basedOn w:val="Normal"/>
    <w:qFormat/>
    <w:pPr/>
    <w:rPr>
      <w:rFonts w:ascii="Calibri" w:hAnsi="Calibri" w:eastAsia="Calibri" w:cs="Calibri"/>
      <w:sz w:val="20"/>
      <w:szCs w:val="20"/>
      <w:lang w:val="en-US"/>
    </w:rPr>
  </w:style>
  <w:style w:type="paragraph" w:styleId="151">
    <w:name w:val="Текст у виносці1"/>
    <w:basedOn w:val="Normal"/>
    <w:qFormat/>
    <w:pPr/>
    <w:rPr>
      <w:rFonts w:ascii="Segoe UI" w:hAnsi="Segoe UI" w:eastAsia="Calibri" w:cs="Segoe UI"/>
      <w:sz w:val="20"/>
      <w:szCs w:val="20"/>
      <w:lang w:val="en-US"/>
    </w:rPr>
  </w:style>
  <w:style w:type="paragraph" w:styleId="164">
    <w:name w:val="Основной текст с отступом164"/>
    <w:basedOn w:val="Normal"/>
    <w:qFormat/>
    <w:pPr>
      <w:ind w:firstLine="708"/>
      <w:jc w:val="both"/>
    </w:pPr>
    <w:rPr>
      <w:rFonts w:ascii="Arial" w:hAnsi="Arial" w:cs="Arial"/>
      <w:b/>
      <w:sz w:val="18"/>
      <w:szCs w:val="20"/>
      <w:lang w:val="en-US"/>
    </w:rPr>
  </w:style>
  <w:style w:type="paragraph" w:styleId="Arial95">
    <w:name w:val="arial9(жирнбез интерв)"/>
    <w:basedOn w:val="Normal"/>
    <w:qFormat/>
    <w:pPr/>
    <w:rPr>
      <w:rFonts w:ascii="Arial" w:hAnsi="Arial" w:eastAsia="Calibri" w:cs="Arial"/>
      <w:b/>
      <w:sz w:val="18"/>
      <w:szCs w:val="20"/>
      <w:lang w:val="ru-RU"/>
    </w:rPr>
  </w:style>
  <w:style w:type="paragraph" w:styleId="203">
    <w:name w:val="Основной текст с отступом203"/>
    <w:basedOn w:val="Normal"/>
    <w:qFormat/>
    <w:pPr>
      <w:ind w:firstLine="708"/>
      <w:jc w:val="both"/>
    </w:pPr>
    <w:rPr>
      <w:rFonts w:ascii="Arial" w:hAnsi="Arial" w:cs="Arial"/>
      <w:b/>
      <w:sz w:val="18"/>
      <w:szCs w:val="20"/>
      <w:lang w:val="en-US"/>
    </w:rPr>
  </w:style>
  <w:style w:type="paragraph" w:styleId="204">
    <w:name w:val="Основной текст с отступом204"/>
    <w:basedOn w:val="Normal"/>
    <w:qFormat/>
    <w:pPr>
      <w:ind w:firstLine="708"/>
      <w:jc w:val="both"/>
    </w:pPr>
    <w:rPr>
      <w:rFonts w:ascii="Arial" w:hAnsi="Arial" w:cs="Arial"/>
      <w:b/>
      <w:sz w:val="18"/>
      <w:szCs w:val="20"/>
      <w:lang w:val="en-US"/>
    </w:rPr>
  </w:style>
  <w:style w:type="paragraph" w:styleId="217">
    <w:name w:val="Основний текст з відступом2"/>
    <w:basedOn w:val="Normal"/>
    <w:qFormat/>
    <w:pPr>
      <w:ind w:firstLine="708"/>
      <w:jc w:val="both"/>
    </w:pPr>
    <w:rPr>
      <w:rFonts w:ascii="Arial" w:hAnsi="Arial" w:cs="Arial"/>
      <w:b/>
      <w:sz w:val="18"/>
      <w:szCs w:val="20"/>
      <w:lang w:val="en-US"/>
    </w:rPr>
  </w:style>
  <w:style w:type="paragraph" w:styleId="152">
    <w:name w:val="Основний текст з відступом1"/>
    <w:basedOn w:val="Normal"/>
    <w:qFormat/>
    <w:pPr>
      <w:ind w:firstLine="708"/>
      <w:jc w:val="both"/>
    </w:pPr>
    <w:rPr>
      <w:rFonts w:ascii="Arial" w:hAnsi="Arial" w:cs="Arial"/>
      <w:b/>
      <w:sz w:val="18"/>
      <w:szCs w:val="20"/>
      <w:lang w:val="en-US"/>
    </w:rPr>
  </w:style>
  <w:style w:type="paragraph" w:styleId="207">
    <w:name w:val="Основной текст с отступом207"/>
    <w:basedOn w:val="Normal"/>
    <w:qFormat/>
    <w:pPr>
      <w:ind w:firstLine="708"/>
      <w:jc w:val="both"/>
    </w:pPr>
    <w:rPr>
      <w:rFonts w:ascii="Arial" w:hAnsi="Arial" w:cs="Arial"/>
      <w:b/>
      <w:sz w:val="18"/>
      <w:szCs w:val="20"/>
      <w:lang w:val="en-US"/>
    </w:rPr>
  </w:style>
  <w:style w:type="paragraph" w:styleId="2101">
    <w:name w:val="Основной текст с отступом210"/>
    <w:basedOn w:val="Normal"/>
    <w:qFormat/>
    <w:pPr>
      <w:ind w:firstLine="708"/>
      <w:jc w:val="both"/>
    </w:pPr>
    <w:rPr>
      <w:rFonts w:ascii="Arial" w:hAnsi="Arial" w:cs="Arial"/>
      <w:b/>
      <w:sz w:val="18"/>
      <w:szCs w:val="20"/>
      <w:lang w:val="en-US"/>
    </w:rPr>
  </w:style>
  <w:style w:type="paragraph" w:styleId="312">
    <w:name w:val="Основний текст з відступом3"/>
    <w:basedOn w:val="Normal"/>
    <w:qFormat/>
    <w:pPr>
      <w:ind w:firstLine="708"/>
      <w:jc w:val="both"/>
    </w:pPr>
    <w:rPr>
      <w:rFonts w:ascii="Arial" w:hAnsi="Arial" w:cs="Arial"/>
      <w:b/>
      <w:sz w:val="18"/>
      <w:szCs w:val="20"/>
      <w:lang w:val="en-US"/>
    </w:rPr>
  </w:style>
  <w:style w:type="paragraph" w:styleId="2171">
    <w:name w:val="Основной текст с отступом217"/>
    <w:basedOn w:val="Normal"/>
    <w:qFormat/>
    <w:pPr>
      <w:ind w:firstLine="708"/>
      <w:jc w:val="both"/>
    </w:pPr>
    <w:rPr>
      <w:rFonts w:ascii="Arial" w:hAnsi="Arial" w:cs="Arial"/>
      <w:b/>
      <w:sz w:val="18"/>
      <w:szCs w:val="20"/>
      <w:lang w:val="en-US"/>
    </w:rPr>
  </w:style>
  <w:style w:type="paragraph" w:styleId="218">
    <w:name w:val="Основной текст с отступом218"/>
    <w:basedOn w:val="Normal"/>
    <w:qFormat/>
    <w:pPr>
      <w:ind w:firstLine="708"/>
      <w:jc w:val="both"/>
    </w:pPr>
    <w:rPr>
      <w:rFonts w:ascii="Arial" w:hAnsi="Arial" w:cs="Arial"/>
      <w:b/>
      <w:sz w:val="18"/>
      <w:szCs w:val="20"/>
      <w:lang w:val="en-US"/>
    </w:rPr>
  </w:style>
  <w:style w:type="paragraph" w:styleId="219">
    <w:name w:val="Основной текст с отступом219"/>
    <w:basedOn w:val="Normal"/>
    <w:qFormat/>
    <w:pPr>
      <w:ind w:firstLine="708"/>
      <w:jc w:val="both"/>
    </w:pPr>
    <w:rPr>
      <w:rFonts w:ascii="Arial" w:hAnsi="Arial" w:cs="Arial"/>
      <w:b/>
      <w:sz w:val="18"/>
      <w:szCs w:val="20"/>
      <w:lang w:val="en-US"/>
    </w:rPr>
  </w:style>
  <w:style w:type="paragraph" w:styleId="220">
    <w:name w:val="Основной текст с отступом220"/>
    <w:basedOn w:val="Normal"/>
    <w:qFormat/>
    <w:pPr>
      <w:ind w:firstLine="708"/>
      <w:jc w:val="both"/>
    </w:pPr>
    <w:rPr>
      <w:rFonts w:ascii="Arial" w:hAnsi="Arial" w:cs="Arial"/>
      <w:b/>
      <w:sz w:val="18"/>
      <w:szCs w:val="20"/>
      <w:lang w:val="en-US"/>
    </w:rPr>
  </w:style>
  <w:style w:type="paragraph" w:styleId="2211">
    <w:name w:val="Основной текст с отступом221"/>
    <w:basedOn w:val="Normal"/>
    <w:qFormat/>
    <w:pPr>
      <w:ind w:firstLine="708"/>
      <w:jc w:val="both"/>
    </w:pPr>
    <w:rPr>
      <w:rFonts w:ascii="Arial" w:hAnsi="Arial" w:cs="Arial"/>
      <w:b/>
      <w:sz w:val="18"/>
      <w:szCs w:val="20"/>
      <w:lang w:val="en-US"/>
    </w:rPr>
  </w:style>
  <w:style w:type="paragraph" w:styleId="TableContents">
    <w:name w:val="Table Contents"/>
    <w:basedOn w:val="Normal"/>
    <w:qFormat/>
    <w:pPr>
      <w:suppressLineNumbers/>
    </w:pPr>
    <w:rPr/>
  </w:style>
  <w:style w:type="paragraph" w:styleId="TableHeading">
    <w:name w:val="Table Heading"/>
    <w:basedOn w:val="TableContents"/>
    <w:qFormat/>
    <w:pPr>
      <w:suppressLineNumbers/>
      <w:jc w:val="center"/>
    </w:pPr>
    <w:rPr>
      <w:b/>
      <w:bCs/>
    </w:rPr>
  </w:style>
  <w:style w:type="numbering" w:styleId="WW8Num1">
    <w:name w:val="WW8Num1"/>
    <w:qFormat/>
  </w:style>
  <w:style w:type="numbering" w:styleId="WW8Num2">
    <w:name w:val="WW8Num2"/>
    <w:qFormat/>
  </w:style>
  <w:style w:type="numbering" w:styleId="WW8Num3">
    <w:name w:val="WW8Num3"/>
    <w:qFormat/>
  </w:style>
  <w:style w:type="numbering" w:styleId="WW8Num4">
    <w:name w:val="WW8Num4"/>
    <w:qFormat/>
  </w:style>
  <w:style w:type="numbering" w:styleId="WW8Num5">
    <w:name w:val="WW8Num5"/>
    <w:qFormat/>
  </w:style>
  <w:style w:type="numbering" w:styleId="WW8Num6">
    <w:name w:val="WW8Num6"/>
    <w:qFormat/>
  </w:style>
  <w:style w:type="numbering" w:styleId="WW8Num7">
    <w:name w:val="WW8Num7"/>
    <w:qFormat/>
  </w:style>
  <w:style w:type="numbering" w:styleId="WW8Num8">
    <w:name w:val="WW8Num8"/>
    <w:qFormat/>
  </w:style>
  <w:style w:type="numbering" w:styleId="WW8Num9">
    <w:name w:val="WW8Num9"/>
    <w:qFormat/>
  </w:style>
  <w:style w:type="numbering" w:styleId="WW8Num10">
    <w:name w:val="WW8Num10"/>
    <w:qFormat/>
  </w:style>
  <w:style w:type="numbering" w:styleId="WW8Num11">
    <w:name w:val="WW8Num11"/>
    <w:qFormat/>
  </w:style>
  <w:style w:type="numbering" w:styleId="WW8Num12">
    <w:name w:val="WW8Num12"/>
    <w:qFormat/>
  </w:style>
  <w:style w:type="numbering" w:styleId="WW8Num13">
    <w:name w:val="WW8Num13"/>
    <w:qFormat/>
  </w:style>
  <w:style w:type="numbering" w:styleId="WW8Num14">
    <w:name w:val="WW8Num14"/>
    <w:qFormat/>
  </w:style>
  <w:style w:type="numbering" w:styleId="WW8Num15">
    <w:name w:val="WW8Num15"/>
    <w:qFormat/>
  </w:style>
  <w:style w:type="numbering" w:styleId="WW8Num16">
    <w:name w:val="WW8Num16"/>
    <w:qFormat/>
  </w:style>
  <w:style w:type="numbering" w:styleId="WW8Num17">
    <w:name w:val="WW8Num17"/>
    <w:qFormat/>
  </w:style>
  <w:style w:type="numbering" w:styleId="WW8Num18">
    <w:name w:val="WW8Num18"/>
    <w:qFormat/>
  </w:style>
  <w:style w:type="numbering" w:styleId="WW8Num19">
    <w:name w:val="WW8Num19"/>
    <w:qFormat/>
  </w:style>
  <w:style w:type="numbering" w:styleId="WW8Num20">
    <w:name w:val="WW8Num20"/>
    <w:qFormat/>
  </w:style>
  <w:style w:type="numbering" w:styleId="WW8Num21">
    <w:name w:val="WW8Num21"/>
    <w:qFormat/>
  </w:style>
  <w:style w:type="numbering" w:styleId="WW8Num22">
    <w:name w:val="WW8Num22"/>
    <w:qFormat/>
  </w:style>
  <w:style w:type="numbering" w:styleId="WW8Num23">
    <w:name w:val="WW8Num23"/>
    <w:qFormat/>
  </w:style>
  <w:style w:type="numbering" w:styleId="WW8Num24">
    <w:name w:val="WW8Num24"/>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whocc.no/atc_ddd_index/" TargetMode="External"/><Relationship Id="rId3" Type="http://schemas.openxmlformats.org/officeDocument/2006/relationships/hyperlink" Target="https://www.whocc.no/atc_ddd_index/" TargetMode="External"/><Relationship Id="rId4" Type="http://schemas.openxmlformats.org/officeDocument/2006/relationships/hyperlink" Target="https://www.whocc.no/atc_ddd_index/" TargetMode="Externa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header" Target="head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72</TotalTime>
  <Application>LibreOffice/5.3.6.1$Linux_X86_64 LibreOffice_project/30$Build-1</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2026-08-18T16:28:00Z</dcterms:created>
  <dc:creator>Vitaliya</dc:creator>
  <dc:description/>
  <dc:language>ru-RU</dc:language>
  <cp:lastModifiedBy>Пермінова Тетяна Миколаївна</cp:lastModifiedBy>
  <cp:lastPrinted>2021-12-06T14:34:00Z</cp:lastPrinted>
  <dcterms:modified xsi:type="dcterms:W3CDTF">2026-08-19T08:30:00Z</dcterms:modified>
  <cp:revision>9</cp:revision>
  <dc:subject/>
  <dc:title/>
</cp:coreProperties>
</file>