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4.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4.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20"/>
        <w:jc w:val="center"/>
        <w:rPr>
          <w:rFonts w:ascii="Times New Roman CYR" w:hAnsi="Times New Roman CYR" w:cs="Times New Roman CYR"/>
          <w:lang w:val="uk-UA"/>
        </w:rPr>
      </w:pPr>
      <w:r>
        <w:rPr>
          <w:rFonts w:cs="Times New Roman CYR" w:ascii="Times New Roman CYR" w:hAnsi="Times New Roman CYR"/>
          <w:lang w:val="uk-UA" w:eastAsia="ru-RU"/>
        </w:rPr>
        <w:drawing>
          <wp:inline distT="0" distB="0" distL="0" distR="0">
            <wp:extent cx="403225" cy="56451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89" t="-64" r="-89" b="-64"/>
                    <a:stretch>
                      <a:fillRect/>
                    </a:stretch>
                  </pic:blipFill>
                  <pic:spPr bwMode="auto">
                    <a:xfrm>
                      <a:off x="0" y="0"/>
                      <a:ext cx="403225" cy="564515"/>
                    </a:xfrm>
                    <a:prstGeom prst="rect">
                      <a:avLst/>
                    </a:prstGeom>
                  </pic:spPr>
                </pic:pic>
              </a:graphicData>
            </a:graphic>
          </wp:inline>
        </w:drawing>
      </w:r>
    </w:p>
    <w:p>
      <w:pPr>
        <w:pStyle w:val="Normal"/>
        <w:numPr>
          <w:ilvl w:val="0"/>
          <w:numId w:val="0"/>
        </w:numPr>
        <w:jc w:val="center"/>
        <w:outlineLvl w:val="0"/>
        <w:rPr>
          <w:b/>
          <w:b/>
          <w:sz w:val="32"/>
          <w:szCs w:val="32"/>
          <w:lang w:val="uk-UA"/>
        </w:rPr>
      </w:pPr>
      <w:r>
        <w:rPr>
          <w:b/>
          <w:sz w:val="32"/>
          <w:szCs w:val="32"/>
          <w:lang w:val="uk-UA"/>
        </w:rPr>
        <w:t>МІНІСТЕРСТВО ОХОРОНИ ЗДОРОВ’Я УКРАЇНИ</w:t>
      </w:r>
    </w:p>
    <w:p>
      <w:pPr>
        <w:pStyle w:val="Normal"/>
        <w:rPr>
          <w:b/>
          <w:b/>
          <w:sz w:val="32"/>
          <w:szCs w:val="32"/>
          <w:lang w:val="uk-UA"/>
        </w:rPr>
      </w:pPr>
      <w:r>
        <w:rPr>
          <w:b/>
          <w:sz w:val="32"/>
          <w:szCs w:val="32"/>
          <w:lang w:val="uk-UA"/>
        </w:rPr>
      </w:r>
    </w:p>
    <w:p>
      <w:pPr>
        <w:pStyle w:val="Normal"/>
        <w:numPr>
          <w:ilvl w:val="0"/>
          <w:numId w:val="0"/>
        </w:numPr>
        <w:jc w:val="center"/>
        <w:outlineLvl w:val="0"/>
        <w:rPr>
          <w:b/>
          <w:b/>
          <w:spacing w:val="60"/>
          <w:sz w:val="30"/>
          <w:szCs w:val="30"/>
          <w:lang w:val="uk-UA"/>
        </w:rPr>
      </w:pPr>
      <w:r>
        <w:rPr>
          <w:b/>
          <w:spacing w:val="60"/>
          <w:sz w:val="30"/>
          <w:szCs w:val="30"/>
          <w:lang w:val="uk-UA"/>
        </w:rPr>
        <w:t>НАКАЗ</w:t>
      </w:r>
    </w:p>
    <w:p>
      <w:pPr>
        <w:pStyle w:val="Normal"/>
        <w:rPr>
          <w:b/>
          <w:b/>
          <w:spacing w:val="60"/>
          <w:sz w:val="30"/>
          <w:szCs w:val="30"/>
          <w:lang w:val="uk-UA"/>
        </w:rPr>
      </w:pPr>
      <w:r>
        <w:rPr>
          <w:b/>
          <w:spacing w:val="60"/>
          <w:sz w:val="30"/>
          <w:szCs w:val="30"/>
          <w:lang w:val="uk-UA"/>
        </w:rPr>
      </w:r>
    </w:p>
    <w:tbl>
      <w:tblPr>
        <w:tblW w:w="10183" w:type="dxa"/>
        <w:jc w:val="left"/>
        <w:tblInd w:w="-72" w:type="dxa"/>
        <w:tblBorders/>
        <w:tblCellMar>
          <w:top w:w="0" w:type="dxa"/>
          <w:left w:w="108" w:type="dxa"/>
          <w:bottom w:w="0" w:type="dxa"/>
          <w:right w:w="108" w:type="dxa"/>
        </w:tblCellMar>
      </w:tblPr>
      <w:tblGrid>
        <w:gridCol w:w="3271"/>
        <w:gridCol w:w="2129"/>
        <w:gridCol w:w="4783"/>
      </w:tblGrid>
      <w:tr>
        <w:trPr/>
        <w:tc>
          <w:tcPr>
            <w:tcW w:w="3271" w:type="dxa"/>
            <w:tcBorders/>
            <w:shd w:fill="auto" w:val="clear"/>
          </w:tcPr>
          <w:p>
            <w:pPr>
              <w:pStyle w:val="Normal"/>
              <w:snapToGrid w:val="false"/>
              <w:rPr>
                <w:sz w:val="28"/>
                <w:szCs w:val="28"/>
                <w:lang w:val="uk-UA"/>
              </w:rPr>
            </w:pPr>
            <w:r>
              <w:rPr>
                <w:sz w:val="28"/>
                <w:szCs w:val="28"/>
                <w:lang w:val="uk-UA"/>
              </w:rPr>
            </w:r>
          </w:p>
          <w:p>
            <w:pPr>
              <w:pStyle w:val="Normal"/>
              <w:rPr>
                <w:sz w:val="28"/>
                <w:szCs w:val="28"/>
                <w:lang w:val="uk-UA"/>
              </w:rPr>
            </w:pPr>
            <w:r>
              <w:rPr>
                <w:sz w:val="28"/>
                <w:szCs w:val="28"/>
                <w:lang w:val="uk-UA"/>
              </w:rPr>
              <w:t>13 жовтня 2026 року</w:t>
            </w:r>
          </w:p>
        </w:tc>
        <w:tc>
          <w:tcPr>
            <w:tcW w:w="2129" w:type="dxa"/>
            <w:tcBorders/>
            <w:shd w:fill="auto" w:val="clear"/>
          </w:tcPr>
          <w:p>
            <w:pPr>
              <w:pStyle w:val="Normal"/>
              <w:jc w:val="center"/>
              <w:rPr/>
            </w:pPr>
            <w:r>
              <w:rPr>
                <w:rFonts w:eastAsia="Times New Roman"/>
                <w:sz w:val="24"/>
                <w:szCs w:val="24"/>
                <w:lang w:val="uk-UA"/>
              </w:rPr>
              <w:t xml:space="preserve">                    </w:t>
            </w:r>
            <w:r>
              <w:rPr>
                <w:sz w:val="24"/>
                <w:szCs w:val="24"/>
                <w:lang w:val="uk-UA"/>
              </w:rPr>
              <w:t>Київ</w:t>
            </w:r>
          </w:p>
        </w:tc>
        <w:tc>
          <w:tcPr>
            <w:tcW w:w="4783" w:type="dxa"/>
            <w:tcBorders/>
            <w:shd w:fill="auto" w:val="clear"/>
          </w:tcPr>
          <w:p>
            <w:pPr>
              <w:pStyle w:val="Normal"/>
              <w:snapToGrid w:val="false"/>
              <w:ind w:firstLine="72"/>
              <w:jc w:val="center"/>
              <w:rPr>
                <w:sz w:val="28"/>
                <w:szCs w:val="28"/>
                <w:lang w:val="uk-UA"/>
              </w:rPr>
            </w:pPr>
            <w:r>
              <w:rPr>
                <w:sz w:val="28"/>
                <w:szCs w:val="28"/>
                <w:lang w:val="uk-UA"/>
              </w:rPr>
            </w:r>
          </w:p>
          <w:p>
            <w:pPr>
              <w:pStyle w:val="Normal"/>
              <w:ind w:firstLine="72"/>
              <w:jc w:val="center"/>
              <w:rPr>
                <w:sz w:val="28"/>
                <w:szCs w:val="28"/>
                <w:lang w:val="uk-UA"/>
              </w:rPr>
            </w:pPr>
            <w:r>
              <w:rPr>
                <w:rFonts w:eastAsia="Times New Roman"/>
                <w:sz w:val="28"/>
                <w:szCs w:val="28"/>
                <w:lang w:val="uk-UA"/>
              </w:rPr>
              <w:t xml:space="preserve">                                          </w:t>
            </w:r>
            <w:r>
              <w:rPr>
                <w:sz w:val="28"/>
                <w:szCs w:val="28"/>
                <w:lang w:val="uk-UA"/>
              </w:rPr>
              <w:t>№</w:t>
            </w:r>
            <w:r>
              <w:rPr>
                <w:rFonts w:eastAsia="Times New Roman"/>
                <w:sz w:val="28"/>
                <w:szCs w:val="28"/>
                <w:lang w:val="uk-UA"/>
              </w:rPr>
              <w:t xml:space="preserve"> </w:t>
            </w:r>
            <w:r>
              <w:rPr>
                <w:sz w:val="28"/>
                <w:szCs w:val="28"/>
                <w:lang w:val="uk-UA"/>
              </w:rPr>
              <w:t>1576</w:t>
            </w:r>
          </w:p>
          <w:p>
            <w:pPr>
              <w:pStyle w:val="Normal"/>
              <w:ind w:firstLine="72"/>
              <w:jc w:val="center"/>
              <w:rPr>
                <w:sz w:val="28"/>
                <w:szCs w:val="28"/>
                <w:lang w:val="uk-UA"/>
              </w:rPr>
            </w:pPr>
            <w:r>
              <w:rPr>
                <w:sz w:val="28"/>
                <w:szCs w:val="28"/>
                <w:lang w:val="uk-UA"/>
              </w:rPr>
            </w:r>
          </w:p>
        </w:tc>
      </w:tr>
    </w:tbl>
    <w:p>
      <w:pPr>
        <w:pStyle w:val="Normal"/>
        <w:jc w:val="both"/>
        <w:rPr>
          <w:b/>
          <w:b/>
          <w:sz w:val="28"/>
          <w:szCs w:val="28"/>
          <w:lang w:val="uk-UA"/>
        </w:rPr>
      </w:pPr>
      <w:r>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ind w:firstLine="720"/>
        <w:jc w:val="both"/>
        <w:rPr>
          <w:b/>
          <w:b/>
          <w:sz w:val="16"/>
          <w:szCs w:val="16"/>
          <w:lang w:val="uk-UA"/>
        </w:rPr>
      </w:pPr>
      <w:r>
        <w:rPr>
          <w:b/>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HTML1"/>
        <w:ind w:firstLine="720"/>
        <w:jc w:val="both"/>
        <w:rPr>
          <w:rFonts w:ascii="Times New Roman" w:hAnsi="Times New Roman" w:cs="Times New Roman"/>
          <w:sz w:val="28"/>
          <w:szCs w:val="28"/>
          <w:lang w:val="uk-UA"/>
        </w:rPr>
      </w:pPr>
      <w:r>
        <w:rPr>
          <w:rFonts w:cs="Times New Roman"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на підставі результатів експертиз реєстраційних матеріалів лікарських засобів (медичних імунобіологічних препаратів), що подані на державну реєстрацію (перереєстрацію) та внесення змін до реєстраційних матеріалів, проведених державним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лікарського засобу до державної реєстрації (перереєстрації) або внесення змін до реєстраційних матеріалів, що надійшли до Міністерства охорони здоров’я України листом державного підприємства «Державний експертний центр Міністерства охорони здоров’я України» від 05 жовтня 2026 року № 4250/22.2-26,</w:t>
      </w:r>
    </w:p>
    <w:p>
      <w:pPr>
        <w:pStyle w:val="HTML1"/>
        <w:ind w:firstLine="720"/>
        <w:jc w:val="both"/>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33"/>
        <w:ind w:left="0" w:hanging="0"/>
        <w:rPr>
          <w:b/>
          <w:b/>
          <w:bCs/>
          <w:sz w:val="28"/>
          <w:szCs w:val="28"/>
          <w:lang w:val="uk-UA"/>
        </w:rPr>
      </w:pPr>
      <w:r>
        <w:rPr>
          <w:b/>
          <w:bCs/>
          <w:sz w:val="28"/>
          <w:szCs w:val="28"/>
          <w:lang w:val="uk-UA"/>
        </w:rPr>
        <w:t>НАКАЗУЮ:</w:t>
      </w:r>
    </w:p>
    <w:p>
      <w:pPr>
        <w:pStyle w:val="33"/>
        <w:ind w:left="0" w:hanging="0"/>
        <w:rPr>
          <w:b/>
          <w:b/>
          <w:bCs/>
          <w:sz w:val="28"/>
          <w:szCs w:val="28"/>
          <w:lang w:val="uk-UA"/>
        </w:rPr>
      </w:pPr>
      <w:r>
        <w:rPr>
          <w:b/>
          <w:bCs/>
          <w:sz w:val="28"/>
          <w:szCs w:val="28"/>
          <w:lang w:val="uk-UA"/>
        </w:rPr>
      </w:r>
    </w:p>
    <w:p>
      <w:pPr>
        <w:pStyle w:val="Normal"/>
        <w:tabs>
          <w:tab w:val="left" w:pos="1080" w:leader="none"/>
        </w:tabs>
        <w:ind w:firstLine="720"/>
        <w:jc w:val="both"/>
        <w:rPr/>
      </w:pPr>
      <w:r>
        <w:rPr>
          <w:sz w:val="28"/>
          <w:szCs w:val="28"/>
          <w:lang w:val="uk-UA"/>
        </w:rPr>
        <w:t xml:space="preserve">1. Зареєструвати </w:t>
      </w:r>
      <w:r>
        <w:rPr>
          <w:sz w:val="28"/>
          <w:szCs w:val="28"/>
          <w:lang w:val="uk-UA" w:eastAsia="ru-RU"/>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1.</w:t>
      </w:r>
    </w:p>
    <w:p>
      <w:pPr>
        <w:pStyle w:val="Normal"/>
        <w:tabs>
          <w:tab w:val="left" w:pos="1080" w:leader="none"/>
        </w:tabs>
        <w:ind w:firstLine="720"/>
        <w:jc w:val="both"/>
        <w:rPr>
          <w:sz w:val="28"/>
          <w:szCs w:val="28"/>
          <w:lang w:val="uk-UA"/>
        </w:rPr>
      </w:pPr>
      <w:r>
        <w:rPr>
          <w:sz w:val="28"/>
          <w:szCs w:val="28"/>
          <w:lang w:val="uk-UA"/>
        </w:rPr>
      </w:r>
    </w:p>
    <w:p>
      <w:pPr>
        <w:pStyle w:val="Normal"/>
        <w:tabs>
          <w:tab w:val="left" w:pos="1080" w:leader="none"/>
        </w:tabs>
        <w:ind w:firstLine="720"/>
        <w:jc w:val="both"/>
        <w:rPr/>
      </w:pPr>
      <w:r>
        <w:rPr>
          <w:sz w:val="28"/>
          <w:szCs w:val="28"/>
          <w:lang w:val="uk-UA"/>
        </w:rPr>
        <w:t xml:space="preserve">2. Перереєструвати </w:t>
      </w:r>
      <w:r>
        <w:rPr>
          <w:sz w:val="28"/>
          <w:szCs w:val="28"/>
          <w:lang w:val="uk-UA" w:eastAsia="ru-RU"/>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2.</w:t>
      </w:r>
    </w:p>
    <w:p>
      <w:pPr>
        <w:pStyle w:val="Normal"/>
        <w:tabs>
          <w:tab w:val="left" w:pos="1080" w:leader="none"/>
        </w:tabs>
        <w:ind w:firstLine="720"/>
        <w:jc w:val="both"/>
        <w:rPr>
          <w:sz w:val="16"/>
          <w:szCs w:val="16"/>
          <w:lang w:val="uk-UA"/>
        </w:rPr>
      </w:pPr>
      <w:r>
        <w:rPr>
          <w:sz w:val="16"/>
          <w:szCs w:val="16"/>
          <w:lang w:val="uk-UA"/>
        </w:rPr>
      </w:r>
    </w:p>
    <w:p>
      <w:pPr>
        <w:pStyle w:val="Normal"/>
        <w:tabs>
          <w:tab w:val="left" w:pos="1080" w:leader="none"/>
        </w:tabs>
        <w:ind w:firstLine="720"/>
        <w:jc w:val="both"/>
        <w:rPr>
          <w:sz w:val="28"/>
          <w:szCs w:val="28"/>
          <w:lang w:val="uk-UA"/>
        </w:rPr>
      </w:pPr>
      <w:r>
        <w:rPr>
          <w:sz w:val="28"/>
          <w:szCs w:val="28"/>
          <w:lang w:val="uk-UA"/>
        </w:rPr>
        <w:t xml:space="preserve">3. Внести зміни до реєстраційних матеріалів на </w:t>
      </w:r>
      <w:r>
        <w:rPr>
          <w:sz w:val="28"/>
          <w:szCs w:val="28"/>
          <w:lang w:val="uk-UA" w:eastAsia="ru-RU"/>
        </w:rPr>
        <w:t>лікарські засоби</w:t>
      </w:r>
      <w:r>
        <w:rPr>
          <w:sz w:val="28"/>
          <w:szCs w:val="28"/>
          <w:lang w:val="uk-UA"/>
        </w:rPr>
        <w:t xml:space="preserve"> (медичні імунобіологічні препарати) та Державного реєстру лікарських засобів згідно з додатком 3.</w:t>
      </w:r>
    </w:p>
    <w:p>
      <w:pPr>
        <w:pStyle w:val="Normal"/>
        <w:tabs>
          <w:tab w:val="left" w:pos="1080" w:leader="none"/>
        </w:tabs>
        <w:ind w:firstLine="720"/>
        <w:jc w:val="both"/>
        <w:rPr>
          <w:sz w:val="28"/>
          <w:szCs w:val="28"/>
          <w:lang w:val="uk-UA"/>
        </w:rPr>
      </w:pPr>
      <w:r>
        <w:rPr>
          <w:rFonts w:eastAsia="Times New Roman"/>
          <w:sz w:val="28"/>
          <w:szCs w:val="28"/>
          <w:lang w:val="uk-UA"/>
        </w:rPr>
        <w:t xml:space="preserve"> </w:t>
      </w:r>
    </w:p>
    <w:p>
      <w:pPr>
        <w:pStyle w:val="Normal"/>
        <w:tabs>
          <w:tab w:val="left" w:pos="1080" w:leader="none"/>
        </w:tabs>
        <w:ind w:firstLine="720"/>
        <w:jc w:val="both"/>
        <w:rPr>
          <w:sz w:val="28"/>
          <w:szCs w:val="28"/>
          <w:lang w:val="uk-UA"/>
        </w:rPr>
      </w:pPr>
      <w:r>
        <w:rPr>
          <w:sz w:val="28"/>
          <w:szCs w:val="28"/>
          <w:lang w:val="uk-UA"/>
        </w:rPr>
        <w:t>4. Відмовити у державній реєстрації/перереєстрації лікарських засобів (медичних імунобіологічних препаратів) та внесенні змін до реєстраційних матеріалів та Державного реєстру лікарських засобів згідно з додатком 4.</w:t>
      </w:r>
    </w:p>
    <w:p>
      <w:pPr>
        <w:pStyle w:val="Normal"/>
        <w:tabs>
          <w:tab w:val="left" w:pos="1080" w:leader="none"/>
        </w:tabs>
        <w:ind w:firstLine="720"/>
        <w:jc w:val="both"/>
        <w:rPr>
          <w:sz w:val="28"/>
          <w:szCs w:val="28"/>
          <w:lang w:val="uk-UA"/>
        </w:rPr>
      </w:pPr>
      <w:r>
        <w:rPr>
          <w:sz w:val="28"/>
          <w:szCs w:val="28"/>
          <w:lang w:val="uk-UA"/>
        </w:rPr>
      </w:r>
    </w:p>
    <w:p>
      <w:pPr>
        <w:pStyle w:val="Normal"/>
        <w:tabs>
          <w:tab w:val="left" w:pos="720" w:leader="none"/>
          <w:tab w:val="left" w:pos="993" w:leader="none"/>
        </w:tabs>
        <w:ind w:firstLine="720"/>
        <w:jc w:val="both"/>
        <w:rPr>
          <w:sz w:val="28"/>
          <w:szCs w:val="28"/>
          <w:lang w:val="uk-UA"/>
        </w:rPr>
      </w:pPr>
      <w:r>
        <w:rPr>
          <w:sz w:val="28"/>
          <w:szCs w:val="28"/>
          <w:lang w:val="uk-UA"/>
        </w:rPr>
        <w:t>5. 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left" w:pos="1080" w:leader="none"/>
        </w:tabs>
        <w:ind w:firstLine="720"/>
        <w:jc w:val="both"/>
        <w:rPr>
          <w:sz w:val="28"/>
          <w:szCs w:val="28"/>
          <w:lang w:val="uk-UA"/>
        </w:rPr>
      </w:pPr>
      <w:r>
        <w:rPr>
          <w:sz w:val="28"/>
          <w:szCs w:val="28"/>
          <w:lang w:val="uk-UA"/>
        </w:rPr>
      </w:r>
    </w:p>
    <w:p>
      <w:pPr>
        <w:pStyle w:val="Normal"/>
        <w:tabs>
          <w:tab w:val="left" w:pos="720" w:leader="none"/>
          <w:tab w:val="left" w:pos="1080" w:leader="none"/>
        </w:tabs>
        <w:ind w:firstLine="720"/>
        <w:jc w:val="both"/>
        <w:rPr>
          <w:sz w:val="28"/>
          <w:szCs w:val="28"/>
          <w:lang w:val="uk-UA"/>
        </w:rPr>
      </w:pPr>
      <w:r>
        <w:rPr>
          <w:sz w:val="28"/>
          <w:szCs w:val="28"/>
          <w:lang w:val="uk-UA"/>
        </w:rPr>
        <w:t>6. Контроль за виконанням цього наказу покласти на заступника Міністра Євгенія Гончара.</w:t>
      </w:r>
    </w:p>
    <w:p>
      <w:pPr>
        <w:pStyle w:val="33"/>
        <w:spacing w:before="0" w:after="0"/>
        <w:rPr>
          <w:sz w:val="28"/>
          <w:szCs w:val="28"/>
          <w:lang w:val="uk-UA"/>
        </w:rPr>
      </w:pPr>
      <w:r>
        <w:rPr>
          <w:sz w:val="28"/>
          <w:szCs w:val="28"/>
          <w:lang w:val="uk-UA"/>
        </w:rPr>
      </w:r>
    </w:p>
    <w:p>
      <w:pPr>
        <w:pStyle w:val="33"/>
        <w:spacing w:before="0" w:after="0"/>
        <w:rPr>
          <w:sz w:val="28"/>
          <w:szCs w:val="28"/>
          <w:lang w:val="uk-UA"/>
        </w:rPr>
      </w:pPr>
      <w:r>
        <w:rPr>
          <w:sz w:val="28"/>
          <w:szCs w:val="28"/>
          <w:lang w:val="uk-UA"/>
        </w:rPr>
      </w:r>
    </w:p>
    <w:p>
      <w:pPr>
        <w:sectPr>
          <w:headerReference w:type="default" r:id="rId3"/>
          <w:headerReference w:type="first" r:id="rId4"/>
          <w:footerReference w:type="default" r:id="rId5"/>
          <w:footerReference w:type="first" r:id="rId6"/>
          <w:type w:val="nextPage"/>
          <w:pgSz w:w="11906" w:h="16838"/>
          <w:pgMar w:left="1701" w:right="567" w:header="709" w:top="899" w:footer="709" w:bottom="1418" w:gutter="0"/>
          <w:pgNumType w:fmt="decimal"/>
          <w:formProt w:val="false"/>
          <w:titlePg/>
          <w:textDirection w:val="lrTb"/>
          <w:docGrid w:type="default" w:linePitch="360" w:charSpace="0"/>
        </w:sectPr>
        <w:pStyle w:val="33"/>
        <w:spacing w:before="0" w:after="0"/>
        <w:ind w:left="0" w:hanging="0"/>
        <w:rPr>
          <w:lang w:val="uk-UA"/>
        </w:rPr>
      </w:pPr>
      <w:r>
        <w:rPr>
          <w:b/>
          <w:sz w:val="28"/>
          <w:szCs w:val="28"/>
          <w:lang w:val="uk-UA"/>
        </w:rPr>
        <w:t>Міністр                                                                                            Віктор ЛЯШКО</w:t>
      </w:r>
    </w:p>
    <w:tbl>
      <w:tblPr>
        <w:tblW w:w="3825" w:type="dxa"/>
        <w:jc w:val="left"/>
        <w:tblInd w:w="11448" w:type="dxa"/>
        <w:tblBorders/>
        <w:tblCellMar>
          <w:top w:w="0" w:type="dxa"/>
          <w:left w:w="108" w:type="dxa"/>
          <w:bottom w:w="0" w:type="dxa"/>
          <w:right w:w="108" w:type="dxa"/>
        </w:tblCellMar>
      </w:tblPr>
      <w:tblGrid>
        <w:gridCol w:w="3825"/>
      </w:tblGrid>
      <w:tr>
        <w:trPr>
          <w:trHeight w:val="711" w:hRule="atLeast"/>
        </w:trPr>
        <w:tc>
          <w:tcPr>
            <w:tcW w:w="3825" w:type="dxa"/>
            <w:tcBorders/>
            <w:shd w:fill="auto" w:val="clear"/>
          </w:tcPr>
          <w:p>
            <w:pPr>
              <w:pStyle w:val="Heading4"/>
              <w:numPr>
                <w:ilvl w:val="3"/>
                <w:numId w:val="1"/>
              </w:numPr>
              <w:tabs>
                <w:tab w:val="left" w:pos="12600" w:leader="none"/>
              </w:tabs>
              <w:spacing w:before="240" w:after="60"/>
              <w:rPr>
                <w:sz w:val="18"/>
                <w:szCs w:val="18"/>
              </w:rPr>
            </w:pPr>
            <w:r>
              <w:rPr>
                <w:sz w:val="18"/>
                <w:szCs w:val="18"/>
              </w:rPr>
              <w:t>Додаток 1</w:t>
            </w:r>
          </w:p>
          <w:p>
            <w:pPr>
              <w:pStyle w:val="Heading4"/>
              <w:numPr>
                <w:ilvl w:val="3"/>
                <w:numId w:val="1"/>
              </w:numPr>
              <w:tabs>
                <w:tab w:val="left" w:pos="12600" w:leader="none"/>
              </w:tabs>
              <w:rPr>
                <w:sz w:val="18"/>
                <w:szCs w:val="18"/>
              </w:rPr>
            </w:pPr>
            <w:r>
              <w:rPr>
                <w:sz w:val="18"/>
                <w:szCs w:val="18"/>
              </w:rPr>
              <w:t>до наказу Міністерства охорони</w:t>
            </w:r>
          </w:p>
          <w:p>
            <w:pPr>
              <w:pStyle w:val="Heading4"/>
              <w:numPr>
                <w:ilvl w:val="3"/>
                <w:numId w:val="1"/>
              </w:numPr>
              <w:tabs>
                <w:tab w:val="left" w:pos="12600" w:leader="none"/>
              </w:tabs>
              <w:rPr>
                <w:sz w:val="18"/>
                <w:szCs w:val="18"/>
              </w:rPr>
            </w:pPr>
            <w:r>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Heading4"/>
              <w:numPr>
                <w:ilvl w:val="3"/>
                <w:numId w:val="1"/>
              </w:numPr>
              <w:tabs>
                <w:tab w:val="left" w:pos="12600" w:leader="none"/>
              </w:tabs>
              <w:spacing w:before="240" w:after="60"/>
              <w:rPr>
                <w:rFonts w:cs="Arial"/>
              </w:rPr>
            </w:pPr>
            <w:r>
              <w:rPr>
                <w:bCs w:val="false"/>
                <w:iCs/>
                <w:sz w:val="18"/>
                <w:szCs w:val="18"/>
                <w:u w:val="single"/>
              </w:rPr>
              <w:t>від_13 жовтня 2026 року № 1576</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b/>
          <w:b/>
          <w:sz w:val="28"/>
          <w:szCs w:val="28"/>
        </w:rPr>
      </w:pPr>
      <w:r>
        <w:rPr>
          <w:b/>
          <w:caps/>
          <w:sz w:val="28"/>
          <w:szCs w:val="28"/>
        </w:rPr>
        <w:t>ПЕРЕЛІК</w:t>
      </w:r>
    </w:p>
    <w:p>
      <w:pPr>
        <w:pStyle w:val="Normal"/>
        <w:keepNext w:val="true"/>
        <w:numPr>
          <w:ilvl w:val="0"/>
          <w:numId w:val="0"/>
        </w:numPr>
        <w:jc w:val="center"/>
        <w:outlineLvl w:val="3"/>
        <w:rPr>
          <w:rFonts w:ascii="Arial" w:hAnsi="Arial" w:cs="Arial"/>
          <w:b/>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pPr>
        <w:pStyle w:val="Normal"/>
        <w:keepNext w:val="true"/>
        <w:numPr>
          <w:ilvl w:val="0"/>
          <w:numId w:val="0"/>
        </w:numPr>
        <w:jc w:val="center"/>
        <w:outlineLvl w:val="3"/>
        <w:rPr>
          <w:rFonts w:ascii="Arial" w:hAnsi="Arial" w:cs="Arial"/>
          <w:b/>
          <w:b/>
          <w:caps/>
        </w:rPr>
      </w:pPr>
      <w:r>
        <w:rPr>
          <w:rFonts w:cs="Arial" w:ascii="Arial" w:hAnsi="Arial"/>
          <w:b/>
          <w:caps/>
        </w:rPr>
      </w:r>
    </w:p>
    <w:tbl>
      <w:tblPr>
        <w:tblW w:w="16170"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276"/>
        <w:gridCol w:w="992"/>
        <w:gridCol w:w="992"/>
        <w:gridCol w:w="709"/>
        <w:gridCol w:w="1418"/>
        <w:gridCol w:w="992"/>
        <w:gridCol w:w="992"/>
        <w:gridCol w:w="1276"/>
        <w:gridCol w:w="992"/>
        <w:gridCol w:w="2268"/>
        <w:gridCol w:w="1134"/>
        <w:gridCol w:w="993"/>
        <w:gridCol w:w="1569"/>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26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ВАЛКУБІТ®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динатрієвої солі</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49 мг/51 мг, по 14 таблеток у блістері; по 2 або 4 блістери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та випуск серій:</w:t>
              <w:br/>
              <w:t>KRKA д.д., Ново место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 xml:space="preserve">Інструкція для медичного застосування лікарського засобу та текст маркування упаковки (eCTD верcія 0006). Методи контролю якості лікарського засобу (eCTD версія 0007). </w:t>
              <w:br/>
              <w:t xml:space="preserve">Звіт згідно додатку 29 Порядку (eCTD верcія 0000) Звіт згідно додатку 30 Порядку (eCTD верcія 0003) Резюме ПУР версія 0.3 (eCTD версія 0000).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UA/21468/01/02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ВАЛКУБІТ®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динатрієвої солі</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97 мг/103 мг, по 14 таблеток у блістері; по 2 або 4 блістери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та випуск серій:</w:t>
              <w:br/>
              <w:t>KRKA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 xml:space="preserve">Інструкція для медичного застосування лікарського засобу та текст маркування упаковки (eCTD верcія 0006). Методи контролю якості лікарського засобу (eCTD версія 0007). </w:t>
              <w:br/>
              <w:t xml:space="preserve">Звіт згідно додатку 29 Порядку (eCTD верcія 0000) Звіт згідно додатку 30 Порядку (eCTD верcія 0003) Резюме ПУР версія 0.3 (eCTD версія 0000).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UA/21468/01/03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ВАЛКУБІТ®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динатрієвої солі</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24 мг/26 мг, по 14 таблеток у блістері; по 2 або 4 блістери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та випуск серій:</w:t>
              <w:br/>
              <w:t>KRKA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 xml:space="preserve">Інструкція для медичного застосування лікарського засобу та текст маркування упаковки (eCTD верcія 0006). Методи контролю якості лікарського засобу (eCTD версія 0007). </w:t>
              <w:br/>
              <w:t xml:space="preserve">Звіт згідно додатку 29 Порядку (eCTD верcія 0000) Звіт згідно додатку 30 Порядку (eCTD верcія 0003) Резюме ПУР версія 0.3 (eCTD версія 0000).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UA/21468/01/0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ВІНРЕВЕЙР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pPr>
            <w:r>
              <w:rPr>
                <w:rFonts w:cs="Arial" w:ascii="Arial" w:hAnsi="Arial"/>
                <w:color w:val="000000"/>
                <w:sz w:val="16"/>
                <w:szCs w:val="16"/>
              </w:rPr>
              <w:t xml:space="preserve">Sotatercept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сотатерцепт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C02KX06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приготування розчину для ін’єкцій, по 60 мг: Флакон зі скла типу І, закупорений пробкою та алюмінієвою обкаткою з ковпачком бордового кольору, що містить 60 мг сотатерцепту.</w:t>
              <w:br/>
              <w:t>Попередньо наповнений шприц з 1,3 мл розчинника.</w:t>
              <w:br/>
              <w:t>Лікарський засіб Вінревейр, порошок та розчинник для приготування розчину для ін’єкцій випускається у наступних розмірах упаковки:</w:t>
              <w:br/>
              <w:t>- Набір, що містить 1 флакон з порошком по 60 мг, 1 попередньо наповнений шприц з розчинником по 1,3 мл, 1 дозувальний шприц з поділками по 0,1 мл, 1 адаптер для флакона (13 мм), 1 голку для ін’єкцій та 4 спиртові серветки у картонній коробці разом з інструкцією для медичного застосування та буклетом «Інструкції щодо застосування».</w:t>
              <w:br/>
              <w:t xml:space="preserve">- Набір, що містить 2 флакони з порошком по 60 мг, 2 попередньо наповнені шприци з розчинником по 1,3 мл, 1 дозувальний шприц з поділками по 0,1 мл, 2 адаптери для флаконів (13 мм), 1 голку для ін’єкцій та 8 спиртових серветок у картонній коробці разом з інструкцією для медичного застосування та буклетом «Інструкції щодо застосування».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Мерк Шарп і Доум ІДЕА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pPr>
            <w:r>
              <w:rPr>
                <w:rFonts w:cs="Arial" w:ascii="Arial" w:hAnsi="Arial"/>
                <w:color w:val="000000"/>
                <w:sz w:val="16"/>
                <w:szCs w:val="16"/>
                <w:lang w:val="ru-RU"/>
              </w:rPr>
              <w:t>Веттер Фарма-Фертігунг ГмбХ і Ко. КГ, Німеччина (Виробництво,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(хімічне / фізичне тестування лише протягом терміну придатності) стерильної води для ін’єкцій у попередньо наповнених шприцах); Еурофінс Ланкастер Лабораторіз, ЛЛС, США (Тестування при випуску та тестування стабільності); Мерк Шарп і Доум Б.В., Нідерланди (Маркування та вторинне пакування флакону та / або комбінованого набору лікарського засобу та пристрою, випуск серії); МСД Інтернешнл ГмбХ/МСД Ірландія (Карлоу), Ірланд</w:t>
            </w:r>
            <w:r>
              <w:rPr>
                <w:rFonts w:cs="Arial" w:ascii="Arial" w:hAnsi="Arial"/>
                <w:color w:val="000000"/>
                <w:sz w:val="16"/>
                <w:szCs w:val="16"/>
              </w:rPr>
              <w:t>i</w:t>
            </w:r>
            <w:r>
              <w:rPr>
                <w:rFonts w:cs="Arial" w:ascii="Arial" w:hAnsi="Arial"/>
                <w:color w:val="000000"/>
                <w:sz w:val="16"/>
                <w:szCs w:val="16"/>
                <w:lang w:val="ru-RU"/>
              </w:rPr>
              <w:t>я (Тестування при випуску та тестування стабільності (за винятком вмісту вологи та цілісності герметичності контейнера)); Нувісан ГмбХ, Німеччина (Тестування при випуску та тестування стабільності (лише для вмісту вологи при випуску та при тестуванні стабільності, та для цілісності герметичності контейнера при тестуванні стабільності)); Патеон Італія С.п.А., Італ</w:t>
            </w:r>
            <w:r>
              <w:rPr>
                <w:rFonts w:cs="Arial" w:ascii="Arial" w:hAnsi="Arial"/>
                <w:color w:val="000000"/>
                <w:sz w:val="16"/>
                <w:szCs w:val="16"/>
              </w:rPr>
              <w:t>i</w:t>
            </w:r>
            <w:r>
              <w:rPr>
                <w:rFonts w:cs="Arial" w:ascii="Arial" w:hAnsi="Arial"/>
                <w:color w:val="000000"/>
                <w:sz w:val="16"/>
                <w:szCs w:val="16"/>
                <w:lang w:val="ru-RU"/>
              </w:rPr>
              <w:t>я (Виробництво / первинне пакування, тестування при випуску (стерильність та ендотоксини))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Німеччина/</w:t>
            </w:r>
          </w:p>
          <w:p>
            <w:pPr>
              <w:pStyle w:val="1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США/</w:t>
            </w:r>
          </w:p>
          <w:p>
            <w:pPr>
              <w:pStyle w:val="1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Нідерланди/</w:t>
            </w:r>
          </w:p>
          <w:p>
            <w:pPr>
              <w:pStyle w:val="1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Італія/</w:t>
            </w:r>
          </w:p>
          <w:p>
            <w:pPr>
              <w:pStyle w:val="1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Ірландія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pPr>
            <w:r>
              <w:rPr>
                <w:rFonts w:cs="Arial" w:ascii="Arial" w:hAnsi="Arial"/>
                <w:color w:val="000000"/>
                <w:sz w:val="16"/>
                <w:szCs w:val="16"/>
                <w:lang w:val="ru-RU"/>
              </w:rPr>
              <w:t>реєстрація на 5 років</w:t>
              <w:br/>
              <w:br/>
              <w:t>Версія МКЯ (0011). Інструкція для медичного застосування лікарського засобу (</w:t>
            </w:r>
            <w:r>
              <w:rPr>
                <w:rFonts w:cs="Arial" w:ascii="Arial" w:hAnsi="Arial"/>
                <w:color w:val="000000"/>
                <w:sz w:val="16"/>
                <w:szCs w:val="16"/>
              </w:rPr>
              <w:t>e</w:t>
            </w:r>
            <w:r>
              <w:rPr>
                <w:rFonts w:cs="Arial" w:ascii="Arial" w:hAnsi="Arial"/>
                <w:color w:val="000000"/>
                <w:sz w:val="16"/>
                <w:szCs w:val="16"/>
                <w:lang w:val="ru-RU"/>
              </w:rPr>
              <w:t>-</w:t>
            </w:r>
            <w:r>
              <w:rPr>
                <w:rFonts w:cs="Arial" w:ascii="Arial" w:hAnsi="Arial"/>
                <w:color w:val="000000"/>
                <w:sz w:val="16"/>
                <w:szCs w:val="16"/>
              </w:rPr>
              <w:t>CTD</w:t>
            </w:r>
            <w:r>
              <w:rPr>
                <w:rFonts w:cs="Arial" w:ascii="Arial" w:hAnsi="Arial"/>
                <w:color w:val="000000"/>
                <w:sz w:val="16"/>
                <w:szCs w:val="16"/>
                <w:lang w:val="ru-RU"/>
              </w:rPr>
              <w:t xml:space="preserve"> версія 0011). Текст маркування упаковки лікарського засобу (</w:t>
            </w:r>
            <w:r>
              <w:rPr>
                <w:rFonts w:cs="Arial" w:ascii="Arial" w:hAnsi="Arial"/>
                <w:color w:val="000000"/>
                <w:sz w:val="16"/>
                <w:szCs w:val="16"/>
              </w:rPr>
              <w:t>e</w:t>
            </w:r>
            <w:r>
              <w:rPr>
                <w:rFonts w:cs="Arial" w:ascii="Arial" w:hAnsi="Arial"/>
                <w:color w:val="000000"/>
                <w:sz w:val="16"/>
                <w:szCs w:val="16"/>
                <w:lang w:val="ru-RU"/>
              </w:rPr>
              <w:t>-</w:t>
            </w:r>
            <w:r>
              <w:rPr>
                <w:rFonts w:cs="Arial" w:ascii="Arial" w:hAnsi="Arial"/>
                <w:color w:val="000000"/>
                <w:sz w:val="16"/>
                <w:szCs w:val="16"/>
              </w:rPr>
              <w:t>CTD</w:t>
            </w:r>
            <w:r>
              <w:rPr>
                <w:rFonts w:cs="Arial" w:ascii="Arial" w:hAnsi="Arial"/>
                <w:color w:val="000000"/>
                <w:sz w:val="16"/>
                <w:szCs w:val="16"/>
                <w:lang w:val="ru-RU"/>
              </w:rPr>
              <w:t xml:space="preserve"> версія 0011). Звіт згідно додатку 29 Порядку (</w:t>
            </w:r>
            <w:r>
              <w:rPr>
                <w:rFonts w:cs="Arial" w:ascii="Arial" w:hAnsi="Arial"/>
                <w:color w:val="000000"/>
                <w:sz w:val="16"/>
                <w:szCs w:val="16"/>
              </w:rPr>
              <w:t>eCTD</w:t>
            </w:r>
            <w:r>
              <w:rPr>
                <w:rFonts w:cs="Arial" w:ascii="Arial" w:hAnsi="Arial"/>
                <w:color w:val="000000"/>
                <w:sz w:val="16"/>
                <w:szCs w:val="16"/>
                <w:lang w:val="ru-RU"/>
              </w:rPr>
              <w:t xml:space="preserve"> вер</w:t>
            </w:r>
            <w:r>
              <w:rPr>
                <w:rFonts w:cs="Arial" w:ascii="Arial" w:hAnsi="Arial"/>
                <w:color w:val="000000"/>
                <w:sz w:val="16"/>
                <w:szCs w:val="16"/>
              </w:rPr>
              <w:t>c</w:t>
            </w:r>
            <w:r>
              <w:rPr>
                <w:rFonts w:cs="Arial" w:ascii="Arial" w:hAnsi="Arial"/>
                <w:color w:val="000000"/>
                <w:sz w:val="16"/>
                <w:szCs w:val="16"/>
                <w:lang w:val="ru-RU"/>
              </w:rPr>
              <w:t>ія 0011) Звіт згідно додатку 30 Порядку (</w:t>
            </w:r>
            <w:r>
              <w:rPr>
                <w:rFonts w:cs="Arial" w:ascii="Arial" w:hAnsi="Arial"/>
                <w:color w:val="000000"/>
                <w:sz w:val="16"/>
                <w:szCs w:val="16"/>
              </w:rPr>
              <w:t>eCTD</w:t>
            </w:r>
            <w:r>
              <w:rPr>
                <w:rFonts w:cs="Arial" w:ascii="Arial" w:hAnsi="Arial"/>
                <w:color w:val="000000"/>
                <w:sz w:val="16"/>
                <w:szCs w:val="16"/>
                <w:lang w:val="ru-RU"/>
              </w:rPr>
              <w:t xml:space="preserve"> вер</w:t>
            </w:r>
            <w:r>
              <w:rPr>
                <w:rFonts w:cs="Arial" w:ascii="Arial" w:hAnsi="Arial"/>
                <w:color w:val="000000"/>
                <w:sz w:val="16"/>
                <w:szCs w:val="16"/>
              </w:rPr>
              <w:t>c</w:t>
            </w:r>
            <w:r>
              <w:rPr>
                <w:rFonts w:cs="Arial" w:ascii="Arial" w:hAnsi="Arial"/>
                <w:color w:val="000000"/>
                <w:sz w:val="16"/>
                <w:szCs w:val="16"/>
                <w:lang w:val="ru-RU"/>
              </w:rPr>
              <w:t>ія 0011) План управління ризиками версія 1.0 погоджена (</w:t>
            </w:r>
            <w:r>
              <w:rPr>
                <w:rFonts w:cs="Arial" w:ascii="Arial" w:hAnsi="Arial"/>
                <w:color w:val="000000"/>
                <w:sz w:val="16"/>
                <w:szCs w:val="16"/>
              </w:rPr>
              <w:t>eCTD</w:t>
            </w:r>
            <w:r>
              <w:rPr>
                <w:rFonts w:cs="Arial" w:ascii="Arial" w:hAnsi="Arial"/>
                <w:color w:val="000000"/>
                <w:sz w:val="16"/>
                <w:szCs w:val="16"/>
                <w:lang w:val="ru-RU"/>
              </w:rPr>
              <w:t xml:space="preserve"> послідовність № 0000).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UA/21470/01/0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ВІНРЕВЕЙР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 xml:space="preserve">Sotatercept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сотатерцепт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C02KX06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 xml:space="preserve">порошок та розчинник для приготування розчину для ін’єкцій, по 45 мг: Флакон зі скла типу І, закупорений пробкою та алюмінієвою обкаткою з ковпачком лаймового кольору, що містить 45 мг сотатерцепту. Попередньо наповнений шприц з 1,0 мл розчинника. </w:t>
              <w:br/>
              <w:t xml:space="preserve">Лікарський засіб Вінревейр, порошок та розчинник для приготування розчину для ін’єкцій випускається у наступних розмірах упаковки: </w:t>
              <w:br/>
              <w:t xml:space="preserve">- Набір, що містить 1 флакон з порошком по 45 мг, 1 попередньо наповнений шприц з розчинником по 1,0 мл, 1 дозувальний шприц з поділками по 0,1 мл, 1 адаптер для флакона (13 мм), 1 голку для ін’єкцій та 4 спиртові серветки у картонній коробці разом з інструкцією для медичного застосування та буклетом «Інструкції щодо застосування». </w:t>
              <w:br/>
              <w:t xml:space="preserve">- Набір, що містить 2 флакони з порошком по 45 мг, 2 попередньо наповнені шприци з розчинником по 1,0 мл, 1 дозувальний шприц з поділками по 0,1 мл, 2 адаптери для флаконів (13 мм), 1 голку для ін’єкцій та 8 спиртових серветок у картонній коробці разом з інструкцією для медичного застосування та буклетом «Інструкції щодо застосування».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Мерк Шарп і Доум ІДЕА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pPr>
            <w:r>
              <w:rPr>
                <w:rFonts w:cs="Arial" w:ascii="Arial" w:hAnsi="Arial"/>
                <w:color w:val="000000"/>
                <w:sz w:val="16"/>
                <w:szCs w:val="16"/>
                <w:lang w:val="ru-RU"/>
              </w:rPr>
              <w:t>Веттер Фарма-Фертігунг ГмбХ і Ко. КГ, Німеччина (Виробництво,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(хімічне / фізичне тестування лише протягом терміну придатності) стерильної води для ін’єкцій у попередньо наповнених шприцах); Еурофінс Ланкастер Лабораторіз, ЛЛС, США (Тестування при випуску та тестування стабільності); Мерк Шарп і Доум Б.В., Нідерланди (Маркування та вторинне пакування флакону та / або комбінованого набору лікарського засобу та пристрою, випуск серії); МСД Інтернешнл ГмбХ/МСД Ірландія (Карлоу), Ірланд</w:t>
            </w:r>
            <w:r>
              <w:rPr>
                <w:rFonts w:cs="Arial" w:ascii="Arial" w:hAnsi="Arial"/>
                <w:color w:val="000000"/>
                <w:sz w:val="16"/>
                <w:szCs w:val="16"/>
              </w:rPr>
              <w:t>i</w:t>
            </w:r>
            <w:r>
              <w:rPr>
                <w:rFonts w:cs="Arial" w:ascii="Arial" w:hAnsi="Arial"/>
                <w:color w:val="000000"/>
                <w:sz w:val="16"/>
                <w:szCs w:val="16"/>
                <w:lang w:val="ru-RU"/>
              </w:rPr>
              <w:t>я (Тестування при випуску та тестування стабільності (за винятком вмісту вологи та цілісності герметичності контейнера)); Нувісан ГмбХ, Німеччина (Тестування при випуску та тестування стабільності (лише для вмісту вологи при випуску та при тестуванні стабільності, та для цілісності герметичності контейнера при тестуванні стабільності)); Патеон Італія С.п.А., Італ</w:t>
            </w:r>
            <w:r>
              <w:rPr>
                <w:rFonts w:cs="Arial" w:ascii="Arial" w:hAnsi="Arial"/>
                <w:color w:val="000000"/>
                <w:sz w:val="16"/>
                <w:szCs w:val="16"/>
              </w:rPr>
              <w:t>i</w:t>
            </w:r>
            <w:r>
              <w:rPr>
                <w:rFonts w:cs="Arial" w:ascii="Arial" w:hAnsi="Arial"/>
                <w:color w:val="000000"/>
                <w:sz w:val="16"/>
                <w:szCs w:val="16"/>
                <w:lang w:val="ru-RU"/>
              </w:rPr>
              <w:t>я (Виробництво / первинне пакування, тестування при випуску (стерильність та ендотоксини))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Німеччина/</w:t>
            </w:r>
          </w:p>
          <w:p>
            <w:pPr>
              <w:pStyle w:val="1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США/</w:t>
            </w:r>
          </w:p>
          <w:p>
            <w:pPr>
              <w:pStyle w:val="1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Нідерланди/</w:t>
            </w:r>
          </w:p>
          <w:p>
            <w:pPr>
              <w:pStyle w:val="1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Італія/</w:t>
            </w:r>
          </w:p>
          <w:p>
            <w:pPr>
              <w:pStyle w:val="1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Ірландія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pPr>
            <w:r>
              <w:rPr>
                <w:rFonts w:cs="Arial" w:ascii="Arial" w:hAnsi="Arial"/>
                <w:color w:val="000000"/>
                <w:sz w:val="16"/>
                <w:szCs w:val="16"/>
                <w:lang w:val="ru-RU"/>
              </w:rPr>
              <w:t>реєстрація на 5 років</w:t>
              <w:br/>
              <w:br/>
              <w:t>Версія МКЯ (0011). Інструкція для медичного застосування лікарського засобу (</w:t>
            </w:r>
            <w:r>
              <w:rPr>
                <w:rFonts w:cs="Arial" w:ascii="Arial" w:hAnsi="Arial"/>
                <w:color w:val="000000"/>
                <w:sz w:val="16"/>
                <w:szCs w:val="16"/>
              </w:rPr>
              <w:t>e</w:t>
            </w:r>
            <w:r>
              <w:rPr>
                <w:rFonts w:cs="Arial" w:ascii="Arial" w:hAnsi="Arial"/>
                <w:color w:val="000000"/>
                <w:sz w:val="16"/>
                <w:szCs w:val="16"/>
                <w:lang w:val="ru-RU"/>
              </w:rPr>
              <w:t>-</w:t>
            </w:r>
            <w:r>
              <w:rPr>
                <w:rFonts w:cs="Arial" w:ascii="Arial" w:hAnsi="Arial"/>
                <w:color w:val="000000"/>
                <w:sz w:val="16"/>
                <w:szCs w:val="16"/>
              </w:rPr>
              <w:t>CTD</w:t>
            </w:r>
            <w:r>
              <w:rPr>
                <w:rFonts w:cs="Arial" w:ascii="Arial" w:hAnsi="Arial"/>
                <w:color w:val="000000"/>
                <w:sz w:val="16"/>
                <w:szCs w:val="16"/>
                <w:lang w:val="ru-RU"/>
              </w:rPr>
              <w:t xml:space="preserve"> версія 0011). Текст маркування упаковки лікарського засобу (</w:t>
            </w:r>
            <w:r>
              <w:rPr>
                <w:rFonts w:cs="Arial" w:ascii="Arial" w:hAnsi="Arial"/>
                <w:color w:val="000000"/>
                <w:sz w:val="16"/>
                <w:szCs w:val="16"/>
              </w:rPr>
              <w:t>e</w:t>
            </w:r>
            <w:r>
              <w:rPr>
                <w:rFonts w:cs="Arial" w:ascii="Arial" w:hAnsi="Arial"/>
                <w:color w:val="000000"/>
                <w:sz w:val="16"/>
                <w:szCs w:val="16"/>
                <w:lang w:val="ru-RU"/>
              </w:rPr>
              <w:t>-</w:t>
            </w:r>
            <w:r>
              <w:rPr>
                <w:rFonts w:cs="Arial" w:ascii="Arial" w:hAnsi="Arial"/>
                <w:color w:val="000000"/>
                <w:sz w:val="16"/>
                <w:szCs w:val="16"/>
              </w:rPr>
              <w:t>CTD</w:t>
            </w:r>
            <w:r>
              <w:rPr>
                <w:rFonts w:cs="Arial" w:ascii="Arial" w:hAnsi="Arial"/>
                <w:color w:val="000000"/>
                <w:sz w:val="16"/>
                <w:szCs w:val="16"/>
                <w:lang w:val="ru-RU"/>
              </w:rPr>
              <w:t xml:space="preserve"> версія 0011). Звіт згідно додатку 29 Порядку (</w:t>
            </w:r>
            <w:r>
              <w:rPr>
                <w:rFonts w:cs="Arial" w:ascii="Arial" w:hAnsi="Arial"/>
                <w:color w:val="000000"/>
                <w:sz w:val="16"/>
                <w:szCs w:val="16"/>
              </w:rPr>
              <w:t>eCTD</w:t>
            </w:r>
            <w:r>
              <w:rPr>
                <w:rFonts w:cs="Arial" w:ascii="Arial" w:hAnsi="Arial"/>
                <w:color w:val="000000"/>
                <w:sz w:val="16"/>
                <w:szCs w:val="16"/>
                <w:lang w:val="ru-RU"/>
              </w:rPr>
              <w:t xml:space="preserve"> вер</w:t>
            </w:r>
            <w:r>
              <w:rPr>
                <w:rFonts w:cs="Arial" w:ascii="Arial" w:hAnsi="Arial"/>
                <w:color w:val="000000"/>
                <w:sz w:val="16"/>
                <w:szCs w:val="16"/>
              </w:rPr>
              <w:t>c</w:t>
            </w:r>
            <w:r>
              <w:rPr>
                <w:rFonts w:cs="Arial" w:ascii="Arial" w:hAnsi="Arial"/>
                <w:color w:val="000000"/>
                <w:sz w:val="16"/>
                <w:szCs w:val="16"/>
                <w:lang w:val="ru-RU"/>
              </w:rPr>
              <w:t>ія 0011) Звіт згідно додатку 30 Порядку (</w:t>
            </w:r>
            <w:r>
              <w:rPr>
                <w:rFonts w:cs="Arial" w:ascii="Arial" w:hAnsi="Arial"/>
                <w:color w:val="000000"/>
                <w:sz w:val="16"/>
                <w:szCs w:val="16"/>
              </w:rPr>
              <w:t>eCTD</w:t>
            </w:r>
            <w:r>
              <w:rPr>
                <w:rFonts w:cs="Arial" w:ascii="Arial" w:hAnsi="Arial"/>
                <w:color w:val="000000"/>
                <w:sz w:val="16"/>
                <w:szCs w:val="16"/>
                <w:lang w:val="ru-RU"/>
              </w:rPr>
              <w:t xml:space="preserve"> вер</w:t>
            </w:r>
            <w:r>
              <w:rPr>
                <w:rFonts w:cs="Arial" w:ascii="Arial" w:hAnsi="Arial"/>
                <w:color w:val="000000"/>
                <w:sz w:val="16"/>
                <w:szCs w:val="16"/>
              </w:rPr>
              <w:t>c</w:t>
            </w:r>
            <w:r>
              <w:rPr>
                <w:rFonts w:cs="Arial" w:ascii="Arial" w:hAnsi="Arial"/>
                <w:color w:val="000000"/>
                <w:sz w:val="16"/>
                <w:szCs w:val="16"/>
                <w:lang w:val="ru-RU"/>
              </w:rPr>
              <w:t>ія 0011) План управління ризиками версія 1.0 погоджена (</w:t>
            </w:r>
            <w:r>
              <w:rPr>
                <w:rFonts w:cs="Arial" w:ascii="Arial" w:hAnsi="Arial"/>
                <w:color w:val="000000"/>
                <w:sz w:val="16"/>
                <w:szCs w:val="16"/>
              </w:rPr>
              <w:t>eCTD</w:t>
            </w:r>
            <w:r>
              <w:rPr>
                <w:rFonts w:cs="Arial" w:ascii="Arial" w:hAnsi="Arial"/>
                <w:color w:val="000000"/>
                <w:sz w:val="16"/>
                <w:szCs w:val="16"/>
                <w:lang w:val="ru-RU"/>
              </w:rPr>
              <w:t xml:space="preserve"> послідовність № 0000).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UA/21470/01/0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ЕДВАКС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edoxaban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едоксабану тозилату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14 таблеток у блістері; по 2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"АСІНО УКРАЇНА"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Дженефарм СА, Греція;</w:t>
              <w:br/>
              <w:b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Олфа АС, Латвія;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контроль якості серії лікарського засобу (хімічний та фізичний):</w:t>
              <w:br/>
              <w:t>Неотрон С.п.А., Італiя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 Латвія/ Італiя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Методи контролю якості лікарського засобу (eCTD версія 0008) Інструкція для медичного застосування лікарського засобу (eCTD версія 0006) Текст маркування упаковки лікарського засобу (eCTD версія 0003) Звіти про доклінічні випробування відповідно Додатку 29 Наказу МОЗ України від 26.08.2005 року №426 зі змінами подані у форматі eCTD (версія 0000) Звіти про клінічні випробування відповідно Додатку 30 Наказу МОЗ України від 26.08.2005 року №426 зі змінами подані у форматі eCTD (версія 0012) Резюме ПУР версія 1.1 погоджена (eCTD, послідовність № 0006).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UA/21469/01/0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ЕДВАКС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edoxaban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едоксабану тозилату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 по 14 таблеток у блістері; по 2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"АСІНО УКРАЇНА"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Дженефарм СА, Греція;</w:t>
              <w:br/>
              <w:b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Олфа АС, Латвія;</w:t>
              <w:br/>
              <w:br/>
              <w:t>контроль якості серії лікарського засобу (хімічний та фізичний):</w:t>
              <w:br/>
              <w:t xml:space="preserve">Неотрон С.п.А.,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 Латвія/ Італiя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Методи контролю якості лікарського засобу (eCTD версія 0008) Інструкція для медичного застосування лікарського засобу (eCTD версія 0006) Текст маркування упаковки лікарського засобу (eCTD версія 0003) Звіти про доклінічні випробування відповідно Додатку 29 Наказу МОЗ України від 26.08.2005 року №426 зі змінами подані у форматі eCTD (версія 0000) Звіти про клінічні випробування відповідно Додатку 30 Наказу МОЗ України від 26.08.2005 року №426 зі змінами подані у форматі eCTD (версія 0012) Резюме ПУР версія 1.1 погоджена (eCTD, послідовність № 0006).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UA/21469/01/0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ЕДВАКС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edoxaban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едоксабану тозилату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 мг, по 14 таблеток у блістері; по 2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"АСІНО УКРАЇНА"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Дженефарм СА, Греція;</w:t>
              <w:br/>
              <w:b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Олфа АС, Латвія;</w:t>
              <w:br/>
              <w:br/>
              <w:t>контроль якості серії лікарського засобу (хімічний та фізичний):</w:t>
              <w:br/>
              <w:t>Неотрон С.п.А., Італiя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 Латвія/ Італiя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Методи контролю якості лікарського засобу (eCTD версія 0008) Інструкція для медичного застосування лікарського засобу (eCTD версія 0006) Текст маркування упаковки лікарського засобу (eCTD версія 0003) Звіти про доклінічні випробування відповідно Додатку 29 Наказу МОЗ України від 26.08.2005 року №426 зі змінами подані у форматі eCTD (версія 0000) Звіти про клінічні випробування відповідно Додатку 30 Наказу МОЗ України від 26.08.2005 року №426 зі змінами подані у форматі eCTD (версія 0012) Резюме ПУР версія 1.1 погоджена (eCTD, послідовність № 0006).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UA/21469/01/0</w:t>
            </w:r>
            <w:r>
              <w:rPr>
                <w:rFonts w:cs="Arial" w:ascii="Arial" w:hAnsi="Arial"/>
                <w:sz w:val="16"/>
                <w:szCs w:val="16"/>
                <w:lang w:val="en-US"/>
              </w:rPr>
              <w:t>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ІПРАГЛІФЛОЗИН L-ПРОЛІН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Ipragliflozin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іпрагліфлозин L-пролін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пакетах двошарових поліетиленових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Цзянсі Сінерджі Фармасьютікал Ко.,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реєстрація на 5 років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(версія документу 0001)</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UA/21471/01/0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КАЛЬЦІЮ ГЛЮКОНАТ ДЛЯ ІН'ЄКЦІЙ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calcium gluconate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кальцію глюконату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або гранульований порошок (субстанція) у поліетиленових пакетах або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Чжецзян Жуйбан Лабораторіз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UA/21472/01/0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КАННАБІДІОЛ ДИСТИЛЯТ ІЗОЛЯТ КАНАПТЕКА®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канабідіол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пакетах поліетиленових HDPE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"ФАРМ-РЕГІСТР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Біосиид ЮАБ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Литва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UA/21473/01/0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КСАРІКС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14 таблеток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Санека Фармасьютікалз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 xml:space="preserve">Методи контролю якості (версія 0005 для всіх дозувань). Інструкція для медичного застосування лікарського засобу для дози 2,5 мг (eCTD версія 0006) Інструкція для медичного застосування лікарського засобу для дози 10 мг (eCTD версія 0011) Інструкція для медичного застосування лікарського засобу для дози 15 мг та 20 мг (eCTD версія 0011) Текст маркування упаковки лікарського засобу (eCTD версія 0006 для всіх дозувань) Звіти про доклінічні випробування відповідно Додатку 29 Наказу МОЗ України від 26.08.2005 року №426 зі змінами подані у форматі eCTD (версія 0000) Звіти про клінічні випробування відповідно Додатку 30 Наказу МОЗ України від 26.08.2005 року №426 зі змінами подані у форматі eCTD (версія 0004 для всіх дозувань). </w:t>
              <w:br/>
              <w:t xml:space="preserve">План управління ризиками версія 0.3 погоджена (eCTD послідовність № 0009). Звіт з безпеки повинен надаватися з періодичністю: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UA/21474/01/0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КСАРІКС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таблеток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Санека Фармасьютікалз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 xml:space="preserve">Методи контролю якості (версія 0005 для всіх дозувань). Інструкція для медичного застосування лікарського засобу для дози 2,5 мг (eCTD версія 0006) Інструкція для медичного застосування лікарського засобу для дози 10 мг (eCTD версія 0011) Інструкція для медичного застосування лікарського засобу для дози 15 мг та 20 мг (eCTD версія 0011) Текст маркування упаковки лікарського засобу (eCTD версія 0006 для всіх дозувань) Звіти про доклінічні випробування відповідно Додатку 29 Наказу МОЗ України від 26.08.2005 року №426 зі змінами подані у форматі eCTD (версія 0000) Звіти про клінічні випробування відповідно Додатку 30 Наказу МОЗ України від 26.08.2005 року №426 зі змінами подані у форматі eCTD (версія 0004 для всіх дозувань). </w:t>
              <w:br/>
              <w:t xml:space="preserve">План управління ризиками версія 0.3 погоджена (eCTD послідовність № 0009). Звіт з безпеки повинен надаватися з періодичністю: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UA/21474/01/0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КСАРІКС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14 таблеток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Санека Фармасьютікалз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 xml:space="preserve">Методи контролю якості (версія 0005 для всіх дозувань). Інструкція для медичного застосування лікарського засобу для дози 2,5 мг (eCTD версія 0006) Інструкція для медичного застосування лікарського засобу для дози 10 мг (eCTD версія 0011) Інструкція для медичного застосування лікарського засобу для дози 15 мг та 20 мг (eCTD версія 0011) Текст маркування упаковки лікарського засобу (eCTD версія 0006 для всіх дозувань) Звіти про доклінічні випробування відповідно Додатку 29 Наказу МОЗ України від 26.08.2005 року №426 зі змінами подані у форматі eCTD (версія 0000) Звіти про клінічні випробування відповідно Додатку 30 Наказу МОЗ України від 26.08.2005 року №426 зі змінами подані у форматі eCTD (версія 0004 для всіх дозувань). </w:t>
              <w:br/>
              <w:t xml:space="preserve">План управління ризиками версія 0.3 погоджена (eCTD послідовність № 0009). Звіт з безпеки повинен надаватися з періодичністю: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UA/21474/01/0</w:t>
            </w:r>
            <w:r>
              <w:rPr>
                <w:rFonts w:cs="Arial" w:ascii="Arial" w:hAnsi="Arial"/>
                <w:sz w:val="16"/>
                <w:szCs w:val="16"/>
                <w:lang w:val="en-US"/>
              </w:rPr>
              <w:t>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КСАРІКС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Санека Фармасьютікалз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 xml:space="preserve">Методи контролю якості (версія 0005 для всіх дозувань). Інструкція для медичного застосування лікарського засобу для дози 2,5 мг (eCTD версія 0006) Інструкція для медичного застосування лікарського засобу для дози 10 мг (eCTD версія 0011) Інструкція для медичного застосування лікарського засобу для дози 15 мг та 20 мг (eCTD версія 0011) Текст маркування упаковки лікарського засобу (eCTD версія 0006 для всіх дозувань) Звіти про доклінічні випробування відповідно Додатку 29 Наказу МОЗ України від 26.08.2005 року №426 зі змінами подані у форматі eCTD (версія 0000) Звіти про клінічні випробування відповідно Додатку 30 Наказу МОЗ України від 26.08.2005 року №426 зі змінами подані у форматі eCTD (версія 0004 для всіх дозувань). </w:t>
              <w:br/>
              <w:t xml:space="preserve">План управління ризиками версія 0.3 погоджена (eCTD послідовність № 0009). Звіт з безпеки повинен надаватися з періодичністю: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UA/21474/01/0</w:t>
            </w:r>
            <w:r>
              <w:rPr>
                <w:rFonts w:cs="Arial" w:ascii="Arial" w:hAnsi="Arial"/>
                <w:sz w:val="16"/>
                <w:szCs w:val="16"/>
                <w:lang w:val="en-US"/>
              </w:rPr>
              <w:t>4</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МІДАЗОЛАМ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midazolam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мідазолам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КОХАНС ЛАЙФСАЙЄНС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 xml:space="preserve">Проект МКЯ ЛЗ, версія документу (0004)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UA/21475/01/0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ХЛОРГЕКСИДИНУ ДИГІДРОХЛОРИД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chlorhexidine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Субстанція містить не менше 98,0 % і не більше 101,0 % Хлоргексидину дигідрохлориду, у перерахунку на суху речовину.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rPr>
                <w:rFonts w:ascii="Arial" w:hAnsi="Arial" w:cs="Arial"/>
                <w:sz w:val="16"/>
                <w:szCs w:val="16"/>
              </w:rPr>
            </w:pPr>
            <w:r>
              <w:rPr>
                <w:rFonts w:cs="Arial" w:ascii="Arial" w:hAnsi="Arial"/>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кристалічний порошок (субстанція) у мішках поліетиленових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"Тернофарм"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ЮНІЛАБ КЕМІКАЛЗ ЕНД ФАРМАСЬЮТІКАЛЗ ПВТ.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r>
          </w:p>
          <w:p>
            <w:pPr>
              <w:pStyle w:val="Normal"/>
              <w:tabs>
                <w:tab w:val="left" w:pos="12600" w:leader="none"/>
              </w:tabs>
              <w:jc w:val="center"/>
              <w:rPr>
                <w:rFonts w:ascii="Arial" w:hAnsi="Arial" w:cs="Arial"/>
                <w:sz w:val="16"/>
                <w:szCs w:val="16"/>
              </w:rPr>
            </w:pPr>
            <w:r>
              <w:rPr>
                <w:rFonts w:cs="Arial" w:ascii="Arial" w:hAnsi="Arial"/>
                <w:sz w:val="16"/>
                <w:szCs w:val="16"/>
              </w:rPr>
              <w:br/>
              <w:t>Проект МКЯ ЛЗ, версія документу 0004</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b/>
                <w:b/>
                <w:sz w:val="16"/>
                <w:szCs w:val="16"/>
              </w:rPr>
            </w:pPr>
            <w:r>
              <w:rPr>
                <w:rFonts w:cs="Arial" w:ascii="Arial" w:hAnsi="Arial"/>
                <w:b/>
                <w:sz w:val="16"/>
                <w:szCs w:val="16"/>
              </w:rPr>
              <w:t>UA/21476/01/0</w:t>
            </w:r>
            <w:r>
              <w:rPr>
                <w:rFonts w:cs="Arial" w:ascii="Arial" w:hAnsi="Arial"/>
                <w:b/>
                <w:sz w:val="16"/>
                <w:szCs w:val="16"/>
                <w:lang w:val="en-US"/>
              </w:rPr>
              <w:t>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7">
        <w:r>
          <w:rPr>
            <w:rStyle w:val="InternetLink"/>
            <w:i/>
            <w:color w:val="000000"/>
            <w:szCs w:val="16"/>
          </w:rPr>
          <w:t>https://www.whocc.no/atc_ddd_index/</w:t>
        </w:r>
      </w:hyperlink>
      <w:r>
        <w:rPr>
          <w:rStyle w:val="InternetLink"/>
          <w:i/>
          <w:color w:val="000000"/>
          <w:szCs w:val="16"/>
        </w:rPr>
        <w:t>)</w:t>
      </w:r>
    </w:p>
    <w:p>
      <w:pPr>
        <w:pStyle w:val="Normal"/>
        <w:rPr>
          <w:rStyle w:val="InternetLink"/>
          <w:i/>
          <w:i/>
          <w:color w:val="000000"/>
          <w:szCs w:val="16"/>
        </w:rPr>
      </w:pPr>
      <w:r>
        <w:rPr/>
      </w:r>
    </w:p>
    <w:p>
      <w:pPr>
        <w:pStyle w:val="Normal"/>
        <w:rPr>
          <w:rStyle w:val="InternetLink"/>
          <w:rFonts w:ascii="Arial" w:hAnsi="Arial" w:cs="Arial"/>
          <w:i/>
          <w:i/>
          <w:color w:val="000000"/>
          <w:szCs w:val="16"/>
        </w:rPr>
      </w:pPr>
      <w:r>
        <w:rPr/>
      </w:r>
    </w:p>
    <w:p>
      <w:pPr>
        <w:pStyle w:val="Normal"/>
        <w:tabs>
          <w:tab w:val="left" w:pos="1985" w:leader="none"/>
        </w:tabs>
        <w:rPr>
          <w:b/>
          <w:b/>
          <w:bCs/>
          <w:sz w:val="28"/>
          <w:szCs w:val="28"/>
        </w:rPr>
      </w:pPr>
      <w:r>
        <w:rPr>
          <w:b/>
          <w:bCs/>
          <w:sz w:val="28"/>
          <w:szCs w:val="28"/>
        </w:rPr>
        <w:t xml:space="preserve">Начальник </w:t>
      </w:r>
    </w:p>
    <w:p>
      <w:pPr>
        <w:pStyle w:val="Normal"/>
        <w:tabs>
          <w:tab w:val="left" w:pos="1985" w:leader="none"/>
        </w:tabs>
        <w:rPr>
          <w:b/>
          <w:b/>
          <w:bCs/>
          <w:sz w:val="28"/>
          <w:szCs w:val="28"/>
        </w:rPr>
      </w:pPr>
      <w:r>
        <w:rPr>
          <w:b/>
          <w:bCs/>
          <w:sz w:val="28"/>
          <w:szCs w:val="28"/>
        </w:rPr>
        <w:t>Фармацевтичного управління                                                                                                              Олександр ГРІЦЕНКО</w:t>
      </w:r>
    </w:p>
    <w:p>
      <w:pPr>
        <w:pStyle w:val="11"/>
        <w:rPr>
          <w:rStyle w:val="Cs7864ebcf1"/>
          <w:color w:val="000000"/>
          <w:sz w:val="16"/>
          <w:szCs w:val="16"/>
        </w:rPr>
      </w:pPr>
      <w:r>
        <w:rPr>
          <w:b/>
          <w:bCs/>
          <w:sz w:val="28"/>
          <w:szCs w:val="28"/>
        </w:rPr>
      </w:r>
    </w:p>
    <w:p>
      <w:pPr>
        <w:pStyle w:val="11"/>
        <w:rPr>
          <w:rStyle w:val="Cs7864ebcf1"/>
          <w:color w:val="000000"/>
          <w:sz w:val="16"/>
          <w:szCs w:val="16"/>
        </w:rPr>
      </w:pPr>
      <w:r>
        <w:rPr/>
      </w:r>
      <w:r>
        <w:br w:type="page"/>
      </w:r>
    </w:p>
    <w:p>
      <w:pPr>
        <w:pStyle w:val="Normal"/>
        <w:rPr>
          <w:rStyle w:val="Cs7864ebcf1"/>
          <w:rFonts w:ascii="Arial" w:hAnsi="Arial" w:cs="Arial"/>
          <w:b/>
          <w:b/>
          <w:color w:val="000000"/>
          <w:sz w:val="16"/>
          <w:szCs w:val="16"/>
          <w:lang w:val="uk-UA"/>
        </w:rPr>
      </w:pPr>
      <w:r>
        <w:rPr/>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spacing w:before="240" w:after="60"/>
              <w:rPr>
                <w:bCs w:val="false"/>
                <w:iCs/>
                <w:sz w:val="18"/>
                <w:szCs w:val="18"/>
              </w:rPr>
            </w:pPr>
            <w:r>
              <w:rPr>
                <w:bCs w:val="false"/>
                <w:iCs/>
                <w:sz w:val="18"/>
                <w:szCs w:val="18"/>
              </w:rPr>
              <w:t>Додаток 2</w:t>
            </w:r>
          </w:p>
          <w:p>
            <w:pPr>
              <w:pStyle w:val="Heading4"/>
              <w:numPr>
                <w:ilvl w:val="3"/>
                <w:numId w:val="1"/>
              </w:numPr>
              <w:tabs>
                <w:tab w:val="left" w:pos="12600" w:leader="none"/>
              </w:tabs>
              <w:rPr>
                <w:bCs w:val="false"/>
                <w:iCs/>
                <w:sz w:val="18"/>
                <w:szCs w:val="18"/>
              </w:rPr>
            </w:pPr>
            <w:r>
              <w:rPr>
                <w:bCs w:val="false"/>
                <w:iCs/>
                <w:sz w:val="18"/>
                <w:szCs w:val="18"/>
              </w:rPr>
              <w:t>до наказу Міністерства охорони</w:t>
            </w:r>
          </w:p>
          <w:p>
            <w:pPr>
              <w:pStyle w:val="Heading4"/>
              <w:numPr>
                <w:ilvl w:val="3"/>
                <w:numId w:val="1"/>
              </w:numPr>
              <w:tabs>
                <w:tab w:val="left" w:pos="12600" w:leader="none"/>
              </w:tabs>
              <w:rPr/>
            </w:pPr>
            <w:r>
              <w:rPr>
                <w:bCs w:val="false"/>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11"/>
              <w:rPr>
                <w:rFonts w:ascii="Arial" w:hAnsi="Arial" w:cs="Arial"/>
                <w:sz w:val="20"/>
                <w:szCs w:val="20"/>
              </w:rPr>
            </w:pPr>
            <w:r>
              <w:rPr>
                <w:b/>
                <w:bCs/>
                <w:iCs/>
                <w:sz w:val="18"/>
                <w:szCs w:val="18"/>
                <w:u w:val="single"/>
              </w:rPr>
              <w:t>від_13 жовтня 2026 року № 1576</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b/>
          <w:b/>
          <w:caps/>
          <w:sz w:val="28"/>
          <w:szCs w:val="28"/>
        </w:rPr>
      </w:pPr>
      <w:r>
        <w:rPr>
          <w:b/>
          <w:caps/>
          <w:sz w:val="28"/>
          <w:szCs w:val="28"/>
        </w:rPr>
        <w:t>ПЕРЕЛІК</w:t>
      </w:r>
    </w:p>
    <w:p>
      <w:pPr>
        <w:pStyle w:val="Normal"/>
        <w:keepNext w:val="true"/>
        <w:numPr>
          <w:ilvl w:val="0"/>
          <w:numId w:val="0"/>
        </w:numPr>
        <w:tabs>
          <w:tab w:val="left" w:pos="12600" w:leader="none"/>
        </w:tabs>
        <w:jc w:val="center"/>
        <w:outlineLvl w:val="3"/>
        <w:rPr>
          <w:b/>
          <w:b/>
          <w:caps/>
          <w:sz w:val="28"/>
          <w:szCs w:val="28"/>
        </w:rPr>
      </w:pPr>
      <w:r>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pPr>
        <w:pStyle w:val="Normal"/>
        <w:keepNext w:val="true"/>
        <w:numPr>
          <w:ilvl w:val="0"/>
          <w:numId w:val="0"/>
        </w:numPr>
        <w:tabs>
          <w:tab w:val="left" w:pos="12600" w:leader="none"/>
        </w:tabs>
        <w:jc w:val="center"/>
        <w:outlineLvl w:val="3"/>
        <w:rPr>
          <w:rFonts w:ascii="Arial" w:hAnsi="Arial" w:cs="Arial"/>
          <w:b/>
          <w:b/>
          <w:caps/>
          <w:sz w:val="28"/>
          <w:szCs w:val="28"/>
        </w:rPr>
      </w:pPr>
      <w:r>
        <w:rPr>
          <w:rFonts w:cs="Arial" w:ascii="Arial" w:hAnsi="Arial"/>
          <w:b/>
          <w:caps/>
          <w:sz w:val="28"/>
          <w:szCs w:val="28"/>
        </w:rPr>
      </w:r>
    </w:p>
    <w:tbl>
      <w:tblPr>
        <w:tblW w:w="16171"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418"/>
        <w:gridCol w:w="992"/>
        <w:gridCol w:w="851"/>
        <w:gridCol w:w="708"/>
        <w:gridCol w:w="1560"/>
        <w:gridCol w:w="992"/>
        <w:gridCol w:w="992"/>
        <w:gridCol w:w="1701"/>
        <w:gridCol w:w="850"/>
        <w:gridCol w:w="1985"/>
        <w:gridCol w:w="1135"/>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56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98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БУПРІНОЛ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bupropion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бупропіону гідрохлорид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N06AX12</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з модифікованим вивільненням, по 150 мг; по 30 таблеток з модифікованим вивільненням у пластиковому контейнері, по 1 контейнеру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«Фармліга»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та відповідальний за випуск серії:</w:t>
              <w:br/>
              <w:t>БАЛКАНФАРМА–ДУПНИЦЯ АД, Болгарія;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виробництво лікарського засобу, первинне та вторинне пакування, контроль якості серії:</w:t>
              <w:br/>
              <w:t>Фармацеутско-Хемійска Індустрія (ФХІ) Здравлє АД , Сербія;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додаткова дільниця з контролю якості:</w:t>
              <w:br/>
              <w:t>ГЕ Фармасьютікалз Лтд., Болгарія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розділах "Фармакотерапевтична група. Код АТХ" (щодо формулювання групи, без зміни коду АТХ), оновлено дані у розділі "Особливості застосування" щодо безпеки діючої речовини, а також оновлено інформацію в розділі "Побічні реакції" щодо важливості звітування про побічні реакції.</w:t>
              <w:br/>
              <w:t>Резюме плану управління ризиками версія 1.1 додається.</w:t>
              <w:br/>
              <w:t xml:space="preserve">Періодичність подання регулярно оновлюваного звіту з безпеки, відповідно до Порядку здійснення фармаконагляду, затверджений наказом МОЗ України від 27.12.2006 № 898 (зі змінами), становить: згідно зі строками, зазначеними у періодичності подання регулярних звітів з безпеки. </w:t>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UA/19228/01/01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ГЛЮКОЗАМІНУ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glucosamine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глюкозаміну гідрохлорид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Жеянг Кандорлі Фармасьютікал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UA/19213/01/01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КВАНІЛ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citicoline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цитиколін натрію</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N06BX06</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1000 мг/4 мл по 4 мл в ампулах; по 5 ампул у блістері; по 2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Соверин Фарма Правіт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розділах "Фармакотерапевтична група. Код ATX" щодо назви без зміни коду АТХ відповідно до міжнародного класифікатора ВООЗ, "Особливості застосування" щодо безпеки застосування допоміжної речовини, "Побічні реакції" щодо важливості звітування про побічні реакції.</w:t>
              <w:br/>
              <w:t>Резюме плану управління ризиками версія 1.0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UA/18940/01/02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КВАНІЛ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citicoline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цитиколін натрію</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N06BX06</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500 мг/4 мл по 4 мл в ампулах; по 5 ампул у блістері; по 2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Соверин Фарма Правіт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розділах "Фармакотерапевтична група. Код ATX" щодо назви без зміни коду АТХ відповідно до міжнародного класифікатора ВООЗ, "Особливості застосування" щодо безпеки застосування допоміжної речовини, "Побічні реакції" щодо важливості звітування про побічні реакції.</w:t>
              <w:br/>
              <w:t>Резюме плану управління ризиками версія 1.0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UA/18940/01/01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ТРІВОНОР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paroxetine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shd w:fill="F8F8F8" w:val="clear"/>
              </w:rPr>
              <w:t>пароксетину мезілат</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N06AB05</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Сінтон Хіспанія, С. 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Оновлено інформацію у розділах інструкції для медичного застосування: "Склад" (редакційні правки), "Фармакологічні властивості" ,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"Передозування", "Побічні реакції", відповідно до інформації референтного лікарського засобу (Deroxat® 20 mg film-coated tablets).</w:t>
              <w:br/>
              <w:br/>
              <w:t>Резюме плану управління ризиками версія 1.2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UA/19142/01/01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8">
        <w:r>
          <w:rPr>
            <w:rStyle w:val="InternetLink"/>
            <w:i/>
            <w:color w:val="000000"/>
            <w:szCs w:val="16"/>
          </w:rPr>
          <w:t>https://www.whocc.no/atc_ddd_index/</w:t>
        </w:r>
      </w:hyperlink>
      <w:r>
        <w:rPr>
          <w:rStyle w:val="InternetLink"/>
          <w:i/>
          <w:color w:val="000000"/>
          <w:szCs w:val="16"/>
        </w:rPr>
        <w:t>)</w:t>
      </w:r>
    </w:p>
    <w:p>
      <w:pPr>
        <w:pStyle w:val="Normal"/>
        <w:rPr>
          <w:rStyle w:val="InternetLink"/>
          <w:i/>
          <w:i/>
          <w:color w:val="000000"/>
          <w:szCs w:val="16"/>
        </w:rPr>
      </w:pPr>
      <w:r>
        <w:rPr/>
      </w:r>
    </w:p>
    <w:p>
      <w:pPr>
        <w:pStyle w:val="Normal"/>
        <w:rPr>
          <w:rStyle w:val="InternetLink"/>
          <w:rFonts w:ascii="Arial" w:hAnsi="Arial" w:cs="Arial"/>
          <w:i/>
          <w:i/>
          <w:color w:val="000000"/>
          <w:szCs w:val="16"/>
        </w:rPr>
      </w:pPr>
      <w:r>
        <w:rPr/>
      </w:r>
    </w:p>
    <w:p>
      <w:pPr>
        <w:pStyle w:val="11"/>
        <w:rPr/>
      </w:pPr>
      <w:r>
        <w:rPr>
          <w:rStyle w:val="Cs7864ebcf1"/>
          <w:color w:val="000000"/>
          <w:sz w:val="28"/>
          <w:szCs w:val="28"/>
        </w:rPr>
        <w:t>Начальник</w:t>
      </w:r>
    </w:p>
    <w:p>
      <w:pPr>
        <w:pStyle w:val="11"/>
        <w:rPr>
          <w:rStyle w:val="Cs7864ebcf1"/>
          <w:color w:val="000000"/>
          <w:sz w:val="28"/>
          <w:szCs w:val="28"/>
        </w:rPr>
      </w:pPr>
      <w:r>
        <w:rPr>
          <w:rStyle w:val="Cs7864ebcf1"/>
          <w:color w:val="000000"/>
          <w:sz w:val="28"/>
          <w:szCs w:val="28"/>
        </w:rPr>
        <w:t>Фармацевтичного управління                                                                                                            Олександр ГРІЦЕНКО</w:t>
      </w:r>
    </w:p>
    <w:p>
      <w:pPr>
        <w:pStyle w:val="11"/>
        <w:rPr>
          <w:rStyle w:val="Cs7864ebcf1"/>
          <w:color w:val="000000"/>
          <w:sz w:val="16"/>
          <w:szCs w:val="16"/>
        </w:rPr>
      </w:pPr>
      <w:r>
        <w:rPr/>
      </w:r>
      <w:r>
        <w:br w:type="page"/>
      </w:r>
    </w:p>
    <w:p>
      <w:pPr>
        <w:pStyle w:val="33"/>
        <w:spacing w:before="0" w:after="0"/>
        <w:ind w:left="0" w:hanging="0"/>
        <w:rPr>
          <w:rStyle w:val="Cs7864ebcf1"/>
          <w:b/>
          <w:b/>
          <w:color w:val="000000"/>
          <w:sz w:val="28"/>
          <w:szCs w:val="28"/>
          <w:lang w:val="uk-UA"/>
        </w:rPr>
      </w:pPr>
      <w:r>
        <w:rPr/>
      </w:r>
    </w:p>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Normal"/>
              <w:keepNext w:val="true"/>
              <w:numPr>
                <w:ilvl w:val="0"/>
                <w:numId w:val="0"/>
              </w:numPr>
              <w:tabs>
                <w:tab w:val="left" w:pos="12600" w:leader="none"/>
              </w:tabs>
              <w:outlineLvl w:val="3"/>
              <w:rPr>
                <w:b/>
                <w:b/>
                <w:iCs/>
                <w:sz w:val="18"/>
                <w:szCs w:val="18"/>
              </w:rPr>
            </w:pPr>
            <w:r>
              <w:rPr>
                <w:b/>
                <w:iCs/>
                <w:sz w:val="18"/>
                <w:szCs w:val="18"/>
              </w:rPr>
              <w:t>Додаток 3</w:t>
            </w:r>
          </w:p>
          <w:p>
            <w:pPr>
              <w:pStyle w:val="Heading4"/>
              <w:numPr>
                <w:ilvl w:val="3"/>
                <w:numId w:val="1"/>
              </w:numPr>
              <w:tabs>
                <w:tab w:val="left" w:pos="12600" w:leader="none"/>
              </w:tabs>
              <w:rPr>
                <w:iCs/>
                <w:sz w:val="18"/>
                <w:szCs w:val="18"/>
              </w:rPr>
            </w:pPr>
            <w:r>
              <w:rPr>
                <w:iCs/>
                <w:sz w:val="18"/>
                <w:szCs w:val="18"/>
              </w:rPr>
              <w:t>до наказу Міністерства охорони</w:t>
            </w:r>
          </w:p>
          <w:p>
            <w:pPr>
              <w:pStyle w:val="Heading4"/>
              <w:numPr>
                <w:ilvl w:val="3"/>
                <w:numId w:val="1"/>
              </w:numPr>
              <w:tabs>
                <w:tab w:val="left" w:pos="12600" w:leader="none"/>
              </w:tabs>
              <w:rPr/>
            </w:pPr>
            <w:r>
              <w:rPr>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tabs>
                <w:tab w:val="left" w:pos="12600" w:leader="none"/>
              </w:tabs>
              <w:rPr>
                <w:rFonts w:ascii="Arial" w:hAnsi="Arial" w:cs="Arial"/>
                <w:b/>
                <w:b/>
              </w:rPr>
            </w:pPr>
            <w:r>
              <w:rPr>
                <w:b/>
                <w:iCs/>
                <w:sz w:val="18"/>
                <w:szCs w:val="18"/>
                <w:u w:val="single"/>
              </w:rPr>
              <w:t>від_13 жовтня 2026 року № 1576</w:t>
            </w:r>
          </w:p>
        </w:tc>
      </w:tr>
    </w:tbl>
    <w:p>
      <w:pPr>
        <w:pStyle w:val="Normal"/>
        <w:tabs>
          <w:tab w:val="left" w:pos="12600" w:leader="none"/>
        </w:tabs>
        <w:jc w:val="center"/>
        <w:rPr>
          <w:rFonts w:ascii="Arial" w:hAnsi="Arial" w:cs="Arial"/>
          <w:sz w:val="16"/>
          <w:szCs w:val="16"/>
          <w:u w:val="single"/>
        </w:rPr>
      </w:pPr>
      <w:r>
        <w:rPr>
          <w:rFonts w:cs="Arial" w:ascii="Arial" w:hAnsi="Arial"/>
          <w:sz w:val="16"/>
          <w:szCs w:val="16"/>
          <w:u w:val="single"/>
        </w:rPr>
      </w:r>
    </w:p>
    <w:p>
      <w:pPr>
        <w:pStyle w:val="Normal"/>
        <w:keepNext w:val="true"/>
        <w:numPr>
          <w:ilvl w:val="0"/>
          <w:numId w:val="0"/>
        </w:numPr>
        <w:jc w:val="center"/>
        <w:outlineLvl w:val="1"/>
        <w:rPr>
          <w:rFonts w:ascii="Arial" w:hAnsi="Arial" w:cs="Arial"/>
          <w:b/>
          <w:b/>
          <w:caps/>
          <w:sz w:val="16"/>
          <w:szCs w:val="16"/>
          <w:u w:val="single"/>
        </w:rPr>
      </w:pPr>
      <w:r>
        <w:rPr>
          <w:rFonts w:cs="Arial" w:ascii="Arial" w:hAnsi="Arial"/>
          <w:b/>
          <w:caps/>
          <w:sz w:val="16"/>
          <w:szCs w:val="16"/>
          <w:u w:val="single"/>
        </w:rPr>
      </w:r>
    </w:p>
    <w:p>
      <w:pPr>
        <w:pStyle w:val="310"/>
        <w:jc w:val="center"/>
        <w:rPr>
          <w:b/>
          <w:b/>
          <w:caps/>
          <w:sz w:val="28"/>
          <w:szCs w:val="28"/>
          <w:lang w:eastAsia="uk-UA"/>
        </w:rPr>
      </w:pPr>
      <w:r>
        <w:rPr>
          <w:b/>
          <w:caps/>
          <w:sz w:val="28"/>
          <w:szCs w:val="28"/>
          <w:lang w:eastAsia="uk-UA"/>
        </w:rPr>
        <w:t>ПЕРЕЛІК</w:t>
      </w:r>
    </w:p>
    <w:p>
      <w:pPr>
        <w:pStyle w:val="11"/>
        <w:jc w:val="center"/>
        <w:rPr>
          <w:b/>
          <w:b/>
          <w:caps/>
          <w:sz w:val="28"/>
          <w:szCs w:val="28"/>
        </w:rPr>
      </w:pPr>
      <w:r>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pPr>
        <w:pStyle w:val="11"/>
        <w:jc w:val="center"/>
        <w:rPr>
          <w:rFonts w:ascii="Arial" w:hAnsi="Arial" w:cs="Arial"/>
        </w:rPr>
      </w:pPr>
      <w:r>
        <w:rPr>
          <w:rFonts w:cs="Arial" w:ascii="Arial" w:hAnsi="Arial"/>
        </w:rPr>
      </w:r>
    </w:p>
    <w:tbl>
      <w:tblPr>
        <w:tblW w:w="16313" w:type="dxa"/>
        <w:jc w:val="left"/>
        <w:tblInd w:w="-606"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6"/>
        <w:gridCol w:w="1561"/>
        <w:gridCol w:w="850"/>
        <w:gridCol w:w="992"/>
        <w:gridCol w:w="851"/>
        <w:gridCol w:w="1418"/>
        <w:gridCol w:w="992"/>
        <w:gridCol w:w="850"/>
        <w:gridCol w:w="1560"/>
        <w:gridCol w:w="708"/>
        <w:gridCol w:w="2694"/>
        <w:gridCol w:w="1134"/>
        <w:gridCol w:w="709"/>
        <w:gridCol w:w="1428"/>
      </w:tblGrid>
      <w:tr>
        <w:trPr>
          <w:tblHeader w:val="true"/>
        </w:trPr>
        <w:tc>
          <w:tcPr>
            <w:tcW w:w="56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56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56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70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69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i/>
                <w:i/>
                <w:sz w:val="16"/>
                <w:szCs w:val="16"/>
              </w:rPr>
            </w:pPr>
            <w:r>
              <w:rPr>
                <w:rFonts w:cs="Arial" w:ascii="Arial" w:hAnsi="Arial"/>
                <w:b/>
                <w:i/>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D-ГЛЮКОЗАМІНУ ГІДРОХЛОРИД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glucosamine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пакетах поліетиленових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Жеджіанг Жоушан Путуо Ксінксінг Фармас Ко., Лтд.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(інші зміни) - зміни у МКЯ в зв’язку з оновленням мастер-файла виробника субстанції до версії November 2025, Ph. Eur. Розділи СПЕЦИФІКАЦІЯ та МЕТОДИ КОНТРОЛЮ приведено відповідно матеріалам виробника. За показником "Кількісне визначення. Глюкозаміну гідрохлорид" пропонована редакція "Субстанція містить від 98,0 % до 102,0 % глюкозаміну гідрохлориду, у перерахунку на суху речовину". Уточнення у розділах МАРКУВАННЯ та УМОВИ ЗБЕРІГАННЯ. </w:t>
              <w:br/>
              <w:t xml:space="preserve">Діюча версія: April 2014, USP. Запропонована версія: November 2025, Ph. Eur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UA/14327/01/01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АВАСТИН®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bevacizumab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бевацизумаб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L01FG01 </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100 мг/4 мл; по 4 мл (100 мг) або 16 мл (400 мг)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вторинне пакування, випробування контролю якості та випуск серії:</w:t>
              <w:br/>
              <w:t>Рош Діагностикс ГмбХ, Німеччина; Виробництво нерозфасованої продукції, первинне пакування, вторинне пакування, випробування контролю якості та випуск серії: Ф.Хоффманн-Ля Рош Лтд, Швейцарія; Виробництво нерозфасованої продукції, первинне пакування:</w:t>
              <w:br/>
              <w:t>Дженентек Інк., США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 США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МС-детектуванням.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АВЕРО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betahistine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бетагістину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16 мг, по 10 таблеток у блістері; по 3 блістери у картонній коробці; по 15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виробничий цикл: виробництво, первинне пакування, вторинне пакування, контроль якості та випуск серії:</w:t>
              <w:br/>
              <w:t>Фармацевтичний завод «ПОЛЬФАРМА» С. 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змін у виробничий процес ГЛЗ для дозування 8 мг та 16 мг, а саме: заміна розчинника для грануляції з води очищеної на етанол. Зміна заявляється в рамках заходів щодо визначення причин та вжиття коригувальних заходів для зниження рівня N-нітрозобетагістину. </w:t>
            </w:r>
          </w:p>
          <w:p>
            <w:pPr>
              <w:pStyle w:val="Normal"/>
              <w:tabs>
                <w:tab w:val="left" w:pos="12600" w:leader="none"/>
              </w:tabs>
              <w:jc w:val="center"/>
              <w:rPr/>
            </w:pPr>
            <w:r>
              <w:rPr>
                <w:rFonts w:cs="Arial" w:ascii="Arial" w:hAnsi="Arial"/>
                <w:color w:val="000000"/>
                <w:sz w:val="16"/>
                <w:szCs w:val="16"/>
              </w:rP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внесення змін до Специфікації ГЛЗ для дозувань 8 мг, 16 мг, 24 мг, зокрема: доповнення показником якості "Залишок етанолу" з відповідним методом випробування. Зазначення примітк щодо частоти проведенян контролю за даним показником. Діюча редакція Показник «Залишок етанолу» відсутній. Пропонована редакція Залишок етанолу (ГХ)</w:t>
            </w:r>
            <w:r>
              <w:rPr>
                <w:rFonts w:cs="Arial" w:ascii="Arial" w:hAnsi="Arial"/>
                <w:color w:val="000000"/>
                <w:sz w:val="16"/>
                <w:szCs w:val="16"/>
                <w:vertAlign w:val="superscript"/>
              </w:rPr>
              <w:t>2</w:t>
            </w:r>
            <w:r>
              <w:rPr>
                <w:rFonts w:cs="Arial" w:ascii="Arial" w:hAnsi="Arial"/>
                <w:color w:val="000000"/>
                <w:sz w:val="16"/>
                <w:szCs w:val="16"/>
              </w:rPr>
              <w:t>– не більше 0,5%</w:t>
            </w:r>
          </w:p>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t>2 – Рутинне випробування для перших 3 промислових серій, потім періодичне випробування (частота випробувань – кожна 10-та серія), але не рідше ніж одна серія на рік. Не перевірялося під час досліджень стабільності. Серії, що присутні на ринку мають відповідати вимогам специфікації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UA/18917/01/02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АВЕРО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betahistine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бетагістину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24 мг, по 10 таблеток у блістері; по 3 або 6 блістерів у картонній коробці; по 15 таблеток у блістері; по 2 або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виробничий цикл: виробництво, первинне пакування, вторинне пакування, контроль якості та випуск серії:</w:t>
              <w:br/>
              <w:t>Фармацевтичний завод «ПОЛЬФАРМА» С. 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змін у виробничий процес ГЛЗ для дозування 24 мг, а саме: заміна розчинника для грануляції з води очищеної на етанол. Зміна заявляється в рамках заходів щодо визначення причин та вжиття коригувальних заходів для зниження рівня N-нітрозобетагістину.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внесення змін до Специфікації ГЛЗ для дозувань 8 мг, 16 мг, 24 мг, зокрема: доповнення показником якості "Залишок етанолу" з відповідним методом випробування. Зазначення примітк щодо частоти проведенян контролю за даним показником. Діюча редакція Показник «Залишок етанолу» відсутній. Пропонована редакція Залишок етанолу (ГХ)</w:t>
            </w:r>
            <w:r>
              <w:rPr>
                <w:rFonts w:cs="Arial" w:ascii="Arial" w:hAnsi="Arial"/>
                <w:color w:val="000000"/>
                <w:sz w:val="16"/>
                <w:szCs w:val="16"/>
                <w:vertAlign w:val="superscript"/>
              </w:rPr>
              <w:t>2</w:t>
            </w:r>
            <w:r>
              <w:rPr>
                <w:rFonts w:cs="Arial" w:ascii="Arial" w:hAnsi="Arial"/>
                <w:color w:val="000000"/>
                <w:sz w:val="16"/>
                <w:szCs w:val="16"/>
              </w:rPr>
              <w:t xml:space="preserve">– не більше 0,5% </w:t>
            </w:r>
          </w:p>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t>2 – Рутинне випробування для перших 3 промислових серій, потім періодичне випробування (частота випробувань – кожна 10-та серія), але не рідше ніж одна серія на рік. Не перевірялося під час досліджень стабільності. Серії, що присутні на ринку мають відповідати вимогам специфікації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UA/18917/01/03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АВЕРО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betahistine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бетагістину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 по 10 таблеток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виробничий цикл: виробництво, первинне пакування, вторинне пакування, контроль якості та випуск серії:</w:t>
              <w:br/>
              <w:t>Фармацевтичний завод «ПОЛЬФАРМА» С. 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змін у виробничий процес ГЛЗ для дозування 8 мг та 16 мг, а саме: заміна розчинника для грануляції з води очищеної на етанол. Зміна заявляється в рамках заходів щодо визначення причин та вжиття коригувальних заходів для зниження рівня N-нітрозобетагістину. </w:t>
            </w:r>
          </w:p>
          <w:p>
            <w:pPr>
              <w:pStyle w:val="Normal"/>
              <w:tabs>
                <w:tab w:val="left" w:pos="12600" w:leader="none"/>
              </w:tabs>
              <w:jc w:val="center"/>
              <w:rPr/>
            </w:pPr>
            <w:r>
              <w:rPr>
                <w:rFonts w:cs="Arial" w:ascii="Arial" w:hAnsi="Arial"/>
                <w:color w:val="000000"/>
                <w:sz w:val="16"/>
                <w:szCs w:val="16"/>
              </w:rP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внесення змін до Специфікації ГЛЗ для дозувань 8 мг, 16 мг, 24 мг, зокрема: доповнення показником якості "Залишок етанолу" з відповідним методом випробування. Зазначення примітк щодо частоти проведенян контролю за даним показником. Діюча редакція Показник «Залишок етанолу» відсутній. Пропонована редакція Залишок етанолу (ГХ)</w:t>
            </w:r>
            <w:r>
              <w:rPr>
                <w:rFonts w:cs="Arial" w:ascii="Arial" w:hAnsi="Arial"/>
                <w:color w:val="000000"/>
                <w:sz w:val="16"/>
                <w:szCs w:val="16"/>
                <w:vertAlign w:val="superscript"/>
              </w:rPr>
              <w:t>2</w:t>
            </w:r>
            <w:r>
              <w:rPr>
                <w:rFonts w:cs="Arial" w:ascii="Arial" w:hAnsi="Arial"/>
                <w:color w:val="000000"/>
                <w:sz w:val="16"/>
                <w:szCs w:val="16"/>
              </w:rPr>
              <w:t>– не більше 0,5%</w:t>
            </w:r>
          </w:p>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t>2 – Рутинне випробування для перших 3 промислових серій, потім періодичне випробування (частота випробувань – кожна 10-та серія), але не рідше ніж одна серія на рік. Не перевірялося під час досліджень стабільності. Серії, що присутні на ринку мають відповідати вимогам специфікації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АГРЕТА®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ticagrelor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тикагрелор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B01AC24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 мг; по 10 таблеток у блістері; по 6 блістерів у пачці; по 14 таблеток у блістері; по 4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для дозування 60 мг у розділи "Особливості застосування", "Спосіб застосування та дози"  згідно з інформацією щодо медичного застосування референтного лікарського засобу (БРИЛІНТА, таблетки, вкриті плівкою оболонкою).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Зміна кількості одиниць таблеток пов’язане з рішенням виробника: Зміни внесено до інструкції для медичного застосування лікарського засобу у розділ "Упаковка" з відповідними змінами в тексті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(інші зміни) Оновлення п. 4, п.16, п. 17 тексту маркування вторинної упаковки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АГРЕТА®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ticagrelor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тикагрелор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B01AC24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90 мг; по 10 таблеток у блістері; по 6 блістерів у пачці; по 14 таблеток у блістері; по 4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для дозування 90 мг у розділи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(БРИЛІНТА, таблетки, вкриті плівкою оболонкою).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Зміна кількості одиниць таблеток пов’язане з рішенням виробника: Зміни внесено до інструкції для медичного застосування лікарського засобу у розділ "Упаковка" з відповідними змінами в тексті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(інші зміни) Оновлення п. 4, п.16, п. 17 тексту маркування вторинної упаковки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АЗАЛЕПТОЛ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clozapine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клозапін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N05AH02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5 блістерів у пачці з картону; по 50 таблеток у контейнері; по 1 контейнеру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виробників АФІ клозапін «Taizhou Xingming Pharmaceutical Co., Ltd.», Китай та "Zhejiang WanBang Pharmaceutical Co., Ltd.", Китай. </w:t>
            </w:r>
          </w:p>
          <w:p>
            <w:pPr>
              <w:pStyle w:val="Normal"/>
              <w:tabs>
                <w:tab w:val="left" w:pos="12600" w:leader="none"/>
              </w:tabs>
              <w:jc w:val="center"/>
              <w:rPr/>
            </w:pPr>
            <w:r>
              <w:rPr>
                <w:rFonts w:cs="Arial" w:ascii="Arial" w:hAnsi="Arial"/>
                <w:color w:val="000000"/>
                <w:sz w:val="16"/>
                <w:szCs w:val="16"/>
              </w:rPr>
              <w:t>Затверджено</w:t>
            </w:r>
            <w:r>
              <w:rPr>
                <w:rFonts w:cs="Arial" w:ascii="Arial" w:hAnsi="Arial"/>
                <w:color w:val="000000"/>
                <w:sz w:val="16"/>
                <w:szCs w:val="16"/>
                <w:lang w:val="en-US"/>
              </w:rPr>
              <w:t xml:space="preserve">: </w:t>
            </w:r>
            <w:r>
              <w:rPr>
                <w:rFonts w:cs="Arial" w:ascii="Arial" w:hAnsi="Arial"/>
                <w:color w:val="000000"/>
                <w:sz w:val="16"/>
                <w:szCs w:val="16"/>
              </w:rPr>
              <w:t>фірма</w:t>
            </w:r>
            <w:r>
              <w:rPr>
                <w:rFonts w:cs="Arial" w:ascii="Arial" w:hAnsi="Arial"/>
                <w:color w:val="000000"/>
                <w:sz w:val="16"/>
                <w:szCs w:val="16"/>
                <w:lang w:val="en-US"/>
              </w:rPr>
              <w:t xml:space="preserve"> Taizhou Xingming Pharmaceutical Co., Ltd., China, </w:t>
            </w:r>
            <w:r>
              <w:rPr>
                <w:rFonts w:cs="Arial" w:ascii="Arial" w:hAnsi="Arial"/>
                <w:color w:val="000000"/>
                <w:sz w:val="16"/>
                <w:szCs w:val="16"/>
              </w:rPr>
              <w:t>фірма</w:t>
            </w:r>
            <w:r>
              <w:rPr>
                <w:rFonts w:cs="Arial" w:ascii="Arial" w:hAnsi="Arial"/>
                <w:color w:val="000000"/>
                <w:sz w:val="16"/>
                <w:szCs w:val="16"/>
                <w:lang w:val="en-US"/>
              </w:rPr>
              <w:t xml:space="preserve"> Zhejiang WanBang Pharmaceutical Co., Ltd., China, </w:t>
            </w:r>
          </w:p>
          <w:p>
            <w:pPr>
              <w:pStyle w:val="Normal"/>
              <w:tabs>
                <w:tab w:val="left" w:pos="12600" w:leader="none"/>
              </w:tabs>
              <w:jc w:val="center"/>
              <w:rPr/>
            </w:pPr>
            <w:r>
              <w:rPr>
                <w:rFonts w:cs="Arial" w:ascii="Arial" w:hAnsi="Arial"/>
                <w:color w:val="000000"/>
                <w:sz w:val="16"/>
                <w:szCs w:val="16"/>
              </w:rPr>
              <w:t>фірма</w:t>
            </w:r>
            <w:r>
              <w:rPr>
                <w:rFonts w:cs="Arial" w:ascii="Arial" w:hAnsi="Arial"/>
                <w:color w:val="000000"/>
                <w:sz w:val="16"/>
                <w:szCs w:val="16"/>
                <w:lang w:val="en-US"/>
              </w:rPr>
              <w:t xml:space="preserve"> Shouguang Fukang Pharmaceutical Co., Ltd., China. </w:t>
            </w:r>
            <w:r>
              <w:rPr>
                <w:rFonts w:cs="Arial" w:ascii="Arial" w:hAnsi="Arial"/>
                <w:color w:val="000000"/>
                <w:sz w:val="16"/>
                <w:szCs w:val="16"/>
              </w:rPr>
              <w:t>Запропоновано</w:t>
            </w:r>
            <w:r>
              <w:rPr>
                <w:rFonts w:cs="Arial" w:ascii="Arial" w:hAnsi="Arial"/>
                <w:color w:val="000000"/>
                <w:sz w:val="16"/>
                <w:szCs w:val="16"/>
                <w:lang w:val="en-US"/>
              </w:rPr>
              <w:t xml:space="preserve">: </w:t>
            </w:r>
            <w:r>
              <w:rPr>
                <w:rFonts w:cs="Arial" w:ascii="Arial" w:hAnsi="Arial"/>
                <w:color w:val="000000"/>
                <w:sz w:val="16"/>
                <w:szCs w:val="16"/>
              </w:rPr>
              <w:t>фірма</w:t>
            </w:r>
            <w:r>
              <w:rPr>
                <w:rFonts w:cs="Arial" w:ascii="Arial" w:hAnsi="Arial"/>
                <w:color w:val="000000"/>
                <w:sz w:val="16"/>
                <w:szCs w:val="16"/>
                <w:lang w:val="en-US"/>
              </w:rPr>
              <w:t xml:space="preserve"> Shouguang Fukang Pharmaceutical Co., Ltd., China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UA/6059/01/02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АЗАЛЕПТОЛ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clozapine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клозапін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N05AH02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25 мг, по 10 таблеток у блістері; по 5 блістерів у пачці з картону; по 50 таблеток у контейнері; по 1 контейнеру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виробників АФІ клозапін «Taizhou Xingming Pharmaceutical Co., Ltd.», Китай та "Zhejiang WanBang Pharmaceutical Co., Ltd.", Китай. </w:t>
            </w:r>
          </w:p>
          <w:p>
            <w:pPr>
              <w:pStyle w:val="Normal"/>
              <w:tabs>
                <w:tab w:val="left" w:pos="12600" w:leader="none"/>
              </w:tabs>
              <w:jc w:val="center"/>
              <w:rPr/>
            </w:pPr>
            <w:r>
              <w:rPr>
                <w:rFonts w:cs="Arial" w:ascii="Arial" w:hAnsi="Arial"/>
                <w:color w:val="000000"/>
                <w:sz w:val="16"/>
                <w:szCs w:val="16"/>
              </w:rPr>
              <w:t>Затверджено</w:t>
            </w:r>
            <w:r>
              <w:rPr>
                <w:rFonts w:cs="Arial" w:ascii="Arial" w:hAnsi="Arial"/>
                <w:color w:val="000000"/>
                <w:sz w:val="16"/>
                <w:szCs w:val="16"/>
                <w:lang w:val="en-US"/>
              </w:rPr>
              <w:t xml:space="preserve">: </w:t>
            </w:r>
            <w:r>
              <w:rPr>
                <w:rFonts w:cs="Arial" w:ascii="Arial" w:hAnsi="Arial"/>
                <w:color w:val="000000"/>
                <w:sz w:val="16"/>
                <w:szCs w:val="16"/>
              </w:rPr>
              <w:t>фірма</w:t>
            </w:r>
            <w:r>
              <w:rPr>
                <w:rFonts w:cs="Arial" w:ascii="Arial" w:hAnsi="Arial"/>
                <w:color w:val="000000"/>
                <w:sz w:val="16"/>
                <w:szCs w:val="16"/>
                <w:lang w:val="en-US"/>
              </w:rPr>
              <w:t xml:space="preserve"> Taizhou Xingming Pharmaceutical Co., Ltd., China, </w:t>
            </w:r>
            <w:r>
              <w:rPr>
                <w:rFonts w:cs="Arial" w:ascii="Arial" w:hAnsi="Arial"/>
                <w:color w:val="000000"/>
                <w:sz w:val="16"/>
                <w:szCs w:val="16"/>
              </w:rPr>
              <w:t>фірма</w:t>
            </w:r>
            <w:r>
              <w:rPr>
                <w:rFonts w:cs="Arial" w:ascii="Arial" w:hAnsi="Arial"/>
                <w:color w:val="000000"/>
                <w:sz w:val="16"/>
                <w:szCs w:val="16"/>
                <w:lang w:val="en-US"/>
              </w:rPr>
              <w:t xml:space="preserve"> Zhejiang WanBang Pharmaceutical Co., Ltd., China, </w:t>
            </w:r>
          </w:p>
          <w:p>
            <w:pPr>
              <w:pStyle w:val="Normal"/>
              <w:tabs>
                <w:tab w:val="left" w:pos="12600" w:leader="none"/>
              </w:tabs>
              <w:jc w:val="center"/>
              <w:rPr/>
            </w:pPr>
            <w:r>
              <w:rPr>
                <w:rFonts w:cs="Arial" w:ascii="Arial" w:hAnsi="Arial"/>
                <w:color w:val="000000"/>
                <w:sz w:val="16"/>
                <w:szCs w:val="16"/>
              </w:rPr>
              <w:t>фірма</w:t>
            </w:r>
            <w:r>
              <w:rPr>
                <w:rFonts w:cs="Arial" w:ascii="Arial" w:hAnsi="Arial"/>
                <w:color w:val="000000"/>
                <w:sz w:val="16"/>
                <w:szCs w:val="16"/>
                <w:lang w:val="en-US"/>
              </w:rPr>
              <w:t xml:space="preserve"> Shouguang Fukang Pharmaceutical Co., Ltd., China. </w:t>
            </w:r>
            <w:r>
              <w:rPr>
                <w:rFonts w:cs="Arial" w:ascii="Arial" w:hAnsi="Arial"/>
                <w:color w:val="000000"/>
                <w:sz w:val="16"/>
                <w:szCs w:val="16"/>
              </w:rPr>
              <w:t>Запропоновано</w:t>
            </w:r>
            <w:r>
              <w:rPr>
                <w:rFonts w:cs="Arial" w:ascii="Arial" w:hAnsi="Arial"/>
                <w:color w:val="000000"/>
                <w:sz w:val="16"/>
                <w:szCs w:val="16"/>
                <w:lang w:val="en-US"/>
              </w:rPr>
              <w:t xml:space="preserve">: </w:t>
            </w:r>
            <w:r>
              <w:rPr>
                <w:rFonts w:cs="Arial" w:ascii="Arial" w:hAnsi="Arial"/>
                <w:color w:val="000000"/>
                <w:sz w:val="16"/>
                <w:szCs w:val="16"/>
              </w:rPr>
              <w:t>фірма</w:t>
            </w:r>
            <w:r>
              <w:rPr>
                <w:rFonts w:cs="Arial" w:ascii="Arial" w:hAnsi="Arial"/>
                <w:color w:val="000000"/>
                <w:sz w:val="16"/>
                <w:szCs w:val="16"/>
                <w:lang w:val="en-US"/>
              </w:rPr>
              <w:t xml:space="preserve"> Shouguang Fukang Pharmaceutical Co., Ltd., China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UA/6059/01/01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АЗАЦИТИДИН АККОРД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azacitidine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азацитидин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L01BC07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приготування суспензії для ін'єкцій, 25 мг/мл, по 100 мг у флаконі; по 1 флакону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Інтас Фармасьютікалс Лімітед, Індія; виробництво лікарського засобу, первинне та вторинне пакування: Інтас Фармасьютікалс Лімітед, Індія; контроль якості: мікробіологічні методи (стерильні і нестерильні): Фармавалід Кфт., Угорщина; контроль якості: (хімічні/фізичні методи): Фармадокс Хелскеа Лімітед, Мальта; відповідальний за випуск серії: Аккорд Хелскеа Полска Сп. з o.o. Склад Імпортера, Польща; вторинне пакування, контроль якості серії:</w:t>
              <w:br/>
              <w:t xml:space="preserve">Аккорд Хелскеа Сінгл Мембер С.А., Греція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 Мальта/ Польща/ Греція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АЗИТРОМІЦИН ЄВРО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azithromycin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азитроміцину дигідрат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J01FA10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250 мг; по 6 таблеток у блістері; по 1 блістеру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UA/7280/01/02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АЗИТРОМІЦИН ЄВРО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азитроміцину дигідрат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J01FA10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3 таблетки у блістері; по 1 блістеру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UA/7280/01/03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АКТЕМРА®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tocilizumab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тоцилізумаб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L04AC07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80 мг/4 мл або 200 мг/10 мл, або 400 мг/20 мл у флаконі; по 1 або 4 флакони у картонній коробці з маркуванням українською мовою; по 80 мг/4 мл або 200 мг/10 мл, або 400 мг/20 мл у флаконі; по 1 або 4 флакони у картонній коробці з маркуванням англійською, французькою та арабською мовами зі стикером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Чугай Фарма Мануфектуринг Ко. Лтд, Японія; </w:t>
              <w:br/>
              <w:t>Виробництво нерозфасованої продукції (для упаковки по 400 мг/20 мл), випробування контролю якості (для упаковки по 400 мг/20 мл): Дженентек Інк., США;</w:t>
              <w:br/>
              <w:t>Випробування контролю якості (для упаковки по 400 мг/20 мл): Лонза Мануфектуринг ЛЛС, США;</w:t>
              <w:br/>
              <w:t>Вторине пакування, випробування контролю якості, випуск серії: Ф.Хоффманн-Ля Рош Лтд, Швейцарія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Японія/ США/ 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МС-детектуванням.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АКТЕМРА®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tocilizumab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тоцилізумаб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L04AC07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162 мг/0,9 мл; 4 попередньо наповнених шприца (кожен об’ємом 1 мл) у картонній коробці з маркуванням українською мовою; 4 попередньо наповнених шприца (кожен об’ємом 1 мл) у картонній коробці з маркуванням англійською, французькою та арабською мовами зі стикером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контроль в процесі виробництва, випробування на стерильність та бактеріальні ендотоксини: Веттер Фарма-Фертигунг ГмбХ і Ко КГ, Німеччина; Випробування на стерильність та бактеріальні ендотоксини, візуальний контроль в процесі виробництва: Веттер Фарма-Фертигунг ГмбХ і Ко КГ, Німеччина; Веттер Фарма-Фертигунг ГмбХ і Ко КГ, Німеччина; Візуальний контроль в процесі виробництва: Веттер Фарма-Фертигунг ГмбХ і Ко КГ, Німеччина; Вторинне пакування, випробування контролю якості (крім випробування на стерильність та бактеріальні ендотоксини), випуск серії: Ф.Хоффманн-Ля Рош Лтд, Швейцарія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МС-детектуванням.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UA/13909/02/01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АКТЕМРА®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tocilizumab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тоцилізумаб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L04AC07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80 мг/4 мл або 200 мг/10 мл, або 400 мг/20 мл у флаконі; по 1 або 4 флакони у картонній коробці з маркуванням українською мовою; по 80 мг/4 мл або 200 мг/10 мл, або 400 мг/20 мл у флаконі; по 1 або 4 флакони у картонній коробці з маркуванням англійською, французькою та арабською мовами зі стикером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Чугай Фарма Мануфектуринг Ко. Лтд, Японія; Виробництво нерозфасованої продукції (для упаковки по 400 мг/20 мл), випробування контролю якості (для упаковки по 400 мг/20 мл):</w:t>
              <w:br/>
              <w:t>Дженентек Інк., США; Випробування контролю якості (для упаковки по 400 мг/20 мл): Лонза Мануфектуринг ЛЛС, США; Вторине пакування, випробування контролю якості, випуск серії: Ф.Хоффманн-Ля Рош Лтд, Швейцарія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Японія/ США/ 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Інші зміни, які не ввійшли у цей розділ, які включають подання результатів досліджень до компетентного органу. Інформація щодо системи управління ризиками </w:t>
              <w:br/>
              <w:t xml:space="preserve">На підставі результатів клінічного огляду (RABBIT) та погодження Комітету з оцінки ризиків у фармаконагляді (PRAC) у рамках процедури PSUSA 0002980/202204, представлені зміни до плану управління ризиками версія 30.4, можуть бути рекомендовані до затвердження. Заявником надано оновлений план управління ризиками версія 30.4 </w:t>
              <w:br/>
              <w:t xml:space="preserve">Зміни внесено до частин: </w:t>
              <w:br/>
              <w:t xml:space="preserve">ІІ «Специфікація з безпеки» </w:t>
              <w:br/>
              <w:t xml:space="preserve">ІІІ «План з фармаконагляду» </w:t>
              <w:br/>
              <w:t xml:space="preserve">V «Заходи з мінімізації ризиків» </w:t>
              <w:br/>
              <w:t xml:space="preserve">VI «Резюме плану управління ризиками» </w:t>
              <w:br/>
              <w:t xml:space="preserve">VII «Додатки» </w:t>
              <w:br/>
              <w:t>Резюме оновленого Плану управління ризиками версія 30.4 додається.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АЛЕРГОДИЛ®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azelastine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азеластину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R01AC03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1 мг/мл, по 10 мл у флаконі з нагвинченим розпилювачем; по 1 флакону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Хелскеа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нерозфасованої продукції, первинне та вторинне пакування, контроль якості та випуск серії:</w:t>
              <w:br/>
              <w:t>МАДАУС ГмбХ</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UA/4072/02/01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АЛЬБУМІН ЛЮДИНИ 200 Г/Л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albumin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альбумін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B05AA01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200 г/л; по 50 мл або по 100 мл розчину у пляшці; по 1 пляшці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Вилучення із специфікації ГЛЗ показника «Пірогени», який проводився у разі перевищення лімітів мікробного навантаження.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ЧАРЛЬЗ РІВЕР ЛАБОРАТОРІЗ ФРАНЦІЯ – ЧРЛФ, Франція, як дільниці, відповідальної за контроль якості готового лікарського засобу за показником «Пірогени».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ЕУРОФІНС БІОЛАБ СРЛ, Італія, як дільниці, відповідальної за контроль якості готового лікарського засобу за показником «Пірогени»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АЛЬБУНОРМ 20 %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albumin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альбумін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B05AA01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200 г/л; по 50 мл або 100 мл розчину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in-bulk, первинну упаковку, контроль якості, вторинну упаковку, візуальна інспекція, маркування, випуск серії: Октафарма Фармацевтика Продуктіонсгес. м.б.Х., Австрія; виробник, відповідальний за виробництво in-bulk, первинну упаковку, контроль якості, випуск серії: Октафарма АБ, Швеція; виробник, відповідальний за виробництво in-bulk, первинну упаковку, контроль якості, випуск серії: Октафарма, Франція; виробник, відповідальний за виробництво in-bulk, первинну упаковку, контроль якості, випуск серії: Октафарма Продуктіонсгеселшафт Дойчланд мбХ, Німеччина; виробник, відповідальний за візуальний контроль, маркування та вторинну упаковку: Октафарма Дессау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 Швеція/ Франція/ 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Стерильні лікарські засоби та лікарські засоби біологічного/імунологічного походження - Зміна передбачає введення додаткового постачальника 32 мм бромбутилових пробок Aptar Stelmi для забезпечення безперервності виробництва та зниження ризиків у ланцюгу постачання. Відповідні зміни внесено до розділу 3.2.P.7 «Система контейнер/закупорювальний засіб» реєстраційного досьє</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АЛЬБУНОРМ 25 %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albumin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альбумін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B05AA01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інфузій, 250 г/л; по 50 мл або 100 мл розчину у флаконі, по 1 флакону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in-bulk, первинну упаковку, контроль якості, вторинну упаковку, візуальна інспекція, маркування, випуск серії: Октафарма Фармацевтика Продуктіонсгес. м.б.Х., Австрія; виробник, відповідальний за виробництво in-bulk, первинну упаковку, контроль якості, випуск серії: Октафарма АБ, Швеція; виробник, відповідальний за виробництво in-bulk, первинну упаковку, контроль якості, випуск серії: Октафарма, Франція; виробник, відповідальний за виробництво in-bulk, первинну упаковку, контроль якості, випуск серії: Октафарма Продуктіонсгеселшафт Дойчланд мбХ, Німеччина; виробник, відповідальний за візуальний контроль, маркування та вторинну упаковку: Октафарма Дессау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 Швеція/ Франція/ 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Стерильні лікарські засоби та лікарські засоби біологічного/імунологічного походження - Зміна передбачає введення додаткового постачальника 32 мм бромбутилових пробок Aptar Stelmi для забезпечення безперервності виробництва та зниження ризиків у ланцюгу постачання. Відповідні зміни внесено до розділу 3.2.P.7 «Система контейнер/закупорювальний засіб» реєстраційного досьє</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UA/17703/01/02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АЛЬБУНОРМ 5 %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albumin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альбумін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B05AA01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50 г/л; по 100 мл, 250 мл або 500 мл розчину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in-bulk, первинну упаковку, контроль якості, вторинну упаковку, візуальна інспекція, маркування, випуск серії: Октафарма Фармацевтика Продуктіонсгес. м.б.Х., Австрія; виробник, відповідальний за виробництво in-bulk, первинну упаковку, контроль якості, випуск серії: Октафарма АБ, Швеція; виробник, відповідальний за виробництво in-bulk, первинну упаковку, контроль якості, випуск серії: Октафарма, Франція; виробник, відповідальний за виробництво in-bulk, первинну упаковку, контроль якості, випуск серії: Октафарма Продуктіонсгеселшафт Дойчланд мбХ, Німеччина; виробник, відповідальний за візуальний контроль, маркування та вторинну упаковку: Октафарма Дессау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 Швеція/ Франція/ 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Стерильні лікарські засоби та лікарські засоби біологічного/імунологічного походження - Зміна передбачає введення додаткового постачальника 32 мм бромбутилових пробок Aptar Stelmi для забезпечення безперервності виробництва та зниження ризиків у ланцюгу постачання. Відповідні зміни внесено до розділу 3.2.P.7 «Система контейнер/закупорювальний засіб» реєстраційного досьє</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UA/17703/01/03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АЛЬФАРЕКІН®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interferon alfa-2b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інтерферон альфа-2b рекомбінантний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L03AB05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3 млн МО; 10 флаконів з ліофілізатом у пластиковій касеті; по 1 пластиковій касеті в картонній коробці; 1 флакон з ліофілізатом в комплекті з 1 ампулою розчинника (вода для ін'єкцій) по 2 мл у пластиковій касеті; по 1 пластиковій касеті в картонній коробці; 5 флаконів з ліофілізатом в комплекті з 5 ампулами розчинника (вода для ін'єкцій) по 2 мл у пластиковій касеті; по 1 пластиковій касеті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контроль якості, випуск серії готового лікарського засобу: ТОВ "ВАЛАРТІН ФАРМА", Україна; виробництво за повним циклом, контроль якості, випуск серії готового лікарського засобу: ТОВ "Науково-виробнича компанія "Інтерфармбіотек", 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(інші зміни) - оновлення розділу 3.2.S Активний фармацевтичний інгредієнт" Модуля 3 реєстраційного досьє у зв'язку з реєстрацією діючої речовини Інтерферон альфа-2b рекомбінантний людини (РП № UA/20588/01/01 від 09.09.2024 p.)</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UA/14777/01/02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АЛЬФАРЕКІН®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interferon alfa-2b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інтерферон альфа-2b рекомбінантний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L03AB05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 млн МО; 10 флаконів з ліофілізатом у пластиковій касеті; по 1 пластиковій касеті в картонній коробці; 1 флакон з ліофілізатом в комплекті з 1 ампулою розчинника (вода для ін'єкцій) по 2 мл у пластиковій касеті; по 1 пластиковій касеті в картонній коробці; 5 флаконів з ліофілізатом в комплекті з 5 ампулами розчинника (вода для ін'єкцій) по 2 мл у пластиковій касеті; по 1 пластиковій касеті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контроль якості, випуск серії готового лікарського засобу: ТОВ "ВАЛАРТІН ФАРМА", Україна; виробництво за повним циклом, контроль якості, випуск серії готового лікарського засобу: ТОВ "Науково-виробнича компанія "Інтерфармбіотек", 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(інші зміни) - оновлення розділу 3.2.S Активний фармацевтичний інгредієнт" Модуля 3 реєстраційного досьє у зв'язку з реєстрацією діючої речовини Інтерферон альфа-2b рекомбінантний людини (РП № UA/20588/01/01 від 09.09.2024 p.)</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АМОКСИКЛАВ®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(250 мг/62,5 мг в 5 мл); по 15,8 г порошку у флаконі (для 100 мл суспензії), по 1 флакону разом з мірною ложкою або мірним шприцем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 - Виробнича дільниця Антиінфекційні ГЛЗ та Хімічні Операції Кундль (АІХО ГЛЗ Кундль)</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3.2 </w:t>
              <w:br/>
              <w:t>Зміни внесено до частин:</w:t>
              <w:br/>
              <w:t xml:space="preserve">І «Загальна інформація», </w:t>
              <w:br/>
              <w:t>II «Специфікація з безпеки»,</w:t>
              <w:br/>
              <w:t xml:space="preserve">III «План з фармаконагляду», </w:t>
              <w:br/>
              <w:t xml:space="preserve">IV» Плани щодо післяреєстраційних досліджень ефективності», </w:t>
              <w:br/>
              <w:t xml:space="preserve">V «Заходи з мінімізації ризиків», </w:t>
              <w:br/>
              <w:t xml:space="preserve">VI «Резюме плану управління ризиками», </w:t>
              <w:br/>
              <w:t xml:space="preserve">VII «Додатки» у зв’язку з оновленням специфікації з безпеки відповідно до актуальної референтної інформації про важливі ризики та заходи щодо управління ними, а також у зв'язку з видаленням торговельних назв для країн, окрім Австрії (процедура АТ/Н/1268-1269-1270/001/DC). </w:t>
              <w:br/>
              <w:t>Резюме плану управління ризиками версія 3.2 додається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UA/7064/02/01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АМОКСИКЛАВ® 2S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(400 мг/57 мг в 5 мл); по 5,70 г (35 мл ) або по 11,0 г (70 мл) порошку у флаконі; по 1 флакону разом з мірною ложкою або мірним шприцем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 - Виробнича дільниця Антиінфекційні ГЛЗ та Хімічні Операції Кундль (АІХО ГЛЗ Кундль)</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3.2 </w:t>
              <w:br/>
              <w:t xml:space="preserve">Зміни внесено до частин: </w:t>
              <w:br/>
              <w:t xml:space="preserve">І «Загальна інформація», </w:t>
              <w:br/>
              <w:t xml:space="preserve">II «Специфікація з безпеки», </w:t>
              <w:br/>
              <w:t xml:space="preserve">III «План з фармаконагляду», </w:t>
              <w:br/>
              <w:t xml:space="preserve">IV»Плани щодо післяреєстраційних досліджень ефективності», </w:t>
              <w:br/>
              <w:t xml:space="preserve">V «Заходи з мінімізації ризиків», </w:t>
              <w:br/>
              <w:t xml:space="preserve">VI «Резюме плану управління ризиками» </w:t>
              <w:br/>
              <w:t xml:space="preserve">VII «Додатки» </w:t>
              <w:br/>
              <w:t xml:space="preserve">у зв’язку з оновленням специфікації з безпеки діючих речовин амоксициліну тригідрату/калію клавуланату, відповідно до актуальної референтної інформації про важливі ризики та заходи щодо управління ними. </w:t>
              <w:br/>
              <w:t>Резюме плану управління ризиками версія 3.2 додається.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АМОКСИКЛАВ® КВІКТАБ</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та кислота клавуланова у формі калієвої солі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875 мг/125 мг; по 5 таблеток у блістері, по 2 блістери у картонній коробці; по 7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 – Виробнича дільниця Антиінфекційні ГЛЗ та Хімічні Операції Кундль (АІХО ГЛЗ Кундль)</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3.2 Зміни внесено до частин: I «Загальна інформація» , VI «Резюме плану управління ризиками» на основі приведення у відповідність до ПУР референтного лікарського засобу Аугментин. Резюме Плану управління ризиками версія 3.2 додається.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UA/3011/04/01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АНАЛЬГІН ДЛЯ ДІТЕЙ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metamizole sodium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метамізол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0,25 г; по 5 супозиторіїв у блістері, по 2 блістери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а саме: вилучено інформацію, зазначену російською мовою, внесено зміни у текст маркування первинної (п. 1, 2, 6) та вторинної (п. 1, 2, 4, 11, 16, 17) упаковки, а також зроблено незначні редакційні правки.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UA/4014/01/02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АНАЛЬГІН ДЛЯ ДІТЕЙ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metamizole sodium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метамізол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0,1 г; по 5 супозиторіїв у блістері, по 2 блістери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а саме: вилучено інформацію, зазначену російською мовою, внесено зміни у текст маркування первинної (п. 1, 2, 6) та вторинної (п. 1, 2, 4, 11, 16, 17) упаковки, а також зроблено незначні редакційні правки.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АНАЛЬГІН ДЛЯ ДІТЕЙ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metamizole sodium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метамізол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0,1 г in bulk: № 1000: по 5 супозиторіїв у блістері, по 200 блістерів у ящику з гофрокартону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форми in bulk, у зв’язку з вилученням тексту маркування російською мовою та внесення редакційних правок за п.п.1, 2, 4, 11, 17 для форми in bulk.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UA/13821/01/02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АНАЛЬГІН ДЛЯ ДІТЕЙ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metamizole sodium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метамізол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0,25 г in bulk: № 1000: по 5 супозиторіїв у блістері, по 200 блістерів у ящику з гофрокартону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форми in bulk, у зв’язку з вилученням тексту маркування російською мовою та внесення редакційних правок за п.п.1, 2, 4, 11, 17 для форми in bulk.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АНГІ.НЕТ® ЛЬОДЯНИКИ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flurbiprofen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флурбіпрофен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8,75 мг; по 12 льодяників у блістері, по 2 блістера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"ІНФАРМА Трейдінг"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ЛОЗІ'С ФАРМАСЕУТІКАЛС С.Л., Іспанiя; Пшедшебьорство Продукційно-Хандльове «ЕВА» С.А., Польща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оновлення у кількісному визначенні готового лікарського засобу (у приготуванні стандартного та випробовуваного розчинів), а саме: у поточному досьє концентрація стандартного розчину для аналізу флурбіпрофену становить 0,20 мг/мл, тоді як концентрація випробовуваного розчину для аналізу флурбіпрофену становить 0,21 мг/мл. Запропонована зміна полягає у встановленні обох концентрацій на рівні 0,22 мг/мл, щоб уникнути необхідності подальших розрахунків для відповідності концентраціям. Ця оновлена концентрація в межах діапазону зареєстрованого та перевіреного методу. Хроматографічні умови залишаються незмінними.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Зміна по додаванню додаткової дільниці мікробіологічного контролю якості серії готового лікарського засобу, а саме: MICROGRAFIA SP.Z.O.O., Poland/МІКРОГРАФІЯ СП. З. О. О., Польща.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UA/19961/01/01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АНТАРЕС®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tiazotic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морфолінієва сіль тіазотної кислоти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 xml:space="preserve">C01EB23 </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2 мл в ампулі; по 10 ампул у контурній чарунковій упаковці, по 1 контурній чарунковій упаковці в пачці; по 4 мл в ампулі; по 5 ампул у контурній чарунковій упаковці, покритій плівкою; по 2 контурних чарункових упаковки, покритих плівкою,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(інші зміни) Зміна для уніфікації технологічного процесу виробництва та розділу "Склад" в МКЯ, а саме пропонується прописати інформацію щодо коригування рН при необхідності 0,1 М розчином натрію гідроксиду. Зазначення коригента буде внесено у вигляді примітки, оскільки корекція проводиться не у всіх випадках. Діюча редакція: МКЯ ЛЗ Розділ «Склад на 1 мл лікарського засобу:» Діюча речовина: … Пропонована редакція: МКЯ ЛЗ Розділ «Склад на 1 мл лікарського засобу:» Діюча речовина: … Примітка: При необхідності – корекція рН 0,1 М розчином натрію гідроксиду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АПІЗАРТРОН®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стандартизована бджолина отрута, метилсаліцилат, алілізотіоціанат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M02AX10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20 г або по 30 г, або по 50 г, або по 100 г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Пассауер Фарма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Пассауер Фарма ГмбХ, Німеччина; Виробництво in bulk, первинне пакування, вторинне пакування, контроль якості: Ліхтенхельдт ГмбХ Фармацевтична фабрика,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R2-CEP 1994-007-Rev 06 (затверджено: R2-CEP 1994-007-Rev 05) виробника метилсаліцилату (Novacyl, Франція).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АРГЕТТ ДУО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з модифікованим вивільненням тверді по 75 мг; по 10 капсул у блістері; по 1, або по 2, або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випуск серії: Свісс Капс ГмбХ, Німеччина; виробництво нерозфасованої продукції, контроль якості: Теммлер Ірландія Лімітед, Ірландiя; первинне та вторинне пакування: Драгенофарм Апотекер Пюшл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Ірландiя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(затверджено: R1-CEP 1997-041-Rev 05; запропоновано: CEP 1997-041-Rev 06 ) для Діючої речовини Диклофенак натрію від затвердженого виробника Unique Chemicals (A Division of J.B. Chemicals &amp; Pharmaceuticals Ltd.), India. Як наслідок оновлення СЕР відбулася зміна назви власника СЕР та затвердженого виробничого майданчика АФІ (затверджено: Unique Chemicals (A Division of J.B. Chemicals &amp; Pharmaceuticals Ltd.), India; запропоновано: J.B. Chemicals &amp; Pharmaceuticals Limited, India). Оновлені МКЯ ЛЗ (eCTD версія 0000).</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АРГЕТТ РАПІД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кишковорозчинні тверді по 75 мг; по 10 капсул у блістері; по 1, або по 2, або по 3, або по 5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та випуск серії:</w:t>
              <w:br/>
              <w:t>Свісс Капс ГмбХ, Німеччина;</w:t>
              <w:br/>
              <w:t>виробництво нерозфасованої продукції, контроль якості:</w:t>
              <w:br/>
              <w:t>Теммлер Ірландія Лімітед, Ірландiя;</w:t>
              <w:br/>
              <w:t>первинне та вторинне пакування:</w:t>
              <w:br/>
              <w:t>Драгенофарм Апотекер Пюшл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Ірландiя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(затверджено: R1-CEP 1997-041-Rev 05; запропоновано: CEP 1997-041-Rev 06 ) для Діючої речовини Диклофенак натрію від затвердженого виробника Unique Chemicals (A Division of J.B. Chemicals &amp; Pharmaceuticals Ltd.), India. Як наслідок оновлення СЕР відбулася зміна назви власника СЕР та затвердженого виробничого майданчика АФІ (затверджено: Unique Chemicals (A Division of J.B. Chemicals &amp; Pharmaceuticals Ltd.), India; запропоновано: J.B. Chemicals &amp; Pharmaceuticals Limited, India). Оновлені МКЯ ЛЗ (eCTD версія 0000).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UA/13123/01/01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АРГІЛАЙФ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shd w:fill="F8F8F8" w:val="clear"/>
              </w:rPr>
              <w:t> </w:t>
            </w:r>
            <w:r>
              <w:rPr>
                <w:rFonts w:cs="Arial" w:ascii="Arial" w:hAnsi="Arial"/>
                <w:color w:val="000000"/>
                <w:sz w:val="16"/>
                <w:szCs w:val="16"/>
                <w:shd w:fill="F8F8F8" w:val="clear"/>
              </w:rPr>
              <w:t>L-аргініну L-аспартат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200 мг/мл по 200 мл у флаконі; по 1 флакону з мірною ложкою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мнн, заявника та виробника в наказі МОЗ України № 1405 від 24.09.2026</w:t>
            </w:r>
            <w:r>
              <w:rPr>
                <w:rFonts w:cs="Arial" w:ascii="Arial" w:hAnsi="Arial"/>
                <w:color w:val="000000"/>
                <w:sz w:val="16"/>
                <w:szCs w:val="16"/>
              </w:rPr>
              <w:t xml:space="preserve"> (уточнення написання упаковки (зазначення комплектації) в наказі МОЗ України № 2374 від 28.10.2021 в процесі реєстрації у зв'язку з проведенням процедури "виправлення технічної помилки в реєстраційному посвідченні". Попередня редакція - по 200 мл у флаконі; по 1 флакону в пачці. Вірна редакція - по 200 мл у флаконі; по 1 флакону з мірною ложкою в пачці). </w:t>
            </w:r>
            <w:r>
              <w:rPr>
                <w:rFonts w:cs="Arial" w:ascii="Arial" w:hAnsi="Arial"/>
                <w:b/>
                <w:color w:val="000000"/>
                <w:sz w:val="16"/>
                <w:szCs w:val="16"/>
              </w:rPr>
              <w:t xml:space="preserve">Пропонована редакція - мнн – </w:t>
            </w:r>
          </w:p>
          <w:p>
            <w:pPr>
              <w:pStyle w:val="Normal"/>
              <w:tabs>
                <w:tab w:val="left" w:pos="12600" w:leader="none"/>
              </w:tabs>
              <w:jc w:val="center"/>
              <w:rPr>
                <w:rFonts w:ascii="Arial" w:hAnsi="Arial" w:cs="Arial"/>
                <w:color w:val="000000"/>
                <w:sz w:val="16"/>
                <w:szCs w:val="16"/>
              </w:rPr>
            </w:pPr>
            <w:r>
              <w:rPr>
                <w:rFonts w:cs="Arial" w:ascii="Arial" w:hAnsi="Arial"/>
                <w:b/>
                <w:color w:val="000000"/>
                <w:sz w:val="16"/>
                <w:szCs w:val="16"/>
              </w:rPr>
              <w:t>"-", заявник - ТОВ "АРТЕРІУМ ЛТД", Україна, виробник - ПАТ "Галичфарм", 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АСАКОЛ®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Mesalazine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месалазин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A07EC02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кишковорозчинні по 400 мг; по 10 таблеток у блістері; по 10 блістерів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Тілотс Фарма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первинна та вторинна упаковка: Хаупт Фарма Вюльфінг ГмбХ, Німеччина;</w:t>
              <w:br/>
              <w:t>Виробник, відповідальний за випуск серій: Тілотс Фарма АГ, Швейцарія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Оновлення методики визначення розчинення з метою уточнення окремих етапів виконання випробування та гармонізації процедури контролю якості. </w:t>
              <w:br/>
              <w:t xml:space="preserve">Зазначена зміна включає: - підкислення розчину зразка у фосфатному буфері при рівні pH 6,4; </w:t>
              <w:br/>
              <w:t xml:space="preserve">- уточнення об'єму відфільтрованого розчину зразка, що відбраковується на кожній із трьох стадій випробування на розчинення (замість зазначення фіксованого об’єму фільтрату, що відкидається (перші 25 мл), у методику внесено більш загальне формулювання — «видаляючи першу порцію фільтрату»; </w:t>
              <w:br/>
              <w:t xml:space="preserve">- уточнення вимог щодо точності доведення об'єму стандартного (референтного) розчину (значення об’єму змінено зі «100,0 мл» на «100 мл», що відповідає номінальному об’єму мірної колби та забезпечує узгодженість викладення методики); </w:t>
              <w:br/>
              <w:t xml:space="preserve">- уточнення об'ємів відбору проб на обох стадіях випробування у фосфатному буфері (для фосфатного буфера при рівні pH 6,4 шляхом заміни значення «50,0 мл» на «50 мл» для забезпечення єдиного рівня точності викладення методики; </w:t>
              <w:br/>
              <w:t>- впровадження можливості додаткового контролю та, за необхідності, коригування pH фосфатного буфера до значення 7,2, використовуючи розчини натрію гідроксиду або соляної кислоти.</w:t>
              <w:br/>
              <w:t xml:space="preserve">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Зміна вимог до випробування придатності хроматографічної системи (SST) у методиці визначення супутніх домішок для готового лікарського засобу. </w:t>
              <w:br/>
              <w:t>У чинній редакції методики власний шум на хроматограмі холостого розчину визначається у фіксованому часовому інтервалі між 10 і 14 хвилинами. Запропонована зміна передбачає визначення власного шуму відповідно до вимог Загальної статті Європейської Фармакопеї 2.2.46 «Хроматографічні методи розділення» без зазначення конкретного часового інтервалу.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UA/4770/01/01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АСПАРКАМ-ФАРМАК®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Magnesium (different salts in combination)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магнію аспаргінат, калію аспаргінат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A12CC30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по 5 мл або 10 мл, або 20 мл в ампулі; по 10 ампул у пачці з картону; по 5 мл або 10 мл, або 20 мл в ампулі; по 5 ампул у блістері; по 2 блістери у пачці з картону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додавання альтернативного виробника АФІ аспарaгіновa кислотa виробництва Ajinomoto Co., Inc. Tokyo, Японія з сертифікатом відповідності Європейській фармакопеї R1-CEP 2003 -143 - Rev 04, попередня редакція: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Склад: 1 мл розчину містить: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Діючі речовини*: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Магнію аспарагінат – 40 мг (3,37 мг магнію)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Калію аспарагінат - 45,20 мг (10. 33 мг калію)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Допоміжні речовини: сорбіт (Е 420), вода для ін’єкцій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*одержують в процесі виробництва із аспарагінової кислоти (Lanxi Beier Biothechnology Co., Ltd, China), калію гідроксиду, магнію оксиду важкого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нова редакція: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Склад: 1 мл розчину містить: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Діючі речовини*: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Магнію аспарагінат – 40 мг (3,37 мг магнію)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Калію аспарагінат - 45,20 мг (10, 33 мг калію)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Допоміжні речовини: сорбіт (Е 420), вода для ін’єкцій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*одержують в процесі виробництва із аспарагінової кислоти (Lanxi Beier Biothechnology Co., Ltd, China або Ajinomoto Co., Inc., Japan), калію гідроксиду, магнію оксиду важкого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АТОВАКС®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moxifloxacin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моксифлоксацину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J01MA14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таблеток у блістері; по 1 або по 10 блістерів у картонній упаковці; по 5 таблеток у блістері; по 1 блістеру у картонній упаковці; по 7 таблеток у блістері; по 1 блістеру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"Побічні реакції" щодо безпеки застосування діючої речовини моксифлоксацин відповідно до рекомендацій PRAC. Введення змін протягом 6-ти місяців після затвердження.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w:t>
              <w:br/>
              <w:t xml:space="preserve">ТОВ "КУСУМ", Україна.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АТРАКУРІЙ КАЛЦЕКС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atracurium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атракурію бесилат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M03AC04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2,5 мл або по 5 мл в ампулі; по 5 ампул у контурній чарунковій упаковці (піддоні); по 1 контурній чарунковій упаковці (піддону) в пачці із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"Калцекс"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виробничого процесу, крім випуску серії: ХБМ Фарма с.р.о. Словаччина; виробник, який відповідає за контроль серії/випробування: АТ "Гріндекс", Латвiя; виробник, який відповідає за випуск серії: АТ "Калцекс", Латвія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Марія Брієде / Marija Briede. Пропонована редакція: Аріна Бобровіча / Arina Bobrovica. Зміна контактних даних уповноваженої особи, відповідальної за фармаконагляд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АЦЕМІК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1 блістеру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Артура Фармасьютікалз Пвт. Лтд.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діючої речовини. Термін введення змін- протягом 3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UA/16987/01/01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АЦИКЛОВІР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aciclovir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ацикловір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J05AB01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0,2 г, по 10 таблеток у блістері, по 1 або 2 блістери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 xml:space="preserve">Україна; ПрАТ  "Технолог" </w:t>
              <w:br/>
              <w:t>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а саме вилучено інформацію, зазначену російською мовою, внесено зміни у п. 2, 6 тексту маркування первинної упаковки та п. 2, 4, 11, 16, 17 вторинної упаковки, а також зроблено незначні редакційні правки.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АЦИКЛОВІР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aciclovir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ацикловір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0,2 г, in bulk: по 3000 таблеток у контейнерах пластмасових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продукції in bulk, а саме внесення редакційних правок.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АЦИКЛОСТАД®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aciclovir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ацикловір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D06BB03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5 % по 2 г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R1-CEP 2001-283-Rev 06 для діючої речовини Ацикловір від затвердженого виробника Zhejiang Charioteer Pharmaceutical Co. Ltd.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UA/3806/01/01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БЕЛАДОНИ ЕКСТРАКТ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беладони екстракт густий (Belladonnae extractum spissum)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C05AX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0,015 г, по 5 супозиторіїв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а саме: вилучено інформацію, зазначену російською мовою, внесено зміни у текст маркування первинної (п. 1, 2, 6) та вторинної (п. 1, 2, 4, 11, 16, 17) упаковки, а також зроблено незначні редакційні правки.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UA/7069/01/01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БЕЛАДОНИ ЕКСТРАКТ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беладони екстракт густий (Belladonnae extractum spissum)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0,015 г in bulk: по 5 супозиторіїв в блістері; по 250 блістерів у ящику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продукції in bulk, а саме внесення редакційних правок.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UA/7068/01/01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БІОВЕН МОНО®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Immunoglobulins, normal human, for intravascular adm.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імуноглобулін людини нормальний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J06BA02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5 %; по 50 мл або по 100 мл у флаконі; по 1 флакону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 (виробництво, первинне та вторинне пакування, контроль якості, випуск серій)</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упаковки лікарського засобу, а саме: внесення незначних редакційних правок по тексту. Термін введення змін - протягом 3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UA/14526/01/01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БОЗЕНТАН АККОРД 125 МГ ТАБЛЕТКИ, ВКРИТІ ПЛІВКОВОЮ ОБОЛОНКОЮ/</w:t>
            </w:r>
            <w:r>
              <w:rPr>
                <w:rFonts w:cs="Arial" w:ascii="Arial" w:hAnsi="Arial"/>
                <w:b/>
                <w:sz w:val="16"/>
                <w:szCs w:val="16"/>
              </w:rPr>
              <w:t>BOSENTAN</w:t>
            </w:r>
            <w:r>
              <w:rPr>
                <w:rFonts w:cs="Arial" w:ascii="Arial" w:hAnsi="Arial"/>
                <w:b/>
                <w:sz w:val="16"/>
                <w:szCs w:val="16"/>
                <w:lang w:val="uk-UA"/>
              </w:rPr>
              <w:t xml:space="preserve"> </w:t>
            </w:r>
            <w:r>
              <w:rPr>
                <w:rFonts w:cs="Arial" w:ascii="Arial" w:hAnsi="Arial"/>
                <w:b/>
                <w:sz w:val="16"/>
                <w:szCs w:val="16"/>
              </w:rPr>
              <w:t>ACCORD</w:t>
            </w:r>
            <w:r>
              <w:rPr>
                <w:rFonts w:cs="Arial" w:ascii="Arial" w:hAnsi="Arial"/>
                <w:b/>
                <w:sz w:val="16"/>
                <w:szCs w:val="16"/>
                <w:lang w:val="uk-UA"/>
              </w:rPr>
              <w:t xml:space="preserve"> 125 </w:t>
            </w:r>
            <w:r>
              <w:rPr>
                <w:rFonts w:cs="Arial" w:ascii="Arial" w:hAnsi="Arial"/>
                <w:b/>
                <w:sz w:val="16"/>
                <w:szCs w:val="16"/>
              </w:rPr>
              <w:t>MG</w:t>
            </w:r>
            <w:r>
              <w:rPr>
                <w:rFonts w:cs="Arial" w:ascii="Arial" w:hAnsi="Arial"/>
                <w:b/>
                <w:sz w:val="16"/>
                <w:szCs w:val="16"/>
                <w:lang w:val="uk-UA"/>
              </w:rPr>
              <w:t xml:space="preserve"> </w:t>
            </w:r>
            <w:r>
              <w:rPr>
                <w:rFonts w:cs="Arial" w:ascii="Arial" w:hAnsi="Arial"/>
                <w:b/>
                <w:sz w:val="16"/>
                <w:szCs w:val="16"/>
              </w:rPr>
              <w:t>FILM</w:t>
            </w:r>
            <w:r>
              <w:rPr>
                <w:rFonts w:cs="Arial" w:ascii="Arial" w:hAnsi="Arial"/>
                <w:b/>
                <w:sz w:val="16"/>
                <w:szCs w:val="16"/>
                <w:lang w:val="uk-UA"/>
              </w:rPr>
              <w:t>-</w:t>
            </w:r>
            <w:r>
              <w:rPr>
                <w:rFonts w:cs="Arial" w:ascii="Arial" w:hAnsi="Arial"/>
                <w:b/>
                <w:sz w:val="16"/>
                <w:szCs w:val="16"/>
              </w:rPr>
              <w:t>COATED</w:t>
            </w:r>
            <w:r>
              <w:rPr>
                <w:rFonts w:cs="Arial" w:ascii="Arial" w:hAnsi="Arial"/>
                <w:b/>
                <w:sz w:val="16"/>
                <w:szCs w:val="16"/>
                <w:lang w:val="uk-UA"/>
              </w:rPr>
              <w:t xml:space="preserve"> </w:t>
            </w:r>
            <w:r>
              <w:rPr>
                <w:rFonts w:cs="Arial" w:ascii="Arial" w:hAnsi="Arial"/>
                <w:b/>
                <w:sz w:val="16"/>
                <w:szCs w:val="16"/>
              </w:rPr>
              <w:t>TABLET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bosentan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бозентан (у вигляді моногідрату)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C02KX01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125 мг, по 14 таблеток, вкритих плівковою оболонкою, у блістері; по 4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Б.В.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серії: Аккорд Хелскеа Полска Сп. з о.о., Польща; виробництво лікарського засобу, первинне та вторинне пакування: Інтас Фармасьютікалс Лімітед, Індія; додаткове вторинне пакування: Аккорд Хелскеа Лімітед, Велика Британія; контроль якості: Лабораторі Фундасіо Дау, Іспанiя; додаткове вторинне пакування, контроль якості серії: Аккорд Хелскеа Сінгл Мембер С.А., Греція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 Індія/ Велика Британія/ Іспанiя/ Греція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UA/20790/01/01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БОРТЕЗОМІБ</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bortezomib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бортезоміб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L01XG01 </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ліофілізований для приготування розчину для ін`єкцій, по 3,5 мг; по 1 флакону з порошком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"НКС-ФАРМ"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"Фармідея"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згідно з інформацією щодо медичного застосування референтного лікарського засобу (Velcade 3,5 mg, powder for solution for injection).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БУПІВАКАЇН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bupivacaine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бупівакаїну гідрохлориду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N01BB01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 мг/мл; по 10 мл в ампулі; по 5 ампул у контурній чарунковій упаковці; по 1 контурній чарунковій упаковці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Супутня зміна-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Зміни у специфікації та у методах контролю допоміжної речовини Вода для ін'єкцій, пов'язані з необхідністю приведення до вимог монографії ЄФ "Water for injections in bulk (0169)"</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UA/17950/01/01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БУСПІРОН САНДОЗ®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buspirone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буспірону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N05BE01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Салютас Фарма ГмбХ</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оновлення посилання на методику щодо параметрів внутрішнього виробничого контролю (in-process control) насипної густини та густини після усадки з Ph. Eur. «2.9.15 Bulk and Tapped Density» на Ph. Eur. «2.9.34 Bulk Density of Powders» (де це застосовно), а також оновлення назв випробувань насипної густини та густини після усадки відповідно до останньої редакції загальної статті Ph. Eur. 2.9.34.</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UA/9598/01/02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БУСПІРОН САНДОЗ®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buspirone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буспірону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N05BE01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2 блістери в картонній коробці; по 20 таблеток 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Салютас Фарма ГмбХ</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оновлення посилання на методику щодо параметрів внутрішнього виробничого контролю (in-process control) насипної густини та густини після усадки з Ph. Eur. «2.9.15 Bulk and Tapped Density» на Ph. Eur. «2.9.34 Bulk Density of Powders» (де це застосовно), а також оновлення назв випробувань насипної густини та густини після усадки відповідно до останньої редакції загальної статті Ph. Eur. 2.9.34.</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UA/9598/01/01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БУСТРИКС ПОЛІО КОМБІНОВАНА ВАКЦИНА ДЛЯ ПРОФІЛАКТИКИ ДИФТЕРІЇ, ПРАВЦЯ, КАШЛЮКУ (АЦЕЛЮЛЯРНИЙ КОМПОНЕНТ) ТА ПОЛІОМІЄЛІТУ (ІНАКТИВОВАНА) (АДСОРБОВАНА, ЗІ ЗМЕНШЕНИМ ВМІСТОМ АНТИГЕНІВ)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Diphtheria-pertussis-poliomyelitis-tetanus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rPr>
              <w:t>дифтерійний анатоксин (D)</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i/>
                <w:iCs/>
                <w:sz w:val="16"/>
                <w:szCs w:val="16"/>
              </w:rPr>
              <w:t>Bordetella pertussis</w:t>
            </w:r>
            <w:r>
              <w:rPr>
                <w:rFonts w:cs="Arial" w:ascii="Arial" w:hAnsi="Arial"/>
                <w:sz w:val="16"/>
                <w:szCs w:val="16"/>
              </w:rPr>
              <w:t> кашлюкові антигени:</w:t>
            </w:r>
          </w:p>
          <w:p>
            <w:pPr>
              <w:pStyle w:val="Normal"/>
              <w:rPr/>
            </w:pPr>
            <w:r>
              <w:rPr>
                <w:rFonts w:cs="Arial" w:ascii="Arial" w:hAnsi="Arial"/>
                <w:sz w:val="16"/>
                <w:szCs w:val="16"/>
              </w:rPr>
              <w:t>кашлюковий анатоксин (PT)</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sz w:val="16"/>
                <w:szCs w:val="16"/>
              </w:rPr>
              <w:t>філаментозний гемаглютинін (FHA)</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sz w:val="16"/>
                <w:szCs w:val="16"/>
              </w:rPr>
              <w:t>пертактин (PRN)</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rPr>
            </w:pPr>
            <w:r>
              <w:rPr>
                <w:rFonts w:cs="Arial" w:ascii="Arial" w:hAnsi="Arial"/>
                <w:sz w:val="16"/>
                <w:szCs w:val="16"/>
              </w:rPr>
              <w:t>інактивовані віруси поліомієліту:</w:t>
            </w:r>
          </w:p>
          <w:p>
            <w:pPr>
              <w:pStyle w:val="Normal"/>
              <w:rPr/>
            </w:pPr>
            <w:r>
              <w:rPr>
                <w:rFonts w:cs="Arial" w:ascii="Arial" w:hAnsi="Arial"/>
                <w:sz w:val="16"/>
                <w:szCs w:val="16"/>
              </w:rPr>
              <w:t>тип 1 (штам </w:t>
            </w:r>
            <w:r>
              <w:rPr>
                <w:rFonts w:cs="Arial" w:ascii="Arial" w:hAnsi="Arial"/>
                <w:sz w:val="16"/>
                <w:szCs w:val="16"/>
                <w:lang w:val="en-US"/>
              </w:rPr>
              <w:t>Mahoney</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pPr>
            <w:r>
              <w:rPr>
                <w:rFonts w:cs="Arial" w:ascii="Arial" w:hAnsi="Arial"/>
                <w:sz w:val="16"/>
                <w:szCs w:val="16"/>
              </w:rPr>
              <w:t>тип 2 (штам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pPr>
            <w:r>
              <w:rPr>
                <w:rFonts w:cs="Arial" w:ascii="Arial" w:hAnsi="Arial"/>
                <w:sz w:val="16"/>
                <w:szCs w:val="16"/>
              </w:rPr>
              <w:t>тип 3 (штам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spacing w:before="60" w:after="0"/>
              <w:ind w:right="-58" w:hanging="0"/>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адсорбований на алюмінію гідроксиді (Al(OH)</w:t>
            </w:r>
            <w:r>
              <w:rPr>
                <w:rFonts w:cs="Arial" w:ascii="Arial" w:hAnsi="Arial"/>
                <w:i/>
                <w:iCs/>
                <w:sz w:val="16"/>
                <w:szCs w:val="16"/>
                <w:vertAlign w:val="subscript"/>
              </w:rPr>
              <w:t>3</w:t>
            </w:r>
            <w:r>
              <w:rPr>
                <w:rFonts w:cs="Arial" w:ascii="Arial" w:hAnsi="Arial"/>
                <w:i/>
                <w:iCs/>
                <w:sz w:val="16"/>
                <w:szCs w:val="16"/>
              </w:rPr>
              <w:t>)</w:t>
            </w:r>
          </w:p>
          <w:p>
            <w:pPr>
              <w:pStyle w:val="Normal"/>
              <w:ind w:right="-58" w:hanging="0"/>
              <w:rPr>
                <w:rFonts w:ascii="Arial" w:hAnsi="Arial" w:cs="Arial"/>
                <w:sz w:val="16"/>
                <w:szCs w:val="16"/>
              </w:rPr>
            </w:pPr>
            <w:r>
              <w:rPr>
                <w:rFonts w:cs="Arial" w:ascii="Arial" w:hAnsi="Arial"/>
                <w:i/>
                <w:iCs/>
                <w:sz w:val="16"/>
                <w:szCs w:val="16"/>
              </w:rPr>
              <w:t>та алюмінію фосфаті (AlPO</w:t>
            </w:r>
            <w:r>
              <w:rPr>
                <w:rFonts w:cs="Arial" w:ascii="Arial" w:hAnsi="Arial"/>
                <w:i/>
                <w:iCs/>
                <w:sz w:val="16"/>
                <w:szCs w:val="16"/>
                <w:vertAlign w:val="subscript"/>
              </w:rPr>
              <w:t>4</w:t>
            </w:r>
            <w:r>
              <w:rPr>
                <w:rFonts w:cs="Arial" w:ascii="Arial" w:hAnsi="Arial"/>
                <w:i/>
                <w:iCs/>
                <w:sz w:val="16"/>
                <w:szCs w:val="16"/>
              </w:rPr>
              <w:t>)</w:t>
            </w:r>
          </w:p>
          <w:p>
            <w:pPr>
              <w:pStyle w:val="Normal"/>
              <w:rPr>
                <w:rFonts w:ascii="Arial" w:hAnsi="Arial" w:cs="Arial"/>
                <w:sz w:val="16"/>
                <w:szCs w:val="16"/>
              </w:rPr>
            </w:pPr>
            <w:r>
              <w:rPr>
                <w:rFonts w:cs="Arial" w:ascii="Arial" w:hAnsi="Arial"/>
                <w:sz w:val="16"/>
                <w:szCs w:val="16"/>
                <w:vertAlign w:val="superscript"/>
              </w:rPr>
              <w:t>2 </w:t>
            </w:r>
            <w:r>
              <w:rPr>
                <w:rFonts w:cs="Arial" w:ascii="Arial" w:hAnsi="Arial"/>
                <w:i/>
                <w:iCs/>
                <w:sz w:val="16"/>
                <w:szCs w:val="16"/>
              </w:rPr>
              <w:t>розмножені на клітинах Vero</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J07CA02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суспензія для ін'єкцій по 1 дозі (0,5 мл/дозу); по 1 дозі у попередньо наповненому шприці; по 1 попередньо наповненому шприцу у комплекті з двома голками в пластиковому контейнері; по 1 контейнеру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(проведення контролю якості вакцини, випуск серій готового продукту);</w:t>
              <w:br/>
              <w:t>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w:t>
              <w:br/>
              <w:t>ГлаксоСмітКляйн Біолоджікалз С.А., Бельгія (наповнення вакцини в шприці, маркування і пакування готового продукту, проведення контролю якості вакцини)</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 /Франція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 Додання «GlaxoSmithKline Vaccines S.R.L.", Сієна, Італія, як альтернативного виробника, відповідального за тестування активності кашлюкових антигенів (етап in vivo) під час випуску готового продукту у формі кінцевого напівпродукту (Final bulk).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 Додання «GlaxoSmithKline Vaccines S.R.L.", Белларія-Розія, Совічилле, Італія, як альтернативного виробника, відповідального за тестування активності кашлюкових антигенів (етап in vitro ELISA) під час випуску готового продукту у формі кінцевого напівпродукту (Final bulk)</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UA/15071/01/01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ВАЗОНІТ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pentoxifylline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пентоксифілін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C04AD03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ретард, вкриті оболонкою, по 600 мг, по 10 таблеток у блістері; по 2 блістери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 Фарма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Вилучення сертифікатів (за наявності мультиплетного сертифіката на матеріал) видалення виробника АФІ пентоксифіліну Hical Limited, Індія з відповідним CEP R1-CEP 2005-131-Rev00 з матеріалів реєстраційного досьє.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R1-CEP 2008-012 Rev 02 (затверджено (R1-CEP 2008-012 Rev 01) для діючої речовини пентоксифіліну від вже затвердженого виробника SANOFI INDIA LIMITED.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R1-CEP 2008-012 Rev 03 для діючої речовини пентоксифіліну від вже затвердженого виробника, який змінив назву з SANOFI INDIA LIMITED, Індія на ZENTIVA PRIVATE LIMITED.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R1-CEP 2008-012 Rev 04 для діючої речовини пентоксифіліну від вже затвердженого виробника ZENTIVA PRIVATE LIMITED, Індія.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R1- CEP 2000-127- Rev 06 (затверджено: R1- CEP 2000-127- Rev 05) для діючої речовини пентоксифіліну від уже затвердженого виробника, який змінив назву з STRIDES CHEMICALS PRIVATE LIMITED, Індія на SOLARA ACTIVE PHARMA SCIENCES LIMITED.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в специфікації на матеріал первинної упаковки - алюмінієву фольгу допустимі межі показника Grammage змінено з 58.0 – 71.0 g/m</w:t>
            </w:r>
            <w:r>
              <w:rPr>
                <w:rFonts w:cs="Arial" w:ascii="Arial" w:hAnsi="Arial"/>
                <w:color w:val="000000"/>
                <w:sz w:val="16"/>
                <w:szCs w:val="16"/>
                <w:vertAlign w:val="superscript"/>
              </w:rPr>
              <w:t>2</w:t>
            </w:r>
            <w:r>
              <w:rPr>
                <w:rFonts w:cs="Arial" w:ascii="Arial" w:hAnsi="Arial"/>
                <w:color w:val="000000"/>
                <w:sz w:val="16"/>
                <w:szCs w:val="16"/>
              </w:rPr>
              <w:t xml:space="preserve"> (що становить 64,5 g/м</w:t>
            </w:r>
            <w:r>
              <w:rPr>
                <w:rFonts w:cs="Arial" w:ascii="Arial" w:hAnsi="Arial"/>
                <w:color w:val="000000"/>
                <w:sz w:val="16"/>
                <w:szCs w:val="16"/>
                <w:vertAlign w:val="superscript"/>
              </w:rPr>
              <w:t>2</w:t>
            </w:r>
            <w:r>
              <w:rPr>
                <w:rFonts w:cs="Arial" w:ascii="Arial" w:hAnsi="Arial"/>
                <w:color w:val="000000"/>
                <w:sz w:val="16"/>
                <w:szCs w:val="16"/>
              </w:rPr>
              <w:t xml:space="preserve"> ± 10 %) на 64,0 g/м</w:t>
            </w:r>
            <w:r>
              <w:rPr>
                <w:rFonts w:cs="Arial" w:ascii="Arial" w:hAnsi="Arial"/>
                <w:color w:val="000000"/>
                <w:sz w:val="16"/>
                <w:szCs w:val="16"/>
                <w:vertAlign w:val="superscript"/>
              </w:rPr>
              <w:t>2</w:t>
            </w:r>
            <w:r>
              <w:rPr>
                <w:rFonts w:cs="Arial" w:ascii="Arial" w:hAnsi="Arial"/>
                <w:color w:val="000000"/>
                <w:sz w:val="16"/>
                <w:szCs w:val="16"/>
              </w:rPr>
              <w:t xml:space="preserve"> ± 10 % (57.6 – 70.4 g/m</w:t>
            </w:r>
            <w:r>
              <w:rPr>
                <w:rFonts w:cs="Arial" w:ascii="Arial" w:hAnsi="Arial"/>
                <w:color w:val="000000"/>
                <w:sz w:val="16"/>
                <w:szCs w:val="16"/>
                <w:vertAlign w:val="superscript"/>
              </w:rPr>
              <w:t>2</w:t>
            </w:r>
            <w:r>
              <w:rPr>
                <w:rFonts w:cs="Arial" w:ascii="Arial" w:hAnsi="Arial"/>
                <w:color w:val="000000"/>
                <w:sz w:val="16"/>
                <w:szCs w:val="16"/>
              </w:rPr>
              <w:t xml:space="preserve">). Додатково внесені редакційні корекції в допустимих межах показників Thickness та IR-Spectrum.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ВАЛСАРТАН А-ТЕВА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Valsartan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амлодипін у вигляді амлодипіну бесилату та 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C09DB01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мг/80 мг; по 7 таблеток у блістері, по 2 або 4 блістери у коробці; по 10 таблеток у блістері; по 3 або 9 блістерів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Балканфарма-Дупниця АТ</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збільшення максимального розміру серії з 1 100 000 до 2 000 000 таблеток для дозування 5 мг/80 мг. Затверджено: 110 000 – 1 100 000 tablets. Запропоновано: 110 000 –2 000 000 tablets</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ВАЛЬСАРІЯ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80 мг; по 14 таблеток у блістері; по 2 блістери у картонній коробці; по 10 таблеток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тестування:</w:t>
              <w:br/>
              <w:t>Зігфрід Барбера, С.Л., Іспанія;</w:t>
              <w:br/>
              <w:t>Випуск серії:</w:t>
              <w:br/>
              <w:t>Лек Фармацевтична компанія д.д., Словенія;</w:t>
              <w:br/>
              <w:t>тестування:</w:t>
              <w:br/>
              <w:t>Солвіас АГ, Швейцарія;</w:t>
              <w:br/>
              <w:t>контроль якості:</w:t>
              <w:br/>
              <w:t>Сандоз С.Р.Л., Румунія;</w:t>
              <w:br/>
              <w:t>випуск серії, контроль якості, виробництво "in bulk", первинне та вторинне пакування:</w:t>
              <w:br/>
              <w:t>Новартіс Фарма C.п.А., Італія</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Швейцарія/ Румунія/ 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додавання упаковки «по 10 таблеток у блістері; по 3 блістери у картонній коробці з маркуванням українською мовою» для готового лікарського засобу Вальсарія для зареєстрованого ряду дозувань. Матеріал первинної упаковки, що безпосередньо контактує з лікарською формою, не змінюється. </w:t>
              <w:br/>
              <w:t>Зміни внесено в інструкцію для медичного застосування лікарського засобу в розділ "Упаковка" у зв'язку з введенням додаткових упаковок, як наслідок - затвердження тексту маркування додаткових упаковок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UA/14686/01/01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ВАЛЬСАРІЯ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160 мг; по 14 таблеток у блістері; по 2 блістери у картонній коробці; по 10 таблеток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тестування:</w:t>
              <w:br/>
              <w:t>Зігфрід Барбера, С.Л., Іспанія;</w:t>
              <w:br/>
              <w:t>Випуск серії:</w:t>
              <w:br/>
              <w:t>Лек Фармацевтична компанія д.д., Словенія;</w:t>
              <w:br/>
              <w:t>тестування:</w:t>
              <w:br/>
              <w:t>Солвіас АГ, Швейцарія;</w:t>
              <w:br/>
              <w:t>контроль якості:</w:t>
              <w:br/>
              <w:t xml:space="preserve">Сандоз С.Р.Л., Румунія; </w:t>
              <w:br/>
              <w:t>випуск серії, контроль якості, виробництво "in bulk", первинне та вторинне пакування:</w:t>
              <w:br/>
              <w:t>Новартіс Фарма C.п.А., Італія</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Словенія/ Румунія/ 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додавання упаковки «по 10 таблеток у блістері; по 3 блістери у картонній коробці з маркуванням українською мовою» для готового лікарського засобу Вальсарія для зареєстрованого ряду дозувань. Матеріал первинної упаковки, що безпосередньо контактує з лікарською формою, не змінюється. </w:t>
              <w:br/>
              <w:t>Зміни внесено в інструкцію для медичного застосування лікарського засобу в розділ "Упаковка" у зв'язку з введенням додаткових упаковок, як наслідок - затвердження тексту маркування додаткових упаковок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UA/14686/01/02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ВАРІВАКС ВАКЦИНА ДЛЯ ПРОФІЛАКТИКИ ВІТРЯНОЇ ВІСПИ ЖИВА АТЕНУЙОВАНА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varicella,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28"/>
              <w:rPr>
                <w:rFonts w:ascii="Arial" w:hAnsi="Arial" w:cs="Arial"/>
                <w:sz w:val="16"/>
                <w:szCs w:val="16"/>
                <w:lang w:val="uk-UA"/>
              </w:rPr>
            </w:pPr>
            <w:r>
              <w:rPr>
                <w:rFonts w:cs="Arial" w:ascii="Arial" w:hAnsi="Arial"/>
                <w:sz w:val="16"/>
                <w:szCs w:val="16"/>
                <w:lang w:val="uk-UA"/>
              </w:rPr>
              <w:t>живий атенуйований вірус вітряної віспи штам Oka/Merck</w:t>
            </w:r>
            <w:r>
              <w:rPr>
                <w:rFonts w:cs="Arial" w:ascii="Arial" w:hAnsi="Arial"/>
                <w:sz w:val="16"/>
                <w:szCs w:val="16"/>
                <w:vertAlign w:val="superscript"/>
                <w:lang w:val="uk-UA"/>
              </w:rPr>
              <w:t>1</w:t>
            </w:r>
            <w:r>
              <w:rPr>
                <w:rFonts w:cs="Arial" w:ascii="Arial" w:hAnsi="Arial"/>
                <w:sz w:val="16"/>
                <w:szCs w:val="16"/>
                <w:lang w:val="uk-UA"/>
              </w:rPr>
              <w:t xml:space="preserve"> ≥ 1350 БУО</w:t>
            </w:r>
            <w:r>
              <w:rPr>
                <w:rFonts w:cs="Arial" w:ascii="Arial" w:hAnsi="Arial"/>
                <w:sz w:val="16"/>
                <w:szCs w:val="16"/>
                <w:vertAlign w:val="superscript"/>
                <w:lang w:val="uk-UA"/>
              </w:rPr>
              <w:t>2</w:t>
            </w:r>
          </w:p>
          <w:p>
            <w:pPr>
              <w:pStyle w:val="Style28"/>
              <w:rPr/>
            </w:pPr>
            <w:r>
              <w:rPr>
                <w:rFonts w:cs="Arial" w:ascii="Arial" w:hAnsi="Arial"/>
                <w:sz w:val="16"/>
                <w:szCs w:val="16"/>
                <w:vertAlign w:val="superscript"/>
                <w:lang w:val="uk-UA"/>
              </w:rPr>
              <w:t xml:space="preserve">1 </w:t>
            </w:r>
            <w:r>
              <w:rPr>
                <w:rFonts w:cs="Arial" w:ascii="Arial" w:hAnsi="Arial"/>
                <w:sz w:val="16"/>
                <w:szCs w:val="16"/>
                <w:lang w:val="uk-UA"/>
              </w:rPr>
              <w:t>отриманий в диплоїдних клітинах людини (MRC-5)</w:t>
            </w:r>
          </w:p>
          <w:p>
            <w:pPr>
              <w:pStyle w:val="Style28"/>
              <w:rPr/>
            </w:pPr>
            <w:r>
              <w:rPr>
                <w:rFonts w:cs="Arial" w:ascii="Arial" w:hAnsi="Arial"/>
                <w:sz w:val="16"/>
                <w:szCs w:val="16"/>
                <w:vertAlign w:val="superscript"/>
                <w:lang w:val="uk-UA"/>
              </w:rPr>
              <w:t>2</w:t>
            </w:r>
            <w:r>
              <w:rPr>
                <w:rFonts w:cs="Arial" w:ascii="Arial" w:hAnsi="Arial"/>
                <w:sz w:val="16"/>
                <w:szCs w:val="16"/>
                <w:lang w:val="uk-UA"/>
              </w:rPr>
              <w:t xml:space="preserve"> БУО: бляшкоутворюючі одиниці</w:t>
            </w:r>
          </w:p>
          <w:p>
            <w:pPr>
              <w:pStyle w:val="Normal"/>
              <w:tabs>
                <w:tab w:val="left" w:pos="12600" w:leader="none"/>
              </w:tabs>
              <w:rPr>
                <w:rFonts w:ascii="Arial" w:hAnsi="Arial" w:cs="Arial"/>
                <w:color w:val="000000"/>
                <w:sz w:val="16"/>
                <w:szCs w:val="16"/>
                <w:lang w:val="uk-UA"/>
              </w:rPr>
            </w:pPr>
            <w:r>
              <w:rPr>
                <w:rFonts w:cs="Arial" w:ascii="Arial" w:hAnsi="Arial"/>
                <w:color w:val="000000"/>
                <w:sz w:val="16"/>
                <w:szCs w:val="16"/>
                <w:lang w:val="uk-UA"/>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J07BK01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суспензії для ін’єкцій. По 1 флакону з порошком (1 доза) в комплекті з 1 флаконом з розчинником (вода для ін’єкцій) в картонній коробці. По 1 флакону з порошком (1 доза) в комплекті з 1 попередньо наповненим шприцом з розчинником (вода для ін’єкцій) з 2 окремими голками в картонній коробці. По 10 флаконів з порошком (по 1 дозі) в комплекті з 10 попередньо наповненими шприцами з розчинником (вода для ін’єкцій) з 20 окремими голками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Мерк Шарп і Доум ІДЕА ГмбХ</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та аналітичне тестування вакцини:</w:t>
              <w:br/>
              <w:t>Мерк Шарп і Доум ЛЛС, США;</w:t>
              <w:br/>
              <w:t xml:space="preserve">Мерк Шарп і Доум ЛЛС, США; </w:t>
              <w:br/>
              <w:t>Маркування первинного пакування, вторинне пакування та дозвіл на випуск серії вакцини та розчинника:</w:t>
              <w:br/>
              <w:t>Мерк Шарп і Доум Б.В., Нідерланди;</w:t>
              <w:br/>
              <w:t>Виробництво (формування, наповнення, кінцева стерилізація, інспекція, пакування in bulk) та контроль якості розчинника у флаконах:</w:t>
              <w:br/>
              <w:t>Джубілант ХоллістерСтаєр ЛЛС, США;</w:t>
              <w:br/>
              <w:t xml:space="preserve">Патеон Мануфекчурінг Сервісез ЛЛС, США; </w:t>
              <w:br/>
              <w:t>Виробництво, первинне пакування, контроль при випуску та терміну придатності розчинника у попередньо наповненому шприці:</w:t>
              <w:br/>
              <w:t>Аспен Нотр-Дам де Бондевіль, Францiя</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 Нідерланди/ Францiя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w:t>
              <w:br/>
              <w:t>Внесення інформації до МКЯ щодо всіх виробників розчинника у флаконі та їх функції згідно інформації в зареєстрованому досьє, а саме: Виробництво (формування, наповнення, кінцева стерилізація, інспекція, пакування in bulk) та контроль якості розчинника у флаконах Джубілант ХоллістерСтаєр ЛЛС, США/ Jubilant HollisterStier LLC, USA Патеон Мануфекчурінг Сервісез ЛЛС, США Patheon Manufacturing Services LLC, USA. Термін введення змін - протягом 6 місяців після затвердження. Зміни І типу - Зміни щодо безпеки/ефективності та фармаконагляду (інші зміни). Зміни внесено в текст маркування вторинної упаковки лікарського засобу (пункти 2, 3, 7, 10, 14, 17), первинної (флакон з розчинником) упаковки лікарського засобу (пункти 1, 2, 6) та первинної (флакон з порошком) упаковки лікарського засобу (пункти 2, 6). Термін введення змін - протягом 6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в розділ "Упаковка", а саме: видалено інформацію про об’єм флакона з розчинником (3 мл) та об’єм флакона з порошком (3 мл), а також відкориговано розділи "Склад" та "Побічні реакції". Коригування до розділу «Упаковка» в Методах контролю якості, а саме: видалення зазначення "об’єму флакону (3 мл)" для розчинника та порошку відповідно до затвердженої короткої характеристики в Європі. Термін введення змін - протягом 6 місяців після затвердження. Зміни II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Введення виробника - Aspen Notre Dame de Bondeville, France (1 Rue De L Abbaye, 76960 Notre-Dame-De-Bondeville, France) відповідального за виробництво, первинне пакування, контроль якості при випуску та терміну придатності стерильного розчинника у попередньо наповненому шприці, який використовується для відновлення вакцини. Зміни до розділу "Упаковка", а саме введення 2-ох додаткових пакувань: По 1 флакону з порошком (1 доза) в комплекті з 1 попередньо наповненим шприцом з розчинником (вода для ін’єкцій) з 2 окремими голками в картонній коробці з маркуванням українською мовою. По 10 флаконів з порошком (по 1 дозі) в комплекті з 10 попередньо наповненими шприцами з розчинником (вода для ін’єкцій) з 20 окремими голками в картонній коробці з маркуванням українською мовою. Зміни внесено до інструкції для медичного застосування лікарського засобу до розділів "Спосіб застосування та дози" та "Упаковка", а саме: додано інформацію щодо стерильного розчинника у попередньо наповненому шприці та, як наслідок, додано два тексти маркування упаковки лікарського засобу. Термін введення змін - протягом 6 місяців після затвердження. Зміни II типу - Зміни з якості. Медичні пристрої. Зміна пристроїв для вимірювання дози або введення лікарського засобу (додавання або заміна пристрою, який є невід'ємною частиною первинної упаковки). Реєстрація попередньо наповненого шприца зі стерильним розчинником (pre-filled syringe, PFS) для відновлення вакцини ВАРІВАКС.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ВАРІЛРИКС™ / </w:t>
            </w:r>
            <w:r>
              <w:rPr>
                <w:rFonts w:cs="Arial" w:ascii="Arial" w:hAnsi="Arial"/>
                <w:b/>
                <w:sz w:val="16"/>
                <w:szCs w:val="16"/>
              </w:rPr>
              <w:t>VARILRIX</w:t>
            </w:r>
            <w:r>
              <w:rPr>
                <w:rFonts w:cs="Arial" w:ascii="Arial" w:hAnsi="Arial"/>
                <w:b/>
                <w:sz w:val="16"/>
                <w:szCs w:val="16"/>
                <w:lang w:val="uk-UA"/>
              </w:rPr>
              <w:t>™ ВАКЦИНА ДЛЯ ПРОФІЛАКТИКИ ВІТРЯНОЇ ВІСПИ ЖИВА АТЕНУЙОВАНА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Varicella,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lang w:eastAsia="en-US"/>
              </w:rPr>
              <w:t>живий атенуйований вірус вітряної віспи (штам ОКА)</w:t>
            </w:r>
            <w:r>
              <w:rPr>
                <w:rFonts w:cs="Arial" w:ascii="Arial" w:hAnsi="Arial"/>
                <w:color w:val="000000"/>
                <w:sz w:val="16"/>
                <w:szCs w:val="16"/>
                <w:vertAlign w:val="superscript"/>
                <w:lang w:eastAsia="en-US"/>
              </w:rPr>
              <w:t>1</w:t>
            </w:r>
            <w:r>
              <w:rPr>
                <w:rFonts w:cs="Arial" w:ascii="Arial" w:hAnsi="Arial"/>
                <w:color w:val="000000"/>
                <w:sz w:val="16"/>
                <w:szCs w:val="16"/>
                <w:lang w:eastAsia="en-US"/>
              </w:rPr>
              <w:t xml:space="preserve"> </w:t>
            </w:r>
          </w:p>
          <w:p>
            <w:pPr>
              <w:pStyle w:val="Normal"/>
              <w:jc w:val="both"/>
              <w:rPr/>
            </w:pPr>
            <w:r>
              <w:rPr>
                <w:rFonts w:cs="Arial" w:ascii="Arial" w:hAnsi="Arial"/>
                <w:i/>
                <w:color w:val="000000"/>
                <w:sz w:val="16"/>
                <w:szCs w:val="16"/>
                <w:vertAlign w:val="superscript"/>
                <w:lang w:eastAsia="en-US"/>
              </w:rPr>
              <w:t>1</w:t>
            </w:r>
            <w:r>
              <w:rPr>
                <w:rFonts w:cs="Arial" w:ascii="Arial" w:hAnsi="Arial"/>
                <w:i/>
                <w:color w:val="000000"/>
                <w:sz w:val="16"/>
                <w:szCs w:val="16"/>
                <w:lang w:eastAsia="en-US"/>
              </w:rPr>
              <w:t>отриманий шляхом розмноження в диплоїдних клітинах людини (</w:t>
            </w:r>
            <w:r>
              <w:rPr>
                <w:rFonts w:cs="Arial" w:ascii="Arial" w:hAnsi="Arial"/>
                <w:i/>
                <w:color w:val="000000"/>
                <w:sz w:val="16"/>
                <w:szCs w:val="16"/>
                <w:lang w:val="en-US" w:eastAsia="en-US"/>
              </w:rPr>
              <w:t>MRC</w:t>
            </w:r>
            <w:r>
              <w:rPr>
                <w:rFonts w:cs="Arial" w:ascii="Arial" w:hAnsi="Arial"/>
                <w:i/>
                <w:color w:val="000000"/>
                <w:sz w:val="16"/>
                <w:szCs w:val="16"/>
                <w:lang w:eastAsia="en-US"/>
              </w:rPr>
              <w:t>-5)</w:t>
            </w:r>
          </w:p>
          <w:p>
            <w:pPr>
              <w:pStyle w:val="Normal"/>
              <w:tabs>
                <w:tab w:val="left" w:pos="12600" w:leader="none"/>
              </w:tabs>
              <w:rPr>
                <w:rFonts w:ascii="Arial" w:hAnsi="Arial" w:cs="Arial"/>
                <w:i/>
                <w:i/>
                <w:color w:val="000000"/>
                <w:sz w:val="16"/>
                <w:szCs w:val="16"/>
                <w:lang w:eastAsia="en-US"/>
              </w:rPr>
            </w:pPr>
            <w:r>
              <w:rPr>
                <w:rFonts w:cs="Arial" w:ascii="Arial" w:hAnsi="Arial"/>
                <w:i/>
                <w:color w:val="000000"/>
                <w:sz w:val="16"/>
                <w:szCs w:val="16"/>
                <w:lang w:eastAsia="en-US"/>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J07BK01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 дозі; 1 флакон з ліофілізатом та 1 ампула з розчинником (вода для ін’єкцій) в пластиковому контейнері в картонній коробці; 1 флакон з ліофілізатом та 1 попередньо наповнений шприц з розчинником (вода для ін’єкцій) у комплекті з двома голками в пластиковому контейнері в картонній коробці; 100 флаконів з ліофілізатом та 100 ампул з розчинником (вода для ін’єкцій) (в чарунковій упаковці) в окремих картонних коробках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серії готового продукту, випуск серій розчинника в ампулах та шприцах);</w:t>
              <w:br/>
              <w:t>ГлаксоСмітКляйн Біолоджікалз, Франція (Маркування та пакування разчинника в ампулах. Маркування та пакування розчинника в шприцах. Маркування та пакування готового продукту);</w:t>
              <w:br/>
              <w:t>ГлаксоСмітКляйн Біолоджікалз С.А., Бельгія (Маркування та пакування розчинника в ампулах, контроль якості розчинника в ампулах, маркування та пакування розчинника в шприцах, контроль якості розчинника в шприцах, проведення контролю якості вакцини, маркування і пакування готового продукту);</w:t>
              <w:br/>
              <w:t>Корікса Корпорейшн дба ГлаксоСмітКляйн Вакцинз, Сполучені Штати Америки (Формування вакцини, наповнення та ліофілізація вакцини);</w:t>
              <w:br/>
              <w:t>Фідіа Фармасьютічі С.п.А., Італія (Формування, наповнения,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тестiв Розчинність та Ідентифікація натрію);</w:t>
              <w:br/>
              <w:t xml:space="preserve">Делфарм Тур, Франція (Виробництво розчинника в ампулах, маркування та пакування розчинника в ампулах, контроль якості розчинника в ампулах); </w:t>
              <w:br/>
              <w:t>Каталент Белджіум, Бельгія (Виробництво розчинника в шприцах, контроль якості розчинника в шприцах);</w:t>
              <w:br/>
              <w:t>Аспен Нотр-Дам-Де-Бондвіль, Франція (Виробництво розчинника в шприцах, контроль якості розчинника в шприцах)</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 Сполучені Штати Америки</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w:t>
              <w:br/>
              <w:t>Зміни в виробництві проміжного продукту, узгодження інформації, представленої в зареєстрованих розділах реєстраційного досьє 3.2.P.3.3 Опис виробничого процесу та контролю процесу - Формулювання Fidia Va та операційних документах.</w:t>
              <w:br/>
              <w:t xml:space="preserve">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w:t>
              <w:br/>
              <w:t xml:space="preserve">Зміни в виробництві проміжного продукту, адаптація температури розморожування проміжного продукту вітряної віспи (Va DS), що застосовується на етапі розробки лікарського засобу (DP), на виробничому майданчику Fidia з 11°C ± 1°C до 10°C ± 2°C.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UA/15966/01/01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ВАРІЛРИКС™ / </w:t>
            </w:r>
            <w:r>
              <w:rPr>
                <w:rFonts w:cs="Arial" w:ascii="Arial" w:hAnsi="Arial"/>
                <w:b/>
                <w:sz w:val="16"/>
                <w:szCs w:val="16"/>
              </w:rPr>
              <w:t>VARILRIX</w:t>
            </w:r>
            <w:r>
              <w:rPr>
                <w:rFonts w:cs="Arial" w:ascii="Arial" w:hAnsi="Arial"/>
                <w:b/>
                <w:sz w:val="16"/>
                <w:szCs w:val="16"/>
                <w:lang w:val="uk-UA"/>
              </w:rPr>
              <w:t>™ ВАКЦИНА ДЛЯ ПРОФІЛАКТИКИ ВІТРЯНОЇ ВІСПИ ЖИВА АТЕНУЙОВАНА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Varicella,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lang w:eastAsia="en-US"/>
              </w:rPr>
              <w:t>живий атенуйований вірус вітряної віспи (штам ОКА)</w:t>
            </w:r>
            <w:r>
              <w:rPr>
                <w:rFonts w:cs="Arial" w:ascii="Arial" w:hAnsi="Arial"/>
                <w:color w:val="000000"/>
                <w:sz w:val="16"/>
                <w:szCs w:val="16"/>
                <w:vertAlign w:val="superscript"/>
                <w:lang w:eastAsia="en-US"/>
              </w:rPr>
              <w:t>1</w:t>
            </w:r>
            <w:r>
              <w:rPr>
                <w:rFonts w:cs="Arial" w:ascii="Arial" w:hAnsi="Arial"/>
                <w:color w:val="000000"/>
                <w:sz w:val="16"/>
                <w:szCs w:val="16"/>
                <w:lang w:eastAsia="en-US"/>
              </w:rPr>
              <w:t xml:space="preserve"> </w:t>
            </w:r>
          </w:p>
          <w:p>
            <w:pPr>
              <w:pStyle w:val="Normal"/>
              <w:jc w:val="both"/>
              <w:rPr/>
            </w:pPr>
            <w:r>
              <w:rPr>
                <w:rFonts w:cs="Arial" w:ascii="Arial" w:hAnsi="Arial"/>
                <w:i/>
                <w:color w:val="000000"/>
                <w:sz w:val="16"/>
                <w:szCs w:val="16"/>
                <w:vertAlign w:val="superscript"/>
                <w:lang w:eastAsia="en-US"/>
              </w:rPr>
              <w:t>1</w:t>
            </w:r>
            <w:r>
              <w:rPr>
                <w:rFonts w:cs="Arial" w:ascii="Arial" w:hAnsi="Arial"/>
                <w:i/>
                <w:color w:val="000000"/>
                <w:sz w:val="16"/>
                <w:szCs w:val="16"/>
                <w:lang w:eastAsia="en-US"/>
              </w:rPr>
              <w:t>отриманий шляхом розмноження в диплоїдних клітинах людини (</w:t>
            </w:r>
            <w:r>
              <w:rPr>
                <w:rFonts w:cs="Arial" w:ascii="Arial" w:hAnsi="Arial"/>
                <w:i/>
                <w:color w:val="000000"/>
                <w:sz w:val="16"/>
                <w:szCs w:val="16"/>
                <w:lang w:val="en-US" w:eastAsia="en-US"/>
              </w:rPr>
              <w:t>MRC</w:t>
            </w:r>
            <w:r>
              <w:rPr>
                <w:rFonts w:cs="Arial" w:ascii="Arial" w:hAnsi="Arial"/>
                <w:i/>
                <w:color w:val="000000"/>
                <w:sz w:val="16"/>
                <w:szCs w:val="16"/>
                <w:lang w:eastAsia="en-US"/>
              </w:rPr>
              <w:t>-5)</w:t>
            </w:r>
          </w:p>
          <w:p>
            <w:pPr>
              <w:pStyle w:val="Normal"/>
              <w:tabs>
                <w:tab w:val="left" w:pos="12600" w:leader="none"/>
              </w:tabs>
              <w:rPr>
                <w:rFonts w:ascii="Arial" w:hAnsi="Arial" w:cs="Arial"/>
                <w:i/>
                <w:i/>
                <w:color w:val="000000"/>
                <w:sz w:val="16"/>
                <w:szCs w:val="16"/>
                <w:lang w:eastAsia="en-US"/>
              </w:rPr>
            </w:pPr>
            <w:r>
              <w:rPr>
                <w:rFonts w:cs="Arial" w:ascii="Arial" w:hAnsi="Arial"/>
                <w:i/>
                <w:color w:val="000000"/>
                <w:sz w:val="16"/>
                <w:szCs w:val="16"/>
                <w:lang w:eastAsia="en-US"/>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J07BK01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 дозі; 1 флакон з ліофілізатом та 1 ампула з розчинником (вода для ін'єкцій) в пластиковому контейнері в картонній коробці; 1 флакон з ліофілізатом та 1 попередньо наповнений шприц з розчинником (вода для ін'єкцій) у комплекті з двома голками в пластиковому контейнері в картонній коробці; 100 флаконів з ліофілізатом та 100 ампул з розчинником (вода для ін'єкцій) (в чарунковій упаковці) в окремих картонних коробках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серії готового продукту, випуск серій розчинника в ампулах та шприцах); ГлаксоСмітКляйн Біолоджікалз, Франція (Маркування та пакування разчинника в ампулах. Маркування та пакування розчинника в шприцах. Маркування та пакування готового продукту); ГлаксоСмітКляйн Біолоджікалз С.А., Бельгія (Маркування та пакування розчинника в ампулах, контроль якості розчинника в ампулах, маркування та пакування розчинника в шприцах, контроль якості розчинника в шприцах, проведення контролю якості вакцини, маркування і пакування готового продукту); Корікса Корпорейшн дба ГлаксоСмітКляйн Вакцинз, Сполучені Штати Америки (Формування вакцини, наповнення та ліофілізація вакцини); Фідіа Фармасьютічі С.п.А., Італія (Формування, наповнения,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тестiв Розчинність та Ідентифікація натрію); Делфарм Тур, Франція (Виробництво розчинника в ампулах, маркування та пакування розчинника в ампулах, контроль якості розчинника в ампулах); Каталент Белджіум, Бельгія (Виробництво розчинника в шприцах, контроль якості розчинника в шприцах); Аспен Нотр-Дам-Де-Бондвіль, Франція (Виробництво розчинника в шприцах, контроль якості розчинника в шприцах)</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 Франція/ Сполучені Штати Америки/ Італія/ Франція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CEP 2000-155 Rev 06 для фетальної бичачої сироватки (Foetal Bovine Serum (FBS)) від вже затвердженого виробника LIFE TECHNOLOGIES CORPORATION. Діюча редакція: R1-CEP 2000-155-Rev 05. Пропонована редакція: CEP 2000-155 - Rev 06</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UA/15966/01/01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ВІНОРЕЛЬБІН АККОРД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vinorelbine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вінорельбін (у вигляді вінорельбіну тартрату)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L01CA04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 мг/мл по 1 мл (10 мг), по 5 мл (50 мг) у флаконі, по 1 флакону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додаткове вторинне пакування: Аккорд Хелскеа Лімітед, Велика Британія; виробництво лікарського засобу, первинне та вторинне пакування, контроль якості: Інтас Фармасьютікалс Лімітед, Індія; контроль якості: Єврофінс Аналітікал Сервісез Хангері Кфт., Угорщина; контроль якості: Фармавалід Лтд. Мікробіологічна лабораторія, Угорщина; випуск серії: Аккорд Хелскеа Полска Сп. з o.o. Склад Імпортера, Польща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 Угорщина/ 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br/>
              <w:t>зміни у процесі виробництва готового лікарського засобу, а саме зміна часу зберігання (hold time) проміжної продукції на стадії фільтрації та наповнення технологічного процесу виробництва.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ВІРГАН®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ganciclovir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ганцикловір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S01AD09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очний, 1,5 мг/г; по 5 г у тубі з наконечником, що загвинчується ковпачком;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ЛАБОРАТУАР ТЕА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Фарміла – Теа Фармацеутіці С.п.А.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Звуження допустимих меж, встановлених у специфікації під час виробництва ЛЗ для біонавантаження перед термічною стерилізацією із «&lt; 10 КУО/г» на «&lt; 100 КУО/100 г».</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UA/9379/01/01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ВІТАЦЕРТИН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Vitamin B1 in combination with vitamin B6 and/or vitamin B12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rPr>
              <w:t>тіаміну</w:t>
            </w:r>
            <w:r>
              <w:rPr>
                <w:rFonts w:cs="Arial" w:ascii="Arial" w:hAnsi="Arial"/>
                <w:color w:val="000000"/>
                <w:sz w:val="16"/>
                <w:szCs w:val="16"/>
                <w:lang w:val="en-US"/>
              </w:rPr>
              <w:t xml:space="preserve"> </w:t>
            </w:r>
            <w:r>
              <w:rPr>
                <w:rFonts w:cs="Arial" w:ascii="Arial" w:hAnsi="Arial"/>
                <w:color w:val="000000"/>
                <w:sz w:val="16"/>
                <w:szCs w:val="16"/>
              </w:rPr>
              <w:t>гідрохлорид</w:t>
            </w:r>
            <w:r>
              <w:rPr>
                <w:rFonts w:cs="Arial" w:ascii="Arial" w:hAnsi="Arial"/>
                <w:color w:val="000000"/>
                <w:sz w:val="16"/>
                <w:szCs w:val="16"/>
                <w:lang w:val="en-US"/>
              </w:rPr>
              <w:t xml:space="preserve">, </w:t>
            </w:r>
            <w:r>
              <w:rPr>
                <w:rFonts w:cs="Arial" w:ascii="Arial" w:hAnsi="Arial"/>
                <w:color w:val="000000"/>
                <w:sz w:val="16"/>
                <w:szCs w:val="16"/>
              </w:rPr>
              <w:t>піридоксину</w:t>
            </w:r>
            <w:r>
              <w:rPr>
                <w:rFonts w:cs="Arial" w:ascii="Arial" w:hAnsi="Arial"/>
                <w:color w:val="000000"/>
                <w:sz w:val="16"/>
                <w:szCs w:val="16"/>
                <w:lang w:val="en-US"/>
              </w:rPr>
              <w:t xml:space="preserve"> </w:t>
            </w:r>
            <w:r>
              <w:rPr>
                <w:rFonts w:cs="Arial" w:ascii="Arial" w:hAnsi="Arial"/>
                <w:color w:val="000000"/>
                <w:sz w:val="16"/>
                <w:szCs w:val="16"/>
              </w:rPr>
              <w:t>гідрохлорид</w:t>
            </w:r>
            <w:r>
              <w:rPr>
                <w:rFonts w:cs="Arial" w:ascii="Arial" w:hAnsi="Arial"/>
                <w:color w:val="000000"/>
                <w:sz w:val="16"/>
                <w:szCs w:val="16"/>
                <w:lang w:val="en-US"/>
              </w:rPr>
              <w:t xml:space="preserve">, </w:t>
            </w:r>
            <w:r>
              <w:rPr>
                <w:rFonts w:cs="Arial" w:ascii="Arial" w:hAnsi="Arial"/>
                <w:color w:val="000000"/>
                <w:sz w:val="16"/>
                <w:szCs w:val="16"/>
              </w:rPr>
              <w:t>ціанокобаламін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A11DB</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 мл в ампулі; по 5 ампул у блістері, по 1 блістеру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"ФАРМАХЕЛС"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та випуск серії:</w:t>
              <w:br/>
              <w:t>Приватне акціонерне товариство "Лекхім-Харків" , Україна; випуск серії, не включаючи контроль серії:</w:t>
              <w:br/>
              <w:t>Товариство з обмеженою відповідальністю «ФАРМАХЕЛС»,</w:t>
              <w:br/>
              <w:t>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Додавання виробника Товариство з обмеженою відповідальністю «ФАРМАХЕЛС», Україна в якості додаткової виробничої дільниці, що здійснює випуск серії, не включаючи контроль серії.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 введенням додаткового виробника та його місцезнаходження, як наслідок - затвердження тексту маркування упаковок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 М'ЯТНІ ТАБЛЕТКИ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натрію гідрокарбонат, кальцію 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A02BX13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8 таблеток у блістері; по 2 або по 3 блістери в картонній коробці; по 16 таблеток у контейнерах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UA/6865/02/01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 ПОДВІЙНОЇ ДІЇ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натрію гідрокарбонат, кальцію 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по 150 мл у флаконі з нанесеною рожевою плівкою (безпосередньо на флакон) або у флаконі з рожевим покриттям; по 10 мл у саше, по 10, 12, 20 або 24 саше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Реккітт Бенкізер Хелскер (ЮКей) Лімітед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 ПОЛУНИЧНІ ТАБЛЕТКИ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натрію гідрокарбонат, кальцію 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A02BX13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8 таблеток у блістері; по 2 або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in bulk, пакування, контроль при випуску, випуск серії: Реккітт Бенкізер Хелскер (ЮКей) Лімітед, Велика Британія; </w:t>
              <w:br/>
              <w:t>вторинне пакування: ФармаПас (Юкей) Лімітед, Велика Британія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UA/9210/01/01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 ФОРТЕ М'ЯТНА СУСПЕНЗІЯ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калію бікарбонат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по 150 мл або по 300 мл у флаконах, по 10 мл у саше; по 20 саше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ГАВІСКОН®ПОДВІЙНОЇ ДІЇ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натрію гідрокарбонат, кальцію 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8 таблеток у блістері; по 2 або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пакування, вторинне пакування, контроль якості готового продукту, випуск серії:</w:t>
              <w:br/>
              <w:t>Реккітт Бенкізер Хелскер (ЮКей) Лімітед, Велика Британія;</w:t>
              <w:br/>
              <w:t>відповідальний за виробництво, первинне пакування, вторинне пакування, контроль якості готового продукту, випуск серії:</w:t>
              <w:br/>
              <w:t xml:space="preserve">Реккітт Бенкізер Хелскер Інтернешнл Лімітед, Велика Британія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ГАЛІУМ-ХЕЕЛЬ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color w:val="000000"/>
                <w:sz w:val="16"/>
                <w:szCs w:val="16"/>
                <w:lang w:val="en-US"/>
              </w:rPr>
            </w:pPr>
            <w:r>
              <w:rPr>
                <w:rFonts w:cs="Arial" w:ascii="Arial" w:hAnsi="Arial"/>
                <w:sz w:val="16"/>
                <w:szCs w:val="16"/>
                <w:lang w:val="en-US"/>
              </w:rPr>
              <w:t>Acidum nitricum D6, Apis mellifica D12, Argentum metallicum D8, Aurum metallicum D10, Betula alba D2, Calcium fluoratum D8, Caltha palustris D3, Clematis recta D4, Echinacea D5, Galium aparine D3, Galium mollugo D3, Hedera helix D4, Juniperus communis D4, Ononis spinosa D4, Phosphorus D8, Pyrogenium Nosode D6, Saponaria officinalis D4, Sedum acre D3, Sempervivum tectorum ssp. tectorum D4, Thuja occidentalis D3, Urtica urens D3</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30 мл у флаконі-крапельниці; по 1 флакону-крапельниці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Вилучення інформації про постачальника пакувального матеріалу з реєстраційного досьє, а саме розділу 3.2.Р.7 Система контейнер/закупорювальний засіб.</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UA/3283/01/01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ГЕВКАМЕН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ментол кристалічний; камфора рацемічна; олія евкаліптова; олія гвоздична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M02AX10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20 г або по 30 г або по 40 г у тубах алюмінієвих; по 1 тубі у пачці з картону; по 20 г або по 30 г або по 40 г у тубах алюмінієвих; по 20 г або по 40 г у контейнерах; по 20 г, по 30 г або по 40 г у тубах ламінатних; по 20 г, по 30 г або по 40 г у тубах ламінатних; по 1 тубі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фабрика "Віола"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фабрика "Віола"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подання нового сертифіката відповідності Європейській фармакопеї № R1-CEP 2012-390 - Rev 01 для діючої речовини ментолу кристалічного від нового альтернативного виробника БАСФ СЕ, Німеччина/ BASF SE, Germany.</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ГЕКСАВІТ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rPr>
            </w:pPr>
            <w:r>
              <w:rPr>
                <w:rFonts w:cs="Arial" w:ascii="Arial" w:hAnsi="Arial"/>
                <w:sz w:val="16"/>
                <w:szCs w:val="16"/>
              </w:rPr>
              <w:t>ретинолу ацетат (вітамін А), тіаміну гідрохлорид (вітамін В1), рибофлавін (вітамін В2), піридоксину гідрохлорид (вітамін В6), кислота аскорбінова (вітамін С), нікотинамід</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A11BA</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драже, по 50 драже у контейнері пластмасовому; по 1 контейнеру в пачці; по 50 драже у контейнері пластмасовому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розширення допустимих меж, визначених у специфікації на контейнери пластмасові (полімерні) та кришки для закупорювання, а саме внесені зміни до п. «Розміри»: висота корпусу (Н) (для контейнера) та зовнішній діаметр (D1) (для кришки).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UA/5225/01/01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ГЕРЦЕПТИН®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trastuzumab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600 мг/5 мл; 1 флакон з розчином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пакування, випробування контролю якості, випуск серії: Ф.Хоффманн-Ля Рош Лтд, Швейцарія; Випробування контролю якості: Ф.Хоффманн-Ля Рош Лтд, Швейцарія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br/>
              <w:t>Незначні зміни до процедури контролю розподілу молекулярної маси та чистоти за допомогою CE-SDS (капілярного електрофорезу з додецилсульфатом натрію) з флуоресцентним детектуванням активної речовини додавання критерію кількісного тесту на придатність системи (SST) для тестування референтного стандарту на діючу речовину, виготовлену на Roche Singapore Technical Operations Pte., Ltd та Roche Diagnostics GmbH, Penzberg, Germany.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UA/14303/01/01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ГЕРЦЕПТИН®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trastuzumab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600 мг/5 мл; 1 флакон з розчином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пакування, випробування контролю якості, випуск серії: Ф.Хоффманн-Ля Рош Лтд, Швейцарія; Випробування контролю якості: Ф.Хоффманн-Ля Рош Лтд, Швейцарія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1 рік. Кінцева дата для включення даних до РОЗБ - 24.03.2018 р. Дата подання РОЗБ - 02.06.2018 р. Пропонована редакція: Частота подання регулярно оновлюваного звіту з безпеки 3 роки. Кінцева дата для включення даних до РОЗБ - 24.09.2027 р. Дата подання РОЗБ - 23.12.2027 р. 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UA/14303/01/01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ГІДРОКОРТИЗОН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hydrocortisone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гідрокортизону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D07AA02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1%; по 10 г у тубі алюмінієвій; по 1 тубі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ДП "СТАДА-УКРАЇНА"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«ФЗ «СТАДА»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зміни до специфікації вхідного контролю первинного пакування Сп. 5.14-01-205 «Туби алюмінієві» лікарського засобу Гідрокортизон, мазь 1%, а саме внесено уточнення до технічних допусків показника «Діаметр туби» з метою приведення їх у відповідність до вимог ТУУ 28.7-32030717-001:2008 виробника ТОВ «Тубний завод».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UA/5132/01/01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ГІДРОКСИСЕЧОВИНА МЕДАК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Hydroxycarbamide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гідроксикарбамід (гідроксисечовина)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L01XX05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500 мг, по 10 капсул у блістері; по 10 блістерів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вторинне пакування, маркування первинної упаковки, контроль/випробування серії та за випуск серії:</w:t>
              <w:br/>
              <w:t>Медак Гезельшафт фюр клініше Шпеціальпрепарате мбХ, Німеччина; виробник, що відповідає за виробництво лікарського засобу, первинне, вторинне пакування, маркування, контроль/випробування серії: Хаупт Фарма Амарег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UA/6720/01/01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ГРОУТРОПІН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somatropin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рекомбінантний соматропін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H01AC01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8 МО/мл; по 0,5 мл (4 МО/1,34 мг) або по 2 мл (16 МО /5,34 мг) у флаконі; по 1 або по 10 флаконів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Донг-А СТ Ко., Лтд </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Корея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(інші зміни). Специфікація та методи випробувань готового лікарського засобу приведені відповідно до загальних методів випробувань останньої версії Європейської фармакопеї (EP 10.0) та монографії “Somatropin Solution for Injection”.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показника «Аномальна токсичність» зі специфікації на лікарський засіб. Зміни І типу - Зміни з якості. Готовий лікарський засіб. Опис та склад. Зміна у складі (допоміжних речовинах) готового лікарського засобу (інші допоміжні речовини) - Заміна однієї допоміжної речовини на іншу з тими самими функціональними характеристиками та на тому самому рівні. Заміна консерванту та солюбілізуючого агента у складі допоміжних речовин готового лікарського засобу для уніфікації складу допоміжних речовин різних рецептур та підвищення ефективності виробничого процесу, консервант та солюбілізуючий агент у діючій рецептурі у флаконах були змінені на такі ж, як і у рецептурі картриджа. Зміни внесено в інструкцію для медичного застосування лікарського засобу у розділ "Склад" (допоміжні речовини) з відповідними змінами в тексті маркування упаковок лікарського засобу.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у виробничому процесі, включаючи перегляд параметрів контролю у процесі виробництва, зміни у виробничому процесі буферного обміну, зміни у складі допоміжних речовин лікарського засобу та зміна контейнеру для зберігання готового нерозфасованого розчину.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Зміна розміру серії для дозування 4 МО/0,5 мл </w:t>
            </w:r>
          </w:p>
          <w:p>
            <w:pPr>
              <w:pStyle w:val="Normal"/>
              <w:tabs>
                <w:tab w:val="left" w:pos="12600" w:leader="none"/>
              </w:tabs>
              <w:jc w:val="center"/>
              <w:rPr/>
            </w:pPr>
            <w:r>
              <w:rPr>
                <w:rFonts w:cs="Arial" w:ascii="Arial" w:hAnsi="Arial"/>
                <w:color w:val="000000"/>
                <w:sz w:val="16"/>
                <w:szCs w:val="16"/>
              </w:rPr>
              <w:t>Діюча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Batch size 4 IU/0.5 mL 39,257 vials</w:t>
            </w:r>
          </w:p>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lang w:val="en-US"/>
              </w:rPr>
              <w:t xml:space="preserve">12 IU /1.5mL 14,779 vials </w:t>
            </w:r>
          </w:p>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lang w:val="en-US"/>
              </w:rPr>
              <w:t xml:space="preserve">16 IU/2.0 ml 11,420 vials. </w:t>
            </w:r>
          </w:p>
          <w:p>
            <w:pPr>
              <w:pStyle w:val="Normal"/>
              <w:tabs>
                <w:tab w:val="left" w:pos="12600" w:leader="none"/>
              </w:tabs>
              <w:jc w:val="center"/>
              <w:rPr/>
            </w:pPr>
            <w:r>
              <w:rPr>
                <w:rFonts w:cs="Arial" w:ascii="Arial" w:hAnsi="Arial"/>
                <w:color w:val="000000"/>
                <w:sz w:val="16"/>
                <w:szCs w:val="16"/>
              </w:rPr>
              <w:t>Пропонована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Batch size 4 IU/0.5 mL 19,600 vials </w:t>
            </w:r>
          </w:p>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lang w:val="en-US"/>
              </w:rPr>
              <w:t xml:space="preserve">12 IU /1.5mL 14,779 vials </w:t>
            </w:r>
          </w:p>
          <w:p>
            <w:pPr>
              <w:pStyle w:val="Normal"/>
              <w:tabs>
                <w:tab w:val="left" w:pos="12600" w:leader="none"/>
              </w:tabs>
              <w:jc w:val="center"/>
              <w:rPr/>
            </w:pPr>
            <w:r>
              <w:rPr>
                <w:rFonts w:cs="Arial" w:ascii="Arial" w:hAnsi="Arial"/>
                <w:color w:val="000000"/>
                <w:sz w:val="16"/>
                <w:szCs w:val="16"/>
                <w:lang w:val="en-US"/>
              </w:rPr>
              <w:t xml:space="preserve">16 IU/2.0 ml 11,420 vials. </w:t>
            </w:r>
          </w:p>
          <w:p>
            <w:pPr>
              <w:pStyle w:val="Normal"/>
              <w:tabs>
                <w:tab w:val="left" w:pos="12600" w:leader="none"/>
              </w:tabs>
              <w:jc w:val="center"/>
              <w:rPr/>
            </w:pPr>
            <w:r>
              <w:rPr>
                <w:rFonts w:cs="Arial" w:ascii="Arial" w:hAnsi="Arial"/>
                <w:color w:val="000000"/>
                <w:sz w:val="16"/>
                <w:szCs w:val="16"/>
              </w:rPr>
              <w:t>Зміни</w:t>
            </w:r>
            <w:r>
              <w:rPr>
                <w:rFonts w:cs="Arial" w:ascii="Arial" w:hAnsi="Arial"/>
                <w:color w:val="000000"/>
                <w:sz w:val="16"/>
                <w:szCs w:val="16"/>
                <w:lang w:val="en-US"/>
              </w:rPr>
              <w:t xml:space="preserve"> II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Приведення</w:t>
            </w:r>
            <w:r>
              <w:rPr>
                <w:rFonts w:cs="Arial" w:ascii="Arial" w:hAnsi="Arial"/>
                <w:color w:val="000000"/>
                <w:sz w:val="16"/>
                <w:szCs w:val="16"/>
                <w:lang w:val="en-US"/>
              </w:rPr>
              <w:t xml:space="preserve"> </w:t>
            </w:r>
            <w:r>
              <w:rPr>
                <w:rFonts w:cs="Arial" w:ascii="Arial" w:hAnsi="Arial"/>
                <w:color w:val="000000"/>
                <w:sz w:val="16"/>
                <w:szCs w:val="16"/>
              </w:rPr>
              <w:t>специфікації</w:t>
            </w:r>
            <w:r>
              <w:rPr>
                <w:rFonts w:cs="Arial" w:ascii="Arial" w:hAnsi="Arial"/>
                <w:color w:val="000000"/>
                <w:sz w:val="16"/>
                <w:szCs w:val="16"/>
                <w:lang w:val="en-US"/>
              </w:rPr>
              <w:t xml:space="preserve"> </w:t>
            </w:r>
            <w:r>
              <w:rPr>
                <w:rFonts w:cs="Arial" w:ascii="Arial" w:hAnsi="Arial"/>
                <w:color w:val="000000"/>
                <w:sz w:val="16"/>
                <w:szCs w:val="16"/>
              </w:rPr>
              <w:t>відповідно</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загальних</w:t>
            </w:r>
            <w:r>
              <w:rPr>
                <w:rFonts w:cs="Arial" w:ascii="Arial" w:hAnsi="Arial"/>
                <w:color w:val="000000"/>
                <w:sz w:val="16"/>
                <w:szCs w:val="16"/>
                <w:lang w:val="en-US"/>
              </w:rPr>
              <w:t xml:space="preserve"> </w:t>
            </w:r>
            <w:r>
              <w:rPr>
                <w:rFonts w:cs="Arial" w:ascii="Arial" w:hAnsi="Arial"/>
                <w:color w:val="000000"/>
                <w:sz w:val="16"/>
                <w:szCs w:val="16"/>
              </w:rPr>
              <w:t>методів</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Європейської</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(EP 10.0)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монографії</w:t>
            </w:r>
            <w:r>
              <w:rPr>
                <w:rFonts w:cs="Arial" w:ascii="Arial" w:hAnsi="Arial"/>
                <w:color w:val="000000"/>
                <w:sz w:val="16"/>
                <w:szCs w:val="16"/>
                <w:lang w:val="en-US"/>
              </w:rPr>
              <w:t xml:space="preserve"> “Somatropin Solution for Injection”. </w:t>
            </w:r>
            <w:r>
              <w:rPr>
                <w:rFonts w:cs="Arial" w:ascii="Arial" w:hAnsi="Arial"/>
                <w:color w:val="000000"/>
                <w:sz w:val="16"/>
                <w:szCs w:val="16"/>
              </w:rPr>
              <w:t>Зміни II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Стерильні лікарські засоби та лікарські засоби біологічного/імунологічного походження. Зміна в первинній упаковці, склад гумової пробки замінено з хлорбутилового на бромбутиловий.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UA/8465/01/01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ДЕКСИЛ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декскетопрофену трометамол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мг/2 мл по 2 мл в ампулі; по 5 ампул у контурній чарунковій упаковці; по 1 контурній чарунковій упаковці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ДЖІВДХАРА ФАРМА ПРАЙВІТ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до розділів «Особливості застосування» та «Побічні реакції» щодо безпеки застосування діючої речовини відповідно до рекомендацій PRAC.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ДЕКСОФЕН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декскетопрофену трометамол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мг/2 мл, по 2 мл в ампулі; по 5 ампул у пластиковій контурній упаковці,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Євро Лайфкер Прайвіт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до специфікації (на випуск) та методів контролю якості ГЛЗ, а саме: узгодження термінології у розділі «Ідентифікація (метод ВЕРХ)» між специфікацією та методами контролю; внесення розрахункової формули для визначення вмісту в «мг» та виправлення молекулярної маси Декскетопрофену трометамолу в розділі «Кількісне визначення (методом ВЕРХ)» в методах контролю; узгодження термінології у розділах «Супровідні домішки (методом ВЕРХ)» та «Кількісне визначення (методом ВЕРХ)» в методах контролю.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ДЕНІГМА®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memantine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мемантину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in bulk: по 14 таблеток у блістері, по 90 блістерів у картонній коробці; in bulk: по 14 таблеток у блістері, по 250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 реєстрація додаткової упаковки у формі in bulk у зв'язку з виробничою необхідністю. Діюча редакція in bulk: по 14 таблеток у блістері, по 90 блістерів у картонній коробці. Пропонована редакція in bulk: по 14 таблеток у блістері, по 90 блістерів у картонній коробці. in bulk: по 14 таблеток у блістері, по 250 блістерів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UA/15791/02/01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ДЕНІГМА®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memantine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мемантину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1 блістеру у картонній упаковці; по 14 таблеток у блістері, по 1 блістеру у картонній упаковці; по 10 картонних упаковок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 або виробництво продукції in bulk: КУСУМ ХЕЛТХКЕР ПВТ ЛТД, Індія; вторинне пакування, випуск серії з продукції in bulk: ТОВ «КУСУМ», Україна; контроль якості: ТОВ «КУСУМ», 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внесення змін до Методів контролю якості до розділу "Упаковка". Уточнюється комплектність упаковки, а саме додається фраза "з інструкцією для медичного застосування".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UA/13254/02/01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ДЖІСІ ФЛЮ / GC FLU ВАКЦИНА ДЛЯ ПРОФІЛАКТИКИ ГРИПУ (РОЗЩЕПЛЕНИЙ ВІРІОН, ІНАКТИВОВАНИЙ)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Influenza, inactivated, split virus or surface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both"/>
              <w:rPr/>
            </w:pPr>
            <w:r>
              <w:rPr>
                <w:rFonts w:cs="Arial" w:ascii="Arial" w:hAnsi="Arial"/>
                <w:sz w:val="16"/>
                <w:szCs w:val="16"/>
              </w:rPr>
              <w:t>очищені</w:t>
            </w:r>
            <w:r>
              <w:rPr>
                <w:rFonts w:cs="Arial" w:ascii="Arial" w:hAnsi="Arial"/>
                <w:sz w:val="16"/>
                <w:szCs w:val="16"/>
                <w:lang w:val="en-US"/>
              </w:rPr>
              <w:t xml:space="preserve"> </w:t>
            </w:r>
            <w:r>
              <w:rPr>
                <w:rFonts w:cs="Arial" w:ascii="Arial" w:hAnsi="Arial"/>
                <w:sz w:val="16"/>
                <w:szCs w:val="16"/>
              </w:rPr>
              <w:t>інактивовані</w:t>
            </w:r>
            <w:r>
              <w:rPr>
                <w:rFonts w:cs="Arial" w:ascii="Arial" w:hAnsi="Arial"/>
                <w:sz w:val="16"/>
                <w:szCs w:val="16"/>
                <w:lang w:val="en-US"/>
              </w:rPr>
              <w:t xml:space="preserve"> </w:t>
            </w:r>
            <w:r>
              <w:rPr>
                <w:rFonts w:cs="Arial" w:ascii="Arial" w:hAnsi="Arial"/>
                <w:sz w:val="16"/>
                <w:szCs w:val="16"/>
              </w:rPr>
              <w:t>віруси</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w:t>
            </w:r>
          </w:p>
          <w:p>
            <w:pPr>
              <w:pStyle w:val="Normal"/>
              <w:autoSpaceDE w:val="false"/>
              <w:jc w:val="both"/>
              <w:rPr/>
            </w:pPr>
            <w:r>
              <w:rPr>
                <w:rFonts w:cs="Arial" w:ascii="Arial" w:hAnsi="Arial"/>
                <w:sz w:val="16"/>
                <w:szCs w:val="16"/>
              </w:rPr>
              <w:t>очищений</w:t>
            </w:r>
            <w:r>
              <w:rPr>
                <w:rFonts w:cs="Arial" w:ascii="Arial" w:hAnsi="Arial"/>
                <w:sz w:val="16"/>
                <w:szCs w:val="16"/>
                <w:lang w:val="en-US"/>
              </w:rPr>
              <w:t xml:space="preserve"> </w:t>
            </w:r>
            <w:r>
              <w:rPr>
                <w:rFonts w:cs="Arial" w:ascii="Arial" w:hAnsi="Arial"/>
                <w:sz w:val="16"/>
                <w:szCs w:val="16"/>
              </w:rPr>
              <w:t>інактивований</w:t>
            </w:r>
            <w:r>
              <w:rPr>
                <w:rFonts w:cs="Arial" w:ascii="Arial" w:hAnsi="Arial"/>
                <w:sz w:val="16"/>
                <w:szCs w:val="16"/>
                <w:lang w:val="en-US"/>
              </w:rPr>
              <w:t xml:space="preserve"> </w:t>
            </w:r>
            <w:r>
              <w:rPr>
                <w:rFonts w:cs="Arial" w:ascii="Arial" w:hAnsi="Arial"/>
                <w:sz w:val="16"/>
                <w:szCs w:val="16"/>
              </w:rPr>
              <w:t>вірусний</w:t>
            </w:r>
            <w:r>
              <w:rPr>
                <w:rFonts w:cs="Arial" w:ascii="Arial" w:hAnsi="Arial"/>
                <w:sz w:val="16"/>
                <w:szCs w:val="16"/>
                <w:lang w:val="en-US"/>
              </w:rPr>
              <w:t xml:space="preserve"> </w:t>
            </w:r>
            <w:r>
              <w:rPr>
                <w:rFonts w:cs="Arial" w:ascii="Arial" w:hAnsi="Arial"/>
                <w:sz w:val="16"/>
                <w:szCs w:val="16"/>
              </w:rPr>
              <w:t>антиген</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A [A/Missouri/11/2025 (H1N1)pdm09-</w:t>
            </w:r>
            <w:r>
              <w:rPr>
                <w:rFonts w:cs="Arial" w:ascii="Arial" w:hAnsi="Arial"/>
                <w:sz w:val="16"/>
                <w:szCs w:val="16"/>
              </w:rPr>
              <w:t>подібний</w:t>
            </w:r>
            <w:r>
              <w:rPr>
                <w:rFonts w:cs="Arial" w:ascii="Arial" w:hAnsi="Arial"/>
                <w:sz w:val="16"/>
                <w:szCs w:val="16"/>
                <w:lang w:val="en-US"/>
              </w:rPr>
              <w:t xml:space="preserve"> – A/Missouri/11/2025 IVR-279]; </w:t>
            </w:r>
          </w:p>
          <w:p>
            <w:pPr>
              <w:pStyle w:val="Normal"/>
              <w:autoSpaceDE w:val="false"/>
              <w:jc w:val="both"/>
              <w:rPr/>
            </w:pPr>
            <w:r>
              <w:rPr>
                <w:rFonts w:cs="Arial" w:ascii="Arial" w:hAnsi="Arial"/>
                <w:sz w:val="16"/>
                <w:szCs w:val="16"/>
              </w:rPr>
              <w:t>очищений</w:t>
            </w:r>
            <w:r>
              <w:rPr>
                <w:rFonts w:cs="Arial" w:ascii="Arial" w:hAnsi="Arial"/>
                <w:sz w:val="16"/>
                <w:szCs w:val="16"/>
                <w:lang w:val="en-US"/>
              </w:rPr>
              <w:t xml:space="preserve"> </w:t>
            </w:r>
            <w:r>
              <w:rPr>
                <w:rFonts w:cs="Arial" w:ascii="Arial" w:hAnsi="Arial"/>
                <w:sz w:val="16"/>
                <w:szCs w:val="16"/>
              </w:rPr>
              <w:t>інактивований</w:t>
            </w:r>
            <w:r>
              <w:rPr>
                <w:rFonts w:cs="Arial" w:ascii="Arial" w:hAnsi="Arial"/>
                <w:sz w:val="16"/>
                <w:szCs w:val="16"/>
                <w:lang w:val="en-US"/>
              </w:rPr>
              <w:t xml:space="preserve"> </w:t>
            </w:r>
            <w:r>
              <w:rPr>
                <w:rFonts w:cs="Arial" w:ascii="Arial" w:hAnsi="Arial"/>
                <w:sz w:val="16"/>
                <w:szCs w:val="16"/>
              </w:rPr>
              <w:t>вірусний</w:t>
            </w:r>
            <w:r>
              <w:rPr>
                <w:rFonts w:cs="Arial" w:ascii="Arial" w:hAnsi="Arial"/>
                <w:sz w:val="16"/>
                <w:szCs w:val="16"/>
                <w:lang w:val="en-US"/>
              </w:rPr>
              <w:t xml:space="preserve"> </w:t>
            </w:r>
            <w:r>
              <w:rPr>
                <w:rFonts w:cs="Arial" w:ascii="Arial" w:hAnsi="Arial"/>
                <w:sz w:val="16"/>
                <w:szCs w:val="16"/>
              </w:rPr>
              <w:t>антиген</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A [A/Darwin/1454/2025 (H3N2)-</w:t>
            </w:r>
            <w:r>
              <w:rPr>
                <w:rFonts w:cs="Arial" w:ascii="Arial" w:hAnsi="Arial"/>
                <w:sz w:val="16"/>
                <w:szCs w:val="16"/>
              </w:rPr>
              <w:t>подібний</w:t>
            </w:r>
            <w:r>
              <w:rPr>
                <w:rFonts w:cs="Arial" w:ascii="Arial" w:hAnsi="Arial"/>
                <w:sz w:val="16"/>
                <w:szCs w:val="16"/>
                <w:lang w:val="en-US"/>
              </w:rPr>
              <w:t xml:space="preserve"> – A/Michigan/105/2025 SAN-049A]; </w:t>
            </w:r>
          </w:p>
          <w:p>
            <w:pPr>
              <w:pStyle w:val="Normal"/>
              <w:autoSpaceDE w:val="false"/>
              <w:jc w:val="both"/>
              <w:rPr/>
            </w:pPr>
            <w:r>
              <w:rPr>
                <w:rFonts w:cs="Arial" w:ascii="Arial" w:hAnsi="Arial"/>
                <w:sz w:val="16"/>
                <w:szCs w:val="16"/>
              </w:rPr>
              <w:t>очищений</w:t>
            </w:r>
            <w:r>
              <w:rPr>
                <w:rFonts w:cs="Arial" w:ascii="Arial" w:hAnsi="Arial"/>
                <w:sz w:val="16"/>
                <w:szCs w:val="16"/>
                <w:lang w:val="en-US"/>
              </w:rPr>
              <w:t xml:space="preserve"> </w:t>
            </w:r>
            <w:r>
              <w:rPr>
                <w:rFonts w:cs="Arial" w:ascii="Arial" w:hAnsi="Arial"/>
                <w:sz w:val="16"/>
                <w:szCs w:val="16"/>
              </w:rPr>
              <w:t>інактивований</w:t>
            </w:r>
            <w:r>
              <w:rPr>
                <w:rFonts w:cs="Arial" w:ascii="Arial" w:hAnsi="Arial"/>
                <w:sz w:val="16"/>
                <w:szCs w:val="16"/>
                <w:lang w:val="en-US"/>
              </w:rPr>
              <w:t xml:space="preserve"> </w:t>
            </w:r>
            <w:r>
              <w:rPr>
                <w:rFonts w:cs="Arial" w:ascii="Arial" w:hAnsi="Arial"/>
                <w:sz w:val="16"/>
                <w:szCs w:val="16"/>
              </w:rPr>
              <w:t>вірусний</w:t>
            </w:r>
            <w:r>
              <w:rPr>
                <w:rFonts w:cs="Arial" w:ascii="Arial" w:hAnsi="Arial"/>
                <w:sz w:val="16"/>
                <w:szCs w:val="16"/>
                <w:lang w:val="en-US"/>
              </w:rPr>
              <w:t xml:space="preserve"> </w:t>
            </w:r>
            <w:r>
              <w:rPr>
                <w:rFonts w:cs="Arial" w:ascii="Arial" w:hAnsi="Arial"/>
                <w:sz w:val="16"/>
                <w:szCs w:val="16"/>
              </w:rPr>
              <w:t>антиген</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B [B/Tokyo/EIS13-175/2025 (B/Victoria </w:t>
            </w:r>
            <w:r>
              <w:rPr>
                <w:rFonts w:cs="Arial" w:ascii="Arial" w:hAnsi="Arial"/>
                <w:sz w:val="16"/>
                <w:szCs w:val="16"/>
              </w:rPr>
              <w:t>лінія</w:t>
            </w:r>
            <w:r>
              <w:rPr>
                <w:rFonts w:cs="Arial" w:ascii="Arial" w:hAnsi="Arial"/>
                <w:sz w:val="16"/>
                <w:szCs w:val="16"/>
                <w:lang w:val="en-US"/>
              </w:rPr>
              <w:t>)-</w:t>
            </w:r>
            <w:r>
              <w:rPr>
                <w:rFonts w:cs="Arial" w:ascii="Arial" w:hAnsi="Arial"/>
                <w:sz w:val="16"/>
                <w:szCs w:val="16"/>
              </w:rPr>
              <w:t>подібний</w:t>
            </w:r>
            <w:r>
              <w:rPr>
                <w:rFonts w:cs="Arial" w:ascii="Arial" w:hAnsi="Arial"/>
                <w:sz w:val="16"/>
                <w:szCs w:val="16"/>
                <w:lang w:val="en-US"/>
              </w:rPr>
              <w:t xml:space="preserve"> – B/Tokyo/EIS13-175/2025]</w:t>
            </w:r>
          </w:p>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0,25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0,5 мл у попередньо наповнених шприцах з одноразовою голкою, по одному в блістері; по 1 або по 10 шприців у пачці з картону з маркуванням українською мовою; по 0,25 мл у попередньо наповнених шприцах з одноразовою голкою, по одному в блістері; по 1 або по 10 шприців у пачці з картону з маркуванням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М.БІОТЕК ЛІМІТЕД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ДжіСі Біофарма Корп.</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Корея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"діючої речовини" в наказі МОЗ України № 1405 від 24.09.2026 в процесі внесення змін</w:t>
            </w:r>
            <w:r>
              <w:rPr>
                <w:rFonts w:cs="Arial" w:ascii="Arial" w:hAnsi="Arial"/>
                <w:color w:val="000000"/>
                <w:sz w:val="16"/>
                <w:szCs w:val="16"/>
              </w:rPr>
              <w:t xml:space="preserve"> - Зміни II типу - Зміни з якості. АФІ. Виробництво. Зміни в активній речовині сезонних, передпандемічних або пандемічних вакцин проти вірусу грипу людини (заміна штаму(ів) у сезонних, передпандемічних або пандемічних вакцинах проти вірусу грипу людини) - зміна штамового складу вакцини для профілактики грипу відповідно до рекомендацій ВООЗ встановленими на сезон 2026-2027. Зміни внесено в інструкцію для медичного застосування лікарського засобу в розділ "Склад" та, як наслідок, в розділ "Імунологічні і біологічні властивості" щодо зміни штамового складу вакцини у зв’язку з рекомендаціями ВООЗ, встановленими на сезон 2026-2027 років. Відповідні зміни внесно в текст маркування вторинної упаковки (стикера та пачки з картону - в пункти 2, 17), вторинної упаковки (блістер - в пункт 17) та первинної упаковки (в пункт 6)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ДЖІСІ ФЛЮ / GC FLU ВАКЦИНА ДЛЯ ПРОФІЛАКТИКИ ГРИПУ (РОЗЩЕПЛЕНИЙ ВІРІОН, ІНАКТИВОВАНИЙ)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Influenza, inactivated, split virus or surface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both"/>
              <w:rPr/>
            </w:pPr>
            <w:r>
              <w:rPr>
                <w:rFonts w:cs="Arial" w:ascii="Arial" w:hAnsi="Arial"/>
                <w:sz w:val="16"/>
                <w:szCs w:val="16"/>
              </w:rPr>
              <w:t>очищені</w:t>
            </w:r>
            <w:r>
              <w:rPr>
                <w:rFonts w:cs="Arial" w:ascii="Arial" w:hAnsi="Arial"/>
                <w:sz w:val="16"/>
                <w:szCs w:val="16"/>
                <w:lang w:val="en-US"/>
              </w:rPr>
              <w:t xml:space="preserve"> </w:t>
            </w:r>
            <w:r>
              <w:rPr>
                <w:rFonts w:cs="Arial" w:ascii="Arial" w:hAnsi="Arial"/>
                <w:sz w:val="16"/>
                <w:szCs w:val="16"/>
              </w:rPr>
              <w:t>інактивовані</w:t>
            </w:r>
            <w:r>
              <w:rPr>
                <w:rFonts w:cs="Arial" w:ascii="Arial" w:hAnsi="Arial"/>
                <w:sz w:val="16"/>
                <w:szCs w:val="16"/>
                <w:lang w:val="en-US"/>
              </w:rPr>
              <w:t xml:space="preserve"> </w:t>
            </w:r>
            <w:r>
              <w:rPr>
                <w:rFonts w:cs="Arial" w:ascii="Arial" w:hAnsi="Arial"/>
                <w:sz w:val="16"/>
                <w:szCs w:val="16"/>
              </w:rPr>
              <w:t>віруси</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w:t>
            </w:r>
          </w:p>
          <w:p>
            <w:pPr>
              <w:pStyle w:val="Normal"/>
              <w:autoSpaceDE w:val="false"/>
              <w:jc w:val="both"/>
              <w:rPr/>
            </w:pPr>
            <w:r>
              <w:rPr>
                <w:rFonts w:cs="Arial" w:ascii="Arial" w:hAnsi="Arial"/>
                <w:sz w:val="16"/>
                <w:szCs w:val="16"/>
              </w:rPr>
              <w:t>очищений</w:t>
            </w:r>
            <w:r>
              <w:rPr>
                <w:rFonts w:cs="Arial" w:ascii="Arial" w:hAnsi="Arial"/>
                <w:sz w:val="16"/>
                <w:szCs w:val="16"/>
                <w:lang w:val="en-US"/>
              </w:rPr>
              <w:t xml:space="preserve"> </w:t>
            </w:r>
            <w:r>
              <w:rPr>
                <w:rFonts w:cs="Arial" w:ascii="Arial" w:hAnsi="Arial"/>
                <w:sz w:val="16"/>
                <w:szCs w:val="16"/>
              </w:rPr>
              <w:t>інактивований</w:t>
            </w:r>
            <w:r>
              <w:rPr>
                <w:rFonts w:cs="Arial" w:ascii="Arial" w:hAnsi="Arial"/>
                <w:sz w:val="16"/>
                <w:szCs w:val="16"/>
                <w:lang w:val="en-US"/>
              </w:rPr>
              <w:t xml:space="preserve"> </w:t>
            </w:r>
            <w:r>
              <w:rPr>
                <w:rFonts w:cs="Arial" w:ascii="Arial" w:hAnsi="Arial"/>
                <w:sz w:val="16"/>
                <w:szCs w:val="16"/>
              </w:rPr>
              <w:t>вірусний</w:t>
            </w:r>
            <w:r>
              <w:rPr>
                <w:rFonts w:cs="Arial" w:ascii="Arial" w:hAnsi="Arial"/>
                <w:sz w:val="16"/>
                <w:szCs w:val="16"/>
                <w:lang w:val="en-US"/>
              </w:rPr>
              <w:t xml:space="preserve"> </w:t>
            </w:r>
            <w:r>
              <w:rPr>
                <w:rFonts w:cs="Arial" w:ascii="Arial" w:hAnsi="Arial"/>
                <w:sz w:val="16"/>
                <w:szCs w:val="16"/>
              </w:rPr>
              <w:t>антиген</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A [A/Missouri/11/2025 (H1N1)pdm09-</w:t>
            </w:r>
            <w:r>
              <w:rPr>
                <w:rFonts w:cs="Arial" w:ascii="Arial" w:hAnsi="Arial"/>
                <w:sz w:val="16"/>
                <w:szCs w:val="16"/>
              </w:rPr>
              <w:t>подібний</w:t>
            </w:r>
            <w:r>
              <w:rPr>
                <w:rFonts w:cs="Arial" w:ascii="Arial" w:hAnsi="Arial"/>
                <w:sz w:val="16"/>
                <w:szCs w:val="16"/>
                <w:lang w:val="en-US"/>
              </w:rPr>
              <w:t xml:space="preserve"> – A/Missouri/11/2025 IVR-279]; </w:t>
            </w:r>
          </w:p>
          <w:p>
            <w:pPr>
              <w:pStyle w:val="Normal"/>
              <w:autoSpaceDE w:val="false"/>
              <w:jc w:val="both"/>
              <w:rPr/>
            </w:pPr>
            <w:r>
              <w:rPr>
                <w:rFonts w:cs="Arial" w:ascii="Arial" w:hAnsi="Arial"/>
                <w:sz w:val="16"/>
                <w:szCs w:val="16"/>
              </w:rPr>
              <w:t>очищений</w:t>
            </w:r>
            <w:r>
              <w:rPr>
                <w:rFonts w:cs="Arial" w:ascii="Arial" w:hAnsi="Arial"/>
                <w:sz w:val="16"/>
                <w:szCs w:val="16"/>
                <w:lang w:val="en-US"/>
              </w:rPr>
              <w:t xml:space="preserve"> </w:t>
            </w:r>
            <w:r>
              <w:rPr>
                <w:rFonts w:cs="Arial" w:ascii="Arial" w:hAnsi="Arial"/>
                <w:sz w:val="16"/>
                <w:szCs w:val="16"/>
              </w:rPr>
              <w:t>інактивований</w:t>
            </w:r>
            <w:r>
              <w:rPr>
                <w:rFonts w:cs="Arial" w:ascii="Arial" w:hAnsi="Arial"/>
                <w:sz w:val="16"/>
                <w:szCs w:val="16"/>
                <w:lang w:val="en-US"/>
              </w:rPr>
              <w:t xml:space="preserve"> </w:t>
            </w:r>
            <w:r>
              <w:rPr>
                <w:rFonts w:cs="Arial" w:ascii="Arial" w:hAnsi="Arial"/>
                <w:sz w:val="16"/>
                <w:szCs w:val="16"/>
              </w:rPr>
              <w:t>вірусний</w:t>
            </w:r>
            <w:r>
              <w:rPr>
                <w:rFonts w:cs="Arial" w:ascii="Arial" w:hAnsi="Arial"/>
                <w:sz w:val="16"/>
                <w:szCs w:val="16"/>
                <w:lang w:val="en-US"/>
              </w:rPr>
              <w:t xml:space="preserve"> </w:t>
            </w:r>
            <w:r>
              <w:rPr>
                <w:rFonts w:cs="Arial" w:ascii="Arial" w:hAnsi="Arial"/>
                <w:sz w:val="16"/>
                <w:szCs w:val="16"/>
              </w:rPr>
              <w:t>антиген</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A [A/Darwin/1454/2025 (H3N2)-</w:t>
            </w:r>
            <w:r>
              <w:rPr>
                <w:rFonts w:cs="Arial" w:ascii="Arial" w:hAnsi="Arial"/>
                <w:sz w:val="16"/>
                <w:szCs w:val="16"/>
              </w:rPr>
              <w:t>подібний</w:t>
            </w:r>
            <w:r>
              <w:rPr>
                <w:rFonts w:cs="Arial" w:ascii="Arial" w:hAnsi="Arial"/>
                <w:sz w:val="16"/>
                <w:szCs w:val="16"/>
                <w:lang w:val="en-US"/>
              </w:rPr>
              <w:t xml:space="preserve"> – A/Michigan/105/2025 SAN-049A]; </w:t>
            </w:r>
          </w:p>
          <w:p>
            <w:pPr>
              <w:pStyle w:val="Normal"/>
              <w:autoSpaceDE w:val="false"/>
              <w:jc w:val="both"/>
              <w:rPr/>
            </w:pPr>
            <w:r>
              <w:rPr>
                <w:rFonts w:cs="Arial" w:ascii="Arial" w:hAnsi="Arial"/>
                <w:sz w:val="16"/>
                <w:szCs w:val="16"/>
              </w:rPr>
              <w:t>очищений</w:t>
            </w:r>
            <w:r>
              <w:rPr>
                <w:rFonts w:cs="Arial" w:ascii="Arial" w:hAnsi="Arial"/>
                <w:sz w:val="16"/>
                <w:szCs w:val="16"/>
                <w:lang w:val="en-US"/>
              </w:rPr>
              <w:t xml:space="preserve"> </w:t>
            </w:r>
            <w:r>
              <w:rPr>
                <w:rFonts w:cs="Arial" w:ascii="Arial" w:hAnsi="Arial"/>
                <w:sz w:val="16"/>
                <w:szCs w:val="16"/>
              </w:rPr>
              <w:t>інактивований</w:t>
            </w:r>
            <w:r>
              <w:rPr>
                <w:rFonts w:cs="Arial" w:ascii="Arial" w:hAnsi="Arial"/>
                <w:sz w:val="16"/>
                <w:szCs w:val="16"/>
                <w:lang w:val="en-US"/>
              </w:rPr>
              <w:t xml:space="preserve"> </w:t>
            </w:r>
            <w:r>
              <w:rPr>
                <w:rFonts w:cs="Arial" w:ascii="Arial" w:hAnsi="Arial"/>
                <w:sz w:val="16"/>
                <w:szCs w:val="16"/>
              </w:rPr>
              <w:t>вірусний</w:t>
            </w:r>
            <w:r>
              <w:rPr>
                <w:rFonts w:cs="Arial" w:ascii="Arial" w:hAnsi="Arial"/>
                <w:sz w:val="16"/>
                <w:szCs w:val="16"/>
                <w:lang w:val="en-US"/>
              </w:rPr>
              <w:t xml:space="preserve"> </w:t>
            </w:r>
            <w:r>
              <w:rPr>
                <w:rFonts w:cs="Arial" w:ascii="Arial" w:hAnsi="Arial"/>
                <w:sz w:val="16"/>
                <w:szCs w:val="16"/>
              </w:rPr>
              <w:t>антиген</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B [B/Tokyo/EIS13-175/2025 (B/Victoria </w:t>
            </w:r>
            <w:r>
              <w:rPr>
                <w:rFonts w:cs="Arial" w:ascii="Arial" w:hAnsi="Arial"/>
                <w:sz w:val="16"/>
                <w:szCs w:val="16"/>
              </w:rPr>
              <w:t>лінія</w:t>
            </w:r>
            <w:r>
              <w:rPr>
                <w:rFonts w:cs="Arial" w:ascii="Arial" w:hAnsi="Arial"/>
                <w:sz w:val="16"/>
                <w:szCs w:val="16"/>
                <w:lang w:val="en-US"/>
              </w:rPr>
              <w:t>)-</w:t>
            </w:r>
            <w:r>
              <w:rPr>
                <w:rFonts w:cs="Arial" w:ascii="Arial" w:hAnsi="Arial"/>
                <w:sz w:val="16"/>
                <w:szCs w:val="16"/>
              </w:rPr>
              <w:t>подібний</w:t>
            </w:r>
            <w:r>
              <w:rPr>
                <w:rFonts w:cs="Arial" w:ascii="Arial" w:hAnsi="Arial"/>
                <w:sz w:val="16"/>
                <w:szCs w:val="16"/>
                <w:lang w:val="en-US"/>
              </w:rPr>
              <w:t xml:space="preserve"> – B/Tokyo/EIS13-175/2025]</w:t>
            </w:r>
          </w:p>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0,25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0,5 мл у попередньо наповнених шприцах з одноразовою голкою, по одному в блістері; по 1 або по 10 шприців у пачці з картону з маркуванням українською мовою; по 0,25 мл у попередньо наповнених шприцах з одноразовою голкою, по одному в блістері; по 1 або по 10 шприців у пачці з картону з маркуванням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М.БІОТЕК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ДжіСі Біофарма Корп.</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Корея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"діючої речовини" в наказі МОЗ України № 1405 від 24.09.2026 в процесі внесення змін</w:t>
            </w:r>
            <w:r>
              <w:rPr>
                <w:rFonts w:cs="Arial" w:ascii="Arial" w:hAnsi="Arial"/>
                <w:color w:val="000000"/>
                <w:sz w:val="16"/>
                <w:szCs w:val="16"/>
              </w:rPr>
              <w:t xml:space="preserve">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 Приведення випробування на наявність мікоплазми (Mycoplasma Test) для робочого вірусного посівного матеріалу (working virus seed), який використовується у процесі виробництва діючої речовини, у відповідність до монографії Європейської фармакопеї, зокрема, було доповнено методом індикаторної клітинної культури (Cell Indicator Method)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Оновлення посилання у специфікації для випробування на наявність мікоплазми (Mycoplasma Test) з In-house на EP (Ph.Eur 2.6.7. Mycoplasmas)</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ДЖІСІ ФЛЮ / GC FLU ВАКЦИНА ДЛЯ ПРОФІЛАКТИКИ ГРИПУ (РОЗЩЕПЛЕНИЙ ВІРІОН, ІНАКТИВОВАНИЙ)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Influenza, inactivated, split virus or surface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both"/>
              <w:rPr/>
            </w:pPr>
            <w:r>
              <w:rPr>
                <w:rFonts w:cs="Arial" w:ascii="Arial" w:hAnsi="Arial"/>
                <w:sz w:val="16"/>
                <w:szCs w:val="16"/>
              </w:rPr>
              <w:t>очищені</w:t>
            </w:r>
            <w:r>
              <w:rPr>
                <w:rFonts w:cs="Arial" w:ascii="Arial" w:hAnsi="Arial"/>
                <w:sz w:val="16"/>
                <w:szCs w:val="16"/>
                <w:lang w:val="en-US"/>
              </w:rPr>
              <w:t xml:space="preserve"> </w:t>
            </w:r>
            <w:r>
              <w:rPr>
                <w:rFonts w:cs="Arial" w:ascii="Arial" w:hAnsi="Arial"/>
                <w:sz w:val="16"/>
                <w:szCs w:val="16"/>
              </w:rPr>
              <w:t>інактивовані</w:t>
            </w:r>
            <w:r>
              <w:rPr>
                <w:rFonts w:cs="Arial" w:ascii="Arial" w:hAnsi="Arial"/>
                <w:sz w:val="16"/>
                <w:szCs w:val="16"/>
                <w:lang w:val="en-US"/>
              </w:rPr>
              <w:t xml:space="preserve"> </w:t>
            </w:r>
            <w:r>
              <w:rPr>
                <w:rFonts w:cs="Arial" w:ascii="Arial" w:hAnsi="Arial"/>
                <w:sz w:val="16"/>
                <w:szCs w:val="16"/>
              </w:rPr>
              <w:t>віруси</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w:t>
            </w:r>
          </w:p>
          <w:p>
            <w:pPr>
              <w:pStyle w:val="Normal"/>
              <w:autoSpaceDE w:val="false"/>
              <w:jc w:val="both"/>
              <w:rPr/>
            </w:pPr>
            <w:r>
              <w:rPr>
                <w:rFonts w:cs="Arial" w:ascii="Arial" w:hAnsi="Arial"/>
                <w:sz w:val="16"/>
                <w:szCs w:val="16"/>
              </w:rPr>
              <w:t>очищений</w:t>
            </w:r>
            <w:r>
              <w:rPr>
                <w:rFonts w:cs="Arial" w:ascii="Arial" w:hAnsi="Arial"/>
                <w:sz w:val="16"/>
                <w:szCs w:val="16"/>
                <w:lang w:val="en-US"/>
              </w:rPr>
              <w:t xml:space="preserve"> </w:t>
            </w:r>
            <w:r>
              <w:rPr>
                <w:rFonts w:cs="Arial" w:ascii="Arial" w:hAnsi="Arial"/>
                <w:sz w:val="16"/>
                <w:szCs w:val="16"/>
              </w:rPr>
              <w:t>інактивований</w:t>
            </w:r>
            <w:r>
              <w:rPr>
                <w:rFonts w:cs="Arial" w:ascii="Arial" w:hAnsi="Arial"/>
                <w:sz w:val="16"/>
                <w:szCs w:val="16"/>
                <w:lang w:val="en-US"/>
              </w:rPr>
              <w:t xml:space="preserve"> </w:t>
            </w:r>
            <w:r>
              <w:rPr>
                <w:rFonts w:cs="Arial" w:ascii="Arial" w:hAnsi="Arial"/>
                <w:sz w:val="16"/>
                <w:szCs w:val="16"/>
              </w:rPr>
              <w:t>вірусний</w:t>
            </w:r>
            <w:r>
              <w:rPr>
                <w:rFonts w:cs="Arial" w:ascii="Arial" w:hAnsi="Arial"/>
                <w:sz w:val="16"/>
                <w:szCs w:val="16"/>
                <w:lang w:val="en-US"/>
              </w:rPr>
              <w:t xml:space="preserve"> </w:t>
            </w:r>
            <w:r>
              <w:rPr>
                <w:rFonts w:cs="Arial" w:ascii="Arial" w:hAnsi="Arial"/>
                <w:sz w:val="16"/>
                <w:szCs w:val="16"/>
              </w:rPr>
              <w:t>антиген</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A [A/Missouri/11/2025 (H1N1)pdm09-</w:t>
            </w:r>
            <w:r>
              <w:rPr>
                <w:rFonts w:cs="Arial" w:ascii="Arial" w:hAnsi="Arial"/>
                <w:sz w:val="16"/>
                <w:szCs w:val="16"/>
              </w:rPr>
              <w:t>подібний</w:t>
            </w:r>
            <w:r>
              <w:rPr>
                <w:rFonts w:cs="Arial" w:ascii="Arial" w:hAnsi="Arial"/>
                <w:sz w:val="16"/>
                <w:szCs w:val="16"/>
                <w:lang w:val="en-US"/>
              </w:rPr>
              <w:t xml:space="preserve"> – A/Missouri/11/2025 IVR-279]; </w:t>
            </w:r>
          </w:p>
          <w:p>
            <w:pPr>
              <w:pStyle w:val="Normal"/>
              <w:autoSpaceDE w:val="false"/>
              <w:jc w:val="both"/>
              <w:rPr/>
            </w:pPr>
            <w:r>
              <w:rPr>
                <w:rFonts w:cs="Arial" w:ascii="Arial" w:hAnsi="Arial"/>
                <w:sz w:val="16"/>
                <w:szCs w:val="16"/>
              </w:rPr>
              <w:t>очищений</w:t>
            </w:r>
            <w:r>
              <w:rPr>
                <w:rFonts w:cs="Arial" w:ascii="Arial" w:hAnsi="Arial"/>
                <w:sz w:val="16"/>
                <w:szCs w:val="16"/>
                <w:lang w:val="en-US"/>
              </w:rPr>
              <w:t xml:space="preserve"> </w:t>
            </w:r>
            <w:r>
              <w:rPr>
                <w:rFonts w:cs="Arial" w:ascii="Arial" w:hAnsi="Arial"/>
                <w:sz w:val="16"/>
                <w:szCs w:val="16"/>
              </w:rPr>
              <w:t>інактивований</w:t>
            </w:r>
            <w:r>
              <w:rPr>
                <w:rFonts w:cs="Arial" w:ascii="Arial" w:hAnsi="Arial"/>
                <w:sz w:val="16"/>
                <w:szCs w:val="16"/>
                <w:lang w:val="en-US"/>
              </w:rPr>
              <w:t xml:space="preserve"> </w:t>
            </w:r>
            <w:r>
              <w:rPr>
                <w:rFonts w:cs="Arial" w:ascii="Arial" w:hAnsi="Arial"/>
                <w:sz w:val="16"/>
                <w:szCs w:val="16"/>
              </w:rPr>
              <w:t>вірусний</w:t>
            </w:r>
            <w:r>
              <w:rPr>
                <w:rFonts w:cs="Arial" w:ascii="Arial" w:hAnsi="Arial"/>
                <w:sz w:val="16"/>
                <w:szCs w:val="16"/>
                <w:lang w:val="en-US"/>
              </w:rPr>
              <w:t xml:space="preserve"> </w:t>
            </w:r>
            <w:r>
              <w:rPr>
                <w:rFonts w:cs="Arial" w:ascii="Arial" w:hAnsi="Arial"/>
                <w:sz w:val="16"/>
                <w:szCs w:val="16"/>
              </w:rPr>
              <w:t>антиген</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A [A/Darwin/1454/2025 (H3N2)-</w:t>
            </w:r>
            <w:r>
              <w:rPr>
                <w:rFonts w:cs="Arial" w:ascii="Arial" w:hAnsi="Arial"/>
                <w:sz w:val="16"/>
                <w:szCs w:val="16"/>
              </w:rPr>
              <w:t>подібний</w:t>
            </w:r>
            <w:r>
              <w:rPr>
                <w:rFonts w:cs="Arial" w:ascii="Arial" w:hAnsi="Arial"/>
                <w:sz w:val="16"/>
                <w:szCs w:val="16"/>
                <w:lang w:val="en-US"/>
              </w:rPr>
              <w:t xml:space="preserve"> – A/Michigan/105/2025 SAN-049A]; </w:t>
            </w:r>
          </w:p>
          <w:p>
            <w:pPr>
              <w:pStyle w:val="Normal"/>
              <w:autoSpaceDE w:val="false"/>
              <w:jc w:val="both"/>
              <w:rPr/>
            </w:pPr>
            <w:r>
              <w:rPr>
                <w:rFonts w:cs="Arial" w:ascii="Arial" w:hAnsi="Arial"/>
                <w:sz w:val="16"/>
                <w:szCs w:val="16"/>
              </w:rPr>
              <w:t>очищений</w:t>
            </w:r>
            <w:r>
              <w:rPr>
                <w:rFonts w:cs="Arial" w:ascii="Arial" w:hAnsi="Arial"/>
                <w:sz w:val="16"/>
                <w:szCs w:val="16"/>
                <w:lang w:val="en-US"/>
              </w:rPr>
              <w:t xml:space="preserve"> </w:t>
            </w:r>
            <w:r>
              <w:rPr>
                <w:rFonts w:cs="Arial" w:ascii="Arial" w:hAnsi="Arial"/>
                <w:sz w:val="16"/>
                <w:szCs w:val="16"/>
              </w:rPr>
              <w:t>інактивований</w:t>
            </w:r>
            <w:r>
              <w:rPr>
                <w:rFonts w:cs="Arial" w:ascii="Arial" w:hAnsi="Arial"/>
                <w:sz w:val="16"/>
                <w:szCs w:val="16"/>
                <w:lang w:val="en-US"/>
              </w:rPr>
              <w:t xml:space="preserve"> </w:t>
            </w:r>
            <w:r>
              <w:rPr>
                <w:rFonts w:cs="Arial" w:ascii="Arial" w:hAnsi="Arial"/>
                <w:sz w:val="16"/>
                <w:szCs w:val="16"/>
              </w:rPr>
              <w:t>вірусний</w:t>
            </w:r>
            <w:r>
              <w:rPr>
                <w:rFonts w:cs="Arial" w:ascii="Arial" w:hAnsi="Arial"/>
                <w:sz w:val="16"/>
                <w:szCs w:val="16"/>
                <w:lang w:val="en-US"/>
              </w:rPr>
              <w:t xml:space="preserve"> </w:t>
            </w:r>
            <w:r>
              <w:rPr>
                <w:rFonts w:cs="Arial" w:ascii="Arial" w:hAnsi="Arial"/>
                <w:sz w:val="16"/>
                <w:szCs w:val="16"/>
              </w:rPr>
              <w:t>антиген</w:t>
            </w:r>
            <w:r>
              <w:rPr>
                <w:rFonts w:cs="Arial" w:ascii="Arial" w:hAnsi="Arial"/>
                <w:sz w:val="16"/>
                <w:szCs w:val="16"/>
                <w:lang w:val="en-US"/>
              </w:rPr>
              <w:t xml:space="preserve"> </w:t>
            </w:r>
            <w:r>
              <w:rPr>
                <w:rFonts w:cs="Arial" w:ascii="Arial" w:hAnsi="Arial"/>
                <w:sz w:val="16"/>
                <w:szCs w:val="16"/>
              </w:rPr>
              <w:t>грипу</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B [B/Tokyo/EIS13-175/2025 (B/Victoria </w:t>
            </w:r>
            <w:r>
              <w:rPr>
                <w:rFonts w:cs="Arial" w:ascii="Arial" w:hAnsi="Arial"/>
                <w:sz w:val="16"/>
                <w:szCs w:val="16"/>
              </w:rPr>
              <w:t>лінія</w:t>
            </w:r>
            <w:r>
              <w:rPr>
                <w:rFonts w:cs="Arial" w:ascii="Arial" w:hAnsi="Arial"/>
                <w:sz w:val="16"/>
                <w:szCs w:val="16"/>
                <w:lang w:val="en-US"/>
              </w:rPr>
              <w:t>)-</w:t>
            </w:r>
            <w:r>
              <w:rPr>
                <w:rFonts w:cs="Arial" w:ascii="Arial" w:hAnsi="Arial"/>
                <w:sz w:val="16"/>
                <w:szCs w:val="16"/>
              </w:rPr>
              <w:t>подібний</w:t>
            </w:r>
            <w:r>
              <w:rPr>
                <w:rFonts w:cs="Arial" w:ascii="Arial" w:hAnsi="Arial"/>
                <w:sz w:val="16"/>
                <w:szCs w:val="16"/>
                <w:lang w:val="en-US"/>
              </w:rPr>
              <w:t xml:space="preserve"> – B/Tokyo/EIS13-175/2025]</w:t>
            </w:r>
          </w:p>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0,25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0,5 мл у попередньо наповнених шприцах з одноразовою голкою, по одному в блістері; по 1 або по 10 шприців у пачці з картону з маркуванням українською мовою; по 0,25 мл у попередньо наповнених шприцах з одноразовою голкою, по одному в блістері; по 1 або по 10 шприців у пачці з картону з маркуванням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М.БІОТЕК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ДжіСі Біофарма Корп.</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Корея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"діючої речовини" в наказі МОЗ України № 1405 від 24.09.2026 в процесі внесення змін</w:t>
            </w:r>
            <w:r>
              <w:rPr>
                <w:rFonts w:cs="Arial" w:ascii="Arial" w:hAnsi="Arial"/>
                <w:color w:val="000000"/>
                <w:sz w:val="16"/>
                <w:szCs w:val="16"/>
              </w:rPr>
              <w:t xml:space="preserve"> -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АФІ. Адреса виробника АФІ залишається без змін. Діюча редакція: Грін Кросс Корпорейшн, Корея / Green Cross Corporation, Republic of Korea </w:t>
              <w:br/>
              <w:t xml:space="preserve">Пропонована редакція: ДжіСі Біофарма Корп., Корея / GC Biopharma Corp., Republic of Korea.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готового лікарського засобу. Адреса виробника ГЛЗ залишається без змін. </w:t>
              <w:br/>
              <w:t>Діюча редакція: Грін Кросс Корпорейшн, Корея / Green Cross Corporation, Republic of Korea. Пропонована редакція: ДжіСі Біофарма Корп., Корея / GC Biopharma Corp., Republic of Korea. Зміни внесені в інструкцію для медичного застосування лікарського засобу у розділ «Виробник»; відповідні зміни внесені в текст маркування упаковки лікарського засобу. Зміни І типу - Зміни щодо безпеки/ефективності та фармаконагляду (інші зміни). Оновлення тексту маркування упаковки лікарського засобу, а саме: внесення редакційних правок по тексту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ДИКЛАК® ID</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натрію диклофенак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з модифікованим вивільненням по 150 мг; по 10 таблеток у блістері; по 2 або по 10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випуск серії: Салютас Фарма ГмбХ, Німеччина; пакування, випуск серії: Лек С.А., Польща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оновлення посилання на методику щодо параметрів внутрішнього виробничого контролю (in-process control) насипної густини та густини після усадки з Ph. Eur. «2.9.15 Bulk and Tapped Density» на Ph. Eur. «2.9.34 Bulk Density of Powders» (де це застосовно), а також оновлення назв випробувань насипної густини та густини після усадки відповідно до останньої редакції загальної статті Ph. Eur. 2.9.34.</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UA/9808/01/02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ДИКЛАК® ID</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натрію диклофенак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з модифікованим вивільненням по 75 мг; по 10 таблеток у блістері; по 2 або по 10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Салютас Фарма ГмбХ</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оновлення посилання на методику щодо параметрів внутрішнього виробничого контролю (in-process control) насипної густини та густини після усадки з Ph. Eur. «2.9.15 Bulk and Tapped Density» на Ph. Eur. «2.9.34 Bulk Density of Powders» (де це застосовно), а також оновлення назв випробувань насипної густини та густини після усадки відповідно до останньої редакції загальної статті Ph. Eur. 2.9.34.</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UA/9808/01/01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sz w:val="16"/>
                <w:szCs w:val="16"/>
              </w:rPr>
            </w:pPr>
            <w:r>
              <w:rPr>
                <w:rFonts w:cs="Arial" w:ascii="Arial" w:hAnsi="Arial"/>
                <w:b/>
                <w:sz w:val="16"/>
                <w:szCs w:val="16"/>
              </w:rPr>
              <w:t xml:space="preserve">ДИМЕТИЛСУЛЬФОКСИД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dimethyl sulfoxide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color w:val="000000"/>
                <w:sz w:val="16"/>
                <w:szCs w:val="16"/>
              </w:rPr>
              <w:t>диметилсульфоксид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рідина або кристали (субстанція) у пластмасових бочках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"ДКП "Фармацевтична фабрика"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Хубей Ксінгфа Кемікалс Груп Ко., Лтд</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i/>
                <w:i/>
                <w:sz w:val="16"/>
                <w:szCs w:val="16"/>
              </w:rPr>
            </w:pPr>
            <w:r>
              <w:rPr>
                <w:rFonts w:cs="Arial" w:ascii="Arial" w:hAnsi="Arial"/>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ДІАНІЛ ПД4 З ВМІСТОМ ГЛЮКОЗИ 1,36% М/ОБ / 13,6 МГ/МЛ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 моногідрат; натрію хлорид; кальцію хлорид, дигідрат; магнію хлорид, гексагідрат; натрію лактат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B05DB</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 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 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 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внесені в текст маркування вторинної упаковки лікарського засобу (пункт 17), а саме: вилучення інформації щодо наявності 2D штрих-коду.</w:t>
              <w:br/>
              <w:t>Термін введення змін -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UA/12425/01/03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ДІАНІЛ ПД4 З ВМІСТОМ ГЛЮКОЗИ 2,27% М/ОБ / 22,7 МГ/МЛ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 моногідрат; натрію хлорид; кальцію хлорид, дигідрат; магнію хлорид, гексагідрат; натрію лактат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B05DB</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 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 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 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внесені в текст маркування вторинної упаковки лікарського засобу (пункт 17), а саме: вилучення інформації щодо наявності 2D штрих-коду.</w:t>
              <w:br/>
              <w:t>Термін введення змін -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UA/12425/01/02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ДІАНІЛ ПД4 З ВМІСТОМ ГЛЮКОЗИ 3,86% М/ОБ/38,6 МГ/МЛ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 моногідрат; натрію хлорид; кальцію хлорид, дигідрат; магнію хлорид, гексагідрат; натрію лактат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B05DB</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 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 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 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внесені в текст маркування вторинної упаковки лікарського засобу (пункт 17), а саме: вилучення інформації щодо наявності 2D штрих-коду.</w:t>
              <w:br/>
              <w:t>Термін введення змін -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ДОКСИЛАМІНУ ГІДРОГЕН СУКЦИНАТ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doxylamine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доксиламіну гідроген сукцинат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 Старт"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Уніон Кіміко Фармасьютіка, С.А. (УКІФА, С.А.)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2004-089-Rev 07 для АФІ Доксиламіну гідроген сукцинат від уже затвердженого виробника Union Quimico Farmaceutica, S.A. (UQUIFA S.A.), Іспанiя. Затверджено: R1- CEP 2004-089-Rev 06.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Запропоновано: CEP 2004-089-Rev 07</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ДОКСОРУБІЦИН АККОРД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doxorubicin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доксорубіцину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L01DB01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 мг/мл по 5 мл (10 мг), 10 мл (20 мг), 25 мл (50 мг), 50 мл (100 мг), 100 мл (200 мг) у флаконі, по 1 флакону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Інтас Фармасьютікалс Лімітед, Індія;</w:t>
              <w:br/>
              <w:t>виробництво, контроль якості, первинне та вторинне пакування: Інтас Фармасьютікалс Лімітед, Індія;</w:t>
              <w:br/>
              <w:t>відповідальний за випуск серії: Аккорд Хелскеа Лімітед, Велика Британія;</w:t>
              <w:br/>
              <w:t>вторинне пакування: Аккорд Хелскеа Лімітед, Велика Британія;</w:t>
              <w:br/>
              <w:t>вторинне пакування, контроль якості серії: Аккорд Хелскеа Сінгл Мембер С.А., Греція</w:t>
              <w:br/>
              <w:t>контроль якості серій: Єврофінс Аналітікал Сервісез Хангарі Кфт., Угорщина;</w:t>
              <w:br/>
              <w:t xml:space="preserve">контроль якості серії: Фармавалід Кфт., Угорщина; </w:t>
              <w:br/>
              <w:t>Відповідальний за випуск серії: Аккорд Хелскеа Полска Сп. з о.о. Склад Імпортера, Польща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Греція/ Угорщина/ 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ДОЛГІТ® ГЕЛЬ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M02AA13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50 мг/г по 20 г або по 50 г, або по 100 г, або по 150 г в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Долоргіт ГмбХ і Ко. КГ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та вторинне пакування, контроль серії, випуск серії: Долоргіт ГмбХ і Ко. КГ, Німеччина; виробництво нерозфасованої продукції, первинне та вторинне пакування: Др. Тайсс Натурварен ГмбХ, Німеччина; первинне та вторинне пакування, контроль серії: Др. Тайсс Натурварен Гмбх, Німеччина; контроль серії (фізичний/хімічний):</w:t>
              <w:br/>
              <w:t>ГБА Фарма ГмбХ, Німеччина; контроль серії (мікробіологічні випробування): БАВ ІНСТИТУТ гігієни та забезпечення якості ГмбХ, Німеччина; контроль серії (мікробіологічні випробування): МікроБіологі Кремер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Гармонізаця інформації в модулі 3.2.P.7 Система контейнер/закупорювальний засіб з метою забезпечення узгодженого опису системи контейнер/закупорювальний засіб.</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ДОЛГІТ® ГІРСЬКА СОСНА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олія гірської сосни (Dwarf pine oil), камфора рацемічна, левоментол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M02AX10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нашкірний; по 100 мл або 250 мл, або 500 мл, або 1000 мл у поліетиленовій пляшці; по 1 пляшці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Тайсс Натурварен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Тайсс Натурварен ГмбХ</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2019-058-Rev 01. Затверджено: CEP 2019-058-Rev 00. Запропоновано: CEP 2019-058-Rev 01</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100 мл – без рецепта; 250 мл, 500 мл, 1000 мл – 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UA/10820/01/01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ДОЛГІТ® КРЕМ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M02AA13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50 мг/г, по 20 г або 50 г, або 100, або 150 г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Долоргіт ГмбХ і Ко. КГ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та вторинне пакування, контроль серії, випуск серії: Долоргіт ГмбХ і Ко. КГ, Німеччина; виробництво нерозфасованої продукції, первинне та вторинне пакування: Др. Тайсс Натурварен ГмбХ, Німеччина; первинне та вторинне пакування, контроль серії: Др. Тайсс Натурварен ГмбХ, Німеччина; контроль серії (фізичний/хімічний): ГБА Фарма ГмбХ, Німеччина; контроль серії (мікробіологічні випробування): БАВ ІНСТИТУТ гігієни та забезпечення якості ГмбХ, Німеччина; контроль серії (мікробіологічні випробування): МікроБіологі Кремер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Гармонізаця інформації в модулі 3.2.P.7 Система контейнер/закупорювальний засіб з метою забезпечення узгодженого опису системи контейнер/закупорювальний засіб.</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ДОЛУТЕГРАВІР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dolutegravir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долутегравір (у формі долутегравіру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rPr>
                <w:rFonts w:ascii="Arial" w:hAnsi="Arial" w:cs="Arial"/>
                <w:bCs/>
                <w:sz w:val="16"/>
                <w:szCs w:val="16"/>
              </w:rPr>
            </w:pPr>
            <w:r>
              <w:rPr>
                <w:rFonts w:cs="Arial" w:ascii="Arial" w:hAnsi="Arial"/>
                <w:bCs/>
                <w:color w:val="000000"/>
                <w:sz w:val="16"/>
                <w:szCs w:val="16"/>
              </w:rPr>
              <w:t>J05AJ03</w:t>
            </w:r>
          </w:p>
          <w:p>
            <w:pPr>
              <w:pStyle w:val="Normal"/>
              <w:tabs>
                <w:tab w:val="left" w:pos="12600" w:leader="none"/>
              </w:tabs>
              <w:rPr>
                <w:rFonts w:ascii="Arial" w:hAnsi="Arial" w:cs="Arial"/>
                <w:bCs/>
                <w:color w:val="000000"/>
                <w:sz w:val="16"/>
                <w:szCs w:val="16"/>
              </w:rPr>
            </w:pPr>
            <w:r>
              <w:rPr>
                <w:rFonts w:cs="Arial" w:ascii="Arial" w:hAnsi="Arial"/>
                <w:bCs/>
                <w:color w:val="000000"/>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30 або по 90 таблеток у флаконі з поліетилену високої щільності або по 30 або по 90 таблеток у флаконі з поліетилену високої щільності; по 1 флакону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 Фармасьютикал Індастріз Лімітед </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(редагування тексту), "Спосіб застосування та дози", "Побічні реакції" відповідно до інформації щодо медичного застосування референтного лікарського засобу (Tivicay, film-coated tablets). Введення змін протягом 6-ти місяців після затвердження. Зміни І типу - Адміністративні зміни. Зміна коду АТХ - Зміни внесено до інструкції для медичного застосування лікарського засобу у розділ "Фармакотерапевтична група. Код АТХ." відповідно до міжнародного класифікатора ВООЗ: затверджено - "Противірусні засоби для системного застосування. Противірусні засоби прямої дії. Інші противірусні засоби. Долутегравір. Код ATХ J05A X12." запропоновано - "Противірусні засоби для системного застосування. Противірусні засоби прямої дії. Інгібітори інтегрази. Долутегравір. Код ATХ J05AJ03."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ЕВКАБАЛ® СИРОП</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рідкий екстракт подорожника гостролистого (Extractum Plantaginis liquidum), рідкий екстракт чебрецю (тим'яну) (Extractum Thymi liquidum)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R05CA10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3 г/15 г в 100 г, по 100 мл у флаконі із скла;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Еспарма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 Вернігероде ГмбХ</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Додання інформації щодо дільниці ifp Privates Institut fuer Produktqualitaet GmbH, що здійснювала мікробіологічний контроль якості як контрактне підприємство, але не зазначалась в документації, у зв'язку з оновленими вимогами законодавства ЄС, дільниця зазначається в досьє окремо.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Вводиться додаткова дільниця для контролю якості обох АФІ - BAV lnstitut fuer Hygiene &amp; Qualitaetssicherung GmbH </w:t>
              <w:br/>
              <w:t xml:space="preserve">Діюча редакція: </w:t>
              <w:br/>
              <w:t xml:space="preserve">Herbal preparation </w:t>
              <w:br/>
              <w:t xml:space="preserve">Name and address of the manufacturer(s) of the herbal preparation: </w:t>
              <w:br/>
              <w:t xml:space="preserve">Pharma Wernigerode GmbH </w:t>
              <w:br/>
              <w:t xml:space="preserve">OMS LocID: LOC-100000594 </w:t>
              <w:br/>
              <w:t xml:space="preserve">Dornbergsweg 35 </w:t>
              <w:br/>
              <w:t xml:space="preserve">38855 Wernigerode </w:t>
              <w:br/>
              <w:t xml:space="preserve">Germany </w:t>
              <w:br/>
              <w:t xml:space="preserve">Пропонована редакція: </w:t>
              <w:br/>
              <w:t xml:space="preserve">Herbal preparation </w:t>
              <w:br/>
              <w:t xml:space="preserve">Name and address of the manufacturer(s) of the herbal preparation: </w:t>
              <w:br/>
              <w:t xml:space="preserve">Pharma Wernigerode GmbH </w:t>
              <w:br/>
              <w:t xml:space="preserve">OMS LocID: LOC-100000594 </w:t>
              <w:br/>
              <w:t xml:space="preserve">Dornbergsweg 35 </w:t>
              <w:br/>
              <w:t xml:space="preserve">38855 Wernigerode </w:t>
              <w:br/>
              <w:t xml:space="preserve">Germany </w:t>
              <w:br/>
              <w:t xml:space="preserve">Batch control/testing site(s) </w:t>
              <w:br/>
              <w:t xml:space="preserve">Pharma Wernigerode GmbH (1) </w:t>
              <w:br/>
              <w:t xml:space="preserve">OMS LocID: LOC-100000594 </w:t>
              <w:br/>
              <w:t xml:space="preserve">Dornbergsweg 35 </w:t>
              <w:br/>
              <w:t xml:space="preserve">38855 Wernigerode </w:t>
              <w:br/>
              <w:t xml:space="preserve">Germany </w:t>
              <w:br/>
              <w:t xml:space="preserve">BAV lnstitut fuer Hygiene &amp; Qualitaetssicherung(2) </w:t>
              <w:br/>
              <w:t xml:space="preserve">GmbH </w:t>
              <w:br/>
              <w:t xml:space="preserve">OMS LocID: LOC-100032740 </w:t>
              <w:br/>
              <w:t xml:space="preserve">Hanns-Martin-Schleyer-Strasse 25 </w:t>
              <w:br/>
              <w:t xml:space="preserve">77656 Offenburg </w:t>
              <w:br/>
              <w:t xml:space="preserve">Germany </w:t>
              <w:br/>
              <w:t xml:space="preserve">ifp Privates Institut fuer Produktqualitaet GmbH(2) </w:t>
              <w:br/>
              <w:t xml:space="preserve">OMS LocID: LOC-100023354 </w:t>
              <w:br/>
              <w:t xml:space="preserve">Wagner-Regeny-Strasse 8 </w:t>
              <w:br/>
              <w:t xml:space="preserve">12489 Berlin </w:t>
              <w:br/>
              <w:t xml:space="preserve">Germany </w:t>
              <w:br/>
              <w:t>(1) physical/chemical (2) microbiological</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UA/5754/01/01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ЕЗОЛОНГ®-20</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езомепразолу магнію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7 таблеток у блістері; по 1 або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UA/11328/01/01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ЕЗОЛОНГ®-20</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езомепразолу магнію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in bulk: по 2500 у подвійних пакетах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UA/11329/01/01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ЕЗОЛОНГ®-40</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езомепразолу магнію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7 таблеток у блістері; по 1 або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UA/11328/01/02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ЕЗОЛОНГ®-40</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езомепразолу магнію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in bulk: по 2500 у подвійних пакетах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UA/11329/01/02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ЕКВОРАЛ®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ciclosporin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циклоспорин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25 мг; по 10 капсул у блістері; по 5 блістерів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Тева Чех Індастріз с.р.о.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аналітичної методики для визначення залишкових розчинників в АФІ.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UA/7471/02/01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ЕКВОРАЛ®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ciclosporin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циклоспорин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50 мг; по 10 капсул у блістері; по 5 блістерів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Тева Чех Індастріз с.р.о.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аналітичної методики для визначення залишкових розчинників в АФІ.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UA/7471/02/02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ЕКВОРАЛ®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ciclosporin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циклоспорин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100 мг; по 10 капсул у блістері; по 5 блістерів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Тева Чех Індастріз с.р.о.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аналітичної методики для визначення залишкових розчинників в АФІ.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UA/7471/02/03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ЕКЗОДЕРИЛ®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naftifine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нафтифіну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D01AE22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нашкірний 1%, по 10 мл, 20 мл у флаконі; по 1 флакону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відповідальний за випуск серії: Сандоз ГмбХ – Виробнича дільниця Антиінфекційні ГЛЗ та Хімічні Операції Кундль (АІХО ГЛЗ Кундль), Австрія; виробник продукції in bulk, пакування: Глобофарм Фармацойтіше Продукцьйонз- унд Гандельсгезельшафт мбХ, Австрія; </w:t>
              <w:br/>
              <w:t xml:space="preserve">відповідальний за випуск серії: Лек Фармацевтична компанія д.д., Словенія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закритій частині мастер-файла на АФІ) - оновлення в закритій частині DMF від компанії Olon S.p.A для діючої речовини нафтифіну гідрохлориду з версії 4.5. (липень 2022 року) до версії 5.0 (березень 2025 року). Зміни І типу - Зміни з якості. АФІ. Виробництво. Зміни в процесі виробництва АФІ (інші зміни) - незначні зміни у відкритій частині DMF від компанії Olon S.p.A для діючої речовини нафтифіну гідрохлориду з версії 4.5. (липень 2022 року) до версії 5.0 (березень 2025 року).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UA/3960/02/01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ЕКЗОДЕРИЛ®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naftifine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нафтифіну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D01AE22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нашкірний 1%, по 10 мл, 20 мл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відповідальний за випуск серії: Сандоз ГмбХ – Виробнича дільниця Антиінфекційні ГЛЗ та Хімічні Операції Кундль (АІХО ГЛЗ Кундль), Австрія; виробник продукції in bulk, пакування: Глобофарм Фармацойтіше Продукцьйонз- унд Гандельсгезельшафт мбХ, Австрія; </w:t>
              <w:br/>
              <w:t xml:space="preserve">відповідальний за випуск серії: Лек Фармацевтична компанія д.д., Словенія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в Інструкцію для медичного застосування лікарського засобу до розділу «Побічні реакції» щодо безпеки застосування діючої речовини згідно рекомендації PRAC.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звітування про побічні реакції.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UA/3960/02/01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ЕКЗОДЕРИЛ®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naftifine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нафтифіну гідрохлорид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D01AE22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1 % по 15 г або 30 г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Cандоз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Сандоз ГмбХ - Виробнича дільниця Антиінфекційні ГЛЗ та Хімічні Операції Кундль (АІХО ГЛЗ Кундль), Австрія; виробник in bulk, первинне і вторинне пакування, контроль, випуск серії: Салютас Фарма ГмбХ, Німеччина; контроль: Салютас Фарма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розділу «Побічні реакції» щодо безпеки застосування діючої речовини згідно рекомендації PRAC.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звітування про побічні реакції.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ЕКСТРАЛОР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гексетидин; холіну саліцилат; хлорбутанолу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по 50 мл у флаконі скляному; по 1 флакону разом з пульверизатором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Товариства з обмеженою відповідальністю «Представництво БАУМ ФАРМ ГМБХ»</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фармацевтична фабрика "Віола"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Оновлені МКЯ ЛЗ eCTD (eCTD 0000).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ЕКСТРАЛОР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гексетидин; холіну саліцилат; хлорбутанолу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по 50 мл у флаконі скляному; по 1 флакону разом з пульверизатором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Товариства з обмеженою відповідальністю «Представництво БАУМ ФАРМ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фармацевтична фабрика "Віола"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(eCTD версія 0006).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UA/19769/02/01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ЕКСТРАЛОР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гексетидин; холіну саліцилат; хлорбутанолу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по 50 мл у флаконі скляному; по 1 флакону разом з пульверизатором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Товариства з обмеженою відповідальністю «Представництво БАУМ ФАРМ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фармацевтична фабрика "Віола"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в інструкцію для медичного застосування лікарського засобу, а саме: додано розділи "Заявник" та "Місцезнаходження заявника". Інструкція для медичного застосування (eCTD версія 0008).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ЕКСТРАЛОР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гексетидин; холіну саліцилат; хлорбутанолу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спрей для ротової порожнини; по 50 мл у флаконі скляному; по 1 флакону разом з пульверизатором у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фармацевтична фабрика "Віола"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фармацевтична фабрика "Віола"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Шляховенко Катерина Володимирівна. Пропонована редакція: Висоцька Ольга Григорівна.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ЕКСТРАНІЛ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ікодекстрин; натрію хлорид; кальцію хлорид, дигідрат; магнію хлорид, гексагідрат; натрію лактату розчин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B05DA</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2,5 л розчину у пластиковому мішку, обладнаному ін’єкційним портом і з’єднувачем, вкладеному у прозорий пластиковий пакет; по 4 комплекти у картонній коробці; по 2,5 л розчину у пластиковому мішку, обладнаному ін’єкційним портом, з інтегрованим за допомогою двох магістралей і Y-з’єднувача порожнім пластиковим мішком для дренажу, вкладених у прозорий пластиковий пакет; по 4 комплекти у картонній коробці; по 2,0 л розчину у пластиковому мішку, обладнаному ін’єкційним портом і з’єднувачем, вкладеному у прозорий пластиковий пакет; по 5 комплектів у картонній коробці; по 2,0 л розчину у пластиковому мішку, обладнаному ін’єкційним портом, з інтегрованим за допомогою двох магістралей і Y-з’єднувача порожнім пластиковим мішком для дренажу, вкладених у прозорий пластиковий пакет; по 5 комплектів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Вентів Менуфекчуринг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вторинної упаковки лікарського засобу (пункт 17), а саме: вилучення інформації щодо наявності 2D штрих-коду. Термін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UA/3426/01/01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ЕНДОКСАН®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cyclophosphamide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циклофосфаміду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цукровою оболонкою, по 50 мг; по 10 таблеток у блістері; по 5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Бакстер Дойчланд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Сімтра Дойчланд ГмбХ, Німеччина;</w:t>
              <w:br/>
              <w:t>Виробництво нерозфасованої продукції, первинна та вторинна упаковка:</w:t>
              <w:br/>
              <w:t>Прасфарма, С.Л., Іспанія;</w:t>
              <w:br/>
              <w:t>Гаупт Фарма Амарег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виробника ГЛЗ відповідального за контроль якості та випуск серії. Виробнича дільниця, адреса та усі виробничі операції залишаються незмінними. Діюча редакція: Бакстер Онколоджі ГмбХ, Німеччина / Baxter Oncology GmbH, Germany. Пропонована редакція: Сімтра Дойчланд ГмбХ, Німеччина / Simtra Deutschland GmbH, Germany. Зміни внесено в інструкцію для медичного застосування лікарського засобу у розділ "Виробник" з відповідними змінами в тексті маркування первинної (п. 5) та вторинної (п. 11) упаковок лікарського засобу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w:t>
              <w:br/>
              <w:t>Зміна назви виробника АФІ циклофосфаміду відповідального за "The analytical testing, stability testing and release of Cyclophosphamide monohydrate (cyclophosphamide L). Виробнича дільниця, адреса та усі виробничі операції залишаються незмінними. Діюча редакція: Baxter Oncology GmbH, Germany. Пропонована редакція: Simtra Deutschland GmbH, Germany. Зміни І типу - Зміни щодо безпеки/ефективності та фармаконагляду (інші зміни). Зміни внесено у текст маркування вторинної (п. 3) упаковки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UA/0027/01/01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ЗАЛАЇН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sertaconazole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сертаконазолу нітрат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D01AC14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2 % по 20 г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 Феррер Інтернаціональ, С.А., Iспанiя</w:t>
              <w:br/>
              <w:t>випуск серії: ЗАТ Фармацевтичний завод ЕГІС, Угорщина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ЗЕЛДОКС®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ziprasidone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зипразидону гідрохлориду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N05AE04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40 мг; по 14 капсул у блістері; по 2 блістери в картонній коробці; по 10 капсул у блістері; по 3 блістери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Пакування (первинне та вторинне пакування), маркування, контроль якості, випуск серії: Пфайзер Менюфекчуринг Дойчленд ГмбХ, Німеччина; Виробництво та контроль якості: Пфайзер Ірландія Фармасьютікалз, Ірландія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Рекомендовано до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ЗЕЛДОКС®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ziprasidone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зипразидону гідрохлориду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N05AE04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80 мг; по 14 капсул у блістері; по 2 блістери в картонній коробці; по 10 капсул у блістері; по 3 блістери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Пакування (первинне та вторинне пакування), маркування, контроль якості, випуск серії: Пфайзер Менюфекчуринг Дойчленд ГмбХ, Німеччина; Виробництво та контроль якості: Пфайзер Ірландія Фармасьютікалз, Ірландія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Рекомендовано до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UA/2595/01/03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ЗЕЛДОКС®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ziprasidone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зипразидону гідрохлориду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N05AE04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20 мг, по 14 капсул у блістері; по 2 блістери в картонній коробці; по 10 капсул у блістері; по 3 блістери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Пакування (первинне та вторинне пакування), маркування, контроль якості, випуск серії: Пфайзер Менюфекчуринг Дойчленд ГмбХ, Німеччина; Виробництво та контроль якості: Пфайзер Ірландія Фармасьютікалз, Ірландія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Рекомендовано до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UA/2595/01/04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ЗІПЕЛОР®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бензидаміну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R02AX03 </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льодяники зі смаком меду та апельсину по 3,0 мг; по 10 або 12 льодяників у блістері; по 1, 2 або 3 блістери у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готової продукції, випуск серії, первинне і вторинне пакування: ЛОЗІ'С ФАРМАСЬЮТИКАЛЗ С.Л., Іспанiя; виробництво готової продукції, первинне та вторинне пакування: ДР. МЕД. АУФДЕРМАУР АГ, Швейцарія; контроль серій, випуск серій: ІНФАРМЕЙД, С.Л., Іспанія; контроль серій: ЛАБОРАТОРІО ЕЧІВАРНЕ, С.А., Іспанія; контроль серій: КІМОС С.Л., Іспанiя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2021-325-Rev 02 (затверджений: CEP 2021-325-Rev 01) для АФІ бензидаміну гідрохлорид від уже затвердженого виробника Bal Pharma Limited у зв’язку із додаванням виробника проміжного продукту, а саме: SAHITHI PHARMA PRIVATE LIMITED.</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ЗОЛГЕНСМА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Onasemnogene abeparvovec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онасемногену абепарвовек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M09AX09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суспензія для внутрішньовенної інфузії, 2 х 10</w:t>
            </w:r>
            <w:r>
              <w:rPr>
                <w:rFonts w:cs="Arial" w:ascii="Arial" w:hAnsi="Arial"/>
                <w:color w:val="000000"/>
                <w:sz w:val="16"/>
                <w:szCs w:val="16"/>
                <w:vertAlign w:val="superscript"/>
              </w:rPr>
              <w:t>13</w:t>
            </w:r>
            <w:r>
              <w:rPr>
                <w:rFonts w:cs="Arial" w:ascii="Arial" w:hAnsi="Arial"/>
                <w:color w:val="000000"/>
                <w:sz w:val="16"/>
                <w:szCs w:val="16"/>
              </w:rPr>
              <w:t xml:space="preserve"> вг/мл (вектор геномів/мл); по 2 флакони об’ємом 8,3 мл у картонній коробці; або по 2 флакони об’ємом 5,5 мл та 1 флакон об’ємом 8,3 мл у картонній коробці; або по 1 флакону об’ємом 5,5 мл та 2 флакони об’ємом 8,3 мл у картонній коробці; або по 3 флакони об’ємом 8,3 мл у картонній коробці; або по 2 флакони об’ємом 5,5 мл та 2 флакони об’ємом 8,3 мл у картонній коробці; або по 1 флакону об’ємом 5,5 мл та 3 флакони об’ємом 8,3 мл у картонній коробці; або по 4 флакони об’ємом 8,3 мл у картонній коробці; або по 2 флакони об’ємом 5,5 мл та 3 флакони об’ємом 8,3 мл у картонній коробці; або по 1 флакону об’ємом 5,5 мл та 4 флакони об’ємом 8,3 мл у картонній коробці; або по 5 флаконів об’ємом 8,3 мл у картонній коробці; або по 2 флакони об’ємом 5,5 мл та 4 флакони об’ємом 8,3 мл у картонній коробці; або по 1 флакону об’ємом 5,5 мл та 5 флаконів об’ємом 8,3 мл у картонній коробці; або по 6 флаконів об’ємом 8,3 мл у картонній коробці; або по 2 флакони об’ємом 5,5 мл та 5 флаконів об’ємом 8,3 мл у картонній коробці; або по 1 флакону об’ємом 5,5 мл та 6 флаконів об’ємом 8,3 мл у картонній коробці; або по 7 флаконів об’ємом 8,3 мл у картонній коробці; або по 2 флакони об’ємом 5,5 мл та 6 флаконів об’ємом 8,3 мл у картонній коробці; або по 1 флакону об’ємом 5,5 мл та 7 флаконів об’ємом 8,3 мл у картонній коробці; або по 8 флаконів об’ємом 8,3 мл у картонній коробці; або по 2 флакони об’ємом 5,5 мл та 7 флаконів об’ємом 8,3 мл у картонній коробці; або по 1 флакону об’ємом 5,5 мл та 8 флаконів об’ємом 8,3 мл у картонній коробці; або по 9 флаконів об’ємом 8,3 мл у картонній коробці; або по 2 флакони об’ємом 5,5 мл та 8 флаконів об’ємом 8,3 мл у картонній коробці; або по 1 флакону об’ємом 5,5 мл та 9 флаконів об’ємом 8,3 мл у картонній коробці; або по 10 флаконів об’ємом 8,3 мл у картонній коробці; або по 2 флакони об’ємом 5,5 мл та 9 флаконів об’ємом 8,3 мл у картонній коробці; або по 1 флакону об’ємом 5,5 мл та 10 флаконів об’ємом 8,3 мл у картонній коробці; або по 11 флаконів об’ємом 8,3 мл у картонній коробці; або по 2 флакони об’ємом 5,5 мл та 10 флаконів об’ємом 8,3 мл у картонній коробці; або по 1 флакону об’ємом 5,5 мл та 11 флаконів об’ємом 8,3 мл у картонній коробці; або по 12 флаконів об’ємом 8,3 мл у картонній коробці; або по 2 флакони об’ємом 5,5 мл та 11 флаконів об’ємом 8,3 мл у картонній коробці; або по 1 флакону об’ємом 5,5 мл та 12 флаконів об’ємом 8,3 мл у картонній коробці; або по 13 флаконів об’ємом 8,3 мл у картонній коробці; або по 2 флакони об’ємом 5,5 мл та 12 флаконів об’ємом 8,3 мл у картонній коробці; або по 1 флакону об’ємом 5,5 мл та 13 флаконів об’ємом 8,3 мл у картонній коробці; або по 14 флаконів об’ємом 8,3 мл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частковий контроль якості, вторинне пакування, випуск серії:</w:t>
              <w:br/>
              <w:t>Новартіс Джен Терапіс, Інк., Сполучені Штати (США);</w:t>
              <w:br/>
              <w:t>частковий контроль якості:</w:t>
              <w:br/>
              <w:t>ФПД Девелопмент, Л.П., Сполучені Штати (США);</w:t>
              <w:br/>
              <w:t>вторинне пакування, випуск серії:</w:t>
              <w:br/>
              <w:t>Новартіс Фармасьютикал Мануфактурінг ГмбХ, Австрія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Сполучені Штати (США)/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дільниці вторинного пакування ГЛЗ Новартіс Фармасьютикал Мануфактурінг ГмбХ, Австрія/Novartis Pharmaceutical Manufacturing GmbH, Austria.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додаткової дільниці відповідальної за випуск серії ГЛЗ Новартіс Фармасьютикал Мануфактурінг ГмбХ, Австрія/Novartis Pharmaceutical Manufacturing GmbH, Austria.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(внесення додаткового виробника). </w:t>
              <w:br/>
              <w:t>Як наслідок затвердження тексту маркування упаковки лікарського засобу для доданого виробника.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досьє)(нова дільниця для зберігання Головного банку клітин та/або Робочих банків клітин) - внесення змін до р. 3.2.S.2.1.Виробник(-и) реєстраційного досьє, а саме: додавання альтернативної дільниці BioReliance Corporation Inc. для зберігання Головного банку клітин та Робочих банків клітин.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досьє)(нова дільниця для зберігання Головного банку клітин та/або Робочих банків клітин) - внесення змін до р. 3.2.S.2.1. Виробник(-и) реєстраційного досьє, а саме: додавання альтернативної дільниці KryoCal, LLC DBA Kryosphere Inc. для зберігання Головного банку клітин та Робочих банків клітин.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внесення змін до р. 3.2.S.2.1.Виробник(-и) реєстраційного досьє, а саме: додавання альтернативної дільниці BioReliance Corporation Inc. 9820 Darnestown Rd. Rockville, MD 20850 USA, де проводиться контроль Головного банку клітин та Робочих банків клітин.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 внесення змін до р. 3.2.S.2.3.Контроль матеріалів реєстраційного досьє, а саме: додавання Millipore (Sigma), як альтернативного постачальника вихідного матеріалу цезію хлориду (CsCl), що використовується у виробничому процесі АФІ.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 Внесення змін до р. 3.2.S.2.3. Контроль матеріалів реєстраційного досьє, а саме додавання Gemini Bio, як альтернативного постачальника вихідного матеріалу (буферів та розчинів), що використовуються у процесі вирообництва АФІ.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 Внесення змін до р. 3.2.S.2.3.Контроль матеріалів реєстраційного досьє, а саме: зміни допустимих меж, визначених у специфікації вихідного матеріалу цезію хлорид (CsCl) за показником "Absorbance at 260 nm" для затвердженого виробника Avantor (VWR) (діюча редакція: ≤0.020, пропонована редакція ≤0.1).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(вилучення методу випробування для АФІ/реагенту/проміжного продукту, якщо альтернативний метод вже затверджений) - Видалення методу випробування "Agarose Gel Electrophoresis (AGE)" для перевірки структурної цілісності ДНК плазміди рНЕLP, у процесі виробництва діючої речовини Онасемноген абепарвовек (ОАV101).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Додавання випробування «Sterility testing» до внутрішніх специфікацій деяких видів сировини, буферів та розчинів, що використовуються у виробничому процесі діючої речовини Онасемноген абепарвовек (ОАV101), а також оновлення випробувань внутрішніх методів контролю закупленої сировини для узгодження зі специфікаціями постачальника та узгодження інформації в розділі 3.2.S.2.3.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Внесення змін до р. 3.2.S.2.3.Контроль матеріалів реєстраційного досьє, а саме: оновлення примітки до критеріїв прийнятності на витратний матеріал Pellicon 2 Cassette 300 kDA, 0.1 m</w:t>
            </w:r>
            <w:r>
              <w:rPr>
                <w:rFonts w:cs="Arial" w:ascii="Arial" w:hAnsi="Arial"/>
                <w:color w:val="000000"/>
                <w:sz w:val="16"/>
                <w:szCs w:val="16"/>
                <w:vertAlign w:val="superscript"/>
              </w:rPr>
              <w:t>2</w:t>
            </w:r>
            <w:r>
              <w:rPr>
                <w:rFonts w:cs="Arial" w:ascii="Arial" w:hAnsi="Arial"/>
                <w:color w:val="000000"/>
                <w:sz w:val="16"/>
                <w:szCs w:val="16"/>
              </w:rPr>
              <w:t>.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 Внесення змін до р. 3.2.S.2.3 Контроль матеріалів реєстраційного досьє, а саме: звуження допустимих меж, визначених у специфікації для показника "Endotoxin" для SO3-800 колонки (затверджено: Endotoxin (EU/ml)/&lt;1.0; запропоновано: Endotoxin (EU/ml)/&lt;0.1).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Внесення змін до р. 3.2.S.2.4.Контроль критичних стадій і проміжної продукції реєстраційного досьє, а саме: оновлення методу "in vitro assay for viral contaminants method" для ділянки BioReliance.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Внесення змін до р. 3.2.S.4.3. Валідація аналітичних методик реєстраційного досьє, впровадження оновленої межі кількісного визначення (LoQ) для концентрації залишкового бичачого сироваткового альбуміну (BSA) за допомогою ELISA.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Внесення змін до р. 3.2.S.4.3. Валідація аналітичних методик, а саме: модернізація обладнання та методу для кількісного визначення залишкової pDNA та hcDNA за допомогою кПЛР.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змін до р. 3.2.S.4.2. Аналітичні методики реєстраційного досьє, а саме: незначна зміна до аналізу геномної ідентичності та титру AAV з використанням звіту про валідацію методу ddPCR.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 Зміни до розділу 3.2.S.2.4, а саме: впровадження альтернативних методів випробувань «In vitro assays for Viral Contaminants», «Cell Line Identification by Short Tandem Repeat Analysis and Mycoplasma» (що виконуються на дільниці Bioreliance 9900 Blackwell Road, Rockville, Maryland, 20850 States) з альтернативними процедурами випробувань (що виконуються на дільниці Novartis Gene Therapies, 2512 South Tri-center Boulevard, Durham, North Caroline 27713 United States) для проміжної сполуки діючої речовини, що використовується у виробничому процесі біологічної діючої речовини онасемноген абепарвовек. Нові процедури випробувань додаються як альтернативні до чинних процедур випробувань, які в подальшому будуть видалені в майбутніх процедурах змін.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 Внесення змін до р. 3.2.S.4.2. Аналітичні методики реєстраційного досьє, а саме, впровадження альтернативного аналітичного методу «Replication Competent AAV (rcAAV) за допомогою клітинного аналізу та ddPCR у GTxNC.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ЗОЛОФТ®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sertraline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сертраліну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14 таблеток у блістері; по 2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та вторинне пакування, контроль якості, випуск серії: Хаупт Фарма Латіна С.р.л., Італія; виробництво, первинне та вторинне пакування, контроль якості, випуск серії: Пфайзер Менюфекчуринг Дойчленд ГмбХ, Німеччина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UA/7475/01/01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ІНГАЛІПТ-Н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стрептоцид розчинний, сульфатіазолу натрію гексагідрат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спрей для ротової порожнини; по 30 г у балоні; по 1 балону з розпилювачем та захисним ковпачком у пачці з картону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"Мікрофарм"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"Мікрофарм"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 Вилучення найменувань постачальників первинного пакувального матеріалу «Балон алюмінієвий» та «Розпилювач оральний». Матеріал і тип первинного пакування, специфікація, методи контролю якості, критерії прийнятності та інші характеристики первинного пакувального матеріалу залишаються без змін.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ІНФАНРИКС ГЕКСА КОМБІНОВАНА ВАКЦИНА ДЛЯ ПРОФІЛАКТИКИ ДИФТЕРІЇ, ПРАВЦЯ, КАШЛЮКУ (АЦЕЛЮЛЯРНИЙ КОМПОНЕНТ), ГЕПАТИТУ В, ПОЛІОМІЄЛІТУ ТА ЗАХВОРЮВАНЬ, ЗБУДНИКОМ ЯКИХ Є </w:t>
            </w:r>
            <w:r>
              <w:rPr>
                <w:rFonts w:cs="Arial" w:ascii="Arial" w:hAnsi="Arial"/>
                <w:b/>
                <w:sz w:val="16"/>
                <w:szCs w:val="16"/>
              </w:rPr>
              <w:t>HAEMOPHILUS</w:t>
            </w:r>
            <w:r>
              <w:rPr>
                <w:rFonts w:cs="Arial" w:ascii="Arial" w:hAnsi="Arial"/>
                <w:b/>
                <w:sz w:val="16"/>
                <w:szCs w:val="16"/>
                <w:lang w:val="uk-UA"/>
              </w:rPr>
              <w:t xml:space="preserve"> </w:t>
            </w:r>
            <w:r>
              <w:rPr>
                <w:rFonts w:cs="Arial" w:ascii="Arial" w:hAnsi="Arial"/>
                <w:b/>
                <w:sz w:val="16"/>
                <w:szCs w:val="16"/>
              </w:rPr>
              <w:t>INFLUENZAE</w:t>
            </w:r>
            <w:r>
              <w:rPr>
                <w:rFonts w:cs="Arial" w:ascii="Arial" w:hAnsi="Arial"/>
                <w:b/>
                <w:sz w:val="16"/>
                <w:szCs w:val="16"/>
                <w:lang w:val="uk-UA"/>
              </w:rPr>
              <w:t xml:space="preserve"> ТИПУ </w:t>
            </w:r>
            <w:r>
              <w:rPr>
                <w:rFonts w:cs="Arial" w:ascii="Arial" w:hAnsi="Arial"/>
                <w:b/>
                <w:sz w:val="16"/>
                <w:szCs w:val="16"/>
              </w:rPr>
              <w:t>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Diphtheria-haemophilus influenzae B-pertussis-poliomyelitis-tetanus-hepatitis 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 анатоксин</w:t>
            </w:r>
            <w:r>
              <w:rPr>
                <w:rFonts w:cs="Arial" w:ascii="Arial" w:hAnsi="Arial"/>
                <w:sz w:val="16"/>
                <w:szCs w:val="16"/>
                <w:lang w:val="en-AU"/>
              </w:rPr>
              <w:t> </w:t>
            </w:r>
            <w:r>
              <w:rPr>
                <w:rFonts w:cs="Arial" w:ascii="Arial" w:hAnsi="Arial"/>
                <w:sz w:val="16"/>
                <w:szCs w:val="16"/>
              </w:rPr>
              <w:t>(D)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lang w:val="en-AU"/>
              </w:rPr>
              <w:t>pertussis</w:t>
            </w:r>
            <w:r>
              <w:rPr>
                <w:rFonts w:cs="Arial" w:ascii="Arial" w:hAnsi="Arial"/>
                <w:sz w:val="16"/>
                <w:szCs w:val="16"/>
                <w:lang w:val="en-AU"/>
              </w:rPr>
              <w:t> </w:t>
            </w:r>
            <w:r>
              <w:rPr>
                <w:rFonts w:cs="Arial" w:ascii="Arial" w:hAnsi="Arial"/>
                <w:sz w:val="16"/>
                <w:szCs w:val="16"/>
              </w:rPr>
              <w:t>кашлюкові антигени:</w:t>
            </w:r>
          </w:p>
          <w:p>
            <w:pPr>
              <w:pStyle w:val="Normal"/>
              <w:rPr>
                <w:rFonts w:ascii="Arial" w:hAnsi="Arial" w:cs="Arial"/>
                <w:sz w:val="16"/>
                <w:szCs w:val="16"/>
                <w:vertAlign w:val="superscript"/>
              </w:rPr>
            </w:pPr>
            <w:r>
              <w:rPr>
                <w:rFonts w:cs="Arial" w:ascii="Arial" w:hAnsi="Arial"/>
                <w:sz w:val="16"/>
                <w:szCs w:val="16"/>
              </w:rPr>
              <w:t>кашлюковий</w:t>
            </w:r>
            <w:r>
              <w:rPr>
                <w:rFonts w:cs="Arial" w:ascii="Arial" w:hAnsi="Arial"/>
                <w:sz w:val="16"/>
                <w:szCs w:val="16"/>
                <w:lang w:val="en-AU"/>
              </w:rPr>
              <w:t> </w:t>
            </w:r>
            <w:r>
              <w:rPr>
                <w:rFonts w:cs="Arial" w:ascii="Arial" w:hAnsi="Arial"/>
                <w:sz w:val="16"/>
                <w:szCs w:val="16"/>
              </w:rPr>
              <w:t>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нитчастий гемаглютинін (FHA)</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пертактин (PRN)</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р-ДНК поверхневий антиген вірусу гепатиту В (</w:t>
            </w:r>
            <w:r>
              <w:rPr>
                <w:rFonts w:cs="Arial" w:ascii="Arial" w:hAnsi="Arial"/>
                <w:sz w:val="16"/>
                <w:szCs w:val="16"/>
                <w:lang w:val="en-AU"/>
              </w:rPr>
              <w:t>HBsAg</w:t>
            </w:r>
            <w:r>
              <w:rPr>
                <w:rFonts w:cs="Arial" w:ascii="Arial" w:hAnsi="Arial"/>
                <w:sz w:val="16"/>
                <w:szCs w:val="16"/>
              </w:rPr>
              <w:t>)</w:t>
            </w:r>
            <w:r>
              <w:rPr>
                <w:rFonts w:cs="Arial" w:ascii="Arial" w:hAnsi="Arial"/>
                <w:sz w:val="16"/>
                <w:szCs w:val="16"/>
                <w:vertAlign w:val="superscript"/>
              </w:rPr>
              <w:t>2,3</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інактивовані віруси поліомієліту:</w:t>
            </w:r>
          </w:p>
          <w:p>
            <w:pPr>
              <w:pStyle w:val="Normal"/>
              <w:rPr>
                <w:rFonts w:ascii="Arial" w:hAnsi="Arial" w:cs="Arial"/>
                <w:sz w:val="16"/>
                <w:szCs w:val="16"/>
                <w:vertAlign w:val="superscript"/>
              </w:rPr>
            </w:pPr>
            <w:r>
              <w:rPr>
                <w:rFonts w:cs="Arial" w:ascii="Arial" w:hAnsi="Arial"/>
                <w:sz w:val="16"/>
                <w:szCs w:val="16"/>
              </w:rPr>
              <w:t xml:space="preserve">тип 1 (штам </w:t>
            </w:r>
            <w:r>
              <w:rPr>
                <w:rFonts w:cs="Arial" w:ascii="Arial" w:hAnsi="Arial"/>
                <w:sz w:val="16"/>
                <w:szCs w:val="16"/>
                <w:lang w:val="en-AU"/>
              </w:rPr>
              <w:t>Mahoney</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 </w:t>
            </w:r>
            <w:r>
              <w:rPr>
                <w:rFonts w:cs="Arial" w:ascii="Arial" w:hAnsi="Arial"/>
                <w:i/>
                <w:iCs/>
                <w:sz w:val="16"/>
                <w:szCs w:val="16"/>
              </w:rPr>
              <w:t>b</w:t>
            </w:r>
            <w:r>
              <w:rPr>
                <w:rFonts w:cs="Arial" w:ascii="Arial" w:hAnsi="Arial"/>
                <w:sz w:val="16"/>
                <w:szCs w:val="16"/>
              </w:rPr>
              <w:br/>
              <w:t>(полірибозилрибітол фосфат, PRP)</w:t>
            </w:r>
            <w:r>
              <w:rPr>
                <w:rFonts w:cs="Arial" w:ascii="Arial" w:hAnsi="Arial"/>
                <w:sz w:val="16"/>
                <w:szCs w:val="16"/>
                <w:vertAlign w:val="superscript"/>
              </w:rPr>
              <w:t>3</w:t>
            </w:r>
            <w:r>
              <w:rPr>
                <w:rFonts w:cs="Arial" w:ascii="Arial" w:hAnsi="Arial"/>
                <w:sz w:val="16"/>
                <w:szCs w:val="16"/>
              </w:rPr>
              <w:br/>
              <w:t>кон'югований з правцевим анатоксином (ТТ) як носієм протеїну</w:t>
            </w:r>
          </w:p>
          <w:p>
            <w:pPr>
              <w:pStyle w:val="Normal"/>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 адсорбований на алюмінію  гідроксиді, гідратований (</w:t>
            </w:r>
            <w:r>
              <w:rPr>
                <w:rFonts w:cs="Arial" w:ascii="Arial" w:hAnsi="Arial"/>
                <w:i/>
                <w:iCs/>
                <w:sz w:val="16"/>
                <w:szCs w:val="16"/>
                <w:lang w:val="en-AU"/>
              </w:rPr>
              <w:t>Al</w:t>
            </w:r>
            <w:r>
              <w:rPr>
                <w:rFonts w:cs="Arial" w:ascii="Arial" w:hAnsi="Arial"/>
                <w:i/>
                <w:iCs/>
                <w:sz w:val="16"/>
                <w:szCs w:val="16"/>
              </w:rPr>
              <w:t>(</w:t>
            </w:r>
            <w:r>
              <w:rPr>
                <w:rFonts w:cs="Arial" w:ascii="Arial" w:hAnsi="Arial"/>
                <w:i/>
                <w:iCs/>
                <w:sz w:val="16"/>
                <w:szCs w:val="16"/>
                <w:lang w:val="en-AU"/>
              </w:rPr>
              <w:t>OH</w:t>
            </w:r>
            <w:r>
              <w:rPr>
                <w:rFonts w:cs="Arial" w:ascii="Arial" w:hAnsi="Arial"/>
                <w:i/>
                <w:iCs/>
                <w:sz w:val="16"/>
                <w:szCs w:val="16"/>
              </w:rPr>
              <w:t>)</w:t>
            </w:r>
            <w:r>
              <w:rPr>
                <w:rFonts w:cs="Arial" w:ascii="Arial" w:hAnsi="Arial"/>
                <w:i/>
                <w:iCs/>
                <w:sz w:val="16"/>
                <w:szCs w:val="16"/>
                <w:vertAlign w:val="subscript"/>
              </w:rPr>
              <w:t>3</w:t>
            </w:r>
            <w:r>
              <w:rPr>
                <w:rFonts w:cs="Arial" w:ascii="Arial" w:hAnsi="Arial"/>
                <w:i/>
                <w:iCs/>
                <w:sz w:val="16"/>
                <w:szCs w:val="16"/>
              </w:rPr>
              <w:t>)</w:t>
            </w:r>
            <w:r>
              <w:rPr>
                <w:rFonts w:cs="Arial" w:ascii="Arial" w:hAnsi="Arial"/>
                <w:i/>
                <w:iCs/>
                <w:sz w:val="16"/>
                <w:szCs w:val="16"/>
                <w:lang w:val="en-AU"/>
              </w:rPr>
              <w:t> </w:t>
            </w:r>
          </w:p>
          <w:p>
            <w:pPr>
              <w:pStyle w:val="Normal"/>
              <w:rPr>
                <w:rFonts w:ascii="Arial" w:hAnsi="Arial" w:cs="Arial"/>
                <w:sz w:val="16"/>
                <w:szCs w:val="16"/>
              </w:rPr>
            </w:pPr>
            <w:r>
              <w:rPr>
                <w:rFonts w:cs="Arial" w:ascii="Arial" w:hAnsi="Arial"/>
                <w:i/>
                <w:iCs/>
                <w:sz w:val="16"/>
                <w:szCs w:val="16"/>
                <w:vertAlign w:val="superscript"/>
              </w:rPr>
              <w:t>2</w:t>
            </w:r>
            <w:r>
              <w:rPr>
                <w:rFonts w:cs="Arial" w:ascii="Arial" w:hAnsi="Arial"/>
                <w:sz w:val="16"/>
                <w:szCs w:val="16"/>
              </w:rPr>
              <w:t> </w:t>
            </w:r>
            <w:r>
              <w:rPr>
                <w:rFonts w:cs="Arial" w:ascii="Arial" w:hAnsi="Arial"/>
                <w:i/>
                <w:iCs/>
                <w:sz w:val="16"/>
                <w:szCs w:val="16"/>
              </w:rPr>
              <w:t>вироблений в клітинах дріжджів (Saccharomyces cerevisiae) за допомогою р-ДНК  технології</w:t>
            </w:r>
          </w:p>
          <w:p>
            <w:pPr>
              <w:pStyle w:val="Normal"/>
              <w:rPr>
                <w:rFonts w:ascii="Arial" w:hAnsi="Arial" w:cs="Arial"/>
                <w:sz w:val="16"/>
                <w:szCs w:val="16"/>
                <w:vertAlign w:val="superscript"/>
              </w:rPr>
            </w:pPr>
            <w:r>
              <w:rPr>
                <w:rFonts w:cs="Arial" w:ascii="Arial" w:hAnsi="Arial"/>
                <w:i/>
                <w:iCs/>
                <w:sz w:val="16"/>
                <w:szCs w:val="16"/>
                <w:vertAlign w:val="superscript"/>
              </w:rPr>
              <w:t>3</w:t>
            </w:r>
            <w:r>
              <w:rPr>
                <w:rFonts w:cs="Arial" w:ascii="Arial" w:hAnsi="Arial"/>
                <w:i/>
                <w:iCs/>
                <w:sz w:val="16"/>
                <w:szCs w:val="16"/>
              </w:rPr>
              <w:t>адсорбований на алюмінію фосфат (AlPO4)</w:t>
            </w:r>
          </w:p>
          <w:p>
            <w:pPr>
              <w:pStyle w:val="Normal"/>
              <w:rPr>
                <w:rFonts w:ascii="Arial" w:hAnsi="Arial" w:cs="Arial"/>
                <w:sz w:val="16"/>
                <w:szCs w:val="16"/>
                <w:vertAlign w:val="superscript"/>
              </w:rPr>
            </w:pPr>
            <w:r>
              <w:rPr>
                <w:rFonts w:cs="Arial" w:ascii="Arial" w:hAnsi="Arial"/>
                <w:sz w:val="16"/>
                <w:szCs w:val="16"/>
                <w:vertAlign w:val="superscript"/>
              </w:rPr>
              <w:t>4 </w:t>
            </w:r>
            <w:r>
              <w:rPr>
                <w:rFonts w:cs="Arial" w:ascii="Arial" w:hAnsi="Arial"/>
                <w:i/>
                <w:iCs/>
                <w:sz w:val="16"/>
                <w:szCs w:val="16"/>
                <w:lang w:val="en-AU"/>
              </w:rPr>
              <w:t>розмножені на клітинах </w:t>
            </w:r>
            <w:r>
              <w:rPr>
                <w:rFonts w:cs="Arial" w:ascii="Arial" w:hAnsi="Arial"/>
                <w:i/>
                <w:iCs/>
                <w:sz w:val="16"/>
                <w:szCs w:val="16"/>
              </w:rPr>
              <w:t>Vero</w:t>
            </w:r>
          </w:p>
          <w:p>
            <w:pPr>
              <w:pStyle w:val="Normal"/>
              <w:rPr>
                <w:rFonts w:ascii="Arial" w:hAnsi="Arial" w:cs="Arial"/>
                <w:sz w:val="16"/>
                <w:szCs w:val="16"/>
                <w:vertAlign w:val="superscript"/>
              </w:rPr>
            </w:pPr>
            <w:r>
              <w:rPr>
                <w:rFonts w:cs="Arial" w:ascii="Arial" w:hAnsi="Arial"/>
                <w:sz w:val="16"/>
                <w:szCs w:val="16"/>
                <w:vertAlign w:val="superscript"/>
              </w:rPr>
            </w:r>
          </w:p>
          <w:p>
            <w:pPr>
              <w:pStyle w:val="Normal"/>
              <w:rPr>
                <w:rFonts w:ascii="Arial" w:hAnsi="Arial" w:cs="Arial"/>
                <w:sz w:val="16"/>
                <w:szCs w:val="16"/>
                <w:vertAlign w:val="superscript"/>
              </w:rPr>
            </w:pPr>
            <w:r>
              <w:rPr>
                <w:rFonts w:cs="Arial" w:ascii="Arial" w:hAnsi="Arial"/>
                <w:sz w:val="16"/>
                <w:szCs w:val="16"/>
                <w:vertAlign w:val="superscript"/>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українською мовою;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англійською мовою зі стикером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Експорт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серій готового продукту. Проведення контролю якості DTPa-HBV-IPV компоненту);</w:t>
              <w:br/>
              <w:t>ГлаксоСмітКляйн Біолоджікалз, Франція (Формування, наповнення в шприці, проведення контролю якості DTPa-HBV-IPV компоненту. Формування, наповнення та ліофілізація в флакони, маркування та пакування, проведення контролю якості Hib компоненту. Маркування та пакування готового продукту); ГлаксоСмітКляйн Біолоджікалз С.А., Бельгія (Формування, наповнення в шприці, маркування і пакування, проведення контролю якості DTPa-HBV-IPV компоненту. Наповнення та ліофілізація в флакони, маркування та пакування, проведення контролю якості Hib компоненту. Маркування та пакування готового продукту)</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Додання «GlaxoSmithKline Vaccines S.R.L.", Сієна, Італія, як альтернативного виробника, відповідального за тестування активності кашлюкових антигенів (етап in vivo) під час випуску готового продукту у формі кінцевого напівпродукту (Final bulk).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Додання «GlaxoSmithKline Vaccines S.R.L.", Белларія-Розія, Совічилле, Італія, як альтернативного виробника, відповідального за тестування активності кашлюкових антигенів (етап in vitro ELISA) під час випуску готового продукту у формі кінцевого напівпродукту (Final bulk)</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ІНФАНРИКС ІПВ КОМБІНОВАНА ВАКЦИНА ДЛЯ ПРОФІЛАКТИКИ ДИФТЕРІЇ, ПРАВЦЯ, КАШЛЮКА (АЦЕЛЮЛЯРНИЙ КОМПОНЕНТ) ТА ПОЛІОМІЄЛІТУ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Diphtheria-pertussis-poliomyelitis-tetanus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rFonts w:ascii="Arial" w:hAnsi="Arial" w:cs="Arial"/>
                <w:sz w:val="16"/>
                <w:szCs w:val="16"/>
                <w:vertAlign w:val="superscript"/>
              </w:rPr>
            </w:pPr>
            <w:r>
              <w:rPr>
                <w:rFonts w:cs="Arial" w:ascii="Arial" w:hAnsi="Arial"/>
                <w:sz w:val="16"/>
                <w:szCs w:val="16"/>
              </w:rPr>
              <w:t>дифтерійний анатоксин (D)</w:t>
            </w:r>
            <w:r>
              <w:rPr>
                <w:rFonts w:cs="Arial" w:ascii="Arial" w:hAnsi="Arial"/>
                <w:sz w:val="16"/>
                <w:szCs w:val="16"/>
                <w:vertAlign w:val="superscript"/>
              </w:rPr>
              <w:t>1</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i/>
                <w:iCs/>
                <w:sz w:val="16"/>
                <w:szCs w:val="16"/>
                <w:shd w:fill="FFFFFF" w:val="clear"/>
              </w:rPr>
              <w:t>Bordetella</w:t>
            </w:r>
            <w:r>
              <w:rPr>
                <w:rFonts w:cs="Arial" w:ascii="Arial" w:hAnsi="Arial"/>
                <w:sz w:val="16"/>
                <w:szCs w:val="16"/>
                <w:shd w:fill="FFFFFF" w:val="clear"/>
              </w:rPr>
              <w:t> </w:t>
            </w:r>
            <w:r>
              <w:rPr>
                <w:rFonts w:cs="Arial" w:ascii="Arial" w:hAnsi="Arial"/>
                <w:i/>
                <w:iCs/>
                <w:sz w:val="16"/>
                <w:szCs w:val="16"/>
                <w:shd w:fill="FFFFFF" w:val="clear"/>
              </w:rPr>
              <w:t>pertussis </w:t>
            </w:r>
            <w:r>
              <w:rPr>
                <w:rFonts w:cs="Arial" w:ascii="Arial" w:hAnsi="Arial"/>
                <w:sz w:val="16"/>
                <w:szCs w:val="16"/>
                <w:shd w:fill="FFFFFF" w:val="clear"/>
              </w:rPr>
              <w:t>кашлюкові</w:t>
            </w:r>
            <w:r>
              <w:rPr>
                <w:rFonts w:cs="Arial" w:ascii="Arial" w:hAnsi="Arial"/>
                <w:sz w:val="16"/>
                <w:szCs w:val="16"/>
              </w:rPr>
              <w:t> антигени:</w:t>
            </w:r>
          </w:p>
          <w:p>
            <w:pPr>
              <w:pStyle w:val="Normal"/>
              <w:jc w:val="both"/>
              <w:rPr>
                <w:rFonts w:ascii="Arial" w:hAnsi="Arial" w:cs="Arial"/>
                <w:sz w:val="16"/>
                <w:szCs w:val="16"/>
                <w:vertAlign w:val="superscript"/>
              </w:rPr>
            </w:pPr>
            <w:r>
              <w:rPr>
                <w:rFonts w:cs="Arial" w:ascii="Arial" w:hAnsi="Arial"/>
                <w:sz w:val="16"/>
                <w:szCs w:val="16"/>
              </w:rPr>
              <w:t>кашлюковий анатоксин (PT)</w:t>
            </w:r>
            <w:r>
              <w:rPr>
                <w:rFonts w:cs="Arial" w:ascii="Arial" w:hAnsi="Arial"/>
                <w:sz w:val="16"/>
                <w:szCs w:val="16"/>
                <w:vertAlign w:val="superscript"/>
              </w:rPr>
              <w:t>1</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нитчастий гемаглютинін (FHA)</w:t>
            </w:r>
            <w:r>
              <w:rPr>
                <w:rFonts w:cs="Arial" w:ascii="Arial" w:hAnsi="Arial"/>
                <w:sz w:val="16"/>
                <w:szCs w:val="16"/>
                <w:vertAlign w:val="superscript"/>
              </w:rPr>
              <w:t>1</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пертактин (PRN)</w:t>
            </w:r>
            <w:r>
              <w:rPr>
                <w:rFonts w:cs="Arial" w:ascii="Arial" w:hAnsi="Arial"/>
                <w:sz w:val="16"/>
                <w:szCs w:val="16"/>
                <w:vertAlign w:val="superscript"/>
              </w:rPr>
              <w:t>1</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інактивовані віруси поліомієліту:</w:t>
            </w:r>
          </w:p>
          <w:p>
            <w:pPr>
              <w:pStyle w:val="Normal"/>
              <w:jc w:val="both"/>
              <w:rPr>
                <w:rFonts w:ascii="Arial" w:hAnsi="Arial" w:cs="Arial"/>
                <w:sz w:val="16"/>
                <w:szCs w:val="16"/>
                <w:vertAlign w:val="superscript"/>
              </w:rPr>
            </w:pPr>
            <w:r>
              <w:rPr>
                <w:rFonts w:cs="Arial" w:ascii="Arial" w:hAnsi="Arial"/>
                <w:sz w:val="16"/>
                <w:szCs w:val="16"/>
              </w:rPr>
              <w:t>тип 1 (штам Mahoney)</w:t>
            </w:r>
            <w:r>
              <w:rPr>
                <w:rFonts w:cs="Arial" w:ascii="Arial" w:hAnsi="Arial"/>
                <w:sz w:val="16"/>
                <w:szCs w:val="16"/>
                <w:vertAlign w:val="superscript"/>
              </w:rPr>
              <w:t>2</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тип 2 (штам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тип 3 (штам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jc w:val="both"/>
              <w:rPr/>
            </w:pPr>
            <w:r>
              <w:rPr>
                <w:rFonts w:cs="Arial" w:ascii="Arial" w:hAnsi="Arial"/>
                <w:i/>
                <w:iCs/>
                <w:sz w:val="16"/>
                <w:szCs w:val="16"/>
                <w:vertAlign w:val="superscript"/>
              </w:rPr>
              <w:t>1</w:t>
            </w:r>
            <w:r>
              <w:rPr>
                <w:rFonts w:cs="Arial" w:ascii="Arial" w:hAnsi="Arial"/>
                <w:i/>
                <w:iCs/>
                <w:sz w:val="16"/>
                <w:szCs w:val="16"/>
              </w:rPr>
              <w:t>адсорбований на алюмінію гідроксиді, гідратований</w:t>
            </w:r>
          </w:p>
          <w:p>
            <w:pPr>
              <w:pStyle w:val="Normal"/>
              <w:jc w:val="both"/>
              <w:rPr>
                <w:rFonts w:ascii="Arial" w:hAnsi="Arial" w:cs="Arial"/>
                <w:sz w:val="16"/>
                <w:szCs w:val="16"/>
              </w:rPr>
            </w:pPr>
            <w:r>
              <w:rPr>
                <w:rFonts w:cs="Arial" w:ascii="Arial" w:hAnsi="Arial"/>
                <w:sz w:val="16"/>
                <w:szCs w:val="16"/>
                <w:vertAlign w:val="superscript"/>
              </w:rPr>
              <w:t>2 </w:t>
            </w:r>
            <w:r>
              <w:rPr>
                <w:rFonts w:cs="Arial" w:ascii="Arial" w:hAnsi="Arial"/>
                <w:i/>
                <w:iCs/>
                <w:sz w:val="16"/>
                <w:szCs w:val="16"/>
              </w:rPr>
              <w:t>розмножені на клітинах Vero</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J07CA02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 з маркуванням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(проведення контролю якості вакцини, випуск серій готового продукту);</w:t>
              <w:br/>
              <w:t>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 ГлаксоСмітКляйн Біолоджікалз С.А., Бельгія (наповнення вакцини в шприці, маркування і пакування готового продукту, проведення контролю якості вакцини)</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 Додавання «GlaxoSmithKline Vaccines S.R.L.", Сієна, Італія, як альтернативного виробника, відповідального за тестування активності кашлюкових антигенів (етап in vivo) під час випуску готового продукту у формі кінцевого напівпродукту (Final bulk).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 Додавання «GlaxoSmithKline Vaccines S.R.L.", Белларія-Розія, Совічилле, Італія, як альтернативного виробника, відповідального за тестування активності кашлюкових антигенів (етап in vitro ELISA) під час випуску готового продукту у формі кінцевого напівпродукту (Final bulk).</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ІНФАНРИКС ІПВ ХІБ КОМБІНОВАНА ВАКЦИНА ДЛЯ ПРОФІЛАКТИКИ ДИФТЕРІЇ, ПРАВЦЯ, КАШЛЮКУ (АЦЕЛЮЛЯРНИЙ КОМПОНЕНТ), ПОЛІОМІЄЛІТУ ТА ЗАХВОРЮВАНЬ, ЗБУДНИКОМ ЯКИХ Є </w:t>
            </w:r>
            <w:r>
              <w:rPr>
                <w:rFonts w:cs="Arial" w:ascii="Arial" w:hAnsi="Arial"/>
                <w:b/>
                <w:sz w:val="16"/>
                <w:szCs w:val="16"/>
              </w:rPr>
              <w:t>HAEMOPHILUS</w:t>
            </w:r>
            <w:r>
              <w:rPr>
                <w:rFonts w:cs="Arial" w:ascii="Arial" w:hAnsi="Arial"/>
                <w:b/>
                <w:sz w:val="16"/>
                <w:szCs w:val="16"/>
                <w:lang w:val="uk-UA"/>
              </w:rPr>
              <w:t xml:space="preserve"> </w:t>
            </w:r>
            <w:r>
              <w:rPr>
                <w:rFonts w:cs="Arial" w:ascii="Arial" w:hAnsi="Arial"/>
                <w:b/>
                <w:sz w:val="16"/>
                <w:szCs w:val="16"/>
              </w:rPr>
              <w:t>INFLUENZAE</w:t>
            </w:r>
            <w:r>
              <w:rPr>
                <w:rFonts w:cs="Arial" w:ascii="Arial" w:hAnsi="Arial"/>
                <w:b/>
                <w:sz w:val="16"/>
                <w:szCs w:val="16"/>
                <w:lang w:val="uk-UA"/>
              </w:rPr>
              <w:t xml:space="preserve"> ТИПУ </w:t>
            </w:r>
            <w:r>
              <w:rPr>
                <w:rFonts w:cs="Arial" w:ascii="Arial" w:hAnsi="Arial"/>
                <w:b/>
                <w:sz w:val="16"/>
                <w:szCs w:val="16"/>
              </w:rPr>
              <w:t>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Diphtheria-haemophilus influenzae B-pertussis-poliomyelitis-tetanus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w:t>
            </w:r>
            <w:r>
              <w:rPr>
                <w:rFonts w:cs="Arial" w:ascii="Arial" w:hAnsi="Arial"/>
                <w:sz w:val="16"/>
                <w:szCs w:val="16"/>
                <w:lang w:val="en-AU"/>
              </w:rPr>
              <w:t> </w:t>
            </w:r>
            <w:r>
              <w:rPr>
                <w:rFonts w:cs="Arial" w:ascii="Arial" w:hAnsi="Arial"/>
                <w:sz w:val="16"/>
                <w:szCs w:val="16"/>
              </w:rPr>
              <w:t>анатоксин</w:t>
            </w:r>
            <w:r>
              <w:rPr>
                <w:rFonts w:cs="Arial" w:ascii="Arial" w:hAnsi="Arial"/>
                <w:sz w:val="16"/>
                <w:szCs w:val="16"/>
                <w:lang w:val="en-AU"/>
              </w:rPr>
              <w:t> </w:t>
            </w:r>
            <w:r>
              <w:rPr>
                <w:rFonts w:cs="Arial" w:ascii="Arial" w:hAnsi="Arial"/>
                <w:sz w:val="16"/>
                <w:szCs w:val="16"/>
              </w:rPr>
              <w:t>(D)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w:t>
            </w:r>
            <w:r>
              <w:rPr>
                <w:rFonts w:cs="Arial" w:ascii="Arial" w:hAnsi="Arial"/>
                <w:sz w:val="16"/>
                <w:szCs w:val="16"/>
                <w:lang w:val="en-AU"/>
              </w:rPr>
              <w:t> </w:t>
            </w:r>
            <w:r>
              <w:rPr>
                <w:rFonts w:cs="Arial" w:ascii="Arial" w:hAnsi="Arial"/>
                <w:sz w:val="16"/>
                <w:szCs w:val="16"/>
              </w:rPr>
              <w:t>анатоксин</w:t>
            </w:r>
            <w:r>
              <w:rPr>
                <w:rFonts w:cs="Arial" w:ascii="Arial" w:hAnsi="Arial"/>
                <w:sz w:val="16"/>
                <w:szCs w:val="16"/>
                <w:vertAlign w:val="superscript"/>
                <w:lang w:val="en-AU"/>
              </w:rPr>
              <w:t> </w:t>
            </w:r>
            <w:r>
              <w:rPr>
                <w:rFonts w:cs="Arial" w:ascii="Arial" w:hAnsi="Arial"/>
                <w:sz w:val="16"/>
                <w:szCs w:val="16"/>
              </w:rPr>
              <w:t>(T)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rPr>
              <w:t>pertussis</w:t>
            </w:r>
            <w:r>
              <w:rPr>
                <w:rFonts w:cs="Arial" w:ascii="Arial" w:hAnsi="Arial"/>
                <w:sz w:val="16"/>
                <w:szCs w:val="16"/>
              </w:rPr>
              <w:t> кашлюкові</w:t>
            </w:r>
            <w:r>
              <w:rPr>
                <w:rFonts w:cs="Arial" w:ascii="Arial" w:hAnsi="Arial"/>
                <w:sz w:val="16"/>
                <w:szCs w:val="16"/>
                <w:lang w:val="en-AU"/>
              </w:rPr>
              <w:t> </w:t>
            </w:r>
            <w:r>
              <w:rPr>
                <w:rFonts w:cs="Arial" w:ascii="Arial" w:hAnsi="Arial"/>
                <w:sz w:val="16"/>
                <w:szCs w:val="16"/>
              </w:rPr>
              <w:t>антигени:</w:t>
            </w:r>
          </w:p>
          <w:p>
            <w:pPr>
              <w:pStyle w:val="Normal"/>
              <w:rPr>
                <w:rFonts w:ascii="Arial" w:hAnsi="Arial" w:cs="Arial"/>
                <w:sz w:val="16"/>
                <w:szCs w:val="16"/>
                <w:vertAlign w:val="superscript"/>
              </w:rPr>
            </w:pPr>
            <w:r>
              <w:rPr>
                <w:rFonts w:cs="Arial" w:ascii="Arial" w:hAnsi="Arial"/>
                <w:sz w:val="16"/>
                <w:szCs w:val="16"/>
              </w:rPr>
              <w:t>кашлюковий</w:t>
            </w:r>
            <w:r>
              <w:rPr>
                <w:rFonts w:cs="Arial" w:ascii="Arial" w:hAnsi="Arial"/>
                <w:sz w:val="16"/>
                <w:szCs w:val="16"/>
                <w:lang w:val="en-AU"/>
              </w:rPr>
              <w:t> </w:t>
            </w:r>
            <w:r>
              <w:rPr>
                <w:rFonts w:cs="Arial" w:ascii="Arial" w:hAnsi="Arial"/>
                <w:sz w:val="16"/>
                <w:szCs w:val="16"/>
              </w:rPr>
              <w:t>анатоксин</w:t>
            </w:r>
            <w:r>
              <w:rPr>
                <w:rFonts w:cs="Arial" w:ascii="Arial" w:hAnsi="Arial"/>
                <w:sz w:val="16"/>
                <w:szCs w:val="16"/>
                <w:lang w:val="en-AU"/>
              </w:rPr>
              <w:t> </w:t>
            </w:r>
            <w:r>
              <w:rPr>
                <w:rFonts w:cs="Arial" w:ascii="Arial" w:hAnsi="Arial"/>
                <w:sz w:val="16"/>
                <w:szCs w:val="16"/>
              </w:rPr>
              <w:t>(PT)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нитчастий</w:t>
            </w:r>
            <w:r>
              <w:rPr>
                <w:rFonts w:cs="Arial" w:ascii="Arial" w:hAnsi="Arial"/>
                <w:sz w:val="16"/>
                <w:szCs w:val="16"/>
                <w:lang w:val="en-AU"/>
              </w:rPr>
              <w:t> </w:t>
            </w:r>
            <w:r>
              <w:rPr>
                <w:rFonts w:cs="Arial" w:ascii="Arial" w:hAnsi="Arial"/>
                <w:sz w:val="16"/>
                <w:szCs w:val="16"/>
              </w:rPr>
              <w:t>гемаглютинін (FHA)</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пертактин</w:t>
            </w:r>
            <w:r>
              <w:rPr>
                <w:rFonts w:cs="Arial" w:ascii="Arial" w:hAnsi="Arial"/>
                <w:sz w:val="16"/>
                <w:szCs w:val="16"/>
                <w:lang w:val="en-AU"/>
              </w:rPr>
              <w:t> </w:t>
            </w:r>
            <w:r>
              <w:rPr>
                <w:rFonts w:cs="Arial" w:ascii="Arial" w:hAnsi="Arial"/>
                <w:sz w:val="16"/>
                <w:szCs w:val="16"/>
              </w:rPr>
              <w:t>(PRN)</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інактивовані</w:t>
            </w:r>
            <w:r>
              <w:rPr>
                <w:rFonts w:cs="Arial" w:ascii="Arial" w:hAnsi="Arial"/>
                <w:sz w:val="16"/>
                <w:szCs w:val="16"/>
                <w:lang w:val="en-AU"/>
              </w:rPr>
              <w:t> </w:t>
            </w:r>
            <w:r>
              <w:rPr>
                <w:rFonts w:cs="Arial" w:ascii="Arial" w:hAnsi="Arial"/>
                <w:sz w:val="16"/>
                <w:szCs w:val="16"/>
              </w:rPr>
              <w:t>віруси</w:t>
            </w:r>
            <w:r>
              <w:rPr>
                <w:rFonts w:cs="Arial" w:ascii="Arial" w:hAnsi="Arial"/>
                <w:sz w:val="16"/>
                <w:szCs w:val="16"/>
                <w:lang w:val="en-AU"/>
              </w:rPr>
              <w:t> </w:t>
            </w:r>
            <w:r>
              <w:rPr>
                <w:rFonts w:cs="Arial" w:ascii="Arial" w:hAnsi="Arial"/>
                <w:sz w:val="16"/>
                <w:szCs w:val="16"/>
              </w:rPr>
              <w:t>поліомієліту:</w:t>
            </w:r>
          </w:p>
          <w:p>
            <w:pPr>
              <w:pStyle w:val="Normal"/>
              <w:rPr>
                <w:rFonts w:ascii="Arial" w:hAnsi="Arial" w:cs="Arial"/>
                <w:sz w:val="16"/>
                <w:szCs w:val="16"/>
                <w:vertAlign w:val="superscript"/>
              </w:rPr>
            </w:pPr>
            <w:r>
              <w:rPr>
                <w:rFonts w:cs="Arial" w:ascii="Arial" w:hAnsi="Arial"/>
                <w:sz w:val="16"/>
                <w:szCs w:val="16"/>
              </w:rPr>
              <w:t>тип</w:t>
            </w:r>
            <w:r>
              <w:rPr>
                <w:rFonts w:cs="Arial" w:ascii="Arial" w:hAnsi="Arial"/>
                <w:sz w:val="16"/>
                <w:szCs w:val="16"/>
                <w:lang w:val="en-AU"/>
              </w:rPr>
              <w:t> </w:t>
            </w:r>
            <w:r>
              <w:rPr>
                <w:rFonts w:cs="Arial" w:ascii="Arial" w:hAnsi="Arial"/>
                <w:sz w:val="16"/>
                <w:szCs w:val="16"/>
              </w:rPr>
              <w:t>1 (штам</w:t>
            </w:r>
            <w:r>
              <w:rPr>
                <w:rFonts w:cs="Arial" w:ascii="Arial" w:hAnsi="Arial"/>
                <w:sz w:val="16"/>
                <w:szCs w:val="16"/>
                <w:lang w:val="en-AU"/>
              </w:rPr>
              <w:t> Mahoney</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w:t>
            </w:r>
            <w:r>
              <w:rPr>
                <w:rFonts w:cs="Arial" w:ascii="Arial" w:hAnsi="Arial"/>
                <w:sz w:val="16"/>
                <w:szCs w:val="16"/>
                <w:lang w:val="en-AU"/>
              </w:rPr>
              <w:t> </w:t>
            </w:r>
            <w:r>
              <w:rPr>
                <w:rFonts w:cs="Arial" w:ascii="Arial" w:hAnsi="Arial"/>
                <w:sz w:val="16"/>
                <w:szCs w:val="16"/>
              </w:rPr>
              <w:t>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w:t>
            </w:r>
            <w:r>
              <w:rPr>
                <w:rFonts w:cs="Arial" w:ascii="Arial" w:hAnsi="Arial"/>
                <w:sz w:val="16"/>
                <w:szCs w:val="16"/>
                <w:lang w:val="en-AU"/>
              </w:rPr>
              <w:t> </w:t>
            </w:r>
            <w:r>
              <w:rPr>
                <w:rFonts w:cs="Arial" w:ascii="Arial" w:hAnsi="Arial"/>
                <w:sz w:val="16"/>
                <w:szCs w:val="16"/>
              </w:rPr>
              <w:t>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 </w:t>
            </w:r>
            <w:r>
              <w:rPr>
                <w:rFonts w:cs="Arial" w:ascii="Arial" w:hAnsi="Arial"/>
                <w:i/>
                <w:iCs/>
                <w:sz w:val="16"/>
                <w:szCs w:val="16"/>
              </w:rPr>
              <w:t>b</w:t>
            </w:r>
            <w:r>
              <w:rPr>
                <w:rFonts w:cs="Arial" w:ascii="Arial" w:hAnsi="Arial"/>
                <w:sz w:val="16"/>
                <w:szCs w:val="16"/>
              </w:rPr>
              <w:br/>
              <w:t>(полірибозилрибітол фосфат, PRP)</w:t>
              <w:br/>
              <w:t>кон'югований з правцевим анатоксином (ТТ) як носієм протеїну</w:t>
            </w:r>
          </w:p>
          <w:p>
            <w:pPr>
              <w:pStyle w:val="Normal"/>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 адсорбований на алюмінію гідроксиді, гідратований</w:t>
            </w:r>
          </w:p>
          <w:p>
            <w:pPr>
              <w:pStyle w:val="Normal"/>
              <w:rPr>
                <w:rFonts w:ascii="Arial" w:hAnsi="Arial" w:cs="Arial"/>
                <w:sz w:val="16"/>
                <w:szCs w:val="16"/>
                <w:vertAlign w:val="superscript"/>
              </w:rPr>
            </w:pPr>
            <w:r>
              <w:rPr>
                <w:rFonts w:cs="Arial" w:ascii="Arial" w:hAnsi="Arial"/>
                <w:i/>
                <w:iCs/>
                <w:sz w:val="16"/>
                <w:szCs w:val="16"/>
                <w:vertAlign w:val="superscript"/>
              </w:rPr>
              <w:t>2</w:t>
            </w:r>
            <w:r>
              <w:rPr>
                <w:rFonts w:cs="Arial" w:ascii="Arial" w:hAnsi="Arial"/>
                <w:sz w:val="16"/>
                <w:szCs w:val="16"/>
              </w:rPr>
              <w:t> </w:t>
            </w:r>
            <w:r>
              <w:rPr>
                <w:rFonts w:cs="Arial" w:ascii="Arial" w:hAnsi="Arial"/>
                <w:i/>
                <w:iCs/>
                <w:sz w:val="16"/>
                <w:szCs w:val="16"/>
              </w:rPr>
              <w:t>розмножені на клітинах Vero</w:t>
            </w:r>
          </w:p>
          <w:p>
            <w:pPr>
              <w:pStyle w:val="Normal"/>
              <w:tabs>
                <w:tab w:val="left" w:pos="12600" w:leader="none"/>
              </w:tabs>
              <w:rPr>
                <w:rFonts w:ascii="Arial" w:hAnsi="Arial" w:cs="Arial"/>
                <w:sz w:val="16"/>
                <w:szCs w:val="16"/>
                <w:vertAlign w:val="superscript"/>
              </w:rPr>
            </w:pPr>
            <w:r>
              <w:rPr>
                <w:rFonts w:cs="Arial" w:ascii="Arial" w:hAnsi="Arial"/>
                <w:sz w:val="16"/>
                <w:szCs w:val="16"/>
                <w:vertAlign w:val="superscript"/>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(DTPa-IPV) для ін’єкцій по 0,5 мл (1 доза) та ліофілізат (Hib);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серій готового продукту); ГлаксоСмітКляйн Біолоджікалз, Франція (Формування, наповнення в шприці, маркування та пакування, проведення контролю якості DTPa-IPV компонент. Формування, наповнення та ліофілізація в флакони, маркування та пакування, проведення контролю якості Hib компонент. Маркування та пакування готового продукту); ГлаксоСмітКляйн Біолоджікалз С.А., Бельгія (Наповнення в шприці, маркування та пакування, проведення контролю якості DTPa-IPV компонент. Наповнення та ліофілізація в флакони, маркування та пакування, проведення контролю якості Hib компонент. Маркування та пакування готового продукту)</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 Додання «GlaxoSmithKline Vaccines S.R.L.", Сієна, Італія, як альтернативного виробника, відповідального за тестування активності кашлюкових антигенів (етап in vivo) під час випуску готового продукту у формі кінцевого напівпродукту (Final bulk).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 Додання «GlaxoSmithKline Vaccines S.R.L.", Белларія-Розія, Совічилле, Італія, як альтернативного виробника, відповідального за тестування активності кашлюкових антигенів (етап in vitro ELISA) під час випуску готового продукту у формі кінцевого напівпродукту (Final bulk).</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ІРИНОТЕКАН АККОРД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irinotecan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іринотекану гідрохлориду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L01CE02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приготування розчину для інфузій, 20 мг/мл; по 5 мл (100 мг) або по 15 мл (300 мг) у флаконі, по 1 флакону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серії:</w:t>
              <w:br/>
              <w:t>Аккорд Хелскеа Полска Сп. з о.о. Склад Імпортера, Польща;</w:t>
              <w:br/>
              <w:t>виробництво лікарського засобу, первинне та вторинне пакування, контроль якості:</w:t>
              <w:br/>
              <w:t xml:space="preserve">Інтас Фармасьютікaлс Лімітед, Індія; </w:t>
              <w:br/>
              <w:t>додаткове вторинне пакування:</w:t>
              <w:br/>
              <w:t>АККОРД ХЕЛСКЕА ЛІМІТЕД, Велика Британiя;</w:t>
              <w:br/>
              <w:t>Синоптиз Індастріал Сп. з о.о., Польща;</w:t>
              <w:br/>
              <w:t>контроль якості:</w:t>
              <w:br/>
              <w:t>Єврофінс Аналітікал Сервісез Хангері Кфт., Угорщина;</w:t>
              <w:br/>
              <w:t>ФАРМАВАЛІД Лтд. Мікробіологічна лабораторія, Угорщина;</w:t>
              <w:br/>
              <w:t xml:space="preserve">вторинне пакування та контроль якості: </w:t>
              <w:br/>
              <w:t>Аккорд Хелскеа Сінгл Мембер С.А., Греція</w:t>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у виробничому процесі готового лікарського засобу, а саме: скорочення стандартного часу стерилізації з 30 хвилин до 15 хвилин.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ділянки, відповідальної за контроль якості серії готової продукції з Весслінг Хангері Кфт./Wessling Hungary Kft. на Єврофінс Аналітікал Сервісез Хангері Кфт./Eurofins Analytical Services Hungary Kft., без зміни місця виробнцтва.</w:t>
              <w:br/>
              <w:t xml:space="preserve">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зміна гранично допустимої межі специфікації готового продукту за показником: Супровідні домішки, а саме: максимальна одинична невідома домішка, та суми домішок, для точнішого опису зовнішнього вигляду готового продукту.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br/>
              <w:t>незначні зміни до методу контролю готового продукту «Супровідні домішки», а саме зміна хроматографічного параметру «Час хроматографування» з 40 хв до 60 хв, що описаний у методі «Кількісне визначення».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ІТРАКОНАЗОЛ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itraconazole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ітраконазол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100 мг; по 4 капсули у блістері; по 1 блістеру в пачці з картону; по 15 капсул у блістері; по 1 або по 2 блістери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"Фарма Лайф"</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"Фарма Лайф"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"Протипоказання", "Особливості застосування", "Застосування у період вагітності або годування груддю", "Спосіб застосування та дози", "Передозування", "Побічні реакції" згідно з інформацією щодо медичного застосування референтного лікарського засобу (ОРУНГАЛ®).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UA/5356/01/01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ЙОГЕКСОЛ-ЮФ</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iohexol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йогексол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V08AB02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350 мг йоду/мл, по 20 мл або по 50 мл у флаконах скляних; по 1 флакону у коробці з картону, по 100 мл або по 200 мл, або по 400 мл у пляшках скляних; по 1 пляшці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"Юрія-Фарм"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Зміни внесено у текст маркування первинної упаковки лікарського засобу (п. 17) щодо нанесення ультрафіолетового елемента захисту.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ЙОД ПЕЧАЄВСЬКИЙ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povidone-iodine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повідон-йод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D08AG02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зовнішнього застосування 10%; по 30 мл у флаконі з пробкою-крапельницею; по 1 флакону в пачці із картону; по 50 мл у флаконі з насадкою; по 1 флакону в пачці із картону; по 100 мл у флаконі з насадкою, по 1 флакону в пачці із картону; по 120 мл у банці з пробкою-крапельницею; по 1 банці в пачці; по 1000 мл у контейнерах пластмасових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w:t>
              <w:br/>
              <w:t>Оновлення тексту маркування упаковок лікарського засобу, зокрема вилучення інформації, зазначеної російською мовою, уточнено інформацію щодо логотипу в п. 17. ІНШЕ.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UA/12321/01/01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КАЛЬЦІЙ -Д3 НІКОМЕД З АПЕЛЬСИНОВИМ СМАКОМ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rPr>
              <w:t>кальцію карбонат, холекальциферол (вітаміну D3), що відповідає холекальциферолу концентрату*;</w:t>
            </w:r>
            <w:r>
              <w:rPr>
                <w:rFonts w:cs="Arial" w:ascii="Arial" w:hAnsi="Arial"/>
                <w:i/>
                <w:sz w:val="16"/>
                <w:szCs w:val="16"/>
              </w:rPr>
              <w:br/>
              <w:t>*Склад холекальциферолу концентрату: холекальциферол, DL-ɑ-токоферол, тригліцериди середнього ланцюга, крохмаль кукурудзяний модифікований, сахароза, натрію аскорбат, кремнію діоксид колоїдний безводний</w:t>
            </w:r>
          </w:p>
          <w:p>
            <w:pPr>
              <w:pStyle w:val="Normal"/>
              <w:tabs>
                <w:tab w:val="left" w:pos="12600" w:leader="none"/>
              </w:tabs>
              <w:rPr>
                <w:rFonts w:ascii="Arial" w:hAnsi="Arial" w:cs="Arial"/>
                <w:i/>
                <w:i/>
                <w:color w:val="000000"/>
                <w:sz w:val="16"/>
                <w:szCs w:val="16"/>
              </w:rPr>
            </w:pPr>
            <w:r>
              <w:rPr>
                <w:rFonts w:cs="Arial" w:ascii="Arial" w:hAnsi="Arial"/>
                <w:i/>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A12AX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жувальні; по 20 або по 50, або по 100 таблеток у флаконі; по 1 флакону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Асіно Фарма АГ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Аскер Контракт Мануфекчерінг АС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Норвегія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Європейської фармакопеї № CEP 2015-199-Rev 01 для Cholecalciferol concentrate (powder form) від затвердженого виробника DSM Nutritional Products Ltd., Switzerland (затверджено: R1-CEP 2015-199-Rev 00; запропоновано: CEP 2015-199-Rev 01). Зміна назви виробника АФІ на DSM Nutritional Products AG, Switzerland.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Зменшення виробництва гранульованого кальцію з 780 кг до 776 кг</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UA/3541/01/01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КАМІСТАД® - ГЕЛЬ H</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лідокаїну гідрохлориду моногідрат, екстракт квітів ромашки (Matricaria recutita 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A01AD11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по 10 г в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СТАДА Арцнайміттель АГ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та випуск серії: СТАДА Арцнайміттель АГ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 Додавання постачальника рослинної сировини (квітів ромашки), що використовується у виробництві активної речовини - екстракту квітів ромашки Martin Bauer GmbH &amp; Co. KG, Germany.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 Додавання випробувального майданчика для контролю якості рослинної сировини (квітів ромашки), що використовується у виробництві активної речовини - екстракту квітів ромашки Gehrlicher Pharmazeutische Extrakte GmbH, Germany.</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UA/6590/01/01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КАРБОПЛАТИН АККОРД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carboplatin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карбоплатин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 мг/мл по 5 мл, або по 15 мл, або по 45 мл, або по 60 мл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Аккорд Хелскеа Полска Сп. з.о.о.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sz w:val="16"/>
                <w:szCs w:val="16"/>
              </w:rPr>
            </w:pPr>
            <w:r>
              <w:rPr>
                <w:bCs/>
                <w:color w:val="000000"/>
                <w:sz w:val="16"/>
              </w:rPr>
              <w:t>Виробництво готового лікарського засобу, первинне та вторинне пакування, контроль якості серії: Інтас Фармасьютікалз Лімітед, Індія; Вторинне пакування: Аккорд Хелскеа Лімітед, Велика Британія; Виробництво готового лікарського засобу, первинне та вторинне пакування, контроль якості серії (альтернативний виробник): Інтас Фармасьютікалз Лімітед, Індія; виробництво готового лікарського засобу, первинне та вторинне пакування: Онко Ілак Санай Ве Тіджарет А.С., Туреччина; вторинне пакування Аккорд Хелскеа Сінгл Мембер С.А, Греція; контроль якості серії: Аккорд Хелскеа Сінгл Мембер С.А, Греція; контроль якості серії: Фармадокс Хелскеа Лтд., Мальта; Фармавалід Лтд. Мікробіологічна лабораторія, Угорщина; Відповідальний за випуск серії: Аккорд Хелскеа Полска Сп. з о.о. Склад Імпортера, Польща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КАРДОНАТ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кобамамід (дибенкосид, кофермент В12), кокарбоксилаза (хлорид) (кофермент В1), піридоксал-5-фосфат (кофермент В6); карнітину хлорид, лізину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A11JC</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20 або 30 капсул у контейнері; по 1 контейнеру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Спільне українсько-іспанське підприємство "Сперко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 (повний цикл виробництва, випуск серії; контроль якості)</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CEP 2003-057 - Rev 06 від вже затвердженого виробника субстанції Лізину гідрохлорид EVONIK REXIM S.A.S., Франція (затверджено: R1-CEP 2003-057 - Rev 05; запропоновано: CEP 2003-057 - Rev 06).</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UA/6386/01/01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КАФФЕТІН®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парацетамол, пропіфеназон, кофеїн, кодеїн (у формі кодеїну фосфату сесквігідрату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стрипі; по 1 стрипу у картонній коробці; по 6 таблеток у стрипі; по 1 або по 2 стрипи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АЛКАЛОЇД АД Скоп’є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2000-124-Rev 11 для затвердженого виробника діючої речовини «парацетамол» - ANQIU LU'AN PHARMACEUTICAL CO., LTD., Китай (було затверджено R1- СЕР 2000-124-Rev 10).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2000-124-Rev 12 для затвердженого виробника діючої речовини «парацетамол» - ANQIU LU'AN PHARMACEUTICAL CO., LTD., Китай.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UA/0742/01/01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КЕТОНАЛ® ДУО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з модифікованим вивільненням тверді по 150 мг, по 10 капсул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(окрім мікробіологічного):</w:t>
              <w:br/>
              <w:t>Новартіс Фармасьютікал Мануфактуринг ЛЛС, Словенія; контроль серії (мікробіологічний контроль), випуск серії:</w:t>
              <w:br/>
              <w:t>Лек Фармацевтична компанія д.д., Словенія; первинне і вторинне пакування, випуск серії: Лек Фармацевтична компанія д.д., Словенія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специфікації/методів контролю для діючої речовини кетопрофен, що стосується виробника лікарського засобу, у відповідність до вимог монографії ЄФ за показником «Супровідні домішки».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Європейської фармакопеї № CEP 2003-136-Rev 08 для діючої речовини кетопрофен від затвердженого виробника ZHEJIANG JIUZHOU PHARMACEUTICAL CO., LTD. Як наслідок введення додаткової виробничої дільниці Zhejiang Jiuzhou Pharmaceutical Sci-Tech Co., Ltd, China. Затверджено: R1-CEP 2003-136-Rev 07 Запропоновано: CEP 2003-136-Rev 08.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2007-167-Rev 02 для діючої речовини кетопрофен від затвердженого виробника BEC Chemicals Private Limited, India. Затверджено: R1-CEP 2007-167-Rev 01 Запропоновано: R1-CEP 2007-167-Rev 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UA/8325/03/02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КЛОСТИЛБЕГІТ®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clomifene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кломіфену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флаконі; по 1 флакону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Фармацевтичний завод ЕГІС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UA/4600/01/01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КОНВЕРІУМ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irbesartan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Ірбесартан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150 мг; по 10 таблеток у блістері; по 3 або 10 блістерів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w:t>
              <w:br/>
              <w:t xml:space="preserve">Медокемі Лімітед, Кіпр; </w:t>
              <w:br/>
              <w:t>виробництво, первинне пакування, вторинне пакування:</w:t>
              <w:br/>
              <w:t>Медокемі (Фа Іст) Лтд., В'єтнам</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p>
            <w:pPr>
              <w:pStyle w:val="Normal"/>
              <w:tabs>
                <w:tab w:val="left" w:pos="12600" w:leader="none"/>
              </w:tabs>
              <w:jc w:val="center"/>
              <w:rPr/>
            </w:pPr>
            <w:r>
              <w:rPr>
                <w:rFonts w:cs="Arial" w:ascii="Arial" w:hAnsi="Arial"/>
                <w:color w:val="000000"/>
                <w:sz w:val="16"/>
                <w:szCs w:val="16"/>
              </w:rPr>
              <w:t>В</w:t>
            </w:r>
            <w:r>
              <w:rPr>
                <w:rFonts w:cs="Arial" w:ascii="Arial" w:hAnsi="Arial"/>
                <w:color w:val="000000"/>
                <w:sz w:val="16"/>
                <w:szCs w:val="16"/>
                <w:lang w:val="en-US"/>
              </w:rPr>
              <w:t>’</w:t>
            </w:r>
            <w:r>
              <w:rPr>
                <w:rFonts w:cs="Arial" w:ascii="Arial" w:hAnsi="Arial"/>
                <w:color w:val="000000"/>
                <w:sz w:val="16"/>
                <w:szCs w:val="16"/>
              </w:rPr>
              <w:t>єтнам</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Проект МКЯ (версія eCTD 0006)</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UA/12201/01/01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КОНВЕРІУМ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irbesartan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Ірбесартан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300 мг; по 10 таблеток у блістері; по 3 або 10 блістерів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w:t>
              <w:br/>
              <w:t xml:space="preserve">Медокемі Лімітед, Кіпр; </w:t>
              <w:br/>
              <w:t>виробництво, первинне пакування, вторинне пакування:</w:t>
              <w:br/>
              <w:t>Медокемі (Фа Іст) Лтд., В'єтнам</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p>
            <w:pPr>
              <w:pStyle w:val="Normal"/>
              <w:tabs>
                <w:tab w:val="left" w:pos="12600" w:leader="none"/>
              </w:tabs>
              <w:jc w:val="center"/>
              <w:rPr/>
            </w:pPr>
            <w:r>
              <w:rPr>
                <w:rFonts w:cs="Arial" w:ascii="Arial" w:hAnsi="Arial"/>
                <w:color w:val="000000"/>
                <w:sz w:val="16"/>
                <w:szCs w:val="16"/>
              </w:rPr>
              <w:t>В</w:t>
            </w:r>
            <w:r>
              <w:rPr>
                <w:rFonts w:cs="Arial" w:ascii="Arial" w:hAnsi="Arial"/>
                <w:color w:val="000000"/>
                <w:sz w:val="16"/>
                <w:szCs w:val="16"/>
                <w:lang w:val="en-US"/>
              </w:rPr>
              <w:t>’</w:t>
            </w:r>
            <w:r>
              <w:rPr>
                <w:rFonts w:cs="Arial" w:ascii="Arial" w:hAnsi="Arial"/>
                <w:color w:val="000000"/>
                <w:sz w:val="16"/>
                <w:szCs w:val="16"/>
              </w:rPr>
              <w:t>єтнам</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Проект МКЯ (версія eCTD 0006)</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UA/12201/01/02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КОРВАЛДИН®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етиловий ефір a-</w:t>
            </w:r>
            <w:r>
              <w:rPr>
                <w:rStyle w:val="Spelle"/>
                <w:rFonts w:cs="Arial" w:ascii="Arial" w:hAnsi="Arial"/>
                <w:color w:val="000000"/>
                <w:sz w:val="16"/>
                <w:szCs w:val="16"/>
              </w:rPr>
              <w:t>бромізовалеріанової</w:t>
            </w:r>
            <w:r>
              <w:rPr>
                <w:rFonts w:cs="Arial" w:ascii="Arial" w:hAnsi="Arial"/>
                <w:color w:val="000000"/>
                <w:sz w:val="16"/>
                <w:szCs w:val="16"/>
              </w:rPr>
              <w:t xml:space="preserve"> кислоти, фенобарбітал, м’яти олія, олія хмелю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25 мл у флаконі; по 1 флакону в пачці; по 50 мл у флаконі; по 1 флакону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w:t>
              <w:br/>
              <w:t>внесення зміни до специфікації вхідного контролю для діючої речовини Фенобарбітал виробників «ALKALOIDA Chemical Company Zrt.», Угорщина та «Harman Finochem Limited», Індія за показником «Мікробіологічна чистота» у зв'язку із вилученням примітки стосовно періодичності контролю *мікробіологічний контроль проводять вибірково: першу та кожну п'яту наступну серії» для впровадження рутинного контролю.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зміни до специфікації та методів вхідного контролю для діючої речовини Фенобарбітал виробників «ALKALOIDA Chemical Company Zrt.», Угорщина та «Harman Finochem Limited», Індія, зокрема вилучено показник «Розчинність», так як даний показник має рекомендаційний характер, та не є обов’язковим.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вилучено посилання на якість стандартних зразків в методах вхідного контролю для діючої речовини Фенобарбітал виробників «ALKALOIDA Chemical Company Zrt.», Угорщина та «Harman Finochem Limited», Індія для показника «Ідентифікація».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Доповнено посилання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зміни до методів вхідного контролю для діючої речовини Фенобарбітал виробників «ALKALOIDA Chemical Company Zrt.», Угорщина та «Harman Finochem Limited», Індія за показниками «Прозорість розчину», «Кольоровість розчину», «Втрата в масі при висушуванні», «Сульфатна зола» - доповнено посиланням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«Супровідні домішки» - вилучено посилання на якість стандартних зразків.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«Залишкові кількості органічних розчинників», додано посилання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«Кількісне визначення» -приведено у відповідність до вимог монографії ЄФ з додаванням посилання на ЄФ, вилучено формулу розрахунку. Зміни І типу - Зміни з якості. АФІ. Контроль АФІ (інші зміни) -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«Мікробіологічна чистота» - вилучення повного опису проведення методики; доповнення відповідним посиланням на діючу редакцію ДФУ, ЄФ 2.6.12, 2.6.13, 5.1.4.</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по 25 мл - без рецепта; по 50 мл – 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Barbiturates in combination with other drugs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rPr>
              <w:t>етиловий</w:t>
            </w:r>
            <w:r>
              <w:rPr>
                <w:rFonts w:cs="Arial" w:ascii="Arial" w:hAnsi="Arial"/>
                <w:color w:val="000000"/>
                <w:sz w:val="16"/>
                <w:szCs w:val="16"/>
                <w:lang w:val="en-US"/>
              </w:rPr>
              <w:t xml:space="preserve"> </w:t>
            </w:r>
            <w:r>
              <w:rPr>
                <w:rFonts w:cs="Arial" w:ascii="Arial" w:hAnsi="Arial"/>
                <w:color w:val="000000"/>
                <w:sz w:val="16"/>
                <w:szCs w:val="16"/>
              </w:rPr>
              <w:t>ефір</w:t>
            </w:r>
            <w:r>
              <w:rPr>
                <w:rFonts w:cs="Arial" w:ascii="Arial" w:hAnsi="Arial"/>
                <w:color w:val="000000"/>
                <w:sz w:val="16"/>
                <w:szCs w:val="16"/>
                <w:lang w:val="en-US"/>
              </w:rPr>
              <w:t xml:space="preserve"> a-</w:t>
            </w:r>
            <w:r>
              <w:rPr>
                <w:rFonts w:cs="Arial" w:ascii="Arial" w:hAnsi="Arial"/>
                <w:color w:val="000000"/>
                <w:sz w:val="16"/>
                <w:szCs w:val="16"/>
              </w:rPr>
              <w:t>бромізовалеріанової</w:t>
            </w:r>
            <w:r>
              <w:rPr>
                <w:rFonts w:cs="Arial" w:ascii="Arial" w:hAnsi="Arial"/>
                <w:color w:val="000000"/>
                <w:sz w:val="16"/>
                <w:szCs w:val="16"/>
                <w:lang w:val="en-US"/>
              </w:rPr>
              <w:t xml:space="preserve"> </w:t>
            </w:r>
            <w:r>
              <w:rPr>
                <w:rFonts w:cs="Arial" w:ascii="Arial" w:hAnsi="Arial"/>
                <w:color w:val="000000"/>
                <w:sz w:val="16"/>
                <w:szCs w:val="16"/>
              </w:rPr>
              <w:t>кислоти</w:t>
            </w:r>
            <w:r>
              <w:rPr>
                <w:rFonts w:cs="Arial" w:ascii="Arial" w:hAnsi="Arial"/>
                <w:color w:val="000000"/>
                <w:sz w:val="16"/>
                <w:szCs w:val="16"/>
                <w:lang w:val="en-US"/>
              </w:rPr>
              <w:t xml:space="preserve">, </w:t>
            </w:r>
            <w:r>
              <w:rPr>
                <w:rFonts w:cs="Arial" w:ascii="Arial" w:hAnsi="Arial"/>
                <w:color w:val="000000"/>
                <w:sz w:val="16"/>
                <w:szCs w:val="16"/>
              </w:rPr>
              <w:t>фенобарбітал</w:t>
            </w:r>
            <w:r>
              <w:rPr>
                <w:rFonts w:cs="Arial" w:ascii="Arial" w:hAnsi="Arial"/>
                <w:color w:val="000000"/>
                <w:sz w:val="16"/>
                <w:szCs w:val="16"/>
                <w:lang w:val="en-US"/>
              </w:rPr>
              <w:t xml:space="preserve">, </w:t>
            </w:r>
            <w:r>
              <w:rPr>
                <w:rFonts w:cs="Arial" w:ascii="Arial" w:hAnsi="Arial"/>
                <w:color w:val="000000"/>
                <w:sz w:val="16"/>
                <w:szCs w:val="16"/>
              </w:rPr>
              <w:t>м</w:t>
            </w:r>
            <w:r>
              <w:rPr>
                <w:rFonts w:cs="Arial" w:ascii="Arial" w:hAnsi="Arial"/>
                <w:color w:val="000000"/>
                <w:sz w:val="16"/>
                <w:szCs w:val="16"/>
                <w:lang w:val="en-US"/>
              </w:rPr>
              <w:t>’</w:t>
            </w:r>
            <w:r>
              <w:rPr>
                <w:rFonts w:cs="Arial" w:ascii="Arial" w:hAnsi="Arial"/>
                <w:color w:val="000000"/>
                <w:sz w:val="16"/>
                <w:szCs w:val="16"/>
              </w:rPr>
              <w:t>яти</w:t>
            </w:r>
            <w:r>
              <w:rPr>
                <w:rFonts w:cs="Arial" w:ascii="Arial" w:hAnsi="Arial"/>
                <w:color w:val="000000"/>
                <w:sz w:val="16"/>
                <w:szCs w:val="16"/>
                <w:lang w:val="en-US"/>
              </w:rPr>
              <w:t xml:space="preserve"> </w:t>
            </w:r>
            <w:r>
              <w:rPr>
                <w:rFonts w:cs="Arial" w:ascii="Arial" w:hAnsi="Arial"/>
                <w:color w:val="000000"/>
                <w:sz w:val="16"/>
                <w:szCs w:val="16"/>
              </w:rPr>
              <w:t>олія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25 або по 50 мл у флаконі з пробкою-крапельницею; по 1 флакону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br/>
              <w:t>внесення зміни до специфікації вхідного контролю для діючої речовини Фенобарбітал виробників «ALKALOIDA Chemical Company Zrt.», Угорщина та «Harman Finochem Limited», Індія за показником «Мікробіологічна чистота» у зв'язку із вилученням примітки стосовно періодичності контролю *мікробіологічний контроль проводять вибірково: першу та кожну п'яту наступну серії» для впровадження рутинного контролю.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внесення зміни до специфікації та методів вхідного контролю для діючої речовини Фенобарбітал виробників «ALKALOIDA Chemical Company Zrt.», Угорщина та «Harman Finochem Limited», Індія, зокрема вилучено показник «Розчинність», так як даний показник має рекомендаційний характер, та не є обов’язковим.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вилучено посилання на якість стандартних зразків в методах вхідного контролю для діючої речовини Фенобарбітал виробників «ALKALOIDA Chemical Company Zrt.», Угорщина та «Harman Finochem Limited», Індія для показника «Ідентифікація».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Доповнено посилання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внесення зміни до методів вхідного контролю для діючої речовини Фенобарбітал виробників «ALKALOIDA Chemical Company Zrt.», Угорщина та «Harman Finochem Limited», Індія за показниками «Прозорість розчину», «Кольоровість розчину», «Втрата в масі при висушуванні», «Сульфатна зола» - доповнено посиланням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«Супровідні домішки» - вилучено посилання на якість стандартних зразків.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«Залишкові кількості органічних розчинників», додано посилання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«Кількісне визначення» - приведено у відповідність до вимог монографії ЄФ з додаванням посилання на ЄФ, вилучено формулу розрахунку. Зміни І типу - Зміни з якості. АФІ. Контроль АФІ (інші зміни)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«Мікробіологічна чистота» - вилучення повного опису проведення методики; доповнення відповідним посиланням на діючу редакцію ДФУ, ЄФ 2.6.12, 2.6.13, 5.1.4.</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25 мл – без рецепта; 50 мл – 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Barbiturates in combination with other drugs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rPr>
              <w:t>етиловий</w:t>
            </w:r>
            <w:r>
              <w:rPr>
                <w:rFonts w:cs="Arial" w:ascii="Arial" w:hAnsi="Arial"/>
                <w:color w:val="000000"/>
                <w:sz w:val="16"/>
                <w:szCs w:val="16"/>
                <w:lang w:val="en-US"/>
              </w:rPr>
              <w:t xml:space="preserve"> </w:t>
            </w:r>
            <w:r>
              <w:rPr>
                <w:rFonts w:cs="Arial" w:ascii="Arial" w:hAnsi="Arial"/>
                <w:color w:val="000000"/>
                <w:sz w:val="16"/>
                <w:szCs w:val="16"/>
              </w:rPr>
              <w:t>ефір</w:t>
            </w:r>
            <w:r>
              <w:rPr>
                <w:rFonts w:cs="Arial" w:ascii="Arial" w:hAnsi="Arial"/>
                <w:color w:val="000000"/>
                <w:sz w:val="16"/>
                <w:szCs w:val="16"/>
                <w:lang w:val="en-US"/>
              </w:rPr>
              <w:t xml:space="preserve"> a-</w:t>
            </w:r>
            <w:r>
              <w:rPr>
                <w:rFonts w:cs="Arial" w:ascii="Arial" w:hAnsi="Arial"/>
                <w:color w:val="000000"/>
                <w:sz w:val="16"/>
                <w:szCs w:val="16"/>
              </w:rPr>
              <w:t>бромізовалеріанової</w:t>
            </w:r>
            <w:r>
              <w:rPr>
                <w:rFonts w:cs="Arial" w:ascii="Arial" w:hAnsi="Arial"/>
                <w:color w:val="000000"/>
                <w:sz w:val="16"/>
                <w:szCs w:val="16"/>
                <w:lang w:val="en-US"/>
              </w:rPr>
              <w:t xml:space="preserve"> </w:t>
            </w:r>
            <w:r>
              <w:rPr>
                <w:rFonts w:cs="Arial" w:ascii="Arial" w:hAnsi="Arial"/>
                <w:color w:val="000000"/>
                <w:sz w:val="16"/>
                <w:szCs w:val="16"/>
              </w:rPr>
              <w:t>кислоти</w:t>
            </w:r>
            <w:r>
              <w:rPr>
                <w:rFonts w:cs="Arial" w:ascii="Arial" w:hAnsi="Arial"/>
                <w:color w:val="000000"/>
                <w:sz w:val="16"/>
                <w:szCs w:val="16"/>
                <w:lang w:val="en-US"/>
              </w:rPr>
              <w:t xml:space="preserve">, </w:t>
            </w:r>
            <w:r>
              <w:rPr>
                <w:rFonts w:cs="Arial" w:ascii="Arial" w:hAnsi="Arial"/>
                <w:color w:val="000000"/>
                <w:sz w:val="16"/>
                <w:szCs w:val="16"/>
              </w:rPr>
              <w:t>фенобарбітал</w:t>
            </w:r>
            <w:r>
              <w:rPr>
                <w:rFonts w:cs="Arial" w:ascii="Arial" w:hAnsi="Arial"/>
                <w:color w:val="000000"/>
                <w:sz w:val="16"/>
                <w:szCs w:val="16"/>
                <w:lang w:val="en-US"/>
              </w:rPr>
              <w:t xml:space="preserve">, </w:t>
            </w:r>
            <w:r>
              <w:rPr>
                <w:rFonts w:cs="Arial" w:ascii="Arial" w:hAnsi="Arial"/>
                <w:color w:val="000000"/>
                <w:sz w:val="16"/>
                <w:szCs w:val="16"/>
              </w:rPr>
              <w:t>м</w:t>
            </w:r>
            <w:r>
              <w:rPr>
                <w:rFonts w:cs="Arial" w:ascii="Arial" w:hAnsi="Arial"/>
                <w:color w:val="000000"/>
                <w:sz w:val="16"/>
                <w:szCs w:val="16"/>
                <w:lang w:val="en-US"/>
              </w:rPr>
              <w:t>’</w:t>
            </w:r>
            <w:r>
              <w:rPr>
                <w:rFonts w:cs="Arial" w:ascii="Arial" w:hAnsi="Arial"/>
                <w:color w:val="000000"/>
                <w:sz w:val="16"/>
                <w:szCs w:val="16"/>
              </w:rPr>
              <w:t>яти</w:t>
            </w:r>
            <w:r>
              <w:rPr>
                <w:rFonts w:cs="Arial" w:ascii="Arial" w:hAnsi="Arial"/>
                <w:color w:val="000000"/>
                <w:sz w:val="16"/>
                <w:szCs w:val="16"/>
                <w:lang w:val="en-US"/>
              </w:rPr>
              <w:t xml:space="preserve"> </w:t>
            </w:r>
            <w:r>
              <w:rPr>
                <w:rFonts w:cs="Arial" w:ascii="Arial" w:hAnsi="Arial"/>
                <w:color w:val="000000"/>
                <w:sz w:val="16"/>
                <w:szCs w:val="16"/>
              </w:rPr>
              <w:t>олія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 капсул у блістері; по 1 або по 3 блістери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щодо безпеки застосування діючої речовини згідно з рекомендацією PRAC.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UA/2554/03/01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Barbiturates in combination with other drugs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rPr>
              <w:t>етиловий</w:t>
            </w:r>
            <w:r>
              <w:rPr>
                <w:rFonts w:cs="Arial" w:ascii="Arial" w:hAnsi="Arial"/>
                <w:color w:val="000000"/>
                <w:sz w:val="16"/>
                <w:szCs w:val="16"/>
                <w:lang w:val="en-US"/>
              </w:rPr>
              <w:t xml:space="preserve"> </w:t>
            </w:r>
            <w:r>
              <w:rPr>
                <w:rFonts w:cs="Arial" w:ascii="Arial" w:hAnsi="Arial"/>
                <w:color w:val="000000"/>
                <w:sz w:val="16"/>
                <w:szCs w:val="16"/>
              </w:rPr>
              <w:t>ефір</w:t>
            </w:r>
            <w:r>
              <w:rPr>
                <w:rFonts w:cs="Arial" w:ascii="Arial" w:hAnsi="Arial"/>
                <w:color w:val="000000"/>
                <w:sz w:val="16"/>
                <w:szCs w:val="16"/>
                <w:lang w:val="en-US"/>
              </w:rPr>
              <w:t xml:space="preserve"> a-</w:t>
            </w:r>
            <w:r>
              <w:rPr>
                <w:rFonts w:cs="Arial" w:ascii="Arial" w:hAnsi="Arial"/>
                <w:color w:val="000000"/>
                <w:sz w:val="16"/>
                <w:szCs w:val="16"/>
              </w:rPr>
              <w:t>бромізовалеріанової</w:t>
            </w:r>
            <w:r>
              <w:rPr>
                <w:rFonts w:cs="Arial" w:ascii="Arial" w:hAnsi="Arial"/>
                <w:color w:val="000000"/>
                <w:sz w:val="16"/>
                <w:szCs w:val="16"/>
                <w:lang w:val="en-US"/>
              </w:rPr>
              <w:t xml:space="preserve"> </w:t>
            </w:r>
            <w:r>
              <w:rPr>
                <w:rFonts w:cs="Arial" w:ascii="Arial" w:hAnsi="Arial"/>
                <w:color w:val="000000"/>
                <w:sz w:val="16"/>
                <w:szCs w:val="16"/>
              </w:rPr>
              <w:t>кислоти</w:t>
            </w:r>
            <w:r>
              <w:rPr>
                <w:rFonts w:cs="Arial" w:ascii="Arial" w:hAnsi="Arial"/>
                <w:color w:val="000000"/>
                <w:sz w:val="16"/>
                <w:szCs w:val="16"/>
                <w:lang w:val="en-US"/>
              </w:rPr>
              <w:t xml:space="preserve">, </w:t>
            </w:r>
            <w:r>
              <w:rPr>
                <w:rFonts w:cs="Arial" w:ascii="Arial" w:hAnsi="Arial"/>
                <w:color w:val="000000"/>
                <w:sz w:val="16"/>
                <w:szCs w:val="16"/>
              </w:rPr>
              <w:t>фенобарбітал</w:t>
            </w:r>
            <w:r>
              <w:rPr>
                <w:rFonts w:cs="Arial" w:ascii="Arial" w:hAnsi="Arial"/>
                <w:color w:val="000000"/>
                <w:sz w:val="16"/>
                <w:szCs w:val="16"/>
                <w:lang w:val="en-US"/>
              </w:rPr>
              <w:t xml:space="preserve">, </w:t>
            </w:r>
            <w:r>
              <w:rPr>
                <w:rFonts w:cs="Arial" w:ascii="Arial" w:hAnsi="Arial"/>
                <w:color w:val="000000"/>
                <w:sz w:val="16"/>
                <w:szCs w:val="16"/>
              </w:rPr>
              <w:t>м</w:t>
            </w:r>
            <w:r>
              <w:rPr>
                <w:rFonts w:cs="Arial" w:ascii="Arial" w:hAnsi="Arial"/>
                <w:color w:val="000000"/>
                <w:sz w:val="16"/>
                <w:szCs w:val="16"/>
                <w:lang w:val="en-US"/>
              </w:rPr>
              <w:t>’</w:t>
            </w:r>
            <w:r>
              <w:rPr>
                <w:rFonts w:cs="Arial" w:ascii="Arial" w:hAnsi="Arial"/>
                <w:color w:val="000000"/>
                <w:sz w:val="16"/>
                <w:szCs w:val="16"/>
              </w:rPr>
              <w:t>яти</w:t>
            </w:r>
            <w:r>
              <w:rPr>
                <w:rFonts w:cs="Arial" w:ascii="Arial" w:hAnsi="Arial"/>
                <w:color w:val="000000"/>
                <w:sz w:val="16"/>
                <w:szCs w:val="16"/>
                <w:lang w:val="en-US"/>
              </w:rPr>
              <w:t xml:space="preserve"> </w:t>
            </w:r>
            <w:r>
              <w:rPr>
                <w:rFonts w:cs="Arial" w:ascii="Arial" w:hAnsi="Arial"/>
                <w:color w:val="000000"/>
                <w:sz w:val="16"/>
                <w:szCs w:val="16"/>
              </w:rPr>
              <w:t>олія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25 або по 50 мл у флаконі з пробкою-крапельницею; по 1 флакону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щодо безпеки застосування діючої речовини згідно з рекомендацією PRAC. Введення змін протягом 6-ти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розділу "Побічні реакції" щодо повідомлень про підозрювані побічні реакції. Введення змін протягом 6-ти місяців після затвердження. Зміни І типу - Зміни щодо безпеки/ефективності та фармаконагляду (інші зміни) - Зміни внесено до тексту маркування первинної та вторинної упаковок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по 25 мл – без рецепта; по 50 мл – 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ЛАНТУС® СОЛОСТАР®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insulin glargine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інсулін гларгін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A10AE04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Од./мл;</w:t>
              <w:br/>
              <w:t>№ 5: по 3 мл у картриджі, вмонтованому в одноразову шприц-ручку (без голок для ін`єкцій); по 5 шприц-ручок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"Санофі-Авентіс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Санофі-Авентіс Дойчланд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Подання оновленого повного тексту МКЯ ЛЗ українською мовою, включаючи попередньо затверджені зміни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ЛЕВОМІН® 30</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levonorgestrel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етинілестрадіол, левоноргестрел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0,03 мг/0,15 мг; по 21 таблетці у блістері; по 1 або по 3, або по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«МІБЕ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мібе ГмбХ Арцнайміттель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збільшення максимально допустимого часу утримання (hold time) суміші для таблетування до 3 місяців (раніше – 30 днів).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збільшення максимально допустимого часу утримання (hold time) для ядра таблетки (проміжний продукт) із 30 днів до 6 місяців.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збільшення максимально допустимого часу утримання (hold time) bulk product film-coated tablets із 30 днів до 3 місяців.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ЛЕВОФОЛІК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sodium levofolinate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кислота левофолінова (левофолінієва)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V03AF</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або інфузій, 50 мг/мл, по 1 мл, 4 мл, 9 мл у флаконі; по 1 або 5 флаконів з розчином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вторинне пакування, маркування, контроль та випуск серій: Медак Гезельшафт фюр клініше Шпеціальпрепарате мбХ, Німеччина; </w:t>
              <w:br/>
              <w:t>виробництво готового лікарського засобу, первинне пакування, маркування та вторинне пакування, контроль випробування серії: Зігфрід Гамельн ГмбХ, Німеччина; виробництво готового лікарського засобу, первинне пакування, контроль випробування серії:</w:t>
              <w:br/>
              <w:t>Онкомед меньюфекчерінг а.с., Чеська Республіка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ЛЕРКАМЕН® АПФ 10/10</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Enalapril and lercanidipine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лерканідипіну гідрохлорид та еналаприлу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14 таблеток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Менаріні Інтернешонал Оперейшонс Люксембург С.А.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Люксембург</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Рекордаті Індустріа Кіміка е Фармачеутика С.п.А.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дільниці відповідальної за quality control retest of Active Substance enalapril maleate LabAnalysis Life Science S.r.l.Via Europa, 5 - 27041 Casanova Lonati (PV)Italy. Зміни І типу - Зміни з якості. АФІ. Виробництво (інші зміни) Додавання розділів реєстраційного досьє 3.2.S.4-Applicant та 3.2.S.5-Applicant для АФІ еналаприлу малеату.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специфікації/методів випробування показником “Particle size” на АФІ Enalapril maleate виробництва Zhejiang Huahai Pharmaceutical Co., Ltd.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застарілого додаткового показника якості “Bulk Density” зі специфікації на АФІ еналаприлу малеату виробництва Dr. Reddy’s Laboratories Ltd.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контролю за залишковими розчинниками Petroleum Ether та Toluene зі специфікації на АФІ еналаприлу малеату виробництва Dr. Reddy’s Laboratories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2000-053-Rev 06 (затверджено: R1-CEP 2000-053- Rev 05) для АФІ Enalapril maleate від уже затвердженого виробника Zhejiang Huahai Pharmaceutical Co.,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2000-053-Rev 07 для АФІ Enalapril maleate від уже затвердженого виробника Zhejiang Huahai Pharmaceutical Co., Ltd.</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UA/13568/01/01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ЛЕФЛЮТАБ</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leflunomide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лефлюномід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L04AK01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 мг; по 30 таблеток у контейнері; по 1 контейнеру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маркування, вторинне пакування, контроль/випробування серії та випуск серії: Медак Гезельшафт фюр клініше Шпеціальпрепарате мбХ, Німеччина; Виробник, що відповідає за виробництво готової лікарськї форми, первинне пакування, маркування, вторинне пакування, контроль/випробування серії та за випуск серії: Хаупт Фарма Мюнстер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14.0 Зміни внесено до частин: І «Загальна інформація», II «Специфікація з безпеки», III «План з фармаконагляду», </w:t>
              <w:br/>
              <w:t xml:space="preserve">IV»Плани щодо післяреєстраційних досліджень ефективності», V «Заходи з мінімізації ризиків», VI «Резюме плану управління ризиками», VII «Додатки» у зв’язку з оновленням специфікації з безпеки діючої речовини лефлюноміду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w:t>
            </w:r>
            <w:r>
              <w:rPr>
                <w:rFonts w:cs="Arial" w:ascii="Arial" w:hAnsi="Arial"/>
                <w:color w:val="000000"/>
                <w:sz w:val="16"/>
                <w:szCs w:val="16"/>
                <w:lang w:val="en-US"/>
              </w:rPr>
              <w:t xml:space="preserve">31 October 2018 EMA/164014/2018 Rev.2.0.1 accompanying GVP Module V Rev.2 Human Medicines). </w:t>
            </w:r>
            <w:r>
              <w:rPr>
                <w:rFonts w:cs="Arial" w:ascii="Arial" w:hAnsi="Arial"/>
                <w:color w:val="000000"/>
                <w:sz w:val="16"/>
                <w:szCs w:val="16"/>
              </w:rPr>
              <w:t>Резюме плану управління ризиками версія 14.0 додається.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UA/12013/01/01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ЛЕФЛЮТАБ</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leflunomide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лефлюномід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L04AK01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 мг; по 15 або по 30 таблеток у контейнері; по 1 контейнеру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маркування, вторинне пакування, контроль/випробування серії та випуск серії: Медак Гезельшафт фюр клініше Шпеціальпрепарате мбХ, Німеччина; Виробник, що відповідає за виробництво готової лікарськї форми, первинне пакування, маркування, вторинне пакування, контроль/випробування серії та за випуск серії: Хаупт Фарма Мюнстер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14.0 Зміни внесено до частин: І «Загальна інформація», II «Специфікація з безпеки», III «План з фармаконагляду», </w:t>
              <w:br/>
              <w:t xml:space="preserve">IV»Плани щодо післяреєстраційних досліджень ефективності», V «Заходи з мінімізації ризиків», VI «Резюме плану управління ризиками», VII «Додатки» у зв’язку з оновленням специфікації з безпеки діючої речовини лефлюноміду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w:t>
            </w:r>
            <w:r>
              <w:rPr>
                <w:rFonts w:cs="Arial" w:ascii="Arial" w:hAnsi="Arial"/>
                <w:color w:val="000000"/>
                <w:sz w:val="16"/>
                <w:szCs w:val="16"/>
                <w:lang w:val="en-US"/>
              </w:rPr>
              <w:t xml:space="preserve">31 October 2018 EMA/164014/2018 Rev.2.0.1 accompanying GVP Module V Rev.2 Human Medicines). </w:t>
            </w:r>
            <w:r>
              <w:rPr>
                <w:rFonts w:cs="Arial" w:ascii="Arial" w:hAnsi="Arial"/>
                <w:color w:val="000000"/>
                <w:sz w:val="16"/>
                <w:szCs w:val="16"/>
              </w:rPr>
              <w:t>Резюме плану управління ризиками версія 14.0 додається.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UA/12013/01/02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ЛІДОКСАН МЕНТОЛ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хлоргексидину дигідрохлорид та лідокаїну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5 мг/1 мг; по 12 льодяників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серій: Лек Фармацевтична компанія д.д., Словенія; виробництво за повним циклом: Лабораторіа Кваліфар НВ (Кваліфар НВ), Бельгiя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R0-CEP 2018-081-Rev 01 для АФІ хлоргексидину дигідрохлорид від вже затвердженого виробника Medichem SA., Іспанiя (Затверджено: R0-CEP 2018-081-Rev 00; запропоновано: R0-CEP 2018-081-Rev 01).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для АФІ хлоргексидину дигідрохлорид від вже затвердженого виробника CEP 2018-081-Rev 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ЛІКАДЕКС ПФ</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Glucose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глюкози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(cубстанція) у мішках паперових з внутрішньою поліетиленовою прокладкою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Рокетт Фререс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Рокетт Фререс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пирогенність (тест на кроликах) зі специфікації та методів контролю якості АФІ у зв'язку із оновленням вимог монографії ЄФ Glucose Monohydrate.</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UA/10904/01/01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50 мг, по 10 капсул у блістері, по 3 блістери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оновлення посилання на методику щодо параметрів внутрішнього виробничого контролю (in-process control) насипної густини та густини після усадки з Ph. Eur. «2.9.15 Bulk and Tapped Density» на Ph. Eur. «2.9.34 Bulk Density of Powders» (де це застосовно), а також оновлення назв випробувань насипної густини та густини після усадки відповідно до останньої редакції загальної статті Ph. Eur. 2.9.34.</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10 капсул у блістері, по 3 блістери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оновлення посилання на методику щодо параметрів внутрішнього виробничого контролю (in-process control) насипної густини та густини після усадки з Ph. Eur. «2.9.15 Bulk and Tapped Density» на Ph. Eur. «2.9.34 Bulk Density of Powders» (де це застосовно), а також оновлення назв випробувань насипної густини та густини після усадки відповідно до останньої редакції загальної статті Ph. Eur. 2.9.34.</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10 капсул у блістері, по 3 блістери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оновлення посилання на методику щодо параметрів внутрішнього виробничого контролю (in-process control) насипної густини та густини після усадки з Ph. Eur. «2.9.15 Bulk and Tapped Density» на Ph. Eur. «2.9.34 Bulk Density of Powders» (де це застосовно), а також оновлення назв випробувань насипної густини та густини після усадки відповідно до останньої редакції загальної статті Ph. Eur. 2.9.34.</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300 мг, по 7 капсул у блістері, по 2 блістери в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оновлення посилання на методику щодо параметрів внутрішнього виробничого контролю (in-process control) насипної густини та густини після усадки з Ph. Eur. «2.9.15 Bulk and Tapped Density» на Ph. Eur. «2.9.34 Bulk Density of Powders» (де це застосовно), а також оновлення назв випробувань насипної густини та густини після усадки відповідно до останньої редакції загальної статті Ph. Eur. 2.9.34.</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UA/15586/01/08</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ЛІНЕБІОТИК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linezolid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лінезолiд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J01XX08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2 мг/мл; по 300 мл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ВЕМ Ілач Сан. ве Тік. А.С.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Виправлення невідповідності в посиланні на метод контролю за показником «Механічні включення. Невидимі частки» в специфікації ГЛЗ (на випуск та на термін придатності) та методах контролю.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ЛІНКОМІЦИНУ ГІДРОХЛОРИД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lincomycin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сума лінкоміцину гідрохлориду та лінкоміцину В гідрохлориду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пакетах подвійних поліетиленових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Топфонд Фармас'ютікал Ко., Лтд.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R1-CEP 2008-225-Rev 02 (затверджено: ДМФ; запропоновано: СЕР R1-CEP 2008-225-Rev 02). Як наслідок зміна адреси місця провадження діяльності виробника; зміна у специфікації та методі контролю показника «Залишкові розчинники»; зміна опису вторинної упаковки відповідно до оновленого СЕР.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ЛІПОБОН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ezetimibe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езетиміб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C10AX09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3 або по 6 або по 9 блістерів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Фармацевтичний завод ЕГІС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Фармацевтичний завод ЕГІС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 у зв’язку з змінами у технологічному процесі затвердженого виробника Synthimed Labs Private Limited (раніше Ind-Swift Laboratories Limited, Індія) АФІ Ezetimibe, а саме: запровадження додаткового/альтернативного розміру партії проміжного продукту EZK06.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зміна затвердженої методики випробування related substances by HPLC (H4535-009), а саме: внесено незначні зміни/виправлення та проведено оновлення приладів без зміни налаштувань, зазначених в описі методів контролю.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незначні зміни затвердженої методики випробування chiral purity by HPLC (H4535-011), а саме: внесено незначні зміни/виправлення та проведено оновлення приладів без зміни налаштувань, зазначених в описі методів контролю. Зміни II типу - Зміни з якості. АФІ. (інші зміни) - оновлення версії DMF для АФІ Ezetimibe від затвердженого виробника MSN Laboratories Private Limited, Індія. Зміни II типу - Зміни з якості. АФІ. (інші зміни) - оновлення версії DMF для АФІ Ezetimibe від затвердженого виробника Synthimed Labs Private Limited, Індія (раніше Ind-Swift Laboratories Limited, Індія).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ЛІРИКА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N02BF02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150 мг; по 14 або по 21 капсулі у блістері; по 1 або по 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Віатріс Спешелті ЛЛС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Менюфекчуринг Дойчленд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UA/3753/01/02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ЛІРИКА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N02BF02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75 мг; по 14 або по 21 капсулі у блістері; по 1 або по 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Віатріс Спешелті ЛЛС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Менюфекчуринг Дойчленд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UA/3753/01/04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ЛІРИКА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N02BF02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50 мг; по 21 капсулі у блістері; по 1 або по 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Віатріс Спешелті ЛЛС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Менюфекчуринг Дойчленд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UA/3753/01/05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ЛІРИКА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N02BF02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300 мг; по 21 капсулі у блістері; по 1 або по 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Віатріс Спешелті ЛЛС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Менюфекчуринг Дойчленд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UA/3753/01/06</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ЛОЗАП® ПЛЮС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Losartan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лозартан калію,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 10, №30 (10x3), № 90 (10x9): по 10 таблеток у блістері; по 1, 3 або 9 блістерів у картонній коробці; № 30 (15х2), № 90 (15х6): по 15 таблеток у блістері; по 2 або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"Санофі-Авентіс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"Зентіва"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2009-227-Rev 06 (затверджено: R1-CEP 2009-227-Rev 05) для АФІ лозартану калію від затвердженого виробника Zhejiang Tianyu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2009-227-Rev 07 для АФІ лозартану калію від затвердженого виробника Zhejiang Tianyu Pharmaceutical Co., Ltd., China.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UA/9435/01/01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ЛОМУСТИН МЕДАК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lomustine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ломустин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40 мг; по 20 капсул у контейнері; по 1 контейнеру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маркування первинної упаковки, вторинне пакування, контроль/випробування серії та за випуск серії:</w:t>
              <w:br/>
              <w:t>Медак Гезельшафт фюр клініше Шпеціальпрепарате мбХ, Німеччина; Виробник, що відповідає за виробництво лікарського засобу, первинне пакування, контроль/випробування серії: Хаупт Фарма Амарег ГмбХ, Нiмеччина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w:t>
              <w:br/>
              <w:t>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ЛОПЕРАМІД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loperamide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лопераміду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A07DA03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0,002 г; по 10 таблеток у блістері; по 1 або 2, або 50, або 100 блістерів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 xml:space="preserve">Україна;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 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а саме: вилучено інформацію, зазначену російською мовою, внесено зміни у текст маркування первинної (п. 2, 6) та вторинної (п. 2, 4, 11, 16, 17) упаковки, а також зроблено незначні редакційні правки.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r>
              <w:rPr>
                <w:rFonts w:eastAsia="Arial" w:cs="Arial" w:ascii="Arial" w:hAnsi="Arial"/>
                <w:i/>
                <w:sz w:val="16"/>
                <w:szCs w:val="16"/>
              </w:rPr>
              <w:t xml:space="preserve"> </w:t>
            </w:r>
            <w:r>
              <w:rPr>
                <w:rFonts w:cs="Arial" w:ascii="Arial" w:hAnsi="Arial"/>
                <w:i/>
                <w:sz w:val="16"/>
                <w:szCs w:val="16"/>
              </w:rPr>
              <w:t>10, № 20 - без рецепта; № 500, № 1000 - 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ЛОПЕРАМІД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loperamide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лопераміду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0,002 г in bulk: по 5000 таблеток у контейнерах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форми in bulk, у зв’язку з вилученням тексту маркування російською мовою та внесення редакційних правок до п.п. 2, 4, 11, 17.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МАБТЕРА®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rituximab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ритуксимаб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L01FA01 </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100 мг/10 мл; по 10 мл у флаконі; по 2 флакони в картонній коробці; по 50 мл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вторинне пакування, випробування контролю якості, випуск серії: </w:t>
              <w:br/>
              <w:t>Рош Діагностикс ГмбХ, Німеччина; Вторинне пакування, випробування контролю якості, випуск серії: Ф.Хоффманн-Ля Рош Лтд, Швейцарія; Виробництво нерозфасованої продукції, первинне пакування: Дженентек Інк., США; Випробування контролю якості при випуску за показниками Бактеріальні ендотоксини, Стерильність: Лабор ЛС СЕ енд Ко. КГ,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 детектуванням.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UA/14231/02/01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МАЙХЕП</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sofosbuvir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софосбувір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J05AP08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28 таблеток у флаконі, по 1 флакону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МАЙЛАН ЛАБОРАТОРІЗ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UA/18369/01/01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МАКСІБРЕН®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phenibut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фенібут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N06BX22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250 мг; по 10 таблеток у блістері; по 2 блістери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«ФОРС-ФАРМА ДИСТРИБЮШН»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"АСТРАФАРМ"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Діюча редакція: Краснощокова Юлія Вікторівна. Пропонована редакція: Гречко Віталій Юрійович. Зміна контактних даних уповноваженої особи заявника,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МЕДОКЛАВ®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400 мг/57 мг в 5 мл 1 флакон з порошком для приготування 70 мл суспензії у комплекті з дозуючим шприцем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МЕМАНТИН-ТЕВА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memantine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мемантину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Актавіс ЛТД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 Введення нового виробничого майданчика (Chemo Biosynthesis s.r.l) для виробництва мемантину гідрохлориду, що використовується для виробництва таблеток мемантину гідрохлориду, вкритих плівковою оболонкою, як альтернативний виробничий майданчик, що належить до тієї ж фармацевтичної групи, що й поточний затверджений виробник, із загальним переглядом розділів ASMF (Діюча редакція: виробник діючої речовини: Industriale Chimica S.R.L.(Italy) Пропонована редакція: виробники діючої речовини: Industriale Chimica S.R.L.(Italy) CHEMO BIOSYNTHESIS S.R.L.(Italy).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Незначна зміна складу мобільної фази в методі випробування АФІ Assay (HPLC).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(доповнення специфікації новим показником та відповідним методом випробування) - Додавання випробування на важкі метали для контролю якості первинного пакування АФІ мемантину.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тестування мемантину на важкі метали зі специфікацій виробника лікарського засобу (DPM) після проведення оцінки елементарного ризику для цього матеріалу.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UA/19083/01/02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МЕМАНТИН-ТЕВА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memantine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мемантину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Актавіс ЛТД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 Введення нового виробничого майданчика (Chemo Biosynthesis s.r.l) для виробництва мемантину гідрохлориду, що використовується для виробництва таблеток мемантину гідрохлориду, вкритих плівковою оболонкою, як альтернативний виробничий майданчик, що належить до тієї ж фармацевтичної групи, що й поточний затверджений виробник, із загальним переглядом розділів ASMF (Діюча редакція: виробник діючої речовини: Industriale Chimica S.R.L.(Italy) Пропонована редакція: виробники діючої речовини: Industriale Chimica S.R.L.(Italy) CHEMO BIOSYNTHESIS S.R.L.(Italy).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Незначна зміна складу мобільної фази в методі випробування АФІ Assay (HPLC).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(доповнення специфікації новим показником та відповідним методом випробування) - Додавання випробування на важкі метали для контролю якості первинного пакування АФІ мемантину.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тестування мемантину на важкі метали зі специфікацій виробника лікарського засобу (DPM) після проведення оцінки елементарного ризику для цього матеріалу.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МЕРАЛІС®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R01AA07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0,1 %; по 10 мл або по 15 мл розчину у флаконі з дозуючим пристроєм;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Ядран-Галенський Лабораторій д.д.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Ядран-Галенський Лабораторій д.д.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видалення з досьє інформації про найменування постачальника пакувальних компонентів для HDPE флаконів та розпилювального пристрою.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введення додаткової дільниці для стерилізації флаконів (HDPE): Gammatom S.r.l., Via XXIV Maggio 14, 22070 Guanzate, Італія. Тип стерилізації залишається той самий.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введення додаткової дільниці для стерилізації флаконів (HDPE): IONISOS, Zone Industrielle de L`Aubree, 72300 Sable-sur-Sarthe, France. Тип стерилізації залишається той самий.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введення додаткової дільниці для стерилізації флаконів (HDPE): IONISOS, Parc Dombes Cotiere Activites, 176 Route de Balan, 01120 Dagneux, France. Тип стерилізації залишається той самий.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введені додаткової дільниці для стерилізації флаконів (HDPE): Sterigenics Italy S.PA., Італія. Тип стерилізації залишається той самий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UA/12207/01/02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МЕРАЛІС®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R01AA07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0,05 %; по 10 мл або по 15 мл розчину у флаконі з дозуючим пристроєм;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Ядран-Галенський Лабораторій д.д.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Ядран-Галенський Лабораторій д.д.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видалення з досьє інформації про найменування постачальника пакувальних компонентів для HDPE флаконів та розпилювального пристрою.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введення додаткової дільниці для стерилізації флаконів (HDPE): Gammatom S.r.l., Via XXIV Maggio 14, 22070 Guanzate, Італія. Тип стерилізації залишається той самий.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введення додаткової дільниці для стерилізації флаконів (HDPE): IONISOS, Zone Industrielle de L`Aubree, 72300 Sable-sur-Sarthe, France. Тип стерилізації залишається той самий.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введення додаткової дільниці для стерилізації флаконів (HDPE): IONISOS, Parc Dombes Cotiere Activites, 176 Route de Balan, 01120 Dagneux, France. Тип стерилізації залишається той самий.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введені додаткової дільниці для стерилізації флаконів (HDPE): Sterigenics Italy S.PA., Італія. Тип стерилізації залишається той самий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UA/12207/01/01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МЕТОДЖЕКТ®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methotrexate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метотрексат (у вигляді метотрексату динатрію)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L04AX03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вторинне пакування, маркування, контроль/випробування серії та за випуск серії: Медак Гезельшафт фюр клініше Шпеціальпрепарате мбХ, Німеччина; виробник, що відповідає за виробництво лікарського засобу, первинне пакування, контроль/випробування серії: Онкотек Фарма Продакшн ГмбХ, Німеччина; виробник, що відповідає за вторинне пакування:</w:t>
              <w:br/>
              <w:t>Штегеманн ГмбХ &amp; Ко. КГ., Німеччина; Медак Гезельшафт фюр клініше Шпеціальпрепарате 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у текст маркування првинної (п. 2, 6) та вторинної (п. 17) упаковки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UA/5873/01/02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МЕТРОНІДАЗОЛ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metronidazole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метронідазол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0,5 %, по 100 мл у пляшках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"Інфузія"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"Інфузія"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внесення додаткового альтернативного виробника діючої речовини метронідазолу - «Wuhan Wuyao Pharmaceutical Co., Ltd.» , Китай, в якого наявний сертифікат відповідності Європейській фармакопеї R1-CEP 2007-083 - Rev 05.</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UA/11140/01/01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МІКАРДИСПЛЮС®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Telmisartan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телміcартан та гідрохлортіазид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80 мг/12,5 мг; по 7 таблеток у блістері; по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Берінгер Інгельхайм Інтернешнл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та випуск серії:</w:t>
              <w:br/>
              <w:t>Берінгер Інгельхайм Фарма ГмбХ і Ко. КГ, Німеччина</w:t>
              <w:br/>
              <w:t>або</w:t>
              <w:br/>
              <w:t>Берінгер Інгельхайм Хеллас Сингл Мембер С.А., Греція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до розділу "Побічні реакції" відповідно до оновленої інформації з безпеки діючої речовини (телмісартану) згідно з рекомендаціями PRAC.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UA/0465/01/02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МОНТЕЛУКАСТ ГЕНЕЙМ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montelukast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монтелукаст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R03DC03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таблеток у блістері; по 2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 Інтас Фармасьютікалс Лімітед, Індія;</w:t>
              <w:br/>
              <w:t>виробництво лікарського засобу, первинне та вторинне пакування, контроль якості серії: Інтас Фармасьютікалс Лімітед, Індія;</w:t>
              <w:br/>
              <w:t>додаткова дільниця з первинного та вторинного пакування: АККОРД ХЕЛСКЕА ЛІМІТЕД, Велика Британія;</w:t>
              <w:br/>
              <w:t>додаткова дільниця з первинного та вторинного пакування: АККОРД-ЮКЕЙ ЛІМІТЕД, Велика Британія;</w:t>
              <w:br/>
              <w:t>контроль якості: ФАРМАВАЛІД Лтд. Мікробіологічна лабораторія, Угорщина;</w:t>
              <w:br/>
              <w:t>контроль якості: Єврофінс Аналітікал Сервісез Хангері Кфт., Угорщина;</w:t>
              <w:br/>
              <w:t>відповідальний за випуск серії: Аккорд Хелскеа Полска Сп. з o.o. Склад Імпортера, Польща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МОРФІН КАЛЦЕКС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morphine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морфіну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N02AA01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1 мл в ампулі; по 5 ампул в контурній чарунковій упаковці (піддоні); по 1, 2 або 20 контурних чарункових упаковок (піддонів)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"Калцекс"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виробничого процесу, крім випуску серії:</w:t>
              <w:br/>
              <w:t>ХБМ Фарма с.р.о., Словаччина;</w:t>
              <w:br/>
              <w:t>виробник, який відповідає за контроль серії/випробування:</w:t>
              <w:br/>
              <w:t>АТ "Гріндекс", Латвія;</w:t>
              <w:br/>
              <w:t>виробник, який відповідає за випуск серії:</w:t>
              <w:br/>
              <w:t>АТ "Калцекс", Латвія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Марія Брієде / Marija Briede. Пропонована редакція: Аріна Бобровіча / Arina Bobrovica.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UA/15322/01/01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МУКАЛТИН®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мукалтин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R05CA05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стрипах; по 10 таблеток у стрипі; по 3 стрипи в пачці; по 30 таблеток у контейнері; по 1 контейнеру у пачці; по 10 таблеток у блістерах; по 10 таблеток у блістері; по 3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актуалізація та уточнення вимог до пакувальних матеріалів, а саме у специфікації та методах контролю паперу ламінованого оновлено показник "Відповідність тексту і дизайну графічного оформлення оригінал-макету", "Основні розміри", "Маса паперу ламінованою площею 1 м</w:t>
            </w:r>
            <w:r>
              <w:rPr>
                <w:rFonts w:cs="Arial" w:ascii="Arial" w:hAnsi="Arial"/>
                <w:color w:val="000000"/>
                <w:sz w:val="16"/>
                <w:szCs w:val="16"/>
                <w:vertAlign w:val="superscript"/>
              </w:rPr>
              <w:t>2</w:t>
            </w:r>
            <w:r>
              <w:rPr>
                <w:rFonts w:cs="Arial" w:ascii="Arial" w:hAnsi="Arial"/>
                <w:color w:val="000000"/>
                <w:sz w:val="16"/>
                <w:szCs w:val="16"/>
              </w:rPr>
              <w:t>", вилучено п. "Маса поліетилену площиною м</w:t>
            </w:r>
            <w:r>
              <w:rPr>
                <w:rFonts w:cs="Arial" w:ascii="Arial" w:hAnsi="Arial"/>
                <w:color w:val="000000"/>
                <w:sz w:val="16"/>
                <w:szCs w:val="16"/>
                <w:vertAlign w:val="superscript"/>
              </w:rPr>
              <w:t>2</w:t>
            </w:r>
            <w:r>
              <w:rPr>
                <w:rFonts w:cs="Arial" w:ascii="Arial" w:hAnsi="Arial"/>
                <w:color w:val="000000"/>
                <w:sz w:val="16"/>
                <w:szCs w:val="16"/>
              </w:rPr>
              <w:t>", "Степінь адгезії". Зазначені зміни не впливають на характеристики пакувального матеріалу та не змінюють умов пакування лікарського засобу, та несуть лише уточнюючий характер. Супутня зміна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(інші зміни у методах випробувань (включаючи заміну або додавання)).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актуалізація та уточнення вимог до пакувальних матеріалів, а саме у специфікації плівки полівінілхлоридної оновлено п. "Зовнішній вигляд", "Основні розміри".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без рецепта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UA/1982/02/01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МУЛІМЕН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Ambra grisea D4, Calcium carbonicum Hahnemanni D8, Cimicifuga racemosa D4, Gelsemium sempervirens D4, Hypericum perforatum D3, Kalium carbonicum D4, Sepia officinalis D8, Urtica urens D3, Vitex agnus-castus D3</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50 мл у флаконі-крапельниці; по 1 флакону-крапельниці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Біологіше Хайльміттель Хеель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Вилучення інформації про постачальника пакувального матеріалу з реєстраційного досьє, а саме розділу 3.2.Р.7 Система контейнер/закупорювальний засіб.</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UA/3698/01/01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НАЗЕХАЛЕР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shd w:fill="F8F8F8" w:val="clear"/>
              </w:rPr>
              <w:t>Mometasone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lang w:val="ru-RU"/>
              </w:rPr>
            </w:pPr>
            <w:r>
              <w:rPr>
                <w:rFonts w:cs="Arial" w:ascii="Arial" w:hAnsi="Arial"/>
                <w:sz w:val="16"/>
                <w:szCs w:val="16"/>
              </w:rPr>
              <w:t>мометазону фуроат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shd w:fill="F8F8F8" w:val="clear"/>
              </w:rPr>
              <w:t>R01AD09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lang w:val="ru-RU"/>
              </w:rPr>
            </w:pPr>
            <w:r>
              <w:rPr>
                <w:rFonts w:cs="Arial" w:ascii="Arial" w:hAnsi="Arial"/>
                <w:color w:val="000000"/>
                <w:sz w:val="16"/>
                <w:szCs w:val="16"/>
                <w:lang w:val="ru-RU"/>
              </w:rPr>
              <w:t>спрей назальний, суспензія 50 мкг/дозу по 18 г (140 доз) суспензії у флаконі з дозувальним насосом-розпилювачем та ковпачком, по 1 флакону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Ципла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Ципла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Супутня зміна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Розділ «Мікробіологічна чистота» в специфікації та методах контролю готового лікарського засобу приведено у відповідність до фармакопейних вимог та оновлених документів виробника, а саме: включено вимоги щодо визначення Burkholderia cepacia complex (Bcc), та як наслідок доповнено методику контролю. Зміни І типу - Зміни з якості. Готовий лікарський засіб. Контроль готового лікарського засобу (інші зміни) - Уточнено редакцію вимог специфікації готового лікарського засобу за тестами «рН» та «Супутні домішки», а саме: збільшено кількість знаків для округлення після коми.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UA/16788/01/01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НАЗІК®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sz w:val="16"/>
                <w:szCs w:val="16"/>
              </w:rPr>
              <w:t>ксилометазоліну гідрохлорид, декспантенол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sz w:val="16"/>
                <w:szCs w:val="16"/>
              </w:rPr>
              <w:t>R01AB06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по 10 мл у флаконі; по 1 флакону з насадкою для розпилення в картонній коробці; по 10 мл у флаконі; по 1 флакону разом з фіксованою насадкою для розпилення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Касселла-мед ГмбХ енд Ко. КГ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Клостерфрау Берлін ГмбХ</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мнн в наказі МОЗ України № 1405 від 24.09.2026 в процесі внесення змін</w:t>
            </w:r>
            <w:r>
              <w:rPr>
                <w:rFonts w:cs="Arial" w:ascii="Arial" w:hAnsi="Arial"/>
                <w:color w:val="000000"/>
                <w:sz w:val="16"/>
                <w:szCs w:val="16"/>
              </w:rPr>
              <w:t xml:space="preserve">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доповнення специфікації ГЛЗ за показником «Чистота» параметром «Пантоєва кислота» з нормуванням ≤0,5% при випуску та ≤3 % протягом терміну придатності. Відповідно оновлюється аналітичний метод «Кількісне визначення та ідентифікація декспантенолу і продуктів його розпаду».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додавання альтернативного методу визначення 3-амінопропанолу, що є продуктом деградації декспантенолу, за допомогою методу ВЕРХ.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додавання альтернативного методу визначення продуктів деградації бензалконію хлориду за допомогою газової хроматографії.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в методі випробування ГЛЗ за показником «Визначення кількісного вмісту ксилометазоліну гідрохлориду, домішок ксилометазоліну та бензалконію хлориду» методом ВЕРХ, а саме зміна в пробопідготовці вихідного розчину А ксилометазоліну гідрохлориду та зміна показника RSD в оцінці придатності хроматографічної системи. Зміни І типу - Зміни з якості. Готовий лікарський засіб. Система контейнер/закупорювальний засіб (інші зміни) вилучення з розділу 3.2.Р.7.Система контейнер/закупорювальний засіб торгової назви матеріалу захисного ковпачка Moplen RP348R.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зміна вимог специфікації ГЛЗ за показником «Сума продуктів розпаду декспантенолу» на термін придатності). </w:t>
            </w:r>
            <w:r>
              <w:rPr>
                <w:rFonts w:cs="Arial" w:ascii="Arial" w:hAnsi="Arial"/>
                <w:b/>
                <w:color w:val="000000"/>
                <w:sz w:val="16"/>
                <w:szCs w:val="16"/>
              </w:rPr>
              <w:t>Редакція в наказі - xylometazoline. Вірна редакція –</w:t>
            </w:r>
          </w:p>
          <w:p>
            <w:pPr>
              <w:pStyle w:val="Normal"/>
              <w:tabs>
                <w:tab w:val="left" w:pos="12600" w:leader="none"/>
              </w:tabs>
              <w:jc w:val="center"/>
              <w:rPr>
                <w:rFonts w:ascii="Arial" w:hAnsi="Arial" w:cs="Arial"/>
                <w:color w:val="000000"/>
                <w:sz w:val="16"/>
                <w:szCs w:val="16"/>
              </w:rPr>
            </w:pPr>
            <w:r>
              <w:rPr>
                <w:rFonts w:cs="Arial" w:ascii="Arial" w:hAnsi="Arial"/>
                <w:b/>
                <w:color w:val="000000"/>
                <w:sz w:val="16"/>
                <w:szCs w:val="16"/>
              </w:rPr>
              <w:t>"-".</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UA/9132/01/01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НАТРІЮ ХЛОРИД АНАНТА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sodium chloride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натрію 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B05XA03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0,9%; по 100 мл в поліетиленовому контейнері, по 1 контейнеру у плівці в коробці; по 100 мл, або 200 мл, або 400 мл в поліпропіленовому контейнері у плівці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Євролайф Хелткеар Пвт. Лтд.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Стерильні лікарські засоби та лікарські засоби біологічного/імунологічного походження - для оптимізації технологічного процесу виробником вирішено ввести додаткові види контейнерів, а саме, контейнери 100 мл, 200 мл та 400 мл з поліпропілену. Дана зміна несе за собою зміну до специфікації за показником якості «Об’єм, що витягається», а саме, додавання об’ємів 200 та 400 мл. Зміни внесено в інструкцію для медичного застосування лікарського засобу в розділ "Упаковка" у зв'язку з введенням додаткових упаковок, як наслідок - затвердження тексту маркування додаткових упаковок лікарського засобу. Супутня зміна. Зміни з якості. Готовий лікарський засіб. Система контейнер/закупорювальний засіб. Зміна розміру упаковки готового лікарського засобу (зміна маси/об'єму вмісту контейнера багатодозового стерильного лікарського засобу (або однодозового, часткового використання) та багатодозового лікарського засобу біологічного/імунологічного походження для парентерального застосування). Введення змін протягом 3-х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НЕКСАВАР®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sorafenib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сорафенібу тозилат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L01EX02 </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28 таблеток у блістері; по 4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Байєр АГ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w:t>
              <w:br/>
              <w:t>Байєр АГ, Німеччина;</w:t>
              <w:br/>
              <w:t>виробництво in-bulk, контроль якості:</w:t>
              <w:br/>
              <w:t>Патеон Франція, Франція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із 3-х років до 4-х років. Зміни внесено в інструкцію для медичного застосування лікарського засобу у розділ «Термін придатності» (збільшення терміну придатності готового лікарського засобу). Введення змін протягом 4-х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у затвердженому протоколі стабільності). Зміна у затвердженому протоколі дослідження стабільності ГЛЗ внаслідок збільшення терміну придатності ГЛЗ із 3-х років до 4-х років. Введення змін протягом 4-х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UA/7141/01/01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НЕФРОДОЛ®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висушені лікарські рослини у вигляді порошку: трави золототисячника (Herba Centaurii), кореня любистку (Radix Levistic), листя розмарину (Folia Rosmarini)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 таблеток у блістері; по 6 блістерів у пачці із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"ФК "САЛЮТАРІС"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та вторинне пакування, контроль та випробування серії, не включаючи випуск серії:</w:t>
              <w:br/>
              <w:t>ПрАТ "Технолог", Україна;</w:t>
              <w:br/>
              <w:t>відповідальний за випуск серії, не включаючи контроль/випробування серії:</w:t>
              <w:br/>
              <w:t>ТОВ «ФК «САЛЮТАРІС», 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в інструкцію для медичного застосування лікарського засобу до розділів "Застосування у період вагітності або годування груддю", "Спосіб застосування та дози", "Побічні реакції" відповідно до оновленої інформації в інструкції для медичного застосування референтного лікарського засобу КАНЕФРОН® Н, таблетки, вкриті оболонкою.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UA/15033/01/01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НІТРОГЛІЦЕРИН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glyceryl trinitrate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нітрогліцерин 2 % на лактозі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C01DA02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сублінгвальні по 0,5 мг; по 20 або по 40 таблеток у контейнері; по 1 контейнеру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матеріалів:Зміни І типу - Зміни щодо безпеки/ефективності та фармаконагляду (інші зміни)</w:t>
              <w:br/>
              <w:t>Оновлення тексту маркування упаковок лікарського засобу, зокрема вилучення інформації, зазначеної російською мовою, уточнено інформацію щодо логотипу в п. ІНШЕ та внесено фразу «Для детальної інформації див. інструкцію для медичного застосування» в п. 3 вторинної упаковки.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UA/6393/01/01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НОВІНЕТ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desogestrel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дезогестрел, етинілестрадіол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0,15 мг/0,02 мг по 21 таблетці в блістері; по 1 або по 3 блістери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2006-174-Rev 04 (затверджено: R1-CEP 2006-174-Rev 03) для діючої речовини Desogestrel від вже затвердженого виробника Gedeon Richter Plc.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2001-400-Rev 02 (затверджено: R1-CEP 2001-400-Rev 01) для діючої речовини Ethinylestradiol від вже затвердженого виробника Gedeon Richter Plc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UA/7314/01/01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НОВІРИН®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inosine pranobex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інозин пранобекс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по 50 мг/мл, in bulk: по 120 мл у флаконі, по 40 флаконів у комплекті з мірним стаканчиком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Ей.Бі.Сі. Фармасьютіці С.П.А.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виробників в наказі МОЗ України № 1135 від 21.06.2023</w:t>
            </w:r>
            <w:r>
              <w:rPr>
                <w:rFonts w:cs="Arial" w:ascii="Arial" w:hAnsi="Arial"/>
                <w:color w:val="000000"/>
                <w:sz w:val="16"/>
                <w:szCs w:val="16"/>
              </w:rPr>
              <w:t xml:space="preserve"> в процесі перереєстрації у зв'язку з проведенням процедури "виправлення технічної помилки в реєстраційному посвідченні". Редакція в наказі - контроль серії та випуск серії; вторинне пакування для упаковки in bulk: АТ "КИЇВСЬКИЙ ВІТАМІННИЙ ЗАВОД", Україна; виробництво нерозфасованої продукції, первинна та вторинна упаковка, контроль серії та випуск серії: Ей.Бі.Сі. Фармасьютіці С.П.А., Італія. </w:t>
            </w:r>
            <w:r>
              <w:rPr>
                <w:rFonts w:cs="Arial" w:ascii="Arial" w:hAnsi="Arial"/>
                <w:b/>
                <w:color w:val="000000"/>
                <w:sz w:val="16"/>
                <w:szCs w:val="16"/>
              </w:rPr>
              <w:t>Вірна редакція - Ей.Бі.Сі. Фармасьютіці С.П.А., Італія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НОРВАСК®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C08CA01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3 або по 6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пакування, контроль якості та випуск серії: Пфайзер Менюфекчуринг Дойчленд ГмбХ, Німеччина;</w:t>
              <w:br/>
              <w:t xml:space="preserve">Виробник, відповідальний за виробництво препарату in bulk, контроль якості: Віатріс Фармасютікалз ЛЛС, Пуерто Ріко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Пуерто Ріко</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Рекомендовано до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UA/5681/01/02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НОРВАСК®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C08CA01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3 або по 6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пакування, контроль якості та випуск серії: Пфайзер Менюфекчуринг Дойчленд ГмбХ, Німеччина;</w:t>
              <w:br/>
              <w:t xml:space="preserve">Виробник, відповідальний за виробництво препарату in bulk, контроль якості: Віатріс Фармасютікалз ЛЛС, Пуерто Ріко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Пуерто Ріко</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Рекомендовано до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UA/5681/01/01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НО-Х-ША®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0,04 г; по 10 таблеток у блістері; по 1 або по 3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Україна;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"Технолог", </w:t>
              <w:br/>
              <w:t>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оновлено текст маркування первинної та вторинної упаковки лікарського засобу, а саме: вилучено інформацію, зазначену російською мовою, із тексту маркування вторинної упаковки, внесено зміни у текст маркування первинної (п. 2, 6) та вторинної (п. 2, 4, 11, 16, 17) упаковки, а також зроблено незначні редакційні правки.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UA/3611/02/01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НО-Х-ША®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0,04 г in bulk: по 5000 таблеток у контейнері пластиковому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у тексті маркування in bulk.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UA/0353/01/01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НО-Х-ША® ФОРТЕ</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0,08 г, in bulk: по 5000 таблеток у контейнерах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 - Харків"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br/>
              <w:t>Оновлення тексту маркування продукції in bulk, а саме внесення редакційних правок.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UA/0354/01/01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НО-Х-ША® ФОРТЕ</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0,08 г, по 10 таблеток у блістері; по 3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 - Харків"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br/>
              <w:t>Оновлено текст маркування первинної та вторинної упаковки лікарського засобу, а саме: вилучено інформацію, зазначену російською мовою із тексту маркування вторинної упаковки, внесено зміни у текст маркування первинної (п. 2, 6) та вторинної (п. 2, 4, 11, 16, 17) упаковки, а також зроблено незначні редакційні правки.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UA/3611/02/02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НО-ШПА® ДЛЯ ІН'ЄКЦІЙ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20 мг/мл; № 25 (5х5): по 2 мл в ампулі; по 5 ампул, розміщених у піддоні; по 5 піддонів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"Опелла Хелскеа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Хіноїн Зрт.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впливає на коротку характеристику лікарського засобу) Внесення змін до р. 3.2.Р.7. Система контейнер/закупорювальний засіб, а саме впровадження поліетилентерефталату (ПЕТ) як альтернативного матеріалу для піддона, призначеного для розміщення ампул у картонній коробці. Зміна стосується компонента вторинного пакування, що не контактує з готовим лікарським засобом.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UA/0391/02/01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НО-ШПА® ФОРТЕ</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80 мг; № 10: по 10 таблеток у блістері; по 1 блістеру у картонній коробці; № 24: по 24 таблетки у блістері, по 1 блістеру у картонній коробці; № 48: по 24 таблетки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«Опелла Хелскеа Україна»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пакування, маркування, випуск серії:</w:t>
              <w:br/>
              <w:t>Опелла Хелскеа Хангері Кфт., Угорщина;</w:t>
              <w:br/>
              <w:t>Виробництво, контроль якості, пакування, маркування, випуск серії:</w:t>
              <w:br/>
              <w:t xml:space="preserve">Опелла Хелскеа Поланд Сп. з о.о., Польща; </w:t>
              <w:br/>
              <w:t>Мікробіологічний контроль ГЛЗ:</w:t>
              <w:br/>
              <w:t>ЄУРОАПІ Хангері Лтд., Угорщина;</w:t>
              <w:br/>
              <w:t>Мікробіологічний контроль ГЛЗ:</w:t>
              <w:br/>
              <w:t>ХІНОЇН Завод Фармацевтичних та Хімічних Продуктів Прайвіт Ко. Лтд., Підприємство №3 (Підприємство в Чаніквельдь), Угорщина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Додавання нового розміру упаковок, а саме № 48: по 24 таблетки у блістері, по 2 блістери в картонній коробці з маркуванням українською мовою. Зміни внесено в інструкцію для медичного застосування лікарського засобу в розділ "Упаковка" у зв'язку з доданням певного розміру упаковки, як наслідок - затвердження тексту маркування відповідної упаковки.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UA/8879/01/01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250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Зміни назви дільниці, відповідальної за контроль якості АФІ ("testing of adventitious agents on bulk harvest"), з Covance Laboratories Limited (Otley Road, Harrogate, HG3 1PY, United Kingdom) на Labcorp Early Development Laboratories Limited у рамках оновлення бренду. Адреса залишається без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Додавання - Cytiva, як альтернативного постачальника імуноафінного гелю для методу випробування «Аналіз рекомбінантного людського FVIII Human-cl за допомогою обернено-фазової хроматографії». Імуноафінний гель від альтернативного постачальника, який вже є кваліфікованим, працює за тим самим принципом, що й описаний наразі гель.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 Внесення змін до специфікації на пробки, а саме-звуження допустимих меж та зміна одиниць звітності для тесту на ендотоксини. Було виконано наступний розрахунок: Ліміт в EU/см</w:t>
            </w:r>
            <w:r>
              <w:rPr>
                <w:rFonts w:cs="Arial" w:ascii="Arial" w:hAnsi="Arial"/>
                <w:color w:val="000000"/>
                <w:sz w:val="16"/>
                <w:szCs w:val="16"/>
                <w:vertAlign w:val="superscript"/>
              </w:rPr>
              <w:t>2</w:t>
            </w:r>
            <w:r>
              <w:rPr>
                <w:rFonts w:cs="Arial" w:ascii="Arial" w:hAnsi="Arial"/>
                <w:color w:val="000000"/>
                <w:sz w:val="16"/>
                <w:szCs w:val="16"/>
              </w:rPr>
              <w:t>хповерхня пробки=ліміт EU/шт. Поверхня пробки становить 13.3 см</w:t>
            </w:r>
            <w:r>
              <w:rPr>
                <w:rFonts w:cs="Arial" w:ascii="Arial" w:hAnsi="Arial"/>
                <w:color w:val="000000"/>
                <w:sz w:val="16"/>
                <w:szCs w:val="16"/>
                <w:vertAlign w:val="superscript"/>
              </w:rPr>
              <w:t>2</w:t>
            </w:r>
            <w:r>
              <w:rPr>
                <w:rFonts w:cs="Arial" w:ascii="Arial" w:hAnsi="Arial"/>
                <w:color w:val="000000"/>
                <w:sz w:val="16"/>
                <w:szCs w:val="16"/>
              </w:rPr>
              <w:t>. Ліміт до зміни 0.125 ЕU/см</w:t>
            </w:r>
            <w:r>
              <w:rPr>
                <w:rFonts w:cs="Arial" w:ascii="Arial" w:hAnsi="Arial"/>
                <w:color w:val="000000"/>
                <w:sz w:val="16"/>
                <w:szCs w:val="16"/>
                <w:vertAlign w:val="superscript"/>
              </w:rPr>
              <w:t>2</w:t>
            </w:r>
            <w:r>
              <w:rPr>
                <w:rFonts w:cs="Arial" w:ascii="Arial" w:hAnsi="Arial"/>
                <w:color w:val="000000"/>
                <w:sz w:val="16"/>
                <w:szCs w:val="16"/>
              </w:rPr>
              <w:t xml:space="preserve"> у перерахунку EU/шт складає: 0.125х13.3=1.66 (EU/шт). Запропонований новий ліміт (1 EU/шт) нижчий за поточний ліміт 1.66 (EU/шт).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Доповнення специфікації на пробки новими показниками з відповідними методами випробування, а саме додавання випробування "фрагментація" з критерієм прийнятності «≤ 5 фрагментів (48 pierces-12 stoppers)» та "проникність" з критерієм прийнятності «≤ 10 N для кожної пробки».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Зміни до специфікації на пробки, а саме вилучення випробування "Важкі метали".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Зміни назви дільниці, відповідальної за контроль якості АФІ ("testing of adventitious agents on bulk harvest"), з Covance Laboratories Limited (Otley Road, Harrogate, HG3 1PY, United Kingdom) на Labcorp Early Development Laboratories Limited у рамках оновлення бренду. Адреса залишається без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Додавання - Cytiva, як альтернативного постачальника імуноафінного гелю для методу випробування «Аналіз рекомбінантного людського FVIII Human-cl за допомогою обернено-фазової хроматографії». Імуноафінний гель від альтернативного постачальника, який вже є кваліфікованим, працює за тим самим принципом, що й описаний наразі гель.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 Внесення змін до специфікації на пробки, а саме-звуження допустимих меж та зміна одиниць звітності для тесту на ендотоксини. Було виконано наступний розрахунок: Ліміт в EU/см</w:t>
            </w:r>
            <w:r>
              <w:rPr>
                <w:rFonts w:cs="Arial" w:ascii="Arial" w:hAnsi="Arial"/>
                <w:color w:val="000000"/>
                <w:sz w:val="16"/>
                <w:szCs w:val="16"/>
                <w:vertAlign w:val="superscript"/>
              </w:rPr>
              <w:t>2</w:t>
            </w:r>
            <w:r>
              <w:rPr>
                <w:rFonts w:cs="Arial" w:ascii="Arial" w:hAnsi="Arial"/>
                <w:color w:val="000000"/>
                <w:sz w:val="16"/>
                <w:szCs w:val="16"/>
              </w:rPr>
              <w:t>хповерхня пробки=ліміт EU/шт. Поверхня пробки становить 13.3 см</w:t>
            </w:r>
            <w:r>
              <w:rPr>
                <w:rFonts w:cs="Arial" w:ascii="Arial" w:hAnsi="Arial"/>
                <w:color w:val="000000"/>
                <w:sz w:val="16"/>
                <w:szCs w:val="16"/>
                <w:vertAlign w:val="superscript"/>
              </w:rPr>
              <w:t>2</w:t>
            </w:r>
            <w:r>
              <w:rPr>
                <w:rFonts w:cs="Arial" w:ascii="Arial" w:hAnsi="Arial"/>
                <w:color w:val="000000"/>
                <w:sz w:val="16"/>
                <w:szCs w:val="16"/>
              </w:rPr>
              <w:t>. Ліміт до зміни 0.125 ЕU/см</w:t>
            </w:r>
            <w:r>
              <w:rPr>
                <w:rFonts w:cs="Arial" w:ascii="Arial" w:hAnsi="Arial"/>
                <w:color w:val="000000"/>
                <w:sz w:val="16"/>
                <w:szCs w:val="16"/>
                <w:vertAlign w:val="superscript"/>
              </w:rPr>
              <w:t>2</w:t>
            </w:r>
            <w:r>
              <w:rPr>
                <w:rFonts w:cs="Arial" w:ascii="Arial" w:hAnsi="Arial"/>
                <w:color w:val="000000"/>
                <w:sz w:val="16"/>
                <w:szCs w:val="16"/>
              </w:rPr>
              <w:t xml:space="preserve"> у перерахунку EU/шт складає: 0.125х13.3=1.66 (EU/шт). Запропонований новий ліміт (1 EU/шт) нижчий за поточний ліміт 1.66 (EU/шт).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Доповнення специфікації на пробки новими показниками з відповідними методами випробування, а саме додавання випробування "фрагментація" з критерієм прийнятності «≤ 5 фрагментів (48 pierces-12 stoppers)» та "проникність" з критерієм прийнятності «≤ 10 N для кожної пробки».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Зміни до специфікації на пробки, а саме вилучення випробування "Важкі метали".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1000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Зміни назви дільниці, відповідальної за контроль якості АФІ ("testing of adventitious agents on bulk harvest"), з Covance Laboratories Limited (Otley Road, Harrogate, HG3 1PY, United Kingdom) на Labcorp Early Development Laboratories Limited у рамках оновлення бренду. Адреса залишається без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Додавання - Cytiva, як альтернативного постачальника імуноафінного гелю для методу випробування «Аналіз рекомбінантного людського FVIII Human-cl за допомогою обернено-фазової хроматографії». Імуноафінний гель від альтернативного постачальника, який вже є кваліфікованим, працює за тим самим принципом, що й описаний наразі гель.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 Внесення змін до специфікації на пробки, а саме-звуження допустимих меж та зміна одиниць звітності для тесту на ендотоксини. Було виконано наступний розрахунок: Ліміт в EU/см</w:t>
            </w:r>
            <w:r>
              <w:rPr>
                <w:rFonts w:cs="Arial" w:ascii="Arial" w:hAnsi="Arial"/>
                <w:color w:val="000000"/>
                <w:sz w:val="16"/>
                <w:szCs w:val="16"/>
                <w:vertAlign w:val="superscript"/>
              </w:rPr>
              <w:t>2</w:t>
            </w:r>
            <w:r>
              <w:rPr>
                <w:rFonts w:cs="Arial" w:ascii="Arial" w:hAnsi="Arial"/>
                <w:color w:val="000000"/>
                <w:sz w:val="16"/>
                <w:szCs w:val="16"/>
              </w:rPr>
              <w:t>хповерхня пробки=ліміт EU/шт. Поверхня пробки становить 13.3 см</w:t>
            </w:r>
            <w:r>
              <w:rPr>
                <w:rFonts w:cs="Arial" w:ascii="Arial" w:hAnsi="Arial"/>
                <w:color w:val="000000"/>
                <w:sz w:val="16"/>
                <w:szCs w:val="16"/>
                <w:vertAlign w:val="superscript"/>
              </w:rPr>
              <w:t>2</w:t>
            </w:r>
            <w:r>
              <w:rPr>
                <w:rFonts w:cs="Arial" w:ascii="Arial" w:hAnsi="Arial"/>
                <w:color w:val="000000"/>
                <w:sz w:val="16"/>
                <w:szCs w:val="16"/>
              </w:rPr>
              <w:t>. Ліміт до зміни 0.125 ЕU/см</w:t>
            </w:r>
            <w:r>
              <w:rPr>
                <w:rFonts w:cs="Arial" w:ascii="Arial" w:hAnsi="Arial"/>
                <w:color w:val="000000"/>
                <w:sz w:val="16"/>
                <w:szCs w:val="16"/>
                <w:vertAlign w:val="superscript"/>
              </w:rPr>
              <w:t>2</w:t>
            </w:r>
            <w:r>
              <w:rPr>
                <w:rFonts w:cs="Arial" w:ascii="Arial" w:hAnsi="Arial"/>
                <w:color w:val="000000"/>
                <w:sz w:val="16"/>
                <w:szCs w:val="16"/>
              </w:rPr>
              <w:t xml:space="preserve"> у перерахунку EU/шт складає: 0.125х13.3=1.66 (EU/шт). Запропонований новий ліміт (1 EU/шт) нижчий за поточний ліміт 1.66 (EU/шт).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Доповнення специфікації на пробки новими показниками з відповідними методами випробування, а саме додавання випробування "фрагментація" з критерієм прийнятності «≤ 5 фрагментів (48 pierces-12 stoppers)» та "проникність" з критерієм прийнятності «≤ 10 N для кожної пробки».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Зміни до специфікації на пробки, а саме вилучення випробування "Важкі метали".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2000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Зміни назви дільниці, відповідальної за контроль якості АФІ ("testing of adventitious agents on bulk harvest"), з Covance Laboratories Limited (Otley Road, Harrogate, HG3 1PY, United Kingdom) на Labcorp Early Development Laboratories Limited у рамках оновлення бренду. Адреса залишається без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Додавання - Cytiva, як альтернативного постачальника імуноафінного гелю для методу випробування «Аналіз рекомбінантного людського FVIII Human-cl за допомогою обернено-фазової хроматографії». Імуноафінний гель від альтернативного постачальника, який вже є кваліфікованим, працює за тим самим принципом, що й описаний наразі гель.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 Внесення змін до специфікації на пробки, а саме-звуження допустимих меж та зміна одиниць звітності для тесту на ендотоксини. Було виконано наступний розрахунок: Ліміт в EU/см</w:t>
            </w:r>
            <w:r>
              <w:rPr>
                <w:rFonts w:cs="Arial" w:ascii="Arial" w:hAnsi="Arial"/>
                <w:color w:val="000000"/>
                <w:sz w:val="16"/>
                <w:szCs w:val="16"/>
                <w:vertAlign w:val="superscript"/>
              </w:rPr>
              <w:t>2</w:t>
            </w:r>
            <w:r>
              <w:rPr>
                <w:rFonts w:cs="Arial" w:ascii="Arial" w:hAnsi="Arial"/>
                <w:color w:val="000000"/>
                <w:sz w:val="16"/>
                <w:szCs w:val="16"/>
              </w:rPr>
              <w:t>хповерхня пробки=ліміт EU/шт. Поверхня пробки становить 13.3 см</w:t>
            </w:r>
            <w:r>
              <w:rPr>
                <w:rFonts w:cs="Arial" w:ascii="Arial" w:hAnsi="Arial"/>
                <w:color w:val="000000"/>
                <w:sz w:val="16"/>
                <w:szCs w:val="16"/>
                <w:vertAlign w:val="superscript"/>
              </w:rPr>
              <w:t>2</w:t>
            </w:r>
            <w:r>
              <w:rPr>
                <w:rFonts w:cs="Arial" w:ascii="Arial" w:hAnsi="Arial"/>
                <w:color w:val="000000"/>
                <w:sz w:val="16"/>
                <w:szCs w:val="16"/>
              </w:rPr>
              <w:t>. Ліміт до зміни 0.125 ЕU/см</w:t>
            </w:r>
            <w:r>
              <w:rPr>
                <w:rFonts w:cs="Arial" w:ascii="Arial" w:hAnsi="Arial"/>
                <w:color w:val="000000"/>
                <w:sz w:val="16"/>
                <w:szCs w:val="16"/>
                <w:vertAlign w:val="superscript"/>
              </w:rPr>
              <w:t>2</w:t>
            </w:r>
            <w:r>
              <w:rPr>
                <w:rFonts w:cs="Arial" w:ascii="Arial" w:hAnsi="Arial"/>
                <w:color w:val="000000"/>
                <w:sz w:val="16"/>
                <w:szCs w:val="16"/>
              </w:rPr>
              <w:t xml:space="preserve"> у перерахунку EU/шт складає: 0.125х13.3=1.66 (EU/шт). Запропонований новий ліміт (1 EU/шт) нижчий за поточний ліміт 1.66 (EU/шт).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Доповнення специфікації на пробки новими показниками з відповідними методами випробування, а саме додавання випробування "фрагментація" з критерієм прийнятності «≤ 5 фрагментів (48 pierces-12 stoppers)» та "проникність" з критерієм прийнятності «≤ 10 N для кожної пробки».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Зміни до специфікації на пробки, а саме вилучення випробування "Важкі метали".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1500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Зміни назви дільниці, відповідальної за контроль якості АФІ ("testing of adventitious agents on bulk harvest"), з Covance Laboratories Limited (Otley Road, Harrogate, HG3 1PY, United Kingdom) на Labcorp Early Development Laboratories Limited у рамках оновлення бренду. Адреса залишається без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Додавання - Cytiva, як альтернативного постачальника імуноафінного гелю для методу випробування «Аналіз рекомбінантного людського FVIII Human-cl за допомогою обернено-фазової хроматографії». Імуноафінний гель від альтернативного постачальника, який вже є кваліфікованим, працює за тим самим принципом, що й описаний наразі гель.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 Внесення змін до специфікації на пробки, а саме-звуження допустимих меж та зміна одиниць звітності для тесту на ендотоксини. Було виконано наступний розрахунок: Ліміт в EU/см</w:t>
            </w:r>
            <w:r>
              <w:rPr>
                <w:rFonts w:cs="Arial" w:ascii="Arial" w:hAnsi="Arial"/>
                <w:color w:val="000000"/>
                <w:sz w:val="16"/>
                <w:szCs w:val="16"/>
                <w:vertAlign w:val="superscript"/>
              </w:rPr>
              <w:t>2</w:t>
            </w:r>
            <w:r>
              <w:rPr>
                <w:rFonts w:cs="Arial" w:ascii="Arial" w:hAnsi="Arial"/>
                <w:color w:val="000000"/>
                <w:sz w:val="16"/>
                <w:szCs w:val="16"/>
              </w:rPr>
              <w:t>хповерхня пробки=ліміт EU/шт. Поверхня пробки становить 13.3 см</w:t>
            </w:r>
            <w:r>
              <w:rPr>
                <w:rFonts w:cs="Arial" w:ascii="Arial" w:hAnsi="Arial"/>
                <w:color w:val="000000"/>
                <w:sz w:val="16"/>
                <w:szCs w:val="16"/>
                <w:vertAlign w:val="superscript"/>
              </w:rPr>
              <w:t>2</w:t>
            </w:r>
            <w:r>
              <w:rPr>
                <w:rFonts w:cs="Arial" w:ascii="Arial" w:hAnsi="Arial"/>
                <w:color w:val="000000"/>
                <w:sz w:val="16"/>
                <w:szCs w:val="16"/>
              </w:rPr>
              <w:t>. Ліміт до зміни 0.125 ЕU/см</w:t>
            </w:r>
            <w:r>
              <w:rPr>
                <w:rFonts w:cs="Arial" w:ascii="Arial" w:hAnsi="Arial"/>
                <w:color w:val="000000"/>
                <w:sz w:val="16"/>
                <w:szCs w:val="16"/>
                <w:vertAlign w:val="superscript"/>
              </w:rPr>
              <w:t>2</w:t>
            </w:r>
            <w:r>
              <w:rPr>
                <w:rFonts w:cs="Arial" w:ascii="Arial" w:hAnsi="Arial"/>
                <w:color w:val="000000"/>
                <w:sz w:val="16"/>
                <w:szCs w:val="16"/>
              </w:rPr>
              <w:t xml:space="preserve"> у перерахунку EU/шт складає: 0.125х13.3=1.66 (EU/шт). Запропонований новий ліміт (1 EU/шт) нижчий за поточний ліміт 1.66 (EU/шт).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Доповнення специфікації на пробки новими показниками з відповідними методами випробування, а саме додавання випробування "фрагментація" з критерієм прийнятності «≤ 5 фрагментів (48 pierces-12 stoppers)» та "проникність" з критерієм прийнятності «≤ 10 N для кожної пробки».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Зміни до специфікації на пробки, а саме вилучення випробування "Важкі метали".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2500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Зміни назви дільниці, відповідальної за контроль якості АФІ ("testing of adventitious agents on bulk harvest"), з Covance Laboratories Limited (Otley Road, Harrogate, HG3 1PY, United Kingdom) на Labcorp Early Development Laboratories Limited у рамках оновлення бренду. Адреса залишається без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Додавання - Cytiva, як альтернативного постачальника імуноафінного гелю для методу випробування «Аналіз рекомбінантного людського FVIII Human-cl за допомогою обернено-фазової хроматографії». Імуноафінний гель від альтернативного постачальника, який вже є кваліфікованим, працює за тим самим принципом, що й описаний наразі гель.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 Внесення змін до специфікації на пробки, а саме-звуження допустимих меж та зміна одиниць звітності для тесту на ендотоксини. Було виконано наступний розрахунок: Ліміт в EU/см</w:t>
            </w:r>
            <w:r>
              <w:rPr>
                <w:rFonts w:cs="Arial" w:ascii="Arial" w:hAnsi="Arial"/>
                <w:color w:val="000000"/>
                <w:sz w:val="16"/>
                <w:szCs w:val="16"/>
                <w:vertAlign w:val="superscript"/>
              </w:rPr>
              <w:t>2</w:t>
            </w:r>
            <w:r>
              <w:rPr>
                <w:rFonts w:cs="Arial" w:ascii="Arial" w:hAnsi="Arial"/>
                <w:color w:val="000000"/>
                <w:sz w:val="16"/>
                <w:szCs w:val="16"/>
              </w:rPr>
              <w:t>хповерхня пробки=ліміт EU/шт. Поверхня пробки становить 13.3 см</w:t>
            </w:r>
            <w:r>
              <w:rPr>
                <w:rFonts w:cs="Arial" w:ascii="Arial" w:hAnsi="Arial"/>
                <w:color w:val="000000"/>
                <w:sz w:val="16"/>
                <w:szCs w:val="16"/>
                <w:vertAlign w:val="superscript"/>
              </w:rPr>
              <w:t>2</w:t>
            </w:r>
            <w:r>
              <w:rPr>
                <w:rFonts w:cs="Arial" w:ascii="Arial" w:hAnsi="Arial"/>
                <w:color w:val="000000"/>
                <w:sz w:val="16"/>
                <w:szCs w:val="16"/>
              </w:rPr>
              <w:t>. Ліміт до зміни 0.125 ЕU/см</w:t>
            </w:r>
            <w:r>
              <w:rPr>
                <w:rFonts w:cs="Arial" w:ascii="Arial" w:hAnsi="Arial"/>
                <w:color w:val="000000"/>
                <w:sz w:val="16"/>
                <w:szCs w:val="16"/>
                <w:vertAlign w:val="superscript"/>
              </w:rPr>
              <w:t>2</w:t>
            </w:r>
            <w:r>
              <w:rPr>
                <w:rFonts w:cs="Arial" w:ascii="Arial" w:hAnsi="Arial"/>
                <w:color w:val="000000"/>
                <w:sz w:val="16"/>
                <w:szCs w:val="16"/>
              </w:rPr>
              <w:t xml:space="preserve"> у перерахунку EU/шт складає: 0.125х13.3=1.66 (EU/шт). Запропонований новий ліміт (1 EU/шт) нижчий за поточний ліміт 1.66 (EU/шт).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Доповнення специфікації на пробки новими показниками з відповідними методами випробування, а саме додавання випробування "фрагментація" з критерієм прийнятності «≤ 5 фрагментів (48 pierces-12 stoppers)» та "проникність" з критерієм прийнятності «≤ 10 N для кожної пробки».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Зміни до специфікації на пробки, а саме вилучення випробування "Важкі метали".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UA/17140/01/06</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3000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Зміни назви дільниці, відповідальної за контроль якості АФІ ("testing of adventitious agents on bulk harvest"), з Covance Laboratories Limited (Otley Road, Harrogate, HG3 1PY, United Kingdom) на Labcorp Early Development Laboratories Limited у рамках оновлення бренду. Адреса залишається без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Додавання - Cytiva, як альтернативного постачальника імуноафінного гелю для методу випробування «Аналіз рекомбінантного людського FVIII Human-cl за допомогою обернено-фазової хроматографії». Імуноафінний гель від альтернативного постачальника, який вже є кваліфікованим, працює за тим самим принципом, що й описаний наразі гель.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 Внесення змін до специфікації на пробки, а саме-звуження допустимих меж та зміна одиниць звітності для тесту на ендотоксини. Було виконано наступний розрахунок: Ліміт в EU/см</w:t>
            </w:r>
            <w:r>
              <w:rPr>
                <w:rFonts w:cs="Arial" w:ascii="Arial" w:hAnsi="Arial"/>
                <w:color w:val="000000"/>
                <w:sz w:val="16"/>
                <w:szCs w:val="16"/>
                <w:vertAlign w:val="superscript"/>
              </w:rPr>
              <w:t>2</w:t>
            </w:r>
            <w:r>
              <w:rPr>
                <w:rFonts w:cs="Arial" w:ascii="Arial" w:hAnsi="Arial"/>
                <w:color w:val="000000"/>
                <w:sz w:val="16"/>
                <w:szCs w:val="16"/>
              </w:rPr>
              <w:t>хповерхня пробки=ліміт EU/шт. Поверхня пробки становить 13.3 см</w:t>
            </w:r>
            <w:r>
              <w:rPr>
                <w:rFonts w:cs="Arial" w:ascii="Arial" w:hAnsi="Arial"/>
                <w:color w:val="000000"/>
                <w:sz w:val="16"/>
                <w:szCs w:val="16"/>
                <w:vertAlign w:val="superscript"/>
              </w:rPr>
              <w:t>2</w:t>
            </w:r>
            <w:r>
              <w:rPr>
                <w:rFonts w:cs="Arial" w:ascii="Arial" w:hAnsi="Arial"/>
                <w:color w:val="000000"/>
                <w:sz w:val="16"/>
                <w:szCs w:val="16"/>
              </w:rPr>
              <w:t>. Ліміт до зміни 0.125 ЕU/см</w:t>
            </w:r>
            <w:r>
              <w:rPr>
                <w:rFonts w:cs="Arial" w:ascii="Arial" w:hAnsi="Arial"/>
                <w:color w:val="000000"/>
                <w:sz w:val="16"/>
                <w:szCs w:val="16"/>
                <w:vertAlign w:val="superscript"/>
              </w:rPr>
              <w:t>2</w:t>
            </w:r>
            <w:r>
              <w:rPr>
                <w:rFonts w:cs="Arial" w:ascii="Arial" w:hAnsi="Arial"/>
                <w:color w:val="000000"/>
                <w:sz w:val="16"/>
                <w:szCs w:val="16"/>
              </w:rPr>
              <w:t xml:space="preserve"> у перерахунку EU/шт складає: 0.125х13.3=1.66 (EU/шт). Запропонований новий ліміт (1 EU/шт) нижчий за поточний ліміт 1.66 (EU/шт).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Доповнення специфікації на пробки новими показниками з відповідними методами випробування, а саме додавання випробування "фрагментація" з критерієм прийнятності «≤ 5 фрагментів (48 pierces-12 stoppers)» та "проникність" з критерієм прийнятності «≤ 10 N для кожної пробки».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Зміни до специфікації на пробки, а саме вилучення випробування "Важкі метали".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UA/17140/01/07</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4000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Зміни назви дільниці, відповідальної за контроль якості АФІ ("testing of adventitious agents on bulk harvest"), з Covance Laboratories Limited (Otley Road, Harrogate, HG3 1PY, United Kingdom) на Labcorp Early Development Laboratories Limited у рамках оновлення бренду. Адреса залишається без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Додавання - Cytiva, як альтернативного постачальника імуноафінного гелю для методу випробування «Аналіз рекомбінантного людського FVIII Human-cl за допомогою обернено-фазової хроматографії». Імуноафінний гель від альтернативного постачальника, який вже є кваліфікованим, працює за тим самим принципом, що й описаний наразі гель.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 Внесення змін до специфікації на пробки, а саме-звуження допустимих меж та зміна одиниць звітності для тесту на ендотоксини. Було виконано наступний розрахунок: Ліміт в EU/см</w:t>
            </w:r>
            <w:r>
              <w:rPr>
                <w:rFonts w:cs="Arial" w:ascii="Arial" w:hAnsi="Arial"/>
                <w:color w:val="000000"/>
                <w:sz w:val="16"/>
                <w:szCs w:val="16"/>
                <w:vertAlign w:val="superscript"/>
              </w:rPr>
              <w:t>2</w:t>
            </w:r>
            <w:r>
              <w:rPr>
                <w:rFonts w:cs="Arial" w:ascii="Arial" w:hAnsi="Arial"/>
                <w:color w:val="000000"/>
                <w:sz w:val="16"/>
                <w:szCs w:val="16"/>
              </w:rPr>
              <w:t>хповерхня пробки=ліміт EU/шт. Поверхня пробки становить 13.3 см</w:t>
            </w:r>
            <w:r>
              <w:rPr>
                <w:rFonts w:cs="Arial" w:ascii="Arial" w:hAnsi="Arial"/>
                <w:color w:val="000000"/>
                <w:sz w:val="16"/>
                <w:szCs w:val="16"/>
                <w:vertAlign w:val="superscript"/>
              </w:rPr>
              <w:t>2</w:t>
            </w:r>
            <w:r>
              <w:rPr>
                <w:rFonts w:cs="Arial" w:ascii="Arial" w:hAnsi="Arial"/>
                <w:color w:val="000000"/>
                <w:sz w:val="16"/>
                <w:szCs w:val="16"/>
              </w:rPr>
              <w:t>. Ліміт до зміни 0.125 ЕU/см</w:t>
            </w:r>
            <w:r>
              <w:rPr>
                <w:rFonts w:cs="Arial" w:ascii="Arial" w:hAnsi="Arial"/>
                <w:color w:val="000000"/>
                <w:sz w:val="16"/>
                <w:szCs w:val="16"/>
                <w:vertAlign w:val="superscript"/>
              </w:rPr>
              <w:t>2</w:t>
            </w:r>
            <w:r>
              <w:rPr>
                <w:rFonts w:cs="Arial" w:ascii="Arial" w:hAnsi="Arial"/>
                <w:color w:val="000000"/>
                <w:sz w:val="16"/>
                <w:szCs w:val="16"/>
              </w:rPr>
              <w:t xml:space="preserve"> у перерахунку EU/шт складає: 0.125х13.3=1.66 (EU/шт). Запропонований новий ліміт (1 EU/шт) нижчий за поточний ліміт 1.66 (EU/шт).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Доповнення специфікації на пробки новими показниками з відповідними методами випробування, а саме додавання випробування "фрагментація" з критерієм прийнятності «≤ 5 фрагментів (48 pierces-12 stoppers)» та "проникність" з критерієм прийнятності «≤ 10 N для кожної пробки». Внесення редакційних правок.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Зміни до специфікації на пробки, а саме вилучення випробування "Важкі метали".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UA/17140/01/08</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НУКС ВОМІКА-ГОМАКОРД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color w:val="000000"/>
                <w:sz w:val="16"/>
                <w:szCs w:val="16"/>
              </w:rPr>
            </w:pPr>
            <w:r>
              <w:rPr>
                <w:rFonts w:cs="Arial" w:ascii="Arial" w:hAnsi="Arial"/>
                <w:sz w:val="16"/>
                <w:szCs w:val="16"/>
              </w:rPr>
              <w:t>Bryonia D30, Bryonia D200, Bryonia D1000, Bryonia D2, Bryonia D6, Bryonia D10, Bryonia D15, Citrullus colocynthis D3, Citrullus colocynthis D10, Citrullus colocynthis D30, Citrullus colocynthis D200, Lycopodium clavatum D10, Lycopodium clavatum D30, Lycopodium clavatum D200, Lycopodium clavatum D1000, Lycopodium clavatum D3, Strychnos nux-vomica D30, Strychnos nux-vomica D15, Strychnos nux-vomica D10, Strychnos nux-vomica D200, Strychnos nux-vomica D1000, Strychnos nux-vomica D2</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30 мл у флаконі-крапельниці; по 1 флакону-крапельниці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Біологіше Хайльміттель Хеель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 Вилучення нерелевантної інформації про постачальника пакувального матеріалу з розділу 3.2.Р.7 Система контейнер/закупорювальний засіб.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UA/3126/01/01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12+</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ібупрофен у вигляді ібупрофену натрієвої солі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200 мг; по 12 таблеток у блістері; по 1 або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UA/10906/01/01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ДЛЯ ДІТЕЙ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з апельсиновим смаком, 100 мг/5 мл, по 100 мл або 200 мл у флаконі; по 1 флакону в комплекті зі шприцом-дозатором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in bulk, пакування, контроль якості, випуск серії: Реккітт Бенкізер Хелскер (Юкей)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UA/8233/01/01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ДЛЯ ДІТЕЙ ФОРТЕ</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з апельсиновим смаком, 200 мг/5 мл по 100 мл або 150 мл у флаконі; по 1 флакону у комплекті зі шприцом-дозатором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(ЮКей)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UA/8233/01/02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ЕКСПРЕС ФОРТЕ</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400 мг, по 10 капсул у блістері; по 1 або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пакування та випуск серії:</w:t>
              <w:br/>
              <w:t>Реккітт Бенкізер Хелскер Інтернешнл Лімітед, Велика Британія;</w:t>
              <w:br/>
              <w:t>Відповідальний за виробництво in bulk:</w:t>
              <w:br/>
              <w:t>Патеон Софтжелс Б.В., Нідерланди</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UA/14179/01/01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ІНТЕНСИВ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 парацетамол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M01AE51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 або 12 таблеток 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UA/14588/01/01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НУРОФЄН®ЕКСПРЕС УЛЬТРАКАП</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4 або 10 капсул у блістері; по 1 блістеру в картонній коробці; по 8 капсул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первинне, вторинне пакування, контроль якості готового продукту та випуск серії: Реккітт Бенкізер Хелскер Інтернешнл Лімітед, Велика Британія; відповідальний за виробництво in bulk, включаючи проведення контролю якості: Патеон Софтжелс Б.В., Нідерланди; відповідальний за виробництво in bulk, первинне, вторинне пакування, контроль якості готового продукту: РБ Хелс Мануфектуринг (ЮС) ЛЛС, Сполучені штати (США)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 Сполучені штати (США)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UA/13599/01/01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ОКСАЛІПЛАТИН АККОРД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oxaliplatin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оксаліплатин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по 5 мг/мл; по 10 мл, 20 мл, 40 мл у флаконі; по 1 флакону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Аккорд Хелскеа Полска Сп. з.о.о.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 експорт на дільницю випуску серії:</w:t>
              <w:br/>
              <w:t>Інтас Фармасьютікалс Лімітед, Індія;</w:t>
              <w:br/>
              <w:t>Інтас Фармасьютікалз Лімітед, Індія;</w:t>
              <w:br/>
              <w:t>дільниця з контролю якості:</w:t>
              <w:br/>
              <w:t xml:space="preserve">Фармавалід Кфт., Угорщина; </w:t>
              <w:br/>
              <w:t>дільниця з контролю якості:</w:t>
              <w:br/>
              <w:t xml:space="preserve">Лабаналізіс Лайф Сайнс С.р.л., Італiя; </w:t>
              <w:br/>
              <w:t>вторинне пакування:</w:t>
              <w:br/>
              <w:t>АККОРД ХЕЛСКЕА ЛІМІТЕД, Велика Британiя;</w:t>
              <w:br/>
              <w:t>відповідальний за випуск серії:</w:t>
              <w:br/>
              <w:t>Аккорд Хелскеа Полска Сп. з о.о. Склад Імпортера, Польща;</w:t>
              <w:br/>
              <w:t>вторинне пакування, контроль якості серії:</w:t>
              <w:br/>
              <w:t>Аккорд Хелскеа Сінгл Мембер С.А., Греція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ОКТРЕОТИД - МБ</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octreotide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октреотиду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H01CB02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0,05 мг/мл по 1 мл в ампулі; по 5 ампул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 Біотек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випуск серії: Бендаліс ГмбХ, Німеччина; Виробник, що здійснює повний цикл виробництва, крім випуску серії: Солюфарм Фармацойтіше Ерцойгніссе ГмбХ, Німеччина; Альтернативний виробник, що здійснює вторинне пакування:</w:t>
              <w:br/>
              <w:t>Біоканол Фарма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вторинної упаковки (пункт 17)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UA/14242/01/01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ОКТРЕОТИД - МБ</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octreotide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октреотиду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H01CB02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0,1 мг/мл по 1 мл в ампулі; по 5 ампул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 Біотек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випуск серії: Бендаліс ГмбХ, Німеччина; Виробник, що здійснює повний цикл виробництва, крім випуску серії: Солюфарм Фармацойтіше Ерцойгніссе ГмбХ, Німеччина; Альтернативний виробник, що здійснює вторинне пакування:</w:t>
              <w:br/>
              <w:t>Біоканол Фарма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вторинної упаковки (пункт 17)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UA/14242/01/02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ОКТРЕОТИД - МБ</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octreotide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октреотиду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H01CB02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0,5 мг/мл по 1 мл в ампулі; по 5 ампул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 Біотек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випуск серії: Бендаліс ГмбХ, Німеччина; Виробник, що здійснює повний цикл виробництва, крім випуску серії: Солюфарм Фармацойтіше Ерцойгніссе ГмбХ, Німеччина; Альтернативний виробник, що здійснює вторинне пакування:</w:t>
              <w:br/>
              <w:t>Біоканол Фарма ГмбХ, Німеччина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вторинної упаковки (пункт 17)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UA/14242/01/03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 Адміністративні зміни. Зміна назви лікарського засобу </w:t>
              <w:br/>
              <w:t>Затверджено: ОЛМЕСТАД - Запропоновано: ОЛМЕСТАД®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в розділи "Особливості застосування" та "Побічні реакції" відповідно до оновленої інформації щодо безпеки застосування діючої речовини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 Адміністративні зміни. Зміна назви лікарського засобу </w:t>
              <w:br/>
              <w:t>Затверджено: ОЛМЕСТАД - Запропоновано: ОЛМЕСТАД®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в розділи "Особливості застосування" та "Побічні реакції" відповідно до оновленої інформації щодо безпеки застосування діючої речовини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UA/21031/01/03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 Адміністративні зміни. Зміна назви лікарського засобу </w:t>
              <w:br/>
              <w:t>Затверджено: ОЛМЕСТАД - Запропоновано: ОЛМЕСТАД®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в розділи "Особливості застосування" та "Побічні реакції" відповідно до оновленої інформації щодо безпеки застосування діючої речовини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 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мг/12,5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 Адміністративні зміни. Зміна назви лікарського засобу. </w:t>
              <w:br/>
              <w:t>Затверджено: ОЛМЕСТАД Н - Запропоновано: ОЛМЕСТАД® Н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розділи "Особливості застосування" та "Побічні реакції" відповідно до оновленої інформації щодо безпеки застосування діючої речовини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 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мг/25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 Адміністративні зміни. Зміна назви лікарського засобу. </w:t>
              <w:br/>
              <w:t>Затверджено: ОЛМЕСТАД Н - Запропоновано: ОЛМЕСТАД® Н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розділи "Особливості застосування" та "Побічні реакції" відповідно до оновленої інформації щодо безпеки застосування діючої речовини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 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мг/12,5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 Адміністративні зміни. Зміна назви лікарського засобу. </w:t>
              <w:br/>
              <w:t>Затверджено: ОЛМЕСТАД Н - Запропоновано: ОЛМЕСТАД® Н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розділи "Особливості застосування" та "Побічні реакції" відповідно до оновленої інформації щодо безпеки застосування діючої речовини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 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мг/25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 Адміністративні зміни. Зміна назви лікарського засобу. </w:t>
              <w:br/>
              <w:t>Затверджено: ОЛМЕСТАД Н - Запропоновано: ОЛМЕСТАД® Н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розділи "Особливості застосування" та "Побічні реакції" відповідно до оновленої інформації щодо безпеки застосування діючої речовини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UA/21032/01/04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ОЛМЕТЕК ПЛЮС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20 мг/12,5 мг; по 14 таблеток у блістері, по 2 блістера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гідрохлортіазид від вже затвердженого виробника TEVA PHARMACEUTICAL INDUSTRIES LTD (CEP 2004-149-Rev 08). Зміни , що відбулися при оновлені СЕР: видалено домішку N-нітрозо-HCTZ;- змінено назву та адресу власника CEP (Teva Pharmaceutical Industries Ltd. змінено на TAPI NL B.V.);- змінено назву фактичного виробника АФІ (PLIVA Croatia Ltd. на TAPI CROATIA INDUSTRIES LTD.), адреса фактичного виробничого майданчика не змінилася.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олмесартану медоксоміл від вже затвердженого виробника EUROAPI HUNGARY Ltd., Угорщина (CEP 2013-105 - Rev 04). Зміни , що відбулися при оновлені СЕР: домішки NDMA та NDEA були видалені з CEP; до адреси виробника додано SPOR ORG ID та SPOR LOC ID.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олмесартану медоксоміл від вже затвердженого виробника ZHEJIANG TIANYU PHARMACEUTICAL CO., LTD., Китай (CEP 2013-268-Rev 03). Зміни , що відбулися при оновлені СЕР: : домішки NDMA та NDEA були видалені з CEP; до адреси виробника додано SPOR ORG ID та SPOR LOC ID.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ОЛМЕТЕК ПЛЮС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20 мг/25 мг; по 14 таблеток у блістері, по 2 блістера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Даічі Санкіо Юроуп ГмбХ</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гідрохлортіазид від вже затвердженого виробника TEVA PHARMACEUTICAL INDUSTRIES LTD (CEP 2004-149-Rev 08). Зміни , що відбулися при оновлені СЕР: видалено домішку N-нітрозо-HCTZ;- змінено назву та адресу власника CEP (Teva Pharmaceutical Industries Ltd. змінено на TAPI NL B.V.);- змінено назву фактичного виробника АФІ (PLIVA Croatia Ltd. на TAPI CROATIA INDUSTRIES LTD.), адреса фактичного виробничого майданчика не змінилася.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олмесартану медоксоміл від вже затвердженого виробника EUROAPI HUNGARY Ltd., Угорщина (CEP 2013-105 - Rev 04). Зміни , що відбулися при оновлені СЕР: домішки NDMA та NDEA були видалені з CEP; до адреси виробника додано SPOR ORG ID та SPOR LOC ID.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олмесартану медоксоміл від вже затвердженого виробника ZHEJIANG TIANYU PHARMACEUTICAL CO., LTD., Китай (CEP 2013-268-Rev 03). Зміни , що відбулися при оновлені СЕР: : домішки NDMA та NDEA були видалені з CEP; до адреси виробника додано SPOR ORG ID та SPOR LOC ID.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UA/17624/01/02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ОЛМЕТЕК ПЛЮС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40 мг/12,5 мг; по 14 таблеток у блістері, по 2 блістера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Зентіва, к.с.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гідрохлортіазид від вже затвердженого виробника TEVA PHARMACEUTICAL INDUSTRIES LTD (CEP 2004-149-Rev 08). Зміни , що відбулися при оновлені СЕР: видалено домішку N-нітрозо-HCTZ;- змінено назву та адресу власника CEP (Teva Pharmaceutical Industries Ltd. змінено на TAPI NL B.V.);- змінено назву фактичного виробника АФІ (PLIVA Croatia Ltd. на TAPI CROATIA INDUSTRIES LTD.), адреса фактичного виробничого майданчика не змінилася.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олмесартану медоксоміл від вже затвердженого виробника EUROAPI HUNGARY Ltd., Угорщина (CEP 2013-105 - Rev 04). Зміни , що відбулися при оновлені СЕР: домішки NDMA та NDEA були видалені з CEP; до адреси виробника додано SPOR ORG ID та SPOR LOC ID.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олмесартану медоксоміл від вже затвердженого виробника ZHEJIANG TIANYU PHARMACEUTICAL CO., LTD., Китай (CEP 2013-268-Rev 03). Зміни , що відбулися при оновлені СЕР: : домішки NDMA та NDEA були видалені з CEP; до адреси виробника додано SPOR ORG ID та SPOR LOC ID.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UA/17624/01/03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ОЛМЕТЕК ПЛЮС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40 мг/25 мг; по 14 таблеток у блістері, по 2 блістера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Зентіва, к.с.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гідрохлортіазид від вже затвердженого виробника TEVA PHARMACEUTICAL INDUSTRIES LTD (CEP 2004-149-Rev 08). Зміни , що відбулися при оновлені СЕР: видалено домішку N-нітрозо-HCTZ;- змінено назву та адресу власника CEP (Teva Pharmaceutical Industries Ltd. змінено на TAPI NL B.V.);- змінено назву фактичного виробника АФІ (PLIVA Croatia Ltd. на TAPI CROATIA INDUSTRIES LTD.), адреса фактичного виробничого майданчика не змінилася.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олмесартану медоксоміл від вже затвердженого виробника EUROAPI HUNGARY Ltd., Угорщина (CEP 2013-105 - Rev 04). Зміни , що відбулися при оновлені СЕР: домішки NDMA та NDEA були видалені з CEP; до адреси виробника додано SPOR ORG ID та SPOR LOC ID.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для діючої речовини олмесартану медоксоміл від вже затвердженого виробника ZHEJIANG TIANYU PHARMACEUTICAL CO., LTD., Китай (CEP 2013-268-Rev 03). Зміни , що відбулися при оновлені СЕР: : домішки NDMA та NDEA були видалені з CEP; до адреси виробника додано SPOR ORG ID та SPOR LOC ID.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UA/17624/01/04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ОМЕЗ®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омепразол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20 мг; по 10 капсул у блістері; по 3 блістери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Д-р Редді’с Лабораторіс Лтд, ФТО – ІІ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Опис та склад (інші зміни) вилучення розміру капсули із показника «Опис» та приведення опису капсул у відповідність до оригінальних матеріалів виробника в Специфікації (на випуск та протягом терміну придатності) та методах контролю МКЯ ЛЗ. Зміни внесено в інструкцію для медичного застосування лікарського засобу у розділ "Лікарська форма" (Основні фізико-хімічні властивості).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UA/0235/02/01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ОМЛОС®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tamsulosin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тамсулозину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G04CA02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з модифікованим вивільненням, тверді, по 0,4 мг; по 10 капсул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АЛКАЛОЇД АД Скоп’є, Республіка Північна Македонія; виробництво нерозфасованого продукту, первинне та вторинне пакування, контроль якості (фізичний, хімічний та мікробіологічний): СІНТОН ХІСПАНІЯ С. Л., Іспанія; виробництво нерозфасованого продукту, первинне та вторинне пакування, контроль якості (фізичний та хімічний): Роттендорф Фарма ГмбХ, Німеччина;</w:t>
              <w:br/>
              <w:t>контроль якості (фізичний та хімічний): КУІНТА-АНАЛІТІКА с.р.о., Чеська Республiка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оновлення вже затверджених методів контролю якості ГЛЗ, а саме викладення тексту державною мовою згідно сучасних вимог та внесення редакційних правок та уточнень згідно матеріалів виробника.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UA/17913/01/01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ОМНІТРОП®</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somatropin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соматропін, рекомбінантний людський гормон росту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H01AC01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мг/1,5 мл, по 1, 5 або 10 картриджів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випуск серії: Сандоз ГмбХ - Виробнича дільниця Асептичні лікарські засоби Шафтенау (Асептичні ЛЗШ), Австрія; повний цикл виробництва: Новартіс Фармасьютікал Мануфактурінг ГмбХ, Австрія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(інші зміни). Зміна частоти та терміну подання регулярно оновлюваного звіту з безпеки лікарського засобу Омнітроп®, розчин для ін'єкцій, 5 мг/1,5 мл; 10 мг/1,5 мл, по 1,5 мл у картриджі; по 1, 5 або 10 картриджів у картонній коробці; Діюча редакція: Частота подання РОЗБ – 1,5 року; Кінцева дата для включення даних до РОЗБ – 30.02.2026 р.; Дата подання – 28.05.2026 р. Пропонована редакція: Частота подання РОЗБ – 3 роки; Кінцева дата для включення даних до РОЗБ – 31.03.2026 р.; Дата подання – 29.06.2026 р. Рекомендується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UA/12754/01/02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ОМНІТРОП®</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somatropin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соматропін, рекомбінантний людський гормон росту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H01AC01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 мг/1,5 мл, по 1, 5 або 10 картриджів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випуск серії: Сандоз ГмбХ - Виробнича дільниця Асептичні лікарські засоби Шафтенау (Асептичні ЛЗШ), Австрія; повний цикл виробництва: Новартіс Фармасьютікал Мануфактурінг ГмбХ, Австрія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(інші зміни). Зміна частоти та терміну подання регулярно оновлюваного звіту з безпеки лікарського засобу Омнітроп®, розчин для ін'єкцій, 5 мг/1,5 мл; 10 мг/1,5 мл, по 1,5 мл у картриджі; по 1, 5 або 10 картриджів у картонній коробці; Діюча редакція: Частота подання РОЗБ – 1,5 року; Кінцева дата для включення даних до РОЗБ – 30.02.2026 р.; Дата подання – 28.05.2026 р. Пропонована редакція: Частота подання РОЗБ – 3 роки; Кінцева дата для включення даних до РОЗБ – 31.03.2026 р.; Дата подання – 29.06.2026 р. Рекомендується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ОРНІДАЗОЛ-АСТРАФАРМ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ornidazole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орнідазол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P01AB03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500 мг, по 10 капсул у блістері, по 1 блістеру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«АСТРАФАРМ»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«АСТРАФАРМ»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технічну помилку в тексті маркування вторинної упаковки (пункт 9) лікарського засобу, допущену при процедурі внесення змін (наказ від 20.05.2026 р. № 646), а саме: вилучено інформацію щодо умов зберігання, викладену російською мовою. </w:t>
              <w:br/>
              <w:t xml:space="preserve">ЗАТВЕРДЖЕНО: </w:t>
              <w:br/>
              <w:t xml:space="preserve">9. УМОВИ ЗБЕРІГАННЯ </w:t>
              <w:br/>
              <w:t xml:space="preserve">Зберігати у сухому, захищеному від світла місці при температурi не вище 25 °С. </w:t>
              <w:br/>
              <w:t xml:space="preserve">Хранить в сухом, защищенном от света месте при температуре не выше 25 °С. </w:t>
              <w:br/>
              <w:t xml:space="preserve">ЗАПРОПОНОВАНО: </w:t>
              <w:br/>
              <w:t xml:space="preserve">9. УМОВИ ЗБЕРІГАННЯ </w:t>
              <w:br/>
              <w:t xml:space="preserve">Зберігати у сухому, захищеному від світла місці при температурi не вище 25 °С. </w:t>
              <w:br/>
              <w:t xml:space="preserve">Зазначене виправлення відповідає матеріалам реєстраційного досьє.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UA/4987/01/01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ОФЛОКСАЦИН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0,2 г, in bulk: по 3000 таблеток у контейнерах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br/>
              <w:t>Оновлення тексту маркування продукції in bulk, а саме внесення редакційних правок.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UA/5049/01/01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ОФЛОКСАЦИН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J01MA01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0,2 г, по 10 таблеток у блістері; по 1 блістеру у пачці з картону; по 10 таблеток у блістері; по 50 або 100 блістерів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Україна;</w:t>
              <w:br/>
              <w:t xml:space="preserve">ПрАТ «Технолог», </w:t>
              <w:br/>
              <w:t>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br/>
              <w:t>Оновлено текст маркування первинної та вторинної упаковки лікарського засобу, а саме: вилучено інформацію, зазначену російською мовою із тексту маркування вторинної упаковки, внесено зміни у текст маркування первинної (п. 2, 6) та вторинної (п. 2, 4, 11, 16, 17) упаковки, а також зроблено незначні редакційні правки.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UA/5050/01/01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ОФОР®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 and ornidazole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 та орнідазол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J01RA09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таблеток у блістері; по 1 блістеру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UA/7732/01/01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ОФОР®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 and ornidazole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 та орнідазол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in bulk: по 2500 таблеток у пакеті; по 1 пакету у коробці із гофрокартону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UA/7733/01/01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ПАКЛІТАКСЕЛ АККОРД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paclitaxel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паклітаксел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6 мг/мл по 5 мл (30 мг), по 16,7 мл (100 мг), по 50 мл (300 мг)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Аккорд Хелскеа Полска Сп. з.о.о.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виробництво bulk, первинне пакування, вторинне пакування, контроль якості серії:</w:t>
              <w:br/>
              <w:t>Інтас Фармасьютікалз Лімітед, Індія;</w:t>
              <w:br/>
              <w:t>Вторинне пакування:</w:t>
              <w:br/>
              <w:t>Аккорд Хелскеа Лімітед, Велика Британія;</w:t>
              <w:br/>
              <w:t>Виробництво готового лікарського засобу, первинне та вторинне пакування, контроль якості серії (альтернативний виробник):</w:t>
              <w:br/>
              <w:t xml:space="preserve">Інтас Фармасьютікалс Лімітед, Індія; </w:t>
              <w:br/>
              <w:t>Контроль якості серій:</w:t>
              <w:br/>
              <w:t xml:space="preserve">Лабаналізіс Лайф Сайенс С.р.л., Італія; </w:t>
              <w:br/>
              <w:t>Контроль якості серій:</w:t>
              <w:br/>
              <w:t xml:space="preserve">Фармавалід Кфт., Угорщина; </w:t>
              <w:br/>
              <w:t>Відповідальний за випуск серії:</w:t>
              <w:br/>
              <w:t>Аккорд Хелскеа Полска Сп. з о.о. Склад Імпортера, Польща;</w:t>
              <w:br/>
              <w:t>вторинне пакування, контроль якості серії:</w:t>
              <w:br/>
              <w:t>Аккорд Хелскеа Сінгл Мембер С.А., Греція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та адреси виробника, відповідального за контроль якості серії готової продукції, без зміни місця виробництва.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та адреси виробника, відповідального за контроль якості серії готової продукції, без зміни місця виробництва.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аналітичної методики ГЛЗ «Вміст води», а саме включення додаткової примітки щодо відкриття флакону безпосередньо перед процедурою та включення опису методики(було лише посилання на ЄФ 2.5.12).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ПАНТЕНОЛ ПЛЮС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chlorhexidine,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хлоргексидину дигідрохлорид, декспантенол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D08AC52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по 30 г у тубі алюмінієвій; по 1 тубі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"Тернофарм"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у специфікацію щодо рутинності проведення аналізу мікробіологічного контролю готового лікарського засобу за показником "Мікробіологічна чистота" (запропоновано: не рутинний тест: допускається проводити контроль першої та кожної п’ятої наступної серії ГЛЗ, але не рідше ніж 1 серії в рік)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ПАНТОПРОТЕКТ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pantoprazole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пантопразол натрію сесквігідрат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гастрорезистентні по 40 мг; по 14 таблеток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первинне та вторинне пакування, контроль якості та випуск серії:</w:t>
              <w:br/>
              <w:t>Това Фармасьютікал Юроп С.Л.</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назви лікарського засобу - Зміни внесено щодо назви лікарського засобу. Затверджено: ПАНТОПРАЗОЛ-ВІСТА (PANTOPRAZOLE-VISTA) Запропоновано: ПАНТОПРОТЕКТ </w:t>
              <w:br/>
              <w:t>(PANTOPROTECT).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UA/21285/01/02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ПАНТОПРОТЕКТ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pantoprazole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пантопразол натрію сесквігідрат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гастрорезистентні по 20 мг; по 14 таблеток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первинне та вторинне пакування, контроль якості та випуск серії:</w:t>
              <w:br/>
              <w:t xml:space="preserve">Това Фармасьютікал Юроп С.Л. </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назви лікарського засобу - Зміни внесено щодо назви лікарського засобу. Затверджено: ПАНТОПРАЗОЛ-ВІСТА (PANTOPRAZOLE-VISTA) Запропоновано: ПАНТОПРОТЕКТ </w:t>
              <w:br/>
              <w:t>(PANTOPROTECT).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ПАПАВЕРИН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papaverine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папаверину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20 мг/мл, по 2 мл в ампулі; по 10 ампул у пачці з картону з перегородками; по 2 мл в ампулі; по 100 ампул у коробці з картону з перегородками; по 2 мл в ампулі; по 5 ампул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Внесення змін до розділу «Маркування» МКЯ ЛЗ: Затверджено: МАРКУВАННЯ Надається. Запропоновано: МАРКУВАННЯ Відповідно до затвердженого тексту маркування. Зміни внесено в текст маркування вторинної упаковки лікарського засобу у пункти 2, 4, 11, 17 та в текст маркування первинної упаковки у пункти 2, 6. Також вилучено дублюючу інформацію російською мовою та внесено незначні правки по тексту.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ПЕР'ЄТА®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по 420 мг/14 мл; по 14 мл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випробування контролю якості: Рош Діагностикс ГмбХ, Німеччина; </w:t>
              <w:br/>
              <w:t>Вторинне пакування, випуск cерії: Ф.Хоффманн-Ля Рош Лтд, Швейцарія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 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 детектуванням.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ПОЛАЙВІ®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polatuzumab vedotin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полатузумаб ведотин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L01FX14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концентрату для розчину для інфузій по 140 мг; по 140 мг у флаконі; по 1 флакону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випробування контролю якості (тільки на стерильність та бактеріальні ендотоксини): БСП Фармасьютікалз С.п.А., Італія;</w:t>
              <w:br/>
              <w:t>випробування контролю якості (окрім активності, стерильності та бактеріальних ендотоксинів): Лонза Лтд, Швейцарія;</w:t>
              <w:br/>
              <w:t>випробування контролю якості (тільки активність), вторинне пакування, випуск серії: Ф.Хоффманн-Ля Рош Лтд, Швейцарія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МС-детектуванням.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UA/19838/01/02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ПОЛАЙВІ®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polatuzumab vedotin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полатузумаб ведотин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L01FX14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концентрату для розчину для інфузій по 30 мг; по 30 мг у флаконі; по 1 флакону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випробування контролю якості (окрім активності, стерильності та бактеріальних ендотоксинів):</w:t>
              <w:br/>
              <w:t>Лонза Лтд, Швейцарія;</w:t>
              <w:br/>
              <w:t>виробництво нерозфасованої продукції, первинне пакування, випробування контролю якості, вторинне пакування, випуск серії:</w:t>
              <w:br/>
              <w:t>Ф.Хоффманн-Ля Рош Лтд, Швейцарія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МС-детектуванням.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ПОЛЬПРИД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itopride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ітоприду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A03FA07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50 мг</w:t>
              <w:br/>
              <w:t>по 10 таблеток у блістері; по 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 (Завод АZ)</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заміна виробничої дільниці, яка здійснює виробництво in bulk. Зміни внесено в розділи "Виробник" та "Місцезнаходження виробника та адреса місця провадження його діяльності"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заміна виробника, що відповідає за випуск серії, включаючи контроль/випробування серії. Зміни внесено в розділи "Виробник" та "Місцезнаходження виробника та адреса місця провадження його діяльності"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у процесі виробництва на стадіях: Pre-blending, Wet granulation and drying, Final blending, Film coating, що виникають через необхідність адаптації процесу на новій виробничій дільниці; додано новий розділ Holding times та оновлено опис стадій Film coating і Blistering-Packaging. Відповідно оновлюються розділи реєстраційного досьє 3.2.Р.3.3, 3.2.Р.3.5. Введення змін протягом 6-ти місяців після затвердження. Зміни II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(розширення затверджених допустимих меж для показників, які можуть мати істотний вплив на загальну якість готового лікарського засобу) – розширення допустимої межі для параметру «Loss of drying» при внутрішньовиробничому контролі на стадії «Wet granulation and drying» (затверджено: NMT 1.0%; запропоновано: 1.5 %).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ПОМПЕРІО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 (у формі езомепразолу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40 мг; 1 флакон з ліофілізатом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Мефар Ілач Сан. А.Ш.</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назви лікарського засобу </w:t>
              <w:br/>
              <w:t xml:space="preserve">Зміна назви лікарського засобу. ЗАТВЕРДЖЕНО: ПОМПЕЗО (POMPEZO) - ЗАПРОПОНОВАНО: ПОМПЕРІО (POMPERIO) </w:t>
              <w:br/>
              <w:t>Термін введення змін - протягом 6 місяців після затвердження.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а саме: внесення редакційних правок по тексту.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ПРЕТОМАНІД МАКЛЕОДС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pretomanid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претоманід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J04AК08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200 мг; по 10 таблеток у блістері, по 19 блістерів у картонній упаковці, по 14 таблеток у блістері, по 13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МАКЛЕОДС ФАРМАСЬЮТИКАЛС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ПРІОРИКС™ / PRIORIX™ КОМБІНОВАНА ВАКЦИНА ДЛЯ ПРОФІЛАКТИКИ КОРУ, ЕПІДЕМІЧНОГО ПАРОТИТУ ТА КРАСНУХИ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t>measles, combinations with mumps and rubella,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живий</w:t>
            </w:r>
            <w:r>
              <w:rPr>
                <w:rFonts w:cs="Arial" w:ascii="Arial" w:hAnsi="Arial"/>
                <w:sz w:val="16"/>
                <w:szCs w:val="16"/>
                <w:lang w:val="en-US"/>
              </w:rPr>
              <w:t xml:space="preserve"> </w:t>
            </w:r>
            <w:r>
              <w:rPr>
                <w:rFonts w:cs="Arial" w:ascii="Arial" w:hAnsi="Arial"/>
                <w:sz w:val="16"/>
                <w:szCs w:val="16"/>
              </w:rPr>
              <w:t>атенуйований</w:t>
            </w:r>
            <w:r>
              <w:rPr>
                <w:rFonts w:cs="Arial" w:ascii="Arial" w:hAnsi="Arial"/>
                <w:sz w:val="16"/>
                <w:szCs w:val="16"/>
                <w:lang w:val="en-US"/>
              </w:rPr>
              <w:t xml:space="preserve"> </w:t>
            </w:r>
            <w:r>
              <w:rPr>
                <w:rFonts w:cs="Arial" w:ascii="Arial" w:hAnsi="Arial"/>
                <w:sz w:val="16"/>
                <w:szCs w:val="16"/>
              </w:rPr>
              <w:t>вірусу</w:t>
            </w:r>
            <w:r>
              <w:rPr>
                <w:rFonts w:cs="Arial" w:ascii="Arial" w:hAnsi="Arial"/>
                <w:sz w:val="16"/>
                <w:szCs w:val="16"/>
                <w:lang w:val="en-US"/>
              </w:rPr>
              <w:t xml:space="preserve"> </w:t>
            </w:r>
            <w:r>
              <w:rPr>
                <w:rFonts w:cs="Arial" w:ascii="Arial" w:hAnsi="Arial"/>
                <w:sz w:val="16"/>
                <w:szCs w:val="16"/>
              </w:rPr>
              <w:t>кору</w:t>
            </w:r>
            <w:r>
              <w:rPr>
                <w:rFonts w:cs="Arial" w:ascii="Arial" w:hAnsi="Arial"/>
                <w:sz w:val="16"/>
                <w:szCs w:val="16"/>
                <w:lang w:val="en-US"/>
              </w:rPr>
              <w:t xml:space="preserve"> (</w:t>
            </w:r>
            <w:r>
              <w:rPr>
                <w:rFonts w:cs="Arial" w:ascii="Arial" w:hAnsi="Arial"/>
                <w:sz w:val="16"/>
                <w:szCs w:val="16"/>
              </w:rPr>
              <w:t>штам</w:t>
            </w:r>
            <w:r>
              <w:rPr>
                <w:rFonts w:cs="Arial" w:ascii="Arial" w:hAnsi="Arial"/>
                <w:sz w:val="16"/>
                <w:szCs w:val="16"/>
                <w:lang w:val="en-US"/>
              </w:rPr>
              <w:t xml:space="preserve"> Schwarz);</w:t>
              <w:br/>
            </w:r>
            <w:r>
              <w:rPr>
                <w:rFonts w:cs="Arial" w:ascii="Arial" w:hAnsi="Arial"/>
                <w:sz w:val="16"/>
                <w:szCs w:val="16"/>
              </w:rPr>
              <w:t>живий</w:t>
            </w:r>
            <w:r>
              <w:rPr>
                <w:rFonts w:cs="Arial" w:ascii="Arial" w:hAnsi="Arial"/>
                <w:sz w:val="16"/>
                <w:szCs w:val="16"/>
                <w:lang w:val="en-US"/>
              </w:rPr>
              <w:t xml:space="preserve"> </w:t>
            </w:r>
            <w:r>
              <w:rPr>
                <w:rFonts w:cs="Arial" w:ascii="Arial" w:hAnsi="Arial"/>
                <w:sz w:val="16"/>
                <w:szCs w:val="16"/>
              </w:rPr>
              <w:t>атенуйований</w:t>
            </w:r>
            <w:r>
              <w:rPr>
                <w:rFonts w:cs="Arial" w:ascii="Arial" w:hAnsi="Arial"/>
                <w:sz w:val="16"/>
                <w:szCs w:val="16"/>
                <w:lang w:val="en-US"/>
              </w:rPr>
              <w:t xml:space="preserve"> </w:t>
            </w:r>
            <w:r>
              <w:rPr>
                <w:rFonts w:cs="Arial" w:ascii="Arial" w:hAnsi="Arial"/>
                <w:sz w:val="16"/>
                <w:szCs w:val="16"/>
              </w:rPr>
              <w:t>вірус</w:t>
            </w:r>
            <w:r>
              <w:rPr>
                <w:rFonts w:cs="Arial" w:ascii="Arial" w:hAnsi="Arial"/>
                <w:sz w:val="16"/>
                <w:szCs w:val="16"/>
                <w:lang w:val="en-US"/>
              </w:rPr>
              <w:t xml:space="preserve"> </w:t>
            </w:r>
            <w:r>
              <w:rPr>
                <w:rFonts w:cs="Arial" w:ascii="Arial" w:hAnsi="Arial"/>
                <w:sz w:val="16"/>
                <w:szCs w:val="16"/>
              </w:rPr>
              <w:t>епідемічного</w:t>
            </w:r>
            <w:r>
              <w:rPr>
                <w:rFonts w:cs="Arial" w:ascii="Arial" w:hAnsi="Arial"/>
                <w:sz w:val="16"/>
                <w:szCs w:val="16"/>
                <w:lang w:val="en-US"/>
              </w:rPr>
              <w:t xml:space="preserve"> </w:t>
            </w:r>
            <w:r>
              <w:rPr>
                <w:rFonts w:cs="Arial" w:ascii="Arial" w:hAnsi="Arial"/>
                <w:sz w:val="16"/>
                <w:szCs w:val="16"/>
              </w:rPr>
              <w:t>паротиту</w:t>
            </w:r>
            <w:r>
              <w:rPr>
                <w:rFonts w:cs="Arial" w:ascii="Arial" w:hAnsi="Arial"/>
                <w:sz w:val="16"/>
                <w:szCs w:val="16"/>
                <w:lang w:val="en-US"/>
              </w:rPr>
              <w:t xml:space="preserve"> (</w:t>
            </w:r>
            <w:r>
              <w:rPr>
                <w:rFonts w:cs="Arial" w:ascii="Arial" w:hAnsi="Arial"/>
                <w:sz w:val="16"/>
                <w:szCs w:val="16"/>
              </w:rPr>
              <w:t>штам</w:t>
            </w:r>
            <w:r>
              <w:rPr>
                <w:rFonts w:cs="Arial" w:ascii="Arial" w:hAnsi="Arial"/>
                <w:sz w:val="16"/>
                <w:szCs w:val="16"/>
                <w:lang w:val="en-US"/>
              </w:rPr>
              <w:t xml:space="preserve"> RIT 4385); </w:t>
              <w:br/>
            </w:r>
            <w:r>
              <w:rPr>
                <w:rFonts w:cs="Arial" w:ascii="Arial" w:hAnsi="Arial"/>
                <w:sz w:val="16"/>
                <w:szCs w:val="16"/>
              </w:rPr>
              <w:t>живий</w:t>
            </w:r>
            <w:r>
              <w:rPr>
                <w:rFonts w:cs="Arial" w:ascii="Arial" w:hAnsi="Arial"/>
                <w:sz w:val="16"/>
                <w:szCs w:val="16"/>
                <w:lang w:val="en-US"/>
              </w:rPr>
              <w:t xml:space="preserve"> </w:t>
            </w:r>
            <w:r>
              <w:rPr>
                <w:rFonts w:cs="Arial" w:ascii="Arial" w:hAnsi="Arial"/>
                <w:sz w:val="16"/>
                <w:szCs w:val="16"/>
              </w:rPr>
              <w:t>атенуйований</w:t>
            </w:r>
            <w:r>
              <w:rPr>
                <w:rFonts w:cs="Arial" w:ascii="Arial" w:hAnsi="Arial"/>
                <w:sz w:val="16"/>
                <w:szCs w:val="16"/>
                <w:lang w:val="en-US"/>
              </w:rPr>
              <w:t xml:space="preserve"> </w:t>
            </w:r>
            <w:r>
              <w:rPr>
                <w:rFonts w:cs="Arial" w:ascii="Arial" w:hAnsi="Arial"/>
                <w:sz w:val="16"/>
                <w:szCs w:val="16"/>
              </w:rPr>
              <w:t>вірус</w:t>
            </w:r>
            <w:r>
              <w:rPr>
                <w:rFonts w:cs="Arial" w:ascii="Arial" w:hAnsi="Arial"/>
                <w:sz w:val="16"/>
                <w:szCs w:val="16"/>
                <w:lang w:val="en-US"/>
              </w:rPr>
              <w:t xml:space="preserve"> </w:t>
            </w:r>
            <w:r>
              <w:rPr>
                <w:rFonts w:cs="Arial" w:ascii="Arial" w:hAnsi="Arial"/>
                <w:sz w:val="16"/>
                <w:szCs w:val="16"/>
              </w:rPr>
              <w:t>краснухи</w:t>
            </w:r>
            <w:r>
              <w:rPr>
                <w:rFonts w:cs="Arial" w:ascii="Arial" w:hAnsi="Arial"/>
                <w:sz w:val="16"/>
                <w:szCs w:val="16"/>
                <w:lang w:val="en-US"/>
              </w:rPr>
              <w:t xml:space="preserve"> (</w:t>
            </w:r>
            <w:r>
              <w:rPr>
                <w:rFonts w:cs="Arial" w:ascii="Arial" w:hAnsi="Arial"/>
                <w:sz w:val="16"/>
                <w:szCs w:val="16"/>
              </w:rPr>
              <w:t>штам</w:t>
            </w:r>
            <w:r>
              <w:rPr>
                <w:rFonts w:cs="Arial" w:ascii="Arial" w:hAnsi="Arial"/>
                <w:sz w:val="16"/>
                <w:szCs w:val="16"/>
                <w:lang w:val="en-US"/>
              </w:rPr>
              <w:t xml:space="preserve"> Wistar RA 27/3)</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J07BD52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1 монодозовий флакон (1 доза) з ліофілізатом у комплекті з розчинником (вода для ін'єкцій) у попередньо наповненому шприці та двома голками в картонній коробці; 100 монодозових (1 доза) флаконів з ліофілізатом у комплекті з розчинником (вода для ін'єкцій) в ампулах № 100 в окремій упаковці; 1 мультидозовий флакон (2 дози) з ліофілізатом у комплекті з розчинником (вода для ін'єкцій) в ампулі; по 100 штук флаконів та ампул в окремих коробках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Експорт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Біолоджікалз С.А., Бельгія </w:t>
              <w:br/>
              <w:t xml:space="preserve">(Контроль якості розчинника в ампулах 2-х доз, випуск серій розчинника в ампулах для 1-ї та 2-х доз та шприцах. Випуск серії готового продукту); ГлаксоСмітКляйн Біолоджікалз, Франція (Маркування та пакування готового продукту, маркування та пакування розчинника в шприцах); ГлаксоСмітКляйн Біолоджікалз С.А., Бельгія (Маркування та пакування готового продукту, контроль якості готового продукту. Контроль якості розчинника для 1-ї та 2-х доз та шприцах. Маркування та пакування розчинника для 1-ї та 2-х доз та шприцах); Корікса Корпорейшн дба ГлаксоСмітКляйн Вакцинз, Сполучені Штати Америки (Формування, наповнення та ліофілізація вакцини); Фідіа Фармасьютічі С.п.А., Італія (Формування, наповнення, ліофілізація вакцини. Виробництво розчинника в ампулах, маркування та пакування розчинника в ампулах, контроль якості розчинника в ампулах); Делфарм Тур, Франція (Виробництво розчинника в ампулах для 1-ї та 2-х доз, маркування та пакування розчинника в ампулах для 1-ї та 2-х доз, контроль якості розчинника в ампулах для 1-ї та 2-х доз); Каталент Белджіум, Бельгія (Виробництво розчинника в шприцах, контроль якості розчинника в шприцах); Аспен Нотр-Дам-Де-Бондвіль, Франція (Виробництво розчинника в шприцах, контроль якості розчинника в шприцах)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Сполучені Штати Америки/</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CEP 2000-155 Rev 06 для фетальної бичачої сироватки (Foetal Bovine Serum (FBS)) від вже затвердженого виробника LIFE TECHNOLOGIES CORPORATION. Діюча редакція: R1-CEP 2000-155-Rev 05. Пропонована редакція: CEP 2000-155 - Rev 06</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ПРОТЕКОН®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глюкозаміну сульфат натрію хлорид, хондроїтину сульфат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M09AX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 таблеток у блістері; по 3 блістери у пачці з картону; по 10 таблеток у блістері; по 3 блістери у пачці з картону; по 3 пачки у пачці з картону; по 30, 60 або 120 таблеток у контейнері; по 1 контейнеру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 Індія; Сага Лайфсаєнсиз Лімітед, Індія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ПРОТЕКОН®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глюкозаміну сульфат натрію хлорид, хондроїтину сульфат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in bulk: по 2500 таблеток у пакетах у коробці з гофрокартону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 Індія; Сага Лайфсаєнсиз Лімітед, Індія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ПУРЕГОН®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beta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бета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833 МО/мл; по 0,420 мл (300 МО/0,36 мл) або 0,780 мл (600 МО/0,72 мл) у картриджі; по 1 картриджу у відкритому пластиковому лотку в комплекті з голками, по 2 комплекти голок – 2 картонні коробки (кожен комплект по 3 голки, кожна голка в індивідуальному пластиковому контейнері)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Органон Сентрал Іст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та первинна упаковка, контроль якості, тестування стерильності та бактеріальних ендотоксинів готового лікарського засобу (контроль якості та тестування стабільності), візуальна інспекція: Веттер Фарма-Фертигунг ГмбХ і Ко. КГ, Німеччина; Контроль якості, тестування стерильності та бактеріальних ендотоксинів готового лікарського засобу (контроль якості та тестування стабільності), візуальна інспекція: Веттер Фарма-Фертигунг ГмбХ і Ко. КГ, Німеччина; Візуальна інспекція: Веттер Фарма-Фертигунг ГмбХ і Ко. КГ, Німеччина; Контроль якості та тестування стабільності, вторинна упаковка, дозвіл на випуск серії:</w:t>
              <w:br/>
              <w:t>Н.В. Органон, Нідерланди</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br/>
              <w:t>Незначні зміни в процедурі тесту «Імуноферментний аналіз (EIA)» для активної речовини фолітропін бета, застосовуваного для визначення вмісту свинячого інсуліну, з використанням альтернативних розчинів реагентів для підготовки субстрату та буфера субстрату.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процедурі тесту «Імуноферментний аналіз (EIA)» для активної речовини фолітропін бета, застосовуваного для визначення вмісту бичачого трансферину, з використанням альтернативних розчинів реагентів для підготовки субстрату та буфера субстрату.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UA/5023/01/01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РЕГУЛОН®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Desogestrel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дезогестрел, етинілестрадіол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0,15 мг/0,03 мг по 21 таблетці у блістері; по 1 або по 3 блістери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2006-174-Rev 04 для діючої речовини Desogestrel від вже затвердженого виробника Gedeon Richter Plc. Затверджено: R1-CEP 2006-174-Rev 03 - Запропоновано: R1-CEP 2006-174-Rev 04</w:t>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2001-400-Rev 02 для діючої речовини Ethinylestradiol від вже затвердженого виробника Gedeon Richter Plc. Затверджено: R1-CEP 2001-400-Rev 01. Запропоновано: R1-CEP 2001-400-Rev 02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РЕНАЛГАН®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Pitofenone and analgesics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метамізол натрію, пітофенону гідрохлорид, фенпіверинію бромід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A03DA02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1 або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 xml:space="preserve">Україна; </w:t>
              <w:br/>
              <w:t>ПрАТ "Технолог",</w:t>
              <w:br/>
              <w:t>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а саме: вилучено інформацію, зазначену російською мовою, із тексту маркування вторинної упаковки, внесено зміни у текст маркування первинної (п. 2, 6) та вторинної (п. 2, 4, 11, 16, 17) упаковки, а також зроблено незначні редакційні правки.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РЕНАЛГАН®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Pitofenone and analgesics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метамізол натрію, пітофенону гідрохлорид, фенпіверинію бромід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in bulk: по 2500 таблеток у контейнері з контролем першого розкриття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форми in bulk, у зв’язку з вилученням тексту маркування російською мовою та внесення редакційних правок за п.п. 2, 4, 11, 17 для форми in bulk.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UA/1531/01/01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РОЗУЛІП® ПЛЮС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розувастатин (у вигляді розувастатину цинку) та езетиміб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C10BA06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10 мг/10 мг, по 10 капсул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включаючи випуск серії: ЗАТ Фармацевтичний завод ЕГІС, Угорщина;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включаючи випуск серії: ЗАТ Фармацевтичний завод  ЕГІС, Угорщина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РОКУРОНІЙ КАБІ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rocuronium bromide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рокуронію бромід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M03AC09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10 мг/мл; по 5 мл у скляному флаконі; по 5 або 10 флаконів у картонній коробці; по 10 мл у скляному флаконі; по 5 або 10 флаконів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Фрезеніус Кабі Дойчланд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пакування, контроль якості, випуск серії: Фрезеніус Кабі Австрія ГмбХ, Австрія; маркування, вторинне пакування, альтернативна дільниця для контролю якості: Фрезеніус Кабі Австрія ГмбХ, Австрія; альтернативна дільниця для мікробіологічного контролю: ЕГЕС ГмбХ, Австрія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2010-023-Rev 05 (затверджено: R1-CEP 2010-023-Rev 04) для АФІ рокуронію броміду від затвердженого виробника Sicor de Mexico SA de CV, Mexicо.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2010-023-Rev 06 для АФІ рокуронію броміду від затвердженого виробника Sicor de Mexico SA de CV, Mexicо.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UA/15270/01/01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САРГІН®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Аргініну аспартат (L-аргініну аспартат)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200 мг/мл, по 100 мл або 200 мл у флаконі; по 1 флакону з ложкою дозувальною або дозуючим стаканом або шприцом дозувальним у пачці; або по 5 мл пакети-саше по 20 або по 30 пакетів-саше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(інші зміни) - вилучення показника «Мікробіологічна чистота» для АФІ L-аргініну L- аспартат виробництва АТ «Фармак», Україна.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внесення альтернативного виробника АФІ L-Аргініну L-Аспартат, виробництва компанії АТ «Фармак», Україна, (затверджено: Flamme S.p.A., Italy; FAES FARMA, S.A., Spain) запропоновано: Flamme S.p.A., Italy; FAES FARMA, S.A., Spain; *АТ «Фармак», Україна *для виробника АТ «Фармак», Україна торгова назва АФІ L Аргініну L Аспартат)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UA/16480/02/01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СЕРМІОН®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nicergoline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ніцерголін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C04AE02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цукровою оболонкою, по 10 мг; по 25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UA/5183/01/03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СЕРМІОН®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nicergoline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ніцерголін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C04AE02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 по 15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UA/5183/01/01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СЕРМІОН®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nicergoline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ніцерголін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C04AE02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цукровою оболонкою, по 5 мг; по 15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UA/5183/01/02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СИНАФЛАН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fluocinolone acetonide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флуоцинолону ацетонід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D07AC04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0,025%; по 15 г у тубі алюмінієвій; по 1 тубі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ДП "СТАДА-УКРАЇНА"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«ФЗ «СТАДА»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зміни до специфікації вхідного контролю первинного пакування Сп. 5.14-01-205 «Туби алюмінієві» лікарського засобу Гідрокортизон, мазь 1%, а саме внесено уточнення до технічних допусків показника «Діаметр туби» з метою приведення їх у відповідність до вимог ТУУ 28.7-32030717-001:2008 виробника ТОВ «Тубний завод».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UA/4902/01/01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СІГРА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 таблетці у блістері; по 1 блістеру в картонній упаковці; по 4 таблетки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ДЖІВДХАРА ФАРМА ПРАЙВІТ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Бафна Фармасьютікалc Лтд.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в інструкцію для медичного застосування лікарського засобу до розділу "Взаємодія з іншими лікарськими засобами та інші види взаємодій" згідно з рекомендацією PRAC. Термін введення змін протягом 6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повідомлень про підозрювані побічні реакції. Термін введення змін -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СІГРА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 таблетці у блістері; по 1 блістеру в картонній упаковці; по 4 таблетки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ДЖІВДХАРА ФАРМА ПРАЙВІТ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Бафна Фармасьютікалc Лтд.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в інструкцію для медичного застосування лікарського засобу до розділу "Взаємодія з іншими лікарськими засобами та інші види взаємодій" згідно з рекомендацією PRAC. Термін введення змін протягом 6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повідомлень про підозрювані побічні реакції. Термін введення змін -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UA/13928/01/02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СЛАБІГЕЛЬ-ЗДОРОВ'Я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docusate sodium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докузат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A06AG10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ректальний, 0,12 г/10 г, по 10 г у тубі-канюлі; по 1 або 6 туб-канюль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«КОРПОРАЦІЯ «ЗДОРОВ’Я»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 xml:space="preserve">уточнення реєстраційної процедури в наказі МОЗ України № 1013 від 24.07.2026 - </w:t>
            </w:r>
            <w:r>
              <w:rPr>
                <w:rFonts w:cs="Arial" w:ascii="Arial" w:hAnsi="Arial"/>
                <w:color w:val="000000"/>
                <w:sz w:val="16"/>
                <w:szCs w:val="16"/>
              </w:rPr>
              <w:br/>
              <w:t>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введення додаткового розміру серії ГЛЗ для упаковки по 10 г у тубі-канюлі у коробці № 6</w:t>
              <w:br/>
              <w:t>Діюча редакція:</w:t>
              <w:br/>
              <w:t>Цех № 4 ФХЦ</w:t>
              <w:br/>
              <w:t>Розмір серії складає</w:t>
              <w:br/>
              <w:t>1,033 тис. уп. по 10 г у тубі-канюлі у коробці № 6 або 6,200 тис. уп. по 10 г у тубі-канюлі у коробці № 1 (62,00 кг);</w:t>
              <w:br/>
              <w:t>1,550 тис. уп. по 10 г у тубі-канюлі у коробці № 6 або 9,300 тис. уп. по 10 г у тубі-канюлі у коробці № 1 (93,00 кг)</w:t>
              <w:br/>
              <w:t>Пропонована редакція:</w:t>
              <w:br/>
              <w:t>Цех № 4 ФХЦ</w:t>
              <w:br/>
              <w:t>Розмір серії складає</w:t>
              <w:br/>
              <w:t xml:space="preserve">1,033 тис. уп. по 10 г у тубі-канюлі у коробці № 6 або 6,200 тис. уп. </w:t>
              <w:br/>
              <w:t>по 10 г у тубі-канюлі у коробці № 1 (62,00 кг);</w:t>
              <w:br/>
              <w:t>1,550 тис. уп. по 10 г у тубі-канюлі у коробці № 6 або 9,300 тис. уп. по 10 г у тубі-канюлі у коробці № 1 (93,00 кг);</w:t>
              <w:br/>
              <w:t>0,466 тис. уп. по 10 г у тубі-канюлі у коробці № 6 (28,00 кг)</w:t>
              <w:br/>
              <w:t xml:space="preserve">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у процесі виробництва готового лікарського засобу - додавання реактора –гомогенізатора ГФ12 для серій малого об’єму.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СМЕКТАЛІЯ®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diosmectite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діосмектит (смектит діоктаедричний)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A07BC05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3 г; по 10,27 г суспензії оральної в пакетику; по 12 пакетиків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ФАРМА ФРАНС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та зберігання:</w:t>
              <w:br/>
              <w:t xml:space="preserve">МАЙОЛІ ІНДУСТРІ, Франція; </w:t>
              <w:br/>
              <w:t>Виробництво, первинне та вторинне пакування, контроль якості, випуск серії та зберігання:</w:t>
              <w:br/>
              <w:t>Фарматіс, Франція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і адреси заявника, оскільки це пов’язано з маркетинговою політикою компанії -</w:t>
              <w:br/>
              <w:t>Зміна найменування та адреси заявника (власника реєстраційного посвідчення), як наслідок - внесено інформацію щодо заявника та його місцезнаходження в інструкцію для медичного застосування лікарського засобу. 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виробника, без зміни місця виробництва: Зміни внесені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затвердження тексту маркування упаковки лікарського засобу для виробника «МАЙОЛІ ІНДУСТРІ». Термін введення змін - протягом 6 місяців після затвердження.</w:t>
              <w:b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діючої речовини, без змін місця виробництва: Затверджено: БОФУР ІПСЕН ІНДУСТРІ - BEAUFOUR IPSEN INDUSTRIE. Запропоновано: МАЙОЛІ ІНДУСТРІ - MAYOLY INDUSTRIE Термін введення змін - протягом 6 місяців після затвердження.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а саме: внесення редакційних правок по тексту.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СМЕКТАЛІЯ®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diosmectite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діосмектит (смектит діоктаедричний)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A07BC05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суспензія оральна, 3 г; по 10,27 г суспензії оральної в пакетику; по 12 пакетиків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ФАРМА ФРАНС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та вторинне пакування, контроль якості, випуск серії та зберігання: МАЙОЛІ ІНДУСТРІ , Франція; </w:t>
              <w:br/>
              <w:t>Виробництво, первинне та вторинне пакування, контроль якості, випуск серії та зберігання: Фарматіс, Франція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Сільвія Сісмондо / Sylvie Cismondo. Пропонована редакція: Ніколас Феррарі / Nicolas Ferrari. </w:t>
              <w:br/>
              <w:t xml:space="preserve">Зміна контактних даних уповноваженої особи заявника, відповідальної за здійснення фармаконагляду. Зміна контактної особи заявника, відповідальної за здійснення фармаконагляду в Україні. Діюча редакція: Шапка Олена Володимирівна. </w:t>
              <w:br/>
              <w:t>Пропонована редакція: Прасоленко Юлія Валеріївна. Зміна контактних даних контактної особи заявника, відповідальної за фармаконагляд в Україні.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СОРБОЛОНГ ДЕТОКС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ксерогель поліметилсилоксану, гідрофілізований інуліном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A07BC</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0, 427 г по 7 капсул у блістері, по 1 або по 2 блістери у коробці з картону; по 10 капсул у блістері, по 1 або по 2 блістери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«ЕОФ «КРЕОМА-ФАРМ»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«ЕОФ «КРЕОМА-ФАРМ»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Заявника(власника реєстраційного посвідчення). Зміни внесено в інструкцію для медичного застосування лікарського засобу щодо місцезнаходження заявника.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адреси місця провадження діяльності виробника ГЛЗ,без зміни місця виробництва.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СПАЗМЕКС®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trospium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троспію 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G04BD09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10 таблеток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«ВОРВАРТС ФАРМА»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Др. Пфлегер Арцнайміттель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Відповідні зміни внесено у текст маркування упаковки лікарського засобу.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Daniela Dollfelder. Пропонована редакція: Ель Каяль Наталія Юріївна.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w:t>
              <w:br/>
              <w:t>Зміна місця здійснення основної діяльності з фармаконагляду.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UA/11835/01/02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СПАЗМЕКС®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trospium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троспію 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G04BD09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10 таблеток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«ВОРВАРТС ФАРМА»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Др. Пфлегер Арцнайміттель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виробника, без зміни місця виробництва: Зміни внесено в розділ "Місцезнаходження виробника та адреса місця провадження його діяльності" в інструкцію для медичного застосування лікарського засобу та як наслідок - у текст маркування упаковки лікарського засобу.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 "Фармакотерапевтична група. Код АТХ" (уточнено назву фармакотерапевтичної групи без зміни коду АТХ) та редакційні зміни в розділи "Склад", "Упаковка", "Місцезнаходження виробника та адреса місця провадження його діяльності", а також в розділ "Побічні реакції" щодо важливості звітування про підозрювані побічні реакції. Зміни внесено в текст маркування вторинної упаковки лікарського засобу (пункти 3, 5).</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UA/11835/01/02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СТОМАТОФІТ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rPr>
            </w:pPr>
            <w:r>
              <w:rPr>
                <w:rFonts w:cs="Arial" w:ascii="Arial" w:hAnsi="Arial"/>
                <w:color w:val="000000"/>
                <w:sz w:val="16"/>
                <w:szCs w:val="16"/>
              </w:rPr>
              <w:t>екстракт рідкий із суміші</w:t>
            </w:r>
            <w:r>
              <w:rPr>
                <w:rFonts w:cs="Arial" w:ascii="Arial" w:hAnsi="Arial"/>
                <w:i/>
                <w:iCs/>
                <w:color w:val="000000"/>
                <w:sz w:val="16"/>
                <w:szCs w:val="16"/>
              </w:rPr>
              <w:t xml:space="preserve"> </w:t>
            </w:r>
            <w:r>
              <w:rPr>
                <w:rFonts w:cs="Arial" w:ascii="Arial" w:hAnsi="Arial"/>
                <w:color w:val="000000"/>
                <w:sz w:val="16"/>
                <w:szCs w:val="16"/>
              </w:rPr>
              <w:t>сировини: квіток ромашки (</w:t>
            </w:r>
            <w:r>
              <w:rPr>
                <w:rFonts w:cs="Arial" w:ascii="Arial" w:hAnsi="Arial"/>
                <w:i/>
                <w:iCs/>
                <w:color w:val="000000"/>
                <w:sz w:val="16"/>
                <w:szCs w:val="16"/>
              </w:rPr>
              <w:t>Matricaria chamomilla</w:t>
            </w:r>
            <w:r>
              <w:rPr>
                <w:rFonts w:cs="Arial" w:ascii="Arial" w:hAnsi="Arial"/>
                <w:color w:val="000000"/>
                <w:sz w:val="16"/>
                <w:szCs w:val="16"/>
              </w:rPr>
              <w:t xml:space="preserve"> L.), кори  дуба (</w:t>
            </w:r>
            <w:r>
              <w:rPr>
                <w:rFonts w:cs="Arial" w:ascii="Arial" w:hAnsi="Arial"/>
                <w:i/>
                <w:iCs/>
                <w:color w:val="000000"/>
                <w:sz w:val="16"/>
                <w:szCs w:val="16"/>
              </w:rPr>
              <w:t>Quercus robur</w:t>
            </w:r>
            <w:r>
              <w:rPr>
                <w:rFonts w:cs="Arial" w:ascii="Arial" w:hAnsi="Arial"/>
                <w:color w:val="000000"/>
                <w:sz w:val="16"/>
                <w:szCs w:val="16"/>
              </w:rPr>
              <w:t xml:space="preserve"> L.), листя шавлії (</w:t>
            </w:r>
            <w:r>
              <w:rPr>
                <w:rFonts w:cs="Arial" w:ascii="Arial" w:hAnsi="Arial"/>
                <w:i/>
                <w:iCs/>
                <w:color w:val="000000"/>
                <w:sz w:val="16"/>
                <w:szCs w:val="16"/>
              </w:rPr>
              <w:t>Salvia officinalis</w:t>
            </w:r>
            <w:r>
              <w:rPr>
                <w:rFonts w:cs="Arial" w:ascii="Arial" w:hAnsi="Arial"/>
                <w:color w:val="000000"/>
                <w:sz w:val="16"/>
                <w:szCs w:val="16"/>
              </w:rPr>
              <w:t xml:space="preserve"> L.), трави арніки (</w:t>
            </w:r>
            <w:r>
              <w:rPr>
                <w:rFonts w:cs="Arial" w:ascii="Arial" w:hAnsi="Arial"/>
                <w:i/>
                <w:iCs/>
                <w:color w:val="000000"/>
                <w:sz w:val="16"/>
                <w:szCs w:val="16"/>
              </w:rPr>
              <w:t>Arnica montana</w:t>
            </w:r>
            <w:r>
              <w:rPr>
                <w:rFonts w:cs="Arial" w:ascii="Arial" w:hAnsi="Arial"/>
                <w:color w:val="000000"/>
                <w:sz w:val="16"/>
                <w:szCs w:val="16"/>
              </w:rPr>
              <w:t xml:space="preserve"> L.), кореневища аїру (</w:t>
            </w:r>
            <w:r>
              <w:rPr>
                <w:rFonts w:cs="Arial" w:ascii="Arial" w:hAnsi="Arial"/>
                <w:i/>
                <w:iCs/>
                <w:color w:val="000000"/>
                <w:sz w:val="16"/>
                <w:szCs w:val="16"/>
              </w:rPr>
              <w:t>Acorus calamus</w:t>
            </w:r>
            <w:r>
              <w:rPr>
                <w:rFonts w:cs="Arial" w:ascii="Arial" w:hAnsi="Arial"/>
                <w:color w:val="000000"/>
                <w:sz w:val="16"/>
                <w:szCs w:val="16"/>
              </w:rPr>
              <w:t xml:space="preserve"> L.), трави м’яти перцевої (</w:t>
            </w:r>
            <w:r>
              <w:rPr>
                <w:rFonts w:cs="Arial" w:ascii="Arial" w:hAnsi="Arial"/>
                <w:i/>
                <w:iCs/>
                <w:color w:val="000000"/>
                <w:sz w:val="16"/>
                <w:szCs w:val="16"/>
              </w:rPr>
              <w:t>Mentha piperita</w:t>
            </w:r>
            <w:r>
              <w:rPr>
                <w:rFonts w:cs="Arial" w:ascii="Arial" w:hAnsi="Arial"/>
                <w:color w:val="000000"/>
                <w:sz w:val="16"/>
                <w:szCs w:val="16"/>
              </w:rPr>
              <w:t xml:space="preserve"> L.), трави чебрецю звичайного (</w:t>
            </w:r>
            <w:r>
              <w:rPr>
                <w:rFonts w:cs="Arial" w:ascii="Arial" w:hAnsi="Arial"/>
                <w:i/>
                <w:iCs/>
                <w:color w:val="000000"/>
                <w:sz w:val="16"/>
                <w:szCs w:val="16"/>
              </w:rPr>
              <w:t>Thymus vulgaris</w:t>
            </w:r>
            <w:r>
              <w:rPr>
                <w:rFonts w:cs="Arial" w:ascii="Arial" w:hAnsi="Arial"/>
                <w:color w:val="000000"/>
                <w:sz w:val="16"/>
                <w:szCs w:val="16"/>
              </w:rPr>
              <w:t xml:space="preserve"> L.), анестезин</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A01AD11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ротової порожнини по 25 мл у флаконі; по 1 флакону в картонній коробці, по 25 мл у флаконі з розпилювачем та аплікатором,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Фітофарм Кленка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Фітофарм Кленка С. 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br/>
              <w:t xml:space="preserve">незначні зміни до методики ТШХ Identity testing для вихідного матеріалу арніки трави.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методики ТШХ Identity testing вихідного матеріалу кореневища аїру.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методики ТШХ Identity testing активної субстанції. Зміни II типу - Зміни з якості. АФІ. Виробництво. Зміни в процесі виробництва АФІ (зміна у лікарському засобі рослинного походження, яка стосується однієї з таких характеристик: джерело походження сировини, спосіб виробництва або виготовлення) зміна регіону походження вихідної сировини Чебрецю трава та внесення змін до опису процесу виробництва. Затверджено: Регіон походження: Центральна та Східна Європа Запропоновано: Регіон походження: Європа: Польща; Африка: Єгипет.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UA/8656/01/01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ДЛЯ ДІТЕЙ 6+</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12 льодяників у блістері; по 1 або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З МЕДОМ ТА ЛИМОНОМ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льодяники, по 12 льодяників у блістері; по 2 блістери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UA/6400/01/01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З МЕНТОЛОМ ТА ЕВКАЛІПТОМ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 левоментол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R02AA03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12 льодяників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UA/6401/01/01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ІНТЕНСИВ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flurbiprofen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флурбіпрофен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спрей оромукозний, розчин 8,75 мг/доза; по 15 мл у флаконі; по 1 флакону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Реккітт Бенкізер Хелскер Інтернешнл Лімітед, Велика Британія; виробництво, пакування та первинний випуск готового лікарського засобу: Реккітт Бенкізер Хелскер Мануфекчурінг (Таїланд) Лімітед, Таїланд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Таїланд</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UA/15692/01/01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ОРИГІНАЛЬНИЙ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12 льодяників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UA/6479/01/01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СУПРОСТИЛІН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chloropyramine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хлоропіраміну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R06AC03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0,025 г; по 10 таблеток у блістері; по 1 або по 2 блістери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br/>
              <w:t>Оновлено текст маркування первинної та вторинної упаковки лікарського засобу, а саме: вилучено інформацію, зазначену російською мовою, внесено зміни у текст маркування первинної (п. 2, 6) та вторинної (п. 2, 4, 11, 16, 17) упаковки, а також зроблено незначні редакційні правки.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UA/6323/01/01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СУПРОСТИЛІН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chloropyramine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хлоропіраміну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0,025 г; in bulk: по 3000 таблеток у контейнерах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форми in bulk, у зв’язку з вилученням тексту маркування російською мовою та внесення редакційних правок за п.п. 2, 4, 11, 17 для форми in bulk.</w:t>
              <w:br/>
              <w:t>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ТАДАЛАФІЛ ГЕНЕЙМ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tadalafil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тадалафіл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2 таблетки у блістері; по 1 блістеру у пачці; по 4 таблетки у блістері; по 1 або 2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АККОРД ХЕЛСКЕА ЛІМІТЕД, Bелика Британія; контроль якості: АСТРОН РЕСЬОРЧ ЛІМІТЕД, Bелика Британія; контроль якості: Єврофінс Аналітікал Сервісез Хангері Кфт., Угорщина; вторинне пакування: ДіЕйчЕль СЕПЛАЙ ЧЕЙН (Італія) СПА, Італія; виробництво лікарського засобу, первинне та вторинне пакування, контроль якості серії, експорт на дільницю випуску серії:</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Інтас Фармасьютікалс Лімітед, Індія; контроль якості: ФАРМАВАЛІД Лтд. Мікробіологічна лабораторія, Угорщина; контроль якості:</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Фармадокс Хелскеа Лтд., Мальта; відповідальний за випуск серії: Аккорд Хелскеа Полска Сп. з о.о. Склад Імпортера, Польща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ТАЗАЛОК™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shd w:fill="F8F8F8" w:val="clear"/>
              </w:rPr>
              <w:t>настойка суміші лікарської рослинної сировини: коренів лабазнику шестипелюсткового (Filipendula vulgaris Moench), коренів петрушки кучерявої свіжих (Petroselini radix), коренів селери свіжих (Apiumi radix), трави підмареннику справжнього (Galii herba), трави льонку звичайного (Linariae herba), квіток нагідок (Flores Calendulae)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G02CX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lang w:val="ru-RU"/>
              </w:rPr>
            </w:pPr>
            <w:r>
              <w:rPr>
                <w:rFonts w:cs="Arial" w:ascii="Arial" w:hAnsi="Arial"/>
                <w:color w:val="000000"/>
                <w:sz w:val="16"/>
                <w:szCs w:val="16"/>
                <w:lang w:val="ru-RU"/>
              </w:rPr>
              <w:t>краплі оральні, розчин; по 50 мл або 100 мл у флаконі; по 1 флакону у картонній коробці; по 100 мл у флаконі; по 2 або 3 флакони у картонну коробку із картонною роздільною вставкою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lang w:val="ru-RU"/>
              </w:rPr>
              <w:t>ТОВ "УНІВЕРСАЛЬНЕ АГЕНТСТВО "ПРО-ФАРМА"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lang w:val="ru-RU"/>
              </w:rPr>
              <w:t>Др. Густав Кляйн ГмбХ &amp; Ко. КГ</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lang w:val="ru-RU"/>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w:t>
            </w:r>
            <w:r>
              <w:rPr>
                <w:rFonts w:cs="Arial" w:ascii="Arial" w:hAnsi="Arial"/>
                <w:color w:val="000000"/>
                <w:sz w:val="16"/>
                <w:szCs w:val="16"/>
                <w:lang w:val="ru-RU"/>
              </w:rPr>
              <w:t xml:space="preserve">Зміни у терапевтичних показаннях (вилучення терапевтичного показання) - Зміни внесено до інструкції для медичного застосування лікарського засобу до розділу "Показання" (вилучення терапевтичного показання "Фіброміома матки") з відповідними змінами до тексту маркування упаковки лікарського засобу. Введення змін протягом 2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до розділу "Побічні реакції", а також до інструкції для медичного застосування лікарського засобу додано розділ "Місцезнаходження заявника" та до тексту маркування упаковки лікарського засобу, а саме до п. 17 (ІНШЕ) вторинної упаковки; до п. 6 (ІНШЕ) первинної упаковки. </w:t>
            </w:r>
            <w:r>
              <w:rPr>
                <w:rFonts w:cs="Arial" w:ascii="Arial" w:hAnsi="Arial"/>
                <w:color w:val="000000"/>
                <w:sz w:val="16"/>
                <w:szCs w:val="16"/>
              </w:rPr>
              <w:t xml:space="preserve">Введення змін протягом 2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UA/8499/01/01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ТАЗАМАКС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Piperacillin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піперацилін натрію  та тазобактам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4 г/500 мг; 10 флаконів з порошком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Мітім С.р.л.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FRESENIUS KABI iPSUM S.r.l., Італія (Pozzilli) проміжного продукту Стерильна суміш піперациліну натрію та тазобактаму натрію (8:1) у зв’язку із закриттям виробничої дільниці.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 звуження допустимих меж (положення відбору проб для тесту на біонавантаження під час фільтрації(було:коли матеріали повністю розчиняться відберіть зразок розчину після другого та перед третім етапом під час фільтрації; стало: після завершення реакції розчину відберіть пробу технологічного розчину )), встановлених у специфікаціях , під час виробництва ГЛЗ, а також редакційні зміни у розділах 3.2.Р.3.3 та 3.2.Р.3.4.: спрощено опис процесу промивання та стерилізації пакувальних матеріалів; змінено положення відбору проб для випробування на біонавантаження розчину під час фільтрації; змінено одиниці вимірювання вакуумного ступеня та тиску з “pa” на “mbar” в описі критичних параметрів.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адреси місця провадження діяльності виробника реагента 1.2.3-triazole, що застосовується у виробництві АФІ Тазобактам виробництва Shandong Anshun Pharmaceutical Co. LTD., Китай (закрита частина DMF). </w:t>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CEP 2019-153-Rev 03 на АФІ піперациліну моногідрат від затвердженого виробника Shandong Anshun Pharmaceutical Co., Ltd., China. (затверджено: R0- CEP 2019-153-Rev 02; запропоновано: CEP 2019-153-Rev 03).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CEP 2012-101-Rev 05 на АФІ піперациліну моногідрат від затвердженого виробника FRESENIUS KABI IPSUM S.R.L., Italy. (затверджено: R1-CEP 2012-101-Rev 02; запропоновано: CEP 2012-101-Rev 05).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ТВІНРИКС ВАКЦИНА ДЛЯ ПРОФІЛАКТИКИ ГЕПАТИТІВ А (ІНАКТИВОВАНА) І В (АДСОРБОВАНА)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rPr>
              <w:t>вірус гепатиту А (інактивований)</w:t>
            </w:r>
            <w:r>
              <w:rPr>
                <w:rFonts w:cs="Arial" w:ascii="Arial" w:hAnsi="Arial"/>
                <w:sz w:val="16"/>
                <w:szCs w:val="16"/>
                <w:vertAlign w:val="superscript"/>
              </w:rPr>
              <w:t>(1,2)</w:t>
            </w:r>
            <w:r>
              <w:rPr>
                <w:rFonts w:cs="Arial" w:ascii="Arial" w:hAnsi="Arial"/>
                <w:sz w:val="16"/>
                <w:szCs w:val="16"/>
              </w:rPr>
              <w:t xml:space="preserve">; поверхневий антиген вірусу гепатиту В </w:t>
            </w:r>
            <w:r>
              <w:rPr>
                <w:rFonts w:cs="Arial" w:ascii="Arial" w:hAnsi="Arial"/>
                <w:sz w:val="16"/>
                <w:szCs w:val="16"/>
                <w:vertAlign w:val="superscript"/>
              </w:rPr>
              <w:t>(3,4)</w:t>
            </w:r>
            <w:r>
              <w:rPr>
                <w:rFonts w:cs="Arial" w:ascii="Arial" w:hAnsi="Arial"/>
                <w:sz w:val="16"/>
                <w:szCs w:val="16"/>
              </w:rPr>
              <w:t xml:space="preserve"> </w:t>
              <w:br/>
            </w:r>
            <w:r>
              <w:rPr>
                <w:rFonts w:cs="Arial" w:ascii="Arial" w:hAnsi="Arial"/>
                <w:sz w:val="16"/>
                <w:szCs w:val="16"/>
                <w:vertAlign w:val="superscript"/>
              </w:rPr>
              <w:t>(1)</w:t>
            </w:r>
            <w:r>
              <w:rPr>
                <w:rFonts w:cs="Arial" w:ascii="Arial" w:hAnsi="Arial"/>
                <w:sz w:val="16"/>
                <w:szCs w:val="16"/>
              </w:rPr>
              <w:t xml:space="preserve"> вироблено на диплоїдних клітинах людини MRC-5</w:t>
              <w:br/>
            </w:r>
            <w:r>
              <w:rPr>
                <w:rFonts w:cs="Arial" w:ascii="Arial" w:hAnsi="Arial"/>
                <w:sz w:val="16"/>
                <w:szCs w:val="16"/>
                <w:vertAlign w:val="superscript"/>
              </w:rPr>
              <w:t>(2)</w:t>
            </w:r>
            <w:r>
              <w:rPr>
                <w:rFonts w:cs="Arial" w:ascii="Arial" w:hAnsi="Arial"/>
                <w:sz w:val="16"/>
                <w:szCs w:val="16"/>
              </w:rPr>
              <w:t xml:space="preserve"> адсорбований на алюмінію гідроксиді, гідратованому 0,05 мг Al3+</w:t>
              <w:br/>
            </w:r>
            <w:r>
              <w:rPr>
                <w:rFonts w:cs="Arial" w:ascii="Arial" w:hAnsi="Arial"/>
                <w:sz w:val="16"/>
                <w:szCs w:val="16"/>
                <w:vertAlign w:val="superscript"/>
              </w:rPr>
              <w:t>(3)</w:t>
            </w:r>
            <w:r>
              <w:rPr>
                <w:rFonts w:cs="Arial" w:ascii="Arial" w:hAnsi="Arial"/>
                <w:sz w:val="16"/>
                <w:szCs w:val="16"/>
              </w:rPr>
              <w:t xml:space="preserve"> вироблено у клітинах дріжджової культури Saccharomyces cerevisiae за технологією рекомбінантної ДНК</w:t>
              <w:br/>
            </w:r>
            <w:r>
              <w:rPr>
                <w:rFonts w:cs="Arial" w:ascii="Arial" w:hAnsi="Arial"/>
                <w:sz w:val="16"/>
                <w:szCs w:val="16"/>
                <w:vertAlign w:val="superscript"/>
              </w:rPr>
              <w:t>(4)</w:t>
            </w:r>
            <w:r>
              <w:rPr>
                <w:rFonts w:cs="Arial" w:ascii="Arial" w:hAnsi="Arial"/>
                <w:sz w:val="16"/>
                <w:szCs w:val="16"/>
              </w:rPr>
              <w:t xml:space="preserve"> адсорбований на алюмінію фосфаті</w:t>
            </w:r>
          </w:p>
          <w:p>
            <w:pPr>
              <w:pStyle w:val="Normal"/>
              <w:tabs>
                <w:tab w:val="left" w:pos="12600" w:leader="none"/>
              </w:tabs>
              <w:rPr>
                <w:rFonts w:ascii="Arial" w:hAnsi="Arial" w:cs="Arial"/>
                <w:sz w:val="16"/>
                <w:szCs w:val="16"/>
              </w:rPr>
            </w:pPr>
            <w:r>
              <w:rPr>
                <w:rFonts w:cs="Arial" w:ascii="Arial" w:hAnsi="Arial"/>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J07BC20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 дозі (1мл/дозу) у попередньо наповненому шприці №1 у комплекті з голкою з маркуванням українською мовою або зі стикером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Маркування та пакування готового продукту: ГлаксоСмітКляйн Біолоджікалз, Франція; Формування вакцини, наповнення в шприці, проведення контролю якості, маркування і пакування готового продукту: ГлаксоСмітКляйн Біолоджікалз С.А., Бельгія; Формування вакцини, наповнення в шприці, проведення контролю якості: СмітКляйн Бічем Фарма ГмбХ унд Ко. КГ, Німеччина; Випуск серії готового продукту: ГлаксоСмітКляйн Біолоджікалз С.А., Бельгія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Подання оновленого CEP 2000-155 Rev 06 для фетальної бичачої сироватки (Foetal Bovine Serum (FBS)) від вже затвердженого виробника LIFE TECHNOLOGIES CORPORATION. </w:t>
              <w:br/>
              <w:t>Діюча редакція: R1-CEP 2000-155-Rev 05. Пропонована редакція: CEP 2000-155 - Rev 06</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ТЕТАНУС ГАММА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tetanus immunoglobulin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iCs/>
                <w:color w:val="000000"/>
                <w:sz w:val="16"/>
                <w:szCs w:val="16"/>
              </w:rPr>
              <w:t>імуноглобулін протиправцевий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J06BB02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500 МО/2 мл; по 2 мл (500 МО) у попередньо наповненому шприці з голкою для введення; по 1 шприцу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КЕДРІОН С.П.А.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Збільшення максимального розміру серії пулу плазми з 2 700 кг до 8 300 кг запропоновано з метою оптимізації виробничого процесу та використання потужностей дільниці фракціонування. Зміна не передбачає зміни параметрів технологічного процесу, критичних параметрів процесу, специфікацій та статусу його валідації. За результатами оцінки ризиків зміна не впливає на якість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UA/19360/01/02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ТЕТАНУС ГАММА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tetanus immunoglobulin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iCs/>
                <w:color w:val="000000"/>
                <w:sz w:val="16"/>
                <w:szCs w:val="16"/>
              </w:rPr>
              <w:t>імуноглобулін протиправцевий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J06BB02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250 МО/1 мл; по 1 мл (250 МО) у попередньо наповненому шприці з голкою для введення; по 1 шприцу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КЕДРІОН С.П.А.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Збільшення максимального розміру серії пулу плазми з 2 700 кг до 8 300 кг запропоновано з метою оптимізації виробничого процесу та використання потужностей дільниці фракціонування. Зміна не передбачає зміни параметрів технологічного процесу, критичних параметрів процесу, специфікацій та статусу його валідації. За результатами оцінки ризиків зміна не впливає на якість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UA/19360/01/01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ТЕЦЕНТРИК®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atezolizumab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атезолізумаб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L01FF05 </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по 1200 мг/20 мл; по 20 мл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«Рош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випробування контролю якості:</w:t>
              <w:br/>
              <w:t xml:space="preserve">Рош Діагностикс ГмбХ, Німеччина; Виробництво нерозфасованої продукції, первинне пакування, вторинне пакування, випробування контролю якості, випуск серії: Ф.Хоффманн-Ля Рош Лтд, Швейцарія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 детектуванням.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UA/15872/01/01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ТИКАГРЕЛОР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ticagrelor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тикагрелор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(субстанція) у мішках подвійних поліетиленових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Цзянсі Сінерджі Фармасьютікал Ко., Лтд.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Китай</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2021-303-Rev 01 (затверджено: CEP 2021-303-Rev 00) для АФІ Тикагрелор від вже затвердженого виробника Jiangxi Synergy Pharmaceutical Co., Ltd., Китай. Як наслідок оновлення СЕР відбулося введення альтернативного місця для збільшення виробництва речовини: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ТИМАЛІН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сухий очищений екстракт тимусу (вилочкової залози) великої рогатої худоби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не менше 1,5 мг; 5 флаконів з ліофілізатом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"ФЗ "СТАДА"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"ФЗ "СТАДА"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Вилучення інформації щодо кількості препарату в 1 флаконі в розділі «Упаковка» методів контролю якості. Зміни внесено в інструкцію для медичного застосування лікарського засобу до розділу "Упаковка". Термін введення змін протягом 6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розділу "Спосіб застосування та дози" (для зручності застосування лікарського засобу змінено одиниці вимірювання доз з міліграм на мілілітри).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ТИМОЛОЛУ МАЛЕАТ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timolol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тимололу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пакетах поліетиленових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Сікор Соціета Італьяна Кортікостероіді С.р.л., Італiя;</w:t>
              <w:br/>
              <w:t xml:space="preserve">ТАПІ КРОАТІЯ ІНДАСТРІЗ ЛТД., Хорватія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для Діючої речовини тимололу малеат від затвердженого виробника PLIVA CROATIA LTD., Croatia. Як наслідок оновленні СЕР відбулася зміна власника СЕР (з Teva Pharmaceutical Industries Ltd., Israel на TAPI NL B.V., Netherlands) та зміна назви та адреси виробничої дільниці.</w:t>
              <w:br/>
              <w:t>Діюча редакція:</w:t>
              <w:br/>
              <w:t>R1-CEP 1998-147-Rev 11</w:t>
              <w:br/>
              <w:t>ПЛІВА ХОРВАТІЯ ЛТД., Хорватія</w:t>
              <w:br/>
              <w:t>ТАПІ Хорватія Пруднічка кеста 54 Хорватія-10291 Пригор’є Брдовечко, Хорватія</w:t>
              <w:br/>
              <w:t>PLIVA CROATIA LTD., Croatia</w:t>
              <w:br/>
              <w:t>TAPI Croatia Prudnicka cesta 54 Croatia 10291 Prigorje Brdovecko, Croatia</w:t>
              <w:br/>
              <w:t>Пропонована редакція:</w:t>
              <w:br/>
              <w:t>CEP 1998-147-Rev 12</w:t>
              <w:br/>
              <w:t>ТАПІ КРОАТІЯ ІНДАСТРІЗ ЛТД., Хорватія</w:t>
              <w:br/>
              <w:t>Прудніцка цеста 54 Савскі Мароф-10 291 Прігор’є Брдовечко, Загребачка жупанія, Хорватія</w:t>
              <w:br/>
              <w:t>TAPI CROATIA INDUSTRIES LTD., Croatia</w:t>
              <w:br/>
              <w:t>Prudnicka Cesta 54 Savski Marof Croatia-10 291 Prigorje Brdovecko, Zagrebacka Zupanija, Croatia</w:t>
              <w:br/>
              <w:t>Оновлені МКЯ (0001)</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ТІКОВАК ВАКЦИНА ДЛЯ ПРОФІЛАКТИКИ КЛІЩОВОГО ЕНЦЕФАЛІТУ КУЛЬТУРАЛЬНА ІНАКТИВОВАНА ОЧИЩЕНА СОРБОВАНА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Encephalitis, tick borne, inactivated, whole virus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rPr>
              <w:t>вірус</w:t>
            </w:r>
            <w:r>
              <w:rPr>
                <w:rFonts w:cs="Arial" w:ascii="Arial" w:hAnsi="Arial"/>
                <w:color w:val="000000"/>
                <w:sz w:val="16"/>
                <w:szCs w:val="16"/>
                <w:lang w:val="en-US"/>
              </w:rPr>
              <w:t xml:space="preserve"> </w:t>
            </w:r>
            <w:r>
              <w:rPr>
                <w:rFonts w:cs="Arial" w:ascii="Arial" w:hAnsi="Arial"/>
                <w:color w:val="000000"/>
                <w:sz w:val="16"/>
                <w:szCs w:val="16"/>
              </w:rPr>
              <w:t>кліщового</w:t>
            </w:r>
            <w:r>
              <w:rPr>
                <w:rFonts w:cs="Arial" w:ascii="Arial" w:hAnsi="Arial"/>
                <w:color w:val="000000"/>
                <w:sz w:val="16"/>
                <w:szCs w:val="16"/>
                <w:lang w:val="en-US"/>
              </w:rPr>
              <w:t xml:space="preserve"> </w:t>
            </w:r>
            <w:r>
              <w:rPr>
                <w:rFonts w:cs="Arial" w:ascii="Arial" w:hAnsi="Arial"/>
                <w:color w:val="000000"/>
                <w:sz w:val="16"/>
                <w:szCs w:val="16"/>
              </w:rPr>
              <w:t>енцефаліту</w:t>
            </w:r>
            <w:r>
              <w:rPr>
                <w:rFonts w:cs="Arial" w:ascii="Arial" w:hAnsi="Arial"/>
                <w:color w:val="000000"/>
                <w:sz w:val="16"/>
                <w:szCs w:val="16"/>
                <w:lang w:val="en-US"/>
              </w:rPr>
              <w:t xml:space="preserve"> (</w:t>
            </w:r>
            <w:r>
              <w:rPr>
                <w:rFonts w:cs="Arial" w:ascii="Arial" w:hAnsi="Arial"/>
                <w:color w:val="000000"/>
                <w:sz w:val="16"/>
                <w:szCs w:val="16"/>
              </w:rPr>
              <w:t>штам</w:t>
            </w:r>
            <w:r>
              <w:rPr>
                <w:rFonts w:cs="Arial" w:ascii="Arial" w:hAnsi="Arial"/>
                <w:color w:val="000000"/>
                <w:sz w:val="16"/>
                <w:szCs w:val="16"/>
                <w:lang w:val="en-US"/>
              </w:rPr>
              <w:t xml:space="preserve"> Neudörfl)</w:t>
            </w:r>
            <w:r>
              <w:rPr>
                <w:rFonts w:cs="Arial" w:ascii="Arial" w:hAnsi="Arial"/>
                <w:color w:val="000000"/>
                <w:sz w:val="16"/>
                <w:szCs w:val="16"/>
                <w:vertAlign w:val="superscript"/>
                <w:lang w:val="en-US"/>
              </w:rPr>
              <w:t xml:space="preserve"> 1,2</w:t>
            </w:r>
          </w:p>
          <w:p>
            <w:pPr>
              <w:pStyle w:val="Normal"/>
              <w:jc w:val="both"/>
              <w:rPr/>
            </w:pPr>
            <w:r>
              <w:rPr>
                <w:rFonts w:cs="Arial" w:ascii="Arial" w:hAnsi="Arial"/>
                <w:color w:val="000000"/>
                <w:sz w:val="16"/>
                <w:szCs w:val="16"/>
                <w:vertAlign w:val="superscript"/>
              </w:rPr>
              <w:t>1</w:t>
            </w:r>
            <w:r>
              <w:rPr>
                <w:rFonts w:cs="Arial" w:ascii="Arial" w:hAnsi="Arial"/>
                <w:color w:val="000000"/>
                <w:sz w:val="16"/>
                <w:szCs w:val="16"/>
              </w:rPr>
              <w:t xml:space="preserve"> - адсорбований на гідроксиді алюмінію, гідратований;</w:t>
            </w:r>
          </w:p>
          <w:p>
            <w:pPr>
              <w:pStyle w:val="Normal"/>
              <w:tabs>
                <w:tab w:val="left" w:pos="12600" w:leader="none"/>
              </w:tabs>
              <w:rPr/>
            </w:pPr>
            <w:r>
              <w:rPr>
                <w:rFonts w:cs="Arial" w:ascii="Arial" w:hAnsi="Arial"/>
                <w:color w:val="000000"/>
                <w:sz w:val="16"/>
                <w:szCs w:val="16"/>
                <w:vertAlign w:val="superscript"/>
              </w:rPr>
              <w:t>2</w:t>
            </w:r>
            <w:r>
              <w:rPr>
                <w:rFonts w:cs="Arial" w:ascii="Arial" w:hAnsi="Arial"/>
                <w:color w:val="000000"/>
                <w:sz w:val="16"/>
                <w:szCs w:val="16"/>
              </w:rPr>
              <w:t xml:space="preserve"> - вирощений на культурі фібробластних клітин курячих ембріонів (клітинах CEF)</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J07BA01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суспензія для ін'єкцій по 2,4 мкг/0,5 мл, по 0,5 мл суспензії у попередньо наповненому шприці; по 1 шприцу вкладеному у блістер; по 1 блістеру та окремою голкою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ЄУРОФІНС БІОФАРМА ПРОДАКТ ТЕСТІНГ СПЕЙН, С.Л.У, Іспанія; контроль якості: Пфайзер Менюфекчуринг Австрія ГмбХ, Австрія; виробництво продукту у формі in bulk; наповнення шприців, пакування, маркування, контроль якості, випуск серії: Пфайзер Менюфекчуринг Бельгія НВ, Бельгiя; контроль якості: СГС Лаб Сімон СА, Бельгія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Внесено редакційні правки в інструкцію для медичного застосування лікарського засобу в розділи "Склад", "Імунологічні і біологічні властивості", "Особливості застосування", "Побічні реакції", "Упаковка".Термін введення змін - протягом 9 місяців після затвердження. Зміни II типу - Зміни щодо безпеки/ефективності та фармаконагляду. Інші зміни, які не ввійшли у цей розділ, які включають подання результатів досліджень до компетентного органу. Зміни внесено в інструкцію для медичного застосування лікарського засобу в розділи "Імунологічні і біологічні властивості", "Особливості застосування", "Спосіб застосування та дози" відповідно до матеріалів реєстраційного досьє. Термін введення змін - протягом 9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ТІКОВАК ДЖУНІОР ВАКЦИНА ДЛЯ ПРОФІЛАКТИКИ КЛІЩОВОГО ЕНЦЕФАЛІТУ КУЛЬТУРАЛЬНА ІНАКТИВОВАНА ОЧИЩЕНА СОРБОВАНА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Encephalitis, tick borne, inactivated, whole virus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rPr>
              <w:t>вірус</w:t>
            </w:r>
            <w:r>
              <w:rPr>
                <w:rFonts w:cs="Arial" w:ascii="Arial" w:hAnsi="Arial"/>
                <w:color w:val="000000"/>
                <w:sz w:val="16"/>
                <w:szCs w:val="16"/>
                <w:lang w:val="en-US"/>
              </w:rPr>
              <w:t xml:space="preserve"> </w:t>
            </w:r>
            <w:r>
              <w:rPr>
                <w:rFonts w:cs="Arial" w:ascii="Arial" w:hAnsi="Arial"/>
                <w:color w:val="000000"/>
                <w:sz w:val="16"/>
                <w:szCs w:val="16"/>
              </w:rPr>
              <w:t>кліщового</w:t>
            </w:r>
            <w:r>
              <w:rPr>
                <w:rFonts w:cs="Arial" w:ascii="Arial" w:hAnsi="Arial"/>
                <w:color w:val="000000"/>
                <w:sz w:val="16"/>
                <w:szCs w:val="16"/>
                <w:lang w:val="en-US"/>
              </w:rPr>
              <w:t xml:space="preserve"> </w:t>
            </w:r>
            <w:r>
              <w:rPr>
                <w:rFonts w:cs="Arial" w:ascii="Arial" w:hAnsi="Arial"/>
                <w:color w:val="000000"/>
                <w:sz w:val="16"/>
                <w:szCs w:val="16"/>
              </w:rPr>
              <w:t>енцефаліту</w:t>
            </w:r>
            <w:r>
              <w:rPr>
                <w:rFonts w:cs="Arial" w:ascii="Arial" w:hAnsi="Arial"/>
                <w:color w:val="000000"/>
                <w:sz w:val="16"/>
                <w:szCs w:val="16"/>
                <w:lang w:val="en-US"/>
              </w:rPr>
              <w:t xml:space="preserve"> (</w:t>
            </w:r>
            <w:r>
              <w:rPr>
                <w:rFonts w:cs="Arial" w:ascii="Arial" w:hAnsi="Arial"/>
                <w:color w:val="000000"/>
                <w:sz w:val="16"/>
                <w:szCs w:val="16"/>
              </w:rPr>
              <w:t>штам</w:t>
            </w:r>
            <w:r>
              <w:rPr>
                <w:rFonts w:cs="Arial" w:ascii="Arial" w:hAnsi="Arial"/>
                <w:color w:val="000000"/>
                <w:sz w:val="16"/>
                <w:szCs w:val="16"/>
                <w:lang w:val="en-US"/>
              </w:rPr>
              <w:t xml:space="preserve"> Neudörfl)</w:t>
            </w:r>
            <w:r>
              <w:rPr>
                <w:rFonts w:cs="Arial" w:ascii="Arial" w:hAnsi="Arial"/>
                <w:color w:val="000000"/>
                <w:sz w:val="16"/>
                <w:szCs w:val="16"/>
                <w:vertAlign w:val="superscript"/>
                <w:lang w:val="en-US"/>
              </w:rPr>
              <w:t xml:space="preserve"> 1,2</w:t>
            </w:r>
          </w:p>
          <w:p>
            <w:pPr>
              <w:pStyle w:val="Normal"/>
              <w:jc w:val="both"/>
              <w:rPr/>
            </w:pPr>
            <w:r>
              <w:rPr>
                <w:rFonts w:cs="Arial" w:ascii="Arial" w:hAnsi="Arial"/>
                <w:color w:val="000000"/>
                <w:sz w:val="16"/>
                <w:szCs w:val="16"/>
                <w:vertAlign w:val="superscript"/>
              </w:rPr>
              <w:t>1</w:t>
            </w:r>
            <w:r>
              <w:rPr>
                <w:rFonts w:cs="Arial" w:ascii="Arial" w:hAnsi="Arial"/>
                <w:color w:val="000000"/>
                <w:sz w:val="16"/>
                <w:szCs w:val="16"/>
              </w:rPr>
              <w:t xml:space="preserve"> - адсорбований на гідроксиді алюмінію, гідратований;</w:t>
            </w:r>
          </w:p>
          <w:p>
            <w:pPr>
              <w:pStyle w:val="Normal"/>
              <w:tabs>
                <w:tab w:val="left" w:pos="12600" w:leader="none"/>
              </w:tabs>
              <w:rPr/>
            </w:pPr>
            <w:r>
              <w:rPr>
                <w:rFonts w:cs="Arial" w:ascii="Arial" w:hAnsi="Arial"/>
                <w:color w:val="000000"/>
                <w:sz w:val="16"/>
                <w:szCs w:val="16"/>
                <w:vertAlign w:val="superscript"/>
              </w:rPr>
              <w:t>2</w:t>
            </w:r>
            <w:r>
              <w:rPr>
                <w:rFonts w:cs="Arial" w:ascii="Arial" w:hAnsi="Arial"/>
                <w:color w:val="000000"/>
                <w:sz w:val="16"/>
                <w:szCs w:val="16"/>
              </w:rPr>
              <w:t xml:space="preserve"> - вирощений на культурі фібробластних клітин курячих ембріонів (клітинах CEF)</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J07BA01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1,2 мкг/0,25 мл, по 0,25 мл суспензії у попередньо наповненому шприці; по 1 шприцу вкладеному у блістер; по 1 блістеру та окремою голкою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Ейч.Сі.Пі. Корпорейшн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ЄУРОФІНС БІОФАРМА ПРОДАКТ ТЕСТІНГ СПЕЙН, С.Л.У, Іспанія; контроль якості: Пфайзер Менюфекчуринг Австрія ГмбХ, Австрія; виробництво продукту у формі in bulk; наповнення шприців, пакування, маркування, контроль якості, випуск серії: Пфайзер Менюфекчуринг Бельгія НВ, Бельгiя; контроль якості: СГС Лаб Сімон СА, Бельгія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Внесено редакційні правки в інструкцію для медичного застосування лікарського засобу в розділи "Склад", "Імунологічні і біологічні властивості", "Особливості застосування", "Побічні реакції", "Упаковка".Термін введення змін - протягом 9 місяців після затвердження. Зміни II типу - Зміни щодо безпеки/ефективності та фармаконагляду. Інші зміни, які не ввійшли у цей розділ, які включають подання результатів досліджень до компетентного органу. Зміни внесено в інструкцію для медичного застосування лікарського засобу в розділи "Імунологічні і біологічні властивості", "Особливості застосування", "Спосіб застосування та дози" відповідно до матеріалів реєстраційного досьє. Термін введення змін - протягом 9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ТІОКТАЦИД® 600 HR</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thioctic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тіоктова (α-ліпоєва)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600 мг; по 30 або по 100 таблеток, вкритих плівковою оболонкою, у флаконі; по 1 флакону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Хелскеа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нерозфасованої продукції, первинне та вторинне пакування, контроль якості:</w:t>
              <w:br/>
              <w:t>МЕДА Меньюфекчеринг ГмбХ, Німеччина; виробник, відповідальний за випуск серії: МЕДА Фарма ГмбХ енд Ко. КГ, Німеччина</w:t>
              <w:br/>
              <w:t>альтернативний виробник, відповідальний за виробництво нерозфасованої продукції, первинне та вторинне пакування, контроль якості та випуск серії: Роттафарм Лтд., Ірландія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UA/6616/01/01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ТІОТРИАЗОЛІН®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tiazotic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морфолінієвої солі тіазотна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C01EB23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2 мл в ампулі; по 10 ампул у контурній чарунковій упаковці; по 1 контурній чарунковій упаковці в пачці; по 4 мл в ампулі, по 5 ампул у контурній чарунковій упаковці; по 2 контурні чарункові упаковки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приведення специфікації та методів контролю ГЛЗ у відповідність до монографії "МОРФОЛІНІЮ ТІАЗОТАТ РОЗЧИН ДЛЯ ІН'ЄКЦІЙ", ДФУ, діюче видання. Зміни вносяться за показниками: «Ідентифікація», «рН», «Супровідні домішки» та «Кількісне визначення» та відповідні зміни вносяться в розділ 3.2.Р.3.4 "Контроль критичних стадій і проміжної продукції". Супутня зміна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w:t>
              <w:br/>
              <w:t xml:space="preserve">Зміни II типу - Зміни з якості. АФІ. (інші зміни) - оновлення DMF виробника субстанції «Еrregierre S.p.A.» Італія (діюча редакція: DMF Version – September 2011; пропонована редакція: DMF Version – February 2021). Зміни II типу - Зміни з якості. АФІ. (інші зміни) - оновлення DMF виробника «Menadiona, S.L.», Іспанія, для АФІ Морфолінієва сіль тіазотної кислоти Діюча редакція: DMF Version 02/2011-01-30 на АФІ Морфолінієва сіль тіазотної кислоти виробника «Menadiona, S.L.», Іспанія Пропонована редакція: DMF Version 02/2018-03-22 на АФІ Морфолінієва сіль тіазотної кислоти виробника «Menadiona, S.L.», Іспанія. Зміни II типу - Зміни з якості. АФІ. (інші зміни) - оновлення DMF виробника ДП «Завод хімічних реактивів» НТК «Інститут монокристалів» Національної академії наук України», Україна, для АФІ Морфолінієва сіль тіазотної кислоти: Діюча редакція: DMF Редакція 001 на АФІ Морфолінієва сіль тіазотної кислоти виробника ДП «Завод хімічних реактивів» НТК «Інститут монокристалів» Національної академії наук України», Україна. Пропонована редакція: DMF Редакція 002 на АФІ Морфолінієва сіль тіазотної кислоти виробника ДП «Завод хімічних реактивів» НТК «Інститут монокристалів» Національної академії наук України», Україна.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UA/2931/01/02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ТОМОГЕКСОЛ®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iohexol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йогексол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V08AB02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240 мг йоду/мл, по 20 мл в ампулі; по 5 ампул у пачці з картону; по 20 мл або 50 мл, або 100 мл у флаконі; по 1 флакону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внесення змін до специфікації та методів контролю ГЛЗ за показником «Кількісне визначення йоду», а саме заміна методу титрування на метод рідинної хроматографії.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внесення змін до специфікації та методів контролю ГЛЗ за показником «Кількісне визначення Натрію кальцію едетат», а саме заміна методу титрування на метод рідинної хроматографії.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ТОМОГЕКСОЛ®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iohexol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йогексол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V08AB02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300 мг йоду/мл, по 20 мл в ампулі; по 5 ампул у пачці з картону; по 20 мл або 50 мл, або 100 мл, або 200 мл, або 500 мл у флаконі; по 1 флакону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АТ "Фармак", Україна; </w:t>
              <w:br/>
              <w:t>візуальна інспекція флаконів, маркування флаконів та вторинне пакування: ПрАТ "Інфузія", 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внесення змін до специфікації та методів контролю ГЛЗ за показником «Кількісне визначення йоду», а саме заміна методу титрування на метод рідинної хроматографії.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внесення змін до специфікації та методів контролю ГЛЗ за показником «Кількісне визначення Натрію кальцію едетат», а саме заміна методу титрування на метод рідинної хроматографії.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UA/7853/01/02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ТОМОГЕКСОЛ®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iohexol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йогексол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V08AB02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350 мг йоду/мл, по 20 мл в ампулі; по 5 ампул у пачці з картону; по 20 мл або 50 мл, або 100 мл, або 200 мл, або 500 мл у флаконі; по 1 флакону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АТ "Фармак", Україна; </w:t>
              <w:br/>
              <w:t>візуальна інспекція флаконів, маркування флаконів та вторинне пакування: ПрАТ "Інфузія", 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внесення змін до специфікації та методів контролю ГЛЗ за показником «Кількісне визначення йоду», а саме заміна методу титрування на метод рідинної хроматографії.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внесення змін до специфікації та методів контролю ГЛЗ за показником «Кількісне визначення Натрію кальцію едетат», а саме заміна методу титрування на метод рідинної хроматографії.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UA/7853/01/03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ТРАВОНЕКСТ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travoprost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травопрост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S01EE04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40 мкг/мл; по 2,5 мл у флаконі-крапельниці; по 1 флакону-крапельниці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БІОСАЙНС ГРУП ЛАБОРАТОРІЗ с.р.о.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РАФАРМ СА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Зміни внесено в текст маркування упаковок лікарського засобу щодо найменування та місцезнаходження заявника. Введення змін протягом 6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ТРИКСІЛОР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cefixime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цефіксим (у формі цефіксиму тригідрату)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5 таблеток у блістері; по 1 або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АЦС ДОБФАР С.П.А.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«Передозування», «Побічні реакції» щодо безпеки застосування діючої речовини відповідно до рекомендацій PRAC.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ТРОКСЕРУТИН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troxerutin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троксерутин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C05CA04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2 %; по 40 г або 100 г у тубі; по одній тубі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"Тернофарм"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Приведення специфікації та методів контролю допоміжної речовини "Вода очищена" у відповідність до монографії чинного видання ДФУ.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УЛІССА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ulipristal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уліпристалу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 по 1 таблетці у блістері; по 1 блістеру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Хаупт Фарма Мюнстер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(інші зміни) Оновлення ASMF на АФІ уліпристалу ацетат затвердженого виробника NEWCHEM S.p.A., Італія, (затверджена редакція: ASMF (DM 0103/02; запропонована редакція: ASMF (DM 0103/03)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UA/18552/01/01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УРАПІДИЛ КАЛЦЕКС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urapidil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урапідил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C02CA06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та інфузій, 5 мг/мл; по 5 мл або 10 мл в ампулі; по 5 ампул в контурній чарунковій упаковці; по 1 контурній чарунковій упаковці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"Калцекс"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виробничого процесу, крім випуску серії:</w:t>
              <w:br/>
              <w:t>ХБМ Фарма с.р.о., Словаччина;</w:t>
              <w:br/>
              <w:t>виробник, який відповідає за контроль серії/випробування:</w:t>
              <w:br/>
              <w:t>АТ "Гріндекс", Латвiя;</w:t>
              <w:br/>
              <w:t>виробник, який відповідає за випуск серії:</w:t>
              <w:br/>
              <w:t xml:space="preserve">АТ "Калцекс", Латвія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Марія Брієде / Marija Briede. Пропонована редакція: Аріна Бобровіча / Arina Bobrovica.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ФЕЗАМ®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пірацетам , цинаризин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10 капсул у блістері; по 2 або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Балканфарма-Дупниця АТ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Європейської фармакопеї № СEP 2003-150-Rev 04 (затверджено: СEP 2003-150-Rev 03) для діючої речовини цинаризин від вже затвердженого виробника FCD LIMITED (Індія).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w:t>
              <w:br/>
              <w:t xml:space="preserve">оновлення специфікації діючої речовини цинаризин для приведення у відповідність до вимог монографії Європейської фармакопеї.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ФЕРВЕКС ДЛЯ ДОРОСЛИХ З МАЛИНОВИМ СМАКОМ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 кислота аскорбінова, феніраміну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8 саше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УПСА САС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Приведення Специфікації МКЯ ЛЗ у відповідність до матеріалів виробника (розділ 3.2.Р.5.1. Специфікація), а саме за показником «Ідентифікація діючих речовин: Парацетамол. Аскорбінова кислота. Феніраміну малеат.» додається посилання на Євр. Фарм. 2.2.25 до вже затвердженого методу Євр. Фарм. 2.2.29.</w:t>
              <w:b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Специфікацію ГЛЗ при випуску щодо включення частоти контролю показника «Тест на чистоту (продукти деградації парацетамолу) (виражений в % по відношенню до парацетамолу)», а саме «проводиться кожні 20 серій або один раз на рік, залежно від того, що відбувається частіше».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Специфікацію ГЛЗ при випуску щодо включення частоти контролю показника «Тест на чистоту (продукти розкладу кислоти аскорбінової) (% вираження з посиланням на аскорбінову кислоту)», а саме «проводиться кожні 20 серій або один раз на рік, залежно від того, що відбувається частіше».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Специфікацію ГЛЗ при випуску щодо включення частоти контролю показника «Тест на чистоту (продукти розкладу феніраміну малеату) (% виражений з посиланням на феніраміну малеат)», а саме «проводиться кожні 20 серій або один раз на рік, залежно від того, що відбувається частіше». Також внесення редакційних виправлень в назві домішок.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UA/3128/01/01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ФЕРРУМ ЛЕК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Ferric oxide polymaltose complexes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залізо (ІІІ) у формі комплексу заліза (ІІІ) гідроксиду з полімальтозою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B03AB05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100 мг; по 10 таблеток у стрипі або у блістері; по 3 стрипи або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Лек Фармацевтична компанія д.д. , Словенія (контроль серії (мікробіологічний контроль), випуск серії); Лек Фармацевтична компанія д.д., Словенія (первинне і вторинне пакування, випуск серії); Новартіс Фармасьютікал Мануфактуринг ЛЛС , Словенія (виробництво in bulk, контроль серії (окрім мікробіологічного), первинне та вторинне пакування)</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br/>
              <w:t>незначні зміни до затвердженого розділу 3.2.S.4.2 (Аналітичний метод ідентифікації полімальтози) у зареєстрованому Drug Master File (DMF) для Maltofer Powder виробництва Vifor (International) Inc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UA/0127/02/01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ФЕСГО®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Pertuzumab and trastuzumab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пертузумаб та трастузумаб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L01FY01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600 мг/600 мг; по 10 мл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Ф.Хоффманн-Ля Рош Лтд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w:t>
              <w:br/>
              <w:t>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 детектуванням.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ФЕСГО®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Pertuzumab and trastuzumab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пертузумаб та трастузумаб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L01FY01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1200 мг/600 мг; по 15 мл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Ф.Хоффманн-Ля Рош Лтд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w:t>
              <w:br/>
              <w:t>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 детектуванням.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UA/19640/01/02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ФІТОЛІЗИН®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rPr>
            </w:pPr>
            <w:r>
              <w:rPr>
                <w:rFonts w:cs="Arial" w:ascii="Arial" w:hAnsi="Arial"/>
                <w:sz w:val="16"/>
                <w:szCs w:val="16"/>
              </w:rPr>
              <w:t>екстракт згущений з суміші лікарської рослинної сировини [кореневища пирію (Agropyron repens (L.) Beauv., rhizoma), лушпиння цибулі (Allium cepa L., squama), листя берези (Betula pendula Roth; Betula pubescens Ehrh., folium), насіння пажитнику (Trigonella foenum – graecum L., semen), коріння петрушки (Petroselinum sativum Hoffm., radix), трави золотарнику (Solidago virgaurea L., herba), трави хвоща польового (Equisetum arvense L., herba), коріння любистку (Levisticum officinale Koch, radix), трави гірчака пташиного (Polygonum aviculare L., herba)</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G04BC</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паста для приготування суспензії для орального застосування; по 100 г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Гербаполь Варшава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у затвердженому протоколі стабільності) - Внесення змін у затвердженому протоколі стабільності для готового лікарського засобу, а саме скорочення загальної тривалості дослідження стабільності до протоколу випробувань на стабільність; внесено кілька незначних змін, зокрема, контроль показника Ідентифікація методом ТШХ та показника Важкі метали було видалено для 3-, 6-, 9-, 12- та 24-місячних часових інтервалів. На вихідній та останній часових точках всі показники продовжують контролювати відповідно до специфікації ГЛЗ. Діюча редакція Тривалість дослідження стабільності перевищує заявлений термін придатності готового лікарського засобу на 1 рік (затверджений термін придатності ЛЗ становить 3 роки). </w:t>
              <w:br/>
              <w:t xml:space="preserve">Пропонована редакція Тривалість дослідження стабільності 3 роки. Контроль показника Ідентифікація методом ТШХ та показника Важкі метали видалено для 3-, 6-, 9-, 12- та 24-місячних часових інтервалів.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у методах випробовування для вихідного продукту коріння петрушки (Parsley root), а саме щодо заміни методу випробовування AFL/55/2010/1 на PB-583 для показника афлатоксин В1.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br/>
              <w:t>Зміни у методах випробовування для вихідного продукту насіння пажитнику (Fenugreek seed), а саме щодо заміни методу випробовування AFL/55/2010/1 на PB-583 для показника афлатоксин В1.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br/>
              <w:t>Зміни у методах випробовування для вихідного продукту трави гірчака пташиного (Knotgrass herb), а саме щодо заміни методу випробовування AFL/55/2010/1 на PB-583 для показника афлатоксин В1.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w:t>
              <w:br/>
              <w:t>Зміни у методах випробовування для вихідного продукту кореневища пирію (Couch grass rhizome), а саме щодо заміни методу випробовування AFL/55/2010/1 на PB-583 для показника афлатоксин В1.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br/>
              <w:t xml:space="preserve">Зміни у методах випробовування для вихідного продукту листя берези (Birch leaf), а саме щодо заміни методу випробовування AFL/55/2010/1 на PB-583 для показника афлатоксин В1.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Зміни у методах випробовування для вихідного продукту коріння любистку (Lovage root), а саме щодо заміни методу випробовування AFL/55/2010/1 на PB-583 для показника афлатоксин В1.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у методах випробовування для вихідного продукту трава золотарнику (Goldenrod herb), а саме щодо заміни методу випробовування AFL/55/2010/1 на PB-583 для показника афлатоксин В1.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Зміни у методах випробовування для вихідного продукту лушпиння цибулі (Onion husk), а саме щодо заміни методу випробовування AFL/55/2010/1 на PB-583 для показника афлатоксин В1.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Зміни у методах випробовування для вихідного продукту трави хвоща польового (Horsetail herb), а саме щодо заміни методу випробовування AFL/55/2010/1 на PB-583 для показника афлатоксин В1.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Зміни параметрів специфікацій, а саме щодо вилучення показника «Титан, що екстрагується» для первинної упаковки готового лікарського засобу, а саме поліетиленової кришки.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Зміни параметрів специфікацій, а саме щодо вилучення показника «Сульфатна зола» для первинної упаковки готового лікарського засобу, а саме поліетиленової кришки.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Зміни параметрів специфікацій, а саме щодо вилучення показника «Речовини, розчинні в гексані» для первинної упаковки готового лікарського засобу, а саме поліетиленової кришки.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незначного показника «Ідентифікація ефірних олій» зі специфікації готового лікарського засобу, з метою гармонізації специфікацій ГЛЗ, з затвердженою в країні виробника (де цей показник відсутній).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UA/0471/01/01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ФЛЕКАЇНІД САНДОЗ®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flecainide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флекаїніду ацетат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C01BC04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100 мг, по 10 таблеток у блістері; по 3 або 6, або 12 блістерів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"in bulk", пакування, контроль та випуск серій: Салютас Фарма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 "Побічні реакції" згідно з інформацією щодо медичного застосування референтного лікарського засобу (Tambocor tablets 100 mg (Germany)). Введення змін протягом 6-ти місяців з дати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UA/15559/01/02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ФЛЕКАЇНІД САНДОЗ®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flecainide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флекаїніду ацетат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C01BC04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50 мг, по 10 таблеток у блістері; по 3 або 6, або 12 блістерів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"in bulk", пакування, контроль та випуск серій: Салютас Фарма ГмбХ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 "Побічні реакції" згідно з інформацією щодо медичного застосування референтного лікарського засобу (Tambocor tablets 100 mg (Germany)). Введення змін протягом 6-ти місяців з дати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ФОСФОРАЛ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fosfomycin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фосфоміцину трометамол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3 г/пакет</w:t>
              <w:br/>
              <w:t>по 8 г у пакеті по 1 пакету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ПРОФАРМА Інтернешнл Трейдинг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Лабіана Фармасьютікалс, С.Л.У.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2023-068-Rev 02 від затвердженого виробника BIOQUIM, S.A. діючої речовини фоcфоміцину трометамол в зв’язку зі зміною в написанні адреси виробника Hetero Drugs Limited проміжного продукту, а також незначними змінами у виробничому процесі проміжного продукту (затверджено: CEP 2023-068-Rev 01; запропоновано: CEP 2023-068-Rev 02).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2017-166-Rev 03 від затвердженого виробника INTERQUIM S.A. DE C.V. діючої речовини фоcфоміцину трометамол в зв’язку з вилученням виробника проміжної продукції FarmaSino Pharmaceuticals (Anhui) Company Ltd., Китай, а також оновлення написання адреси виробника проміжної продукції Hubei Xunda Pharmaceutical Co., Ltd, Китай, місце виробництва не змінилось (затверджено: R0-CEP 2017-166-Rev 02; запропоновано: CEP 2017-166-Rev 03).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2017-166-Rev 04 від затвердженого виробника INTERQUIM S.A. DE C.V. діючої речовини фоcфоміцину трометамол в зв’язку зі зміною в написанні адреси власника СЕР та виробника діючої речовини, місце виробництва не змінилось, а також зміна написання адреси виробника проміжної продукції Hubei Xunda Pharmaceutical Co., Ltd, Китай.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ХАВРИКС 1440 ВАКЦИНА ДЛЯ ПРОФІЛАКТИКИ ГЕПАТИТУ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sz w:val="16"/>
                <w:szCs w:val="16"/>
              </w:rPr>
              <w:t>Hepatitis A, inactivated, whole virus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sz w:val="16"/>
                <w:szCs w:val="16"/>
              </w:rPr>
              <w:t>антиген вірусу гепатиту 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J07BC02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lang w:val="uk-UA"/>
              </w:rPr>
              <w:t xml:space="preserve">суспензія для ін’єкцій 1440 ОД </w:t>
            </w:r>
            <w:r>
              <w:rPr>
                <w:rFonts w:cs="Arial" w:ascii="Arial" w:hAnsi="Arial"/>
                <w:color w:val="000000"/>
                <w:sz w:val="16"/>
                <w:szCs w:val="16"/>
              </w:rPr>
              <w:t>ELISA</w:t>
            </w:r>
            <w:r>
              <w:rPr>
                <w:rFonts w:cs="Arial" w:ascii="Arial" w:hAnsi="Arial"/>
                <w:color w:val="000000"/>
                <w:sz w:val="16"/>
                <w:szCs w:val="16"/>
                <w:lang w:val="uk-UA"/>
              </w:rPr>
              <w:t>; по 1 мл (1 доза) у флаконі; по 1 флакону в картонній коробці з маркуванням українською мовою; по 1 мл (1 доза) в попередньо наповненому шприці у комплекті з голкою; по 1 шприцу в картонній коробці з маркуванням українською мовою; по 1 мл (1 доза) у флаконі; по 1 флакону в картонній коробці з маркуванням іноземними мовами зі стикером українською мовою; по 1 мл (1 доза) в попередньо наповненому шприці у комплекті з голкою; по 1 шприцу в картонній коробці з маркуванням іноземними мовами зі стикером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Експорт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Франція (маркування та пакування готового продукту); ГлаксоСмітКляйн Біолоджікалз С.А., Бельгія (формування вакцини, наповнення в попередньо наповнені шприці та флакони, проведення контролю якості, маркування і пакування готового продукту); СмітКляйн Бічем Фарма ГмбХ унд Ко. КГ, Німеччина (наповнення в попередньо наповнені шприці) ГлаксоСмітКляйн Біолоджікалз С.А., Бельгія (випуск серії готового продукту)</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періоду зберігання активної речовини біологічного/імунологічного походження на основі результатів досліджень, виконаних не у відповідності до затвердженого протоколу - Продовження терміну зберігання інокуляту вірусу гепатиту А (HAV) понад затверджені 5 років до досягнення терміну -15 років за умови зберігання при температурі -70 °C у затвердженій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UA/16497/01/02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ХАВРИКС 720 ВАКЦИНА ДЛЯ ПРОФІЛАКТИКИ ГЕПАТИТУ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sz w:val="16"/>
                <w:szCs w:val="16"/>
              </w:rPr>
              <w:t>Hepatitis A, inactivated, whole virus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sz w:val="16"/>
                <w:szCs w:val="16"/>
              </w:rPr>
              <w:t>антиген вірусу гепатиту 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J07BC02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lang w:val="uk-UA"/>
              </w:rPr>
              <w:t xml:space="preserve">суспензія для ін’єкцій 720 ОД </w:t>
            </w:r>
            <w:r>
              <w:rPr>
                <w:rFonts w:cs="Arial" w:ascii="Arial" w:hAnsi="Arial"/>
                <w:color w:val="000000"/>
                <w:sz w:val="16"/>
                <w:szCs w:val="16"/>
              </w:rPr>
              <w:t>ELISA</w:t>
            </w:r>
            <w:r>
              <w:rPr>
                <w:rFonts w:cs="Arial" w:ascii="Arial" w:hAnsi="Arial"/>
                <w:color w:val="000000"/>
                <w:sz w:val="16"/>
                <w:szCs w:val="16"/>
                <w:lang w:val="uk-UA"/>
              </w:rPr>
              <w:t>; по 0,5 мл (1 доза) у флаконі; по 1 флакону в картонній коробці з маркуванням українською мовою; по 0,5 мл (1 доза) в попередньо наповненому шприці у комплекті з голкою; по 1 шприцу в картонній коробці з маркуванням українською мовою; по 0,5 мл (1 доза) у флаконі; по 1 флакону в картонній коробці з маркуванням іноземними мовами зі стикером українською мовою; по 0,5 мл (1 доза) в попередньо наповненому шприці у комплекті з голкою; по 1 шприцу в картонній коробці з маркуванням іноземними мовами зі стикером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Експорт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Франція (маркування та пакування готового продукту); ГлаксоСмітКляйн Біолоджікалз С.А., Бельгія (формування вакцини, наповнення в попередньо наповнені шприці та флакони, проведення контролю якості, маркування і пакування готового продукту); СмітКляйн Бічем Фарма ГмбХ унд Ко. КГ, Німеччина (наповнення в попередньо наповнені шприці) ГлаксоСмітКляйн Біолоджікалз С.А., Бельгія (випуск серії готового продукту)</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періоду зберігання активної речовини біологічного/імунологічного походження на основі результатів досліджень, виконаних не у відповідності до затвердженого протоколу - Продовження терміну зберігання інокуляту вірусу гепатиту А (HAV) понад затверджені 5 років до досягнення терміну -15 років за умови зберігання при температурі -70 °C у затвердженій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UA/16497/01/01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ХАРТИЛ® РОЗ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ramipril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розувастатин кальцію та раміприл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C10BX17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10 мг/5 мг; по 10 капсул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виробнича дільниця таблеток Розувастатину кальцію по 10 мг, що розміщуються в капсули; дільниця відповідальна за контроль серії таблеток Розувастатину кальцію по 10 мг, що розміщуються в капсули; дільниця відповідальна за контроль серії таблеток Раміприлу по 5 мг, що розміщуються в капсули;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br/>
              <w:t>виробнича дільниця таблеток Раміприлу по 5 мг, що розміщуються в капсули; дільниця відповідальна за контроль серії таблеток Раміприлу по 5 мг, що розміщуються в капсули; виробнича дільниця готового лікарського засобу;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UA/20982/01/02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ХАРТИЛ® РОЗ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ramipril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розувастатин кальцію та раміприл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C10BX17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10 мг/10 мг; по 10 капсул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виробнича дільниця таблеток Розувастатину кальцію по 10 мг, що розміщуються в капсули; дільниця відповідальна за контроль серії таблеток Розувастатину кальцію по 10 мг, що розміщуються в капсули; дільниця відповідальна за контроль серії таблеток Раміприлу по 5 мг, що розміщуються в капсули;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br/>
              <w:t>виробнича дільниця таблеток Раміприлу по 5 мг, що розміщуються в капсули; дільниця відповідальна за контроль серії таблеток Раміприлу по 5 мг, що розміщуються в капсули; виробнича дільниця готового лікарського засобу;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UA/20982/01/03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ХАРТИЛ® РОЗ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ramipril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розувастатин кальцію та раміприл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C10BX17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20 мг/5 мг; по 10 капсул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виробнича дільниця таблеток Розувастатину кальцію по 10 мг, що розміщуються в капсули; дільниця відповідальна за контроль серії таблеток Розувастатину кальцію по 10 мг, що розміщуються в капсули; дільниця відповідальна за контроль серії таблеток Раміприлу по 5 мг, що розміщуються в капсули;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br/>
              <w:t>виробнича дільниця таблеток Раміприлу по 5 мг, що розміщуються в капсули; дільниця відповідальна за контроль серії таблеток Раміприлу по 5 мг, що розміщуються в капсули; виробнича дільниця готового лікарського засобу;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w:t>
              <w:br/>
              <w:t>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UA/20982/01/04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ХАРТИЛ® РОЗ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ramipril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розувастатин кальцію та раміприл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C10BX17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20 мг/10 мг; по 10 капсул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виробнича дільниця таблеток Розувастатину кальцію по 10 мг, що розміщуються в капсули; дільниця відповідальна за контроль серії таблеток Розувастатину кальцію по 10 мг, що розміщуються в капсули; дільниця відповідальна за контроль серії таблеток Раміприлу по 5 мг, що розміщуються в капсули;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br/>
              <w:t>виробнича дільниця таблеток Раміприлу по 5 мг, що розміщуються в капсули; дільниця відповідальна за контроль серії таблеток Раміприлу по 5 мг, що розміщуються в капсули; виробнича дільниця готового лікарського засобу;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ХАРТИЛ®-Н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Ramipril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раміприл і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C09BA05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5 мг/25 мг; по 14 таблеток у блістері; по 2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Відповідальні за повний цикл виробництва: ЗАТ Фармацевтичний завод ЕГІС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Зміна контактних даних контактної особи,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UA/6486/01/02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ХЛОРГЕКСИДИН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chlorhexidine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хлоргексидину біглюконат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D08AC02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нашкірний, 0,05 %; по 100 мл або 200 мл у банках скляних або флаконах полімерних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"ФОРС-ФАРМА ДИСТРИБЮШН"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ПП "Кілафф"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w:t>
              <w:br/>
              <w:t>Діюча редакція: Краснощокова Юлія Вікторівна. Пропонована редакція: Гречко Віталій Юрійович. Зміна контактних даних уповноваженої особи заявника,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UA/5492/01/01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ХЛОРГЕКСИДИН-ЗДОРОВ'Я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chlorhexidine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хлоргексидину диглюконат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D08AC02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0,5 мг/мл, по 50 мл або по 100 мл у флаконах полімерних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«КОРПОРАЦІЯ «ЗДОРОВ’Я»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w:t>
              <w:br/>
              <w:t>ТОВАРИСТВО З ОБМЕЖЕНОЮ ВІДПОВІДАЛЬНІСТЮ «КОРПОРАЦІЯ «ЗДОРОВ'Я», Україна;</w:t>
              <w:br/>
              <w:t>всі стадії виробництва, контроль якості:</w:t>
              <w:br/>
              <w:t>Товариство з обмеженою відповідальністю "Харківське фармацевтичне підприємство "Здоров`я народу", Україна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незначна зміна розміру затвердженої кришки під крапельницю O 20 виробника ТОВ «Статус», Україна. </w:t>
              <w:br/>
              <w:t>Затверджено:</w:t>
              <w:br/>
              <w:t>h 30,8 ± 0,5 мм</w:t>
              <w:br/>
              <w:t>d1 3,5 ± 0,2 мм</w:t>
              <w:br/>
              <w:t>d2 20,1 ± 0,35 мм</w:t>
              <w:br/>
              <w:t>d3 22,3 ± 0,4 мм</w:t>
              <w:br/>
              <w:t>d4 22,9 ± 0,4 мм</w:t>
              <w:br/>
              <w:t>Запропоновано:</w:t>
              <w:br/>
              <w:t>h 29,8 ± 0,5 мм</w:t>
              <w:br/>
              <w:t>d1 3,5 ± 0,2 мм</w:t>
              <w:br/>
              <w:t>d2 20,1 ± 0,35 мм</w:t>
              <w:br/>
              <w:t>d3 22,3 ± 0,4 мм</w:t>
              <w:br/>
              <w:t>d4 22,9 ± 0,4 мм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UA/10769/01/01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ХЛОРОФІЛІПТУ ЕКСТРАКТ ГУСТИЙ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хлорофіліпту екстракт густий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екстракт густий (субстанція) у пакетах з плівки полімерної в бочках пластмасових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"Дослідний завод "ГНЦЛС"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"Дослідний завод "ГНЦЛС"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Хлорофіліпту екстракт густий новим показником «Кількісне визначення. Сума хлорофілів, у перерахунку на хлорофіл А». Пропонована редакція: Кількісне визначення. Сума хлорофілів, у перерахунку на хлорофіл А Має бути від 0,70 % За п. 8.1 ДФУ*, 2.2.25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Хлорофіліпту екстракт густий новим показником «Кількісне визначення. Етанол». Пропонована редакція: Кількісне визначення. Етанол Не більше 10,0% За п. 8.2 ДФУ*, 2.2.28 Метод парофазної хроматографії *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показника «Антибактеріальна активність» зі специфікації АФІ Хлорофіліпту екстракт густий.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Зміни у специфікації та методі визначення залишкової кількості органічних розчинників в АФІ Хлорофіліпту екстракт густий. Вимоги специфікації щодо кількості метиленхлориду в АФІ залишено без змін. Введення змін протягом 6-ти місяців після затвердження.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методу випробування для показника «Ідентифікація. Хлорофіли» у методах контролю АФІ Хлорофіліпту екстракт густий (затверджено: Випробування А, ДФУ*, 2.2.25; запропоновано: Випробування А, якісна реакція).</w:t>
              <w:br/>
              <w:t xml:space="preserve">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ЦЕФАЗОЛІН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cefazolin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цефазоліну натрієва сіль</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розчину для ін`єкцій по 0,5 г; 10 флаконів з порошком у контурній чарунковій упаковці; по 1 контурній чарунковій упаковці у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"Київмедпрепарат"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 Термін введення змін - протягом 6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розділів "Склад" (редакційні правки) та "Побічні реакції" щодо звітування про підозрювані побічні реакції.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UA/14477/01/01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ЦЕФАЗОЛІН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cefazolin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цефазоліну натрієва сіль</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розчину для ін`єкцій по 1,0 г; 10 флаконів з порошком у контурній чарунковій упаковці; по 1 контурній чарунковій упаковці у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"Київмедпрепарат"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 Термін введення змін - протягом 6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розділів "Склад" (редакційні правки) та "Побічні реакції" щодо звітування про підозрювані побічні реакції.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UA/14477/01/02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ЦЕФАЛЕКСИН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cefalexin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цефалексин у формі цефалексину моногідрату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оральної суспензії, 100 мл (250 мг/5мл) по 40 г у флаконі; по 1 флакону разом з мірною ложкою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«Хемофарм» АД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Сербія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готового лікарського засобу, первинне та вторинне пакування, контроль серії: Хемомонт д.о.о., Чорногорія; Виробник контроль та випуск серії: «Хемофарм» АД, Сербiя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Чорногорія/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(інші зміни) видалення закриття флакону, яке більше не використовується у виробництві ( aluminum closure, aluminum PP closure (Pilfer proof)). Зміни І типу - Зміни з якості. Готовий лікарський засіб. Система контейнер/закупорювальний засіб. Зміна у первинній упаковці готового лікарського засобу (інші зміни) - видалення закриття флакону, яке більше не використовується у виробництві (одне з нині затверджених як «CRC closures»). Зміни І типу - Зміни з якості. Готовий лікарський засіб. Система контейнер/закупорювальний засіб. Зміна у первинній упаковці готового лікарського засобу (інші зміни) </w:t>
              <w:br/>
              <w:t xml:space="preserve">додавання закриття флакону з модифікованою формою ущільнення (окрім плоского ущільнювача додається додаткове закриття з ущільненням, яке забезпечує кращу адгезію до флакону). Якість пакувального матеріалу не змінюється.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ЦЕФМА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cefpodoxime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цефподоксиму проксетил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J01DD13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або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ГмбХ-Виробнича дільниця Антиінфекційні ГЛЗ та Хімічні Операції Кундль (АІХО ГЛЗ Кундль)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додавання нового параметра специфікації діючої речовини цефподоксиму проксетил «Визначення мікробного числа (Microbial Enumeration Tests)» разом із відповідним методом випробування (Membrane filtration method).</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UA/14864/01/02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ЦЕФОТАКСИМ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cefotaxime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цефотаксиму натрієва сіль</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1,0 г, 10 флаконів з порошком у контурній чарунковій упаковці; по 1 контурній чарунковій упаковці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"Київмедпрепарат"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1.1. </w:t>
              <w:br/>
              <w:t xml:space="preserve">Зміни внесено до частин: </w:t>
              <w:br/>
              <w:t xml:space="preserve">І «Загальна інформація» </w:t>
              <w:br/>
              <w:t xml:space="preserve">ІІ «Специфікація з безпеки» </w:t>
              <w:br/>
              <w:t xml:space="preserve">ІІІ «План з фармаконагляду» </w:t>
              <w:br/>
              <w:t xml:space="preserve">ІV «Плани щодо післяреєстраційних досліджень ефективності» </w:t>
              <w:br/>
              <w:t xml:space="preserve">V «Заходи з мінімізації ризиків» </w:t>
              <w:br/>
              <w:t xml:space="preserve">VI «Резюме плану управління ризиками» </w:t>
              <w:br/>
              <w:t xml:space="preserve">VII «Додатки» (додатки 1-8) </w:t>
              <w:br/>
              <w:t xml:space="preserve">у зв’язку з оновленням інформації з безпеки діючої речовини цефотаксим відповідно до актуальної інформаціїщо наявна на CMDh, а також у зв'язку із зміною формату відповідно до вимог Evaluation Guidance on the format of the risk management plan (RMP) in the EU – in integrated format. </w:t>
            </w:r>
            <w:r>
              <w:rPr>
                <w:rFonts w:cs="Arial" w:ascii="Arial" w:hAnsi="Arial"/>
                <w:color w:val="000000"/>
                <w:sz w:val="16"/>
                <w:szCs w:val="16"/>
                <w:lang w:val="en-US"/>
              </w:rPr>
              <w:t xml:space="preserve">31 October 2018 EMA/164014/2018 Rev.2.0.1 accompanying GVP Module V Rev.2 Human Medicines). </w:t>
            </w:r>
            <w:r>
              <w:rPr>
                <w:rFonts w:cs="Arial" w:ascii="Arial" w:hAnsi="Arial"/>
                <w:color w:val="000000"/>
                <w:sz w:val="16"/>
                <w:szCs w:val="16"/>
              </w:rPr>
              <w:t>Резюме Плану управління ризиками версія 1.1 додається.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UA/14375/01/01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ЦИЛОСТАЗОЛ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cilostazol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цилостазол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пакетах подвійних поліетиленових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 xml:space="preserve">Алівус Лайф Сайенсес Лімітед </w:t>
            </w:r>
          </w:p>
          <w:p>
            <w:pPr>
              <w:pStyle w:val="Normal"/>
              <w:autoSpaceDE w:val="false"/>
              <w:jc w:val="center"/>
              <w:rPr>
                <w:rFonts w:ascii="Arial" w:hAnsi="Arial" w:cs="Arial"/>
                <w:bCs/>
                <w:color w:val="000000"/>
                <w:sz w:val="16"/>
                <w:szCs w:val="16"/>
              </w:rPr>
            </w:pPr>
            <w:r>
              <w:rPr>
                <w:rFonts w:cs="Arial" w:ascii="Arial" w:hAnsi="Arial"/>
                <w:bCs/>
                <w:color w:val="000000"/>
                <w:sz w:val="16"/>
                <w:szCs w:val="16"/>
              </w:rP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bCs/>
                <w:color w:val="000000"/>
                <w:sz w:val="16"/>
                <w:szCs w:val="16"/>
              </w:rPr>
              <w:t>Індія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Виробництво. Зміни випробувань або допустимих меж у процесі виробництва АФІ, що встановлені у специфікаціях (інші зміни) - Внесення змін в МКЯ у зв'язку з оновленням ДМФ від виробника АФІ: зміни в Специфікацію АФІ за показниками «Втрата в масі при висушуванні», «Сульфатна зола», «Важкі метали», «Супровідні домішки», «Кількісне визначення» та «Залишкові розчинники». Також внесено зміни в розділи «Термін придатності» та «Умови зберігання» з паралельно заявленими змінами. Також зміни в методи контролю за показниками «Втрата в масі при висушуванні», «Сульфатна зола», «Важкі метали», «Супровідні домішки», «Кількісне визначення» та «Залишкові розчинники».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Внесення змін в специфікацію АФІ, а саме заміна терміну придатності на період переконтролю, у зв'язку з оновленням ДМФ від виробника АФІ. Затверджено: </w:t>
              <w:br/>
              <w:t>Термін придатності – 4 роки. Запропоновано: Період переконтролю – 4 роки.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з Glenmark Life Sciences Limited, India на Alivus Life Sciences Limited, India.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Більш жорсткі умови зберігання. Зміна умов зберігання АФІ у зв’язку з оновленням ДМФ виробника. Затверджено: У захищеному від світла місці при температурі не вище 25 °С. Запропоновано: У щільно закритих контейнерах при температурі не вище 25 °С.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ЦИНАРИЗИН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cinnarizine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цинаризин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0,025 г; по 10 таблеток у блістері; по 3 або 5 блістерів у пачці; по 10 таблеток у блістері; по 50 або 100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w:t>
              <w:br/>
              <w:t>Оновлено текст маркування первинної та вторинної упаковки лікарського засобу, а саме: вилучено інформацію, зазначену російською мовою, внесено зміни у текст маркування первинної (п. 2, 6) та вторинної (п. 2, 4, 11, 16, 17) упаковки, а також зроблено незначні редакційні правки.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UA/3384/01/01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ЦИНАРИЗИН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cinnarizine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цинаризин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0,025 г, in bulk: по 5000 таблеток у контейнерах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у тексті маркування in bulk.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ЦИТОЗАР®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cytarabine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цитарабін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L01BC01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100 мг: 1 флакон з ліофілізатом та 1 ампула з розчинником (спирт бензиловий, вода для ін'єкцій) по 5 мл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вторинне пакування, контроль якості, випуск серії, випробування на стабільність: Латіна Фарма С.п.А., Італія; виробництво, первинне пакування та контрольне випробування розчинника: Альфасігма С.п.А., Італія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до розділу "Побічні реакції" щодо безпеки застосування діючої речовини за рекомендацією PRAC EMA. Термін введення змін протягом 9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UA/4840/01/02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ЦИТОЗАР®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cytarabine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цитарабін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L01BC01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1000 мг: 1 флакон з ліофілізатом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Латіна Фарма С.п.А.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до розділу "Побічні реакції" щодо безпеки застосування діючої речовини за рекомендацією PRAC EMA. Термін введення змін протягом 9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ЦИТРАМОН-М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Acetylsalicylic acid,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кислота ацетилсаліцилова;</w:t>
              <w:br/>
              <w:t>парацетамол;</w:t>
              <w:br/>
              <w:t>кофеїн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N02BA51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6 таблеток у блістері; по 10 таблеток у блістері; по 6 таблеток у блістері; по 1 блістеру в пачці; по 10 таблеток у блістері; по 1 блістеру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Вилучення затвердженого розміру упаковки, а саме по 10 таблеток у блістері, по 10 блістерів у пачці. Розміри упаковки які залишаються відповідають рекомендаціям щодо дозування та тривалості лікування. Зміни внесено в інструкцію для медичного застосування лікарського засобу у розділ "Упаковка" у зв'язку з вилученням певного розміру упаковки, як наслідок - вилучення тексту маркування відповідної упаковки. Також як наслідок зміни внесено в інструкцію для медичного застосування лкарського засобу у розділ "Категорію відпуску".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ЦИТРАМОН-Ф</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Acetylsalicylic acid,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кислота ацетилсаліцилова; парацетамол; кофеїн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N02BA51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6 або по 10 таблеток у блістерах; по 6 таблеток у блістері; по 20 блістерів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"ФАРМІС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"ФІТОФАРМ"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"Взаємодія з іншими лікарськими засобами та інші види взаємодій" щодо безпеки застосування діючої речовини ацетилсаліцилова кислота відповідно до рекомендацій PRAC. введення змін протягом 6-ти місяців після затвердження. Зміни І типу - Зміни щодо безпеки/ефективності та фармаконагляду (інші зміни) Зміни внесені до розділів інструкції для медичного застосування лікарського засобу "Особливості застосування", "Передозування", щодо безпеки застосування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UA/2317/01/01 </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ЦИТРАФЛІТ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Sodium picosulfate,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натрію пікосульфат, магнію оксид легкий, кислота лимонна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A06AB58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15,08 г порошку в пакеті-саше; по 2 пакети або 50 пакетів (упаковка для лікувальних закладів)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Касен Рекордаті, С.Л.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нерозфасованої продукції, первинна та вторинна упаковка, дозвіл на випуск серії: Касен Рекордаті, С.Л.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5.0. Зміни внесено до частини І «Загальна інформація» у зв’язку з включенням до плану управління ризиками нової форми випуску, що була зареєстрована в деяких країнах ЄС.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4.0. Зміни внесено до всіх частин у зв’язку з видаленням важливих ідентифікованих та важливих потенційних ризиків з переліку проблем з безпеки та оновленням структури плану управління ризиками до інтегрованого формату згідно вимог EMA/164014/2018 Rev.2.0.1 відповідно до запиту регуляторного органу в країні заявника.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ЦІАНОКОБАЛАМІН (ВІТАМІН В12)</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cyanocobalamin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ціанокобаламін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B03BA01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0,5 мг/мл; по 1 мл в ампулі; по 10 ампул у пачці з перегородками; по 1 мл в ампулі; по 5 ампул в однобічному блістері; по 2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69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w:t>
              <w:br/>
              <w:t>Оновлено текст маркування первинної та вторинної упаковки лікарського засобу, а саме вилучено інформацію, зазначену російською мовою, внесено зміни у п. 1, 2, 6 тексту маркування первинної упаковки та п. 1, 2, 4, 11, 17 вторинної упаковки, а також зроблено незначні редакційні правки.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UA/12784/01/01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9">
        <w:r>
          <w:rPr>
            <w:rStyle w:val="InternetLink"/>
            <w:i/>
            <w:color w:val="000000"/>
            <w:szCs w:val="16"/>
          </w:rPr>
          <w:t>https://www.whocc.no/atc_ddd_index/</w:t>
        </w:r>
      </w:hyperlink>
      <w:r>
        <w:rPr>
          <w:rStyle w:val="InternetLink"/>
          <w:i/>
          <w:color w:val="000000"/>
          <w:szCs w:val="16"/>
        </w:rPr>
        <w:t>)</w:t>
      </w:r>
    </w:p>
    <w:p>
      <w:pPr>
        <w:pStyle w:val="Normal"/>
        <w:ind w:right="20" w:hanging="0"/>
        <w:rPr>
          <w:rFonts w:ascii="Arial" w:hAnsi="Arial" w:cs="Arial"/>
          <w:i/>
          <w:i/>
          <w:sz w:val="16"/>
          <w:szCs w:val="16"/>
        </w:rPr>
      </w:pPr>
      <w:r>
        <w:rPr>
          <w:rFonts w:cs="Arial" w:ascii="Arial" w:hAnsi="Arial"/>
          <w:i/>
          <w:sz w:val="16"/>
          <w:szCs w:val="16"/>
        </w:rPr>
        <w:t>**у разі внесення змін до інструкції про медичне застосування</w:t>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tabs>
          <w:tab w:val="left" w:pos="1985" w:leader="none"/>
        </w:tabs>
        <w:rPr>
          <w:b/>
          <w:b/>
          <w:bCs/>
          <w:sz w:val="28"/>
          <w:szCs w:val="28"/>
        </w:rPr>
      </w:pPr>
      <w:r>
        <w:rPr>
          <w:b/>
          <w:bCs/>
          <w:sz w:val="28"/>
          <w:szCs w:val="28"/>
        </w:rPr>
        <w:t xml:space="preserve">Начальник </w:t>
      </w:r>
    </w:p>
    <w:p>
      <w:pPr>
        <w:pStyle w:val="Normal"/>
        <w:tabs>
          <w:tab w:val="left" w:pos="1985" w:leader="none"/>
        </w:tabs>
        <w:rPr>
          <w:b/>
          <w:b/>
          <w:bCs/>
          <w:sz w:val="28"/>
          <w:szCs w:val="28"/>
        </w:rPr>
      </w:pPr>
      <w:r>
        <w:rPr>
          <w:b/>
          <w:bCs/>
          <w:sz w:val="28"/>
          <w:szCs w:val="28"/>
        </w:rPr>
        <w:t>Фармацевтичного управління                                                                                                               Олександр ГРІЦЕНКО</w:t>
      </w:r>
    </w:p>
    <w:p>
      <w:pPr>
        <w:pStyle w:val="11"/>
        <w:rPr>
          <w:rStyle w:val="Cs7864ebcf1"/>
          <w:color w:val="000000"/>
          <w:sz w:val="16"/>
          <w:szCs w:val="16"/>
        </w:rPr>
      </w:pPr>
      <w:r>
        <w:rPr>
          <w:b/>
          <w:bCs/>
          <w:sz w:val="28"/>
          <w:szCs w:val="28"/>
        </w:rPr>
      </w:r>
    </w:p>
    <w:p>
      <w:pPr>
        <w:pStyle w:val="11"/>
        <w:rPr>
          <w:rStyle w:val="Cs7864ebcf1"/>
          <w:color w:val="000000"/>
          <w:sz w:val="16"/>
          <w:szCs w:val="16"/>
        </w:rPr>
      </w:pPr>
      <w:r>
        <w:rPr/>
      </w:r>
      <w:r>
        <w:br w:type="page"/>
      </w:r>
    </w:p>
    <w:p>
      <w:pPr>
        <w:pStyle w:val="Normal"/>
        <w:tabs>
          <w:tab w:val="left" w:pos="1985" w:leader="none"/>
        </w:tabs>
        <w:rPr>
          <w:rStyle w:val="Cs7864ebcf1"/>
          <w:b/>
          <w:b/>
          <w:color w:val="000000"/>
          <w:sz w:val="28"/>
          <w:szCs w:val="28"/>
          <w:lang w:val="uk-UA"/>
        </w:rPr>
      </w:pPr>
      <w:r>
        <w:rPr/>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spacing w:before="240" w:after="60"/>
              <w:jc w:val="both"/>
              <w:rPr>
                <w:sz w:val="18"/>
                <w:szCs w:val="18"/>
              </w:rPr>
            </w:pPr>
            <w:r>
              <w:rPr>
                <w:sz w:val="18"/>
                <w:szCs w:val="18"/>
              </w:rPr>
              <w:t>Додаток 4</w:t>
            </w:r>
          </w:p>
          <w:p>
            <w:pPr>
              <w:pStyle w:val="Heading4"/>
              <w:numPr>
                <w:ilvl w:val="3"/>
                <w:numId w:val="1"/>
              </w:numPr>
              <w:tabs>
                <w:tab w:val="left" w:pos="12600" w:leader="none"/>
              </w:tabs>
              <w:jc w:val="both"/>
              <w:rPr>
                <w:sz w:val="18"/>
                <w:szCs w:val="18"/>
              </w:rPr>
            </w:pPr>
            <w:r>
              <w:rPr>
                <w:sz w:val="18"/>
                <w:szCs w:val="18"/>
              </w:rPr>
              <w:t>до наказу Міністерства охорони</w:t>
            </w:r>
          </w:p>
          <w:p>
            <w:pPr>
              <w:pStyle w:val="Heading4"/>
              <w:numPr>
                <w:ilvl w:val="3"/>
                <w:numId w:val="1"/>
              </w:numPr>
              <w:tabs>
                <w:tab w:val="left" w:pos="12600" w:leader="none"/>
              </w:tabs>
              <w:jc w:val="both"/>
              <w:rPr/>
            </w:pPr>
            <w:r>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tabs>
                <w:tab w:val="left" w:pos="12600" w:leader="none"/>
              </w:tabs>
              <w:spacing w:lineRule="auto" w:line="254"/>
              <w:jc w:val="both"/>
              <w:rPr>
                <w:rFonts w:ascii="Arial" w:hAnsi="Arial" w:cs="Arial"/>
                <w:b/>
                <w:b/>
                <w:sz w:val="18"/>
                <w:szCs w:val="18"/>
                <w:lang w:eastAsia="en-US"/>
              </w:rPr>
            </w:pPr>
            <w:r>
              <w:rPr>
                <w:b/>
                <w:iCs/>
                <w:sz w:val="18"/>
                <w:szCs w:val="18"/>
                <w:u w:val="single"/>
              </w:rPr>
              <w:t>від_13 жовтня 2026 року № 1576</w:t>
            </w:r>
          </w:p>
        </w:tc>
      </w:tr>
    </w:tbl>
    <w:p>
      <w:pPr>
        <w:pStyle w:val="Normal"/>
        <w:tabs>
          <w:tab w:val="left" w:pos="12600" w:leader="none"/>
        </w:tabs>
        <w:rPr>
          <w:rFonts w:ascii="Arial" w:hAnsi="Arial" w:cs="Arial"/>
          <w:sz w:val="18"/>
          <w:szCs w:val="18"/>
        </w:rPr>
      </w:pPr>
      <w:r>
        <w:rPr>
          <w:rFonts w:cs="Arial" w:ascii="Arial" w:hAnsi="Arial"/>
          <w:sz w:val="18"/>
          <w:szCs w:val="18"/>
        </w:rPr>
      </w:r>
    </w:p>
    <w:p>
      <w:pPr>
        <w:pStyle w:val="Normal"/>
        <w:jc w:val="center"/>
        <w:rPr>
          <w:b/>
          <w:b/>
          <w:sz w:val="28"/>
          <w:szCs w:val="28"/>
        </w:rPr>
      </w:pPr>
      <w:r>
        <w:rPr>
          <w:b/>
          <w:sz w:val="28"/>
          <w:szCs w:val="28"/>
        </w:rPr>
        <w:t>ПЕРЕЛІК</w:t>
      </w:r>
    </w:p>
    <w:p>
      <w:pPr>
        <w:pStyle w:val="Normal"/>
        <w:jc w:val="center"/>
        <w:rPr>
          <w:rFonts w:ascii="Arial" w:hAnsi="Arial" w:cs="Arial"/>
        </w:rPr>
      </w:pPr>
      <w:r>
        <w:rPr>
          <w:b/>
          <w:sz w:val="28"/>
          <w:szCs w:val="28"/>
        </w:rPr>
        <w:t>ЛІКАРСЬКИХ ЗАСОБІВ, ЯКИМ ВІДМОВЛЕНО В ДЕРЖАВНІЙ РЕЄСТРАЦІЇ, ПЕРЕРЕЄСТРАЦІЇ АБО У ВНЕСЕННІ ЗМІН ДО РЕЄСТРАЦІЙНИХ МАТЕРІАЛІВ</w:t>
      </w:r>
    </w:p>
    <w:p>
      <w:pPr>
        <w:pStyle w:val="Normal"/>
        <w:jc w:val="center"/>
        <w:rPr>
          <w:rFonts w:ascii="Arial" w:hAnsi="Arial" w:cs="Arial"/>
        </w:rPr>
      </w:pPr>
      <w:r>
        <w:rPr>
          <w:rFonts w:cs="Arial" w:ascii="Arial" w:hAnsi="Arial"/>
        </w:rPr>
      </w:r>
    </w:p>
    <w:tbl>
      <w:tblPr>
        <w:tblW w:w="15345" w:type="dxa"/>
        <w:jc w:val="left"/>
        <w:tblInd w:w="8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47"/>
        <w:gridCol w:w="1771"/>
        <w:gridCol w:w="1701"/>
        <w:gridCol w:w="1105"/>
        <w:gridCol w:w="1134"/>
        <w:gridCol w:w="1276"/>
        <w:gridCol w:w="1134"/>
        <w:gridCol w:w="1276"/>
        <w:gridCol w:w="5396"/>
        <w:gridCol w:w="5"/>
      </w:tblGrid>
      <w:tr>
        <w:trPr/>
        <w:tc>
          <w:tcPr>
            <w:tcW w:w="547"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w:t>
            </w:r>
            <w:r>
              <w:rPr>
                <w:rFonts w:eastAsia="Arial" w:cs="Arial" w:ascii="Arial" w:hAnsi="Arial"/>
                <w:b/>
                <w:i/>
                <w:sz w:val="16"/>
                <w:szCs w:val="16"/>
                <w:lang w:eastAsia="en-US"/>
              </w:rPr>
              <w:t xml:space="preserve"> </w:t>
            </w:r>
            <w:r>
              <w:rPr>
                <w:rFonts w:cs="Arial" w:ascii="Arial" w:hAnsi="Arial"/>
                <w:b/>
                <w:i/>
                <w:sz w:val="16"/>
                <w:szCs w:val="16"/>
                <w:lang w:eastAsia="en-US"/>
              </w:rPr>
              <w:t>п/п</w:t>
            </w:r>
          </w:p>
        </w:tc>
        <w:tc>
          <w:tcPr>
            <w:tcW w:w="1771"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Назва лікарського засобу</w:t>
            </w:r>
          </w:p>
        </w:tc>
        <w:tc>
          <w:tcPr>
            <w:tcW w:w="1701"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Форма випуску</w:t>
            </w:r>
          </w:p>
        </w:tc>
        <w:tc>
          <w:tcPr>
            <w:tcW w:w="1105"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Заявник</w:t>
            </w:r>
          </w:p>
        </w:tc>
        <w:tc>
          <w:tcPr>
            <w:tcW w:w="1134"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Країна</w:t>
            </w:r>
          </w:p>
        </w:tc>
        <w:tc>
          <w:tcPr>
            <w:tcW w:w="1276"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Виробник</w:t>
            </w:r>
          </w:p>
        </w:tc>
        <w:tc>
          <w:tcPr>
            <w:tcW w:w="1134"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Країна</w:t>
            </w:r>
          </w:p>
        </w:tc>
        <w:tc>
          <w:tcPr>
            <w:tcW w:w="1276"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Підстава</w:t>
            </w:r>
          </w:p>
        </w:tc>
        <w:tc>
          <w:tcPr>
            <w:tcW w:w="540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Процедура</w:t>
            </w:r>
          </w:p>
        </w:tc>
      </w:tr>
      <w:tr>
        <w:trPr>
          <w:trHeight w:val="557"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6"/>
              </w:numPr>
              <w:snapToGrid w:val="false"/>
              <w:spacing w:lineRule="auto" w:line="254"/>
              <w:rPr>
                <w:rFonts w:ascii="Arial" w:hAnsi="Arial" w:cs="Arial"/>
                <w:b/>
                <w:b/>
                <w:i/>
                <w:i/>
                <w:sz w:val="16"/>
                <w:szCs w:val="16"/>
                <w:lang w:eastAsia="en-US"/>
              </w:rPr>
            </w:pPr>
            <w:r>
              <w:rPr>
                <w:rFonts w:cs="Arial" w:ascii="Arial" w:hAnsi="Arial"/>
                <w:b/>
                <w:i/>
                <w:sz w:val="16"/>
                <w:szCs w:val="16"/>
                <w:lang w:eastAsia="en-US"/>
              </w:rPr>
            </w:r>
          </w:p>
        </w:tc>
        <w:tc>
          <w:tcPr>
            <w:tcW w:w="177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both"/>
              <w:rPr>
                <w:rFonts w:ascii="Arial" w:hAnsi="Arial" w:cs="Arial"/>
                <w:b/>
                <w:b/>
                <w:sz w:val="16"/>
                <w:szCs w:val="16"/>
                <w:lang w:eastAsia="en-US"/>
              </w:rPr>
            </w:pPr>
            <w:r>
              <w:rPr>
                <w:rFonts w:cs="Arial" w:ascii="Arial" w:hAnsi="Arial"/>
                <w:b/>
                <w:sz w:val="16"/>
                <w:szCs w:val="16"/>
                <w:lang w:eastAsia="en-US"/>
              </w:rPr>
              <w:t xml:space="preserve">МЕЛЬДОНІУМ НЕКСТФАРМ </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rPr>
                <w:rFonts w:ascii="Arial" w:hAnsi="Arial" w:cs="Arial"/>
                <w:sz w:val="16"/>
                <w:szCs w:val="16"/>
                <w:lang w:eastAsia="en-US"/>
              </w:rPr>
            </w:pPr>
            <w:r>
              <w:rPr>
                <w:rFonts w:cs="Arial" w:ascii="Arial" w:hAnsi="Arial"/>
                <w:sz w:val="16"/>
                <w:szCs w:val="16"/>
                <w:lang w:eastAsia="en-US"/>
              </w:rPr>
              <w:t>розчин для ін'єкцій по 100 мг/мл по 5 мл в ампулі, по 5 ампул у контурній чарунковій упаковці, по 2 контурні чарункові упаковки у картонній коробці</w:t>
            </w:r>
          </w:p>
          <w:p>
            <w:pPr>
              <w:pStyle w:val="Normal"/>
              <w:spacing w:lineRule="auto" w:line="276"/>
              <w:rPr>
                <w:rFonts w:ascii="Arial" w:hAnsi="Arial" w:cs="Arial"/>
                <w:sz w:val="16"/>
                <w:szCs w:val="16"/>
                <w:lang w:eastAsia="en-US"/>
              </w:rPr>
            </w:pPr>
            <w:r>
              <w:rPr>
                <w:rFonts w:cs="Arial" w:ascii="Arial" w:hAnsi="Arial"/>
                <w:sz w:val="16"/>
                <w:szCs w:val="16"/>
                <w:lang w:eastAsia="en-US"/>
              </w:rPr>
            </w:r>
          </w:p>
        </w:tc>
        <w:tc>
          <w:tcPr>
            <w:tcW w:w="110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Некстфарм ГмбХ</w:t>
            </w:r>
          </w:p>
          <w:p>
            <w:pPr>
              <w:pStyle w:val="Normal"/>
              <w:spacing w:lineRule="auto" w:line="276"/>
              <w:ind w:left="170" w:hanging="0"/>
              <w:jc w:val="center"/>
              <w:rPr>
                <w:rFonts w:ascii="Arial" w:hAnsi="Arial" w:cs="Arial"/>
                <w:sz w:val="16"/>
                <w:szCs w:val="16"/>
                <w:lang w:eastAsia="en-US"/>
              </w:rPr>
            </w:pPr>
            <w:r>
              <w:rPr>
                <w:rFonts w:cs="Arial" w:ascii="Arial" w:hAnsi="Arial"/>
                <w:sz w:val="16"/>
                <w:szCs w:val="16"/>
                <w:lang w:eastAsia="en-US"/>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Республіка Австрія</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center"/>
              <w:rPr>
                <w:rFonts w:cs="Arial"/>
                <w:b w:val="false"/>
                <w:b w:val="false"/>
                <w:iCs/>
                <w:sz w:val="16"/>
                <w:szCs w:val="16"/>
                <w:lang w:val="ru-RU"/>
              </w:rPr>
            </w:pPr>
            <w:r>
              <w:rPr>
                <w:rFonts w:cs="Arial"/>
                <w:b w:val="false"/>
                <w:sz w:val="16"/>
                <w:szCs w:val="16"/>
                <w:lang w:val="ru-RU"/>
              </w:rPr>
              <w:t>УОРЛД МЕДИЦИН ІЛАЧ САН. ВЕ ТІДЖ. А.Ш.</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76" w:before="0" w:after="120"/>
              <w:ind w:left="0" w:hanging="0"/>
              <w:rPr>
                <w:rFonts w:ascii="Arial" w:hAnsi="Arial" w:cs="Arial"/>
                <w:sz w:val="16"/>
                <w:szCs w:val="16"/>
                <w:lang w:eastAsia="en-US"/>
              </w:rPr>
            </w:pPr>
            <w:r>
              <w:rPr>
                <w:rFonts w:cs="Arial" w:ascii="Arial" w:hAnsi="Arial"/>
                <w:sz w:val="16"/>
                <w:szCs w:val="16"/>
                <w:lang w:eastAsia="en-US"/>
              </w:rPr>
              <w:t>Туреччина</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left"/>
              <w:rPr>
                <w:rFonts w:cs="Arial"/>
                <w:b w:val="false"/>
                <w:b w:val="false"/>
                <w:iCs/>
                <w:sz w:val="16"/>
                <w:szCs w:val="16"/>
              </w:rPr>
            </w:pPr>
            <w:r>
              <w:rPr>
                <w:rFonts w:cs="Arial"/>
                <w:b w:val="false"/>
                <w:iCs/>
                <w:sz w:val="16"/>
                <w:szCs w:val="16"/>
              </w:rPr>
              <w:t>засідання НТР № 37 від 17.09.2026</w:t>
            </w:r>
          </w:p>
        </w:tc>
        <w:tc>
          <w:tcPr>
            <w:tcW w:w="53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76" w:before="0" w:after="120"/>
              <w:ind w:left="0" w:hanging="0"/>
              <w:jc w:val="both"/>
              <w:rPr>
                <w:rFonts w:ascii="Arial" w:hAnsi="Arial" w:cs="Arial"/>
                <w:b/>
                <w:b/>
                <w:sz w:val="16"/>
                <w:szCs w:val="16"/>
                <w:lang w:eastAsia="en-US"/>
              </w:rPr>
            </w:pPr>
            <w:r>
              <w:rPr>
                <w:rFonts w:cs="Arial" w:ascii="Arial" w:hAnsi="Arial"/>
                <w:b/>
                <w:sz w:val="16"/>
                <w:szCs w:val="16"/>
                <w:lang w:val="uk-UA"/>
              </w:rPr>
              <w:t xml:space="preserve">Відмовити у затвердженні </w:t>
            </w:r>
            <w:r>
              <w:rPr>
                <w:rFonts w:cs="Arial" w:ascii="Arial" w:hAnsi="Arial"/>
                <w:b/>
                <w:sz w:val="16"/>
                <w:szCs w:val="16"/>
                <w:lang w:val="en-US" w:eastAsia="en-US"/>
              </w:rPr>
              <w:t xml:space="preserve">- </w:t>
            </w:r>
            <w:r>
              <w:rPr>
                <w:rFonts w:cs="Arial" w:ascii="Arial" w:hAnsi="Arial"/>
                <w:sz w:val="16"/>
                <w:szCs w:val="16"/>
                <w:lang w:eastAsia="en-US"/>
              </w:rPr>
              <w:t>технічна</w:t>
            </w:r>
            <w:r>
              <w:rPr>
                <w:rFonts w:cs="Arial" w:ascii="Arial" w:hAnsi="Arial"/>
                <w:sz w:val="16"/>
                <w:szCs w:val="16"/>
                <w:lang w:val="en-US" w:eastAsia="en-US"/>
              </w:rPr>
              <w:t xml:space="preserve"> </w:t>
            </w:r>
            <w:r>
              <w:rPr>
                <w:rFonts w:cs="Arial" w:ascii="Arial" w:hAnsi="Arial"/>
                <w:sz w:val="16"/>
                <w:szCs w:val="16"/>
                <w:lang w:eastAsia="en-US"/>
              </w:rPr>
              <w:t>помилка</w:t>
            </w:r>
            <w:r>
              <w:rPr>
                <w:rFonts w:cs="Arial" w:ascii="Arial" w:hAnsi="Arial"/>
                <w:sz w:val="16"/>
                <w:szCs w:val="16"/>
                <w:lang w:val="en-US" w:eastAsia="en-US"/>
              </w:rPr>
              <w:t xml:space="preserve"> (</w:t>
            </w:r>
            <w:r>
              <w:rPr>
                <w:rFonts w:cs="Arial" w:ascii="Arial" w:hAnsi="Arial"/>
                <w:sz w:val="16"/>
                <w:szCs w:val="16"/>
                <w:lang w:eastAsia="en-US"/>
              </w:rPr>
              <w:t>згідно</w:t>
            </w:r>
            <w:r>
              <w:rPr>
                <w:rFonts w:cs="Arial" w:ascii="Arial" w:hAnsi="Arial"/>
                <w:sz w:val="16"/>
                <w:szCs w:val="16"/>
                <w:lang w:val="en-US" w:eastAsia="en-US"/>
              </w:rPr>
              <w:t xml:space="preserve"> </w:t>
            </w:r>
            <w:r>
              <w:rPr>
                <w:rFonts w:cs="Arial" w:ascii="Arial" w:hAnsi="Arial"/>
                <w:sz w:val="16"/>
                <w:szCs w:val="16"/>
                <w:lang w:eastAsia="en-US"/>
              </w:rPr>
              <w:t>наказу</w:t>
            </w:r>
            <w:r>
              <w:rPr>
                <w:rFonts w:cs="Arial" w:ascii="Arial" w:hAnsi="Arial"/>
                <w:sz w:val="16"/>
                <w:szCs w:val="16"/>
                <w:lang w:val="en-US" w:eastAsia="en-US"/>
              </w:rPr>
              <w:t xml:space="preserve"> </w:t>
            </w:r>
            <w:r>
              <w:rPr>
                <w:rFonts w:cs="Arial" w:ascii="Arial" w:hAnsi="Arial"/>
                <w:sz w:val="16"/>
                <w:szCs w:val="16"/>
                <w:lang w:eastAsia="en-US"/>
              </w:rPr>
              <w:t>МОЗ</w:t>
            </w:r>
            <w:r>
              <w:rPr>
                <w:rFonts w:cs="Arial" w:ascii="Arial" w:hAnsi="Arial"/>
                <w:sz w:val="16"/>
                <w:szCs w:val="16"/>
                <w:lang w:val="en-US" w:eastAsia="en-US"/>
              </w:rPr>
              <w:t xml:space="preserve"> </w:t>
            </w:r>
            <w:r>
              <w:rPr>
                <w:rFonts w:cs="Arial" w:ascii="Arial" w:hAnsi="Arial"/>
                <w:sz w:val="16"/>
                <w:szCs w:val="16"/>
                <w:lang w:eastAsia="en-US"/>
              </w:rPr>
              <w:t>від</w:t>
            </w:r>
            <w:r>
              <w:rPr>
                <w:rFonts w:cs="Arial" w:ascii="Arial" w:hAnsi="Arial"/>
                <w:sz w:val="16"/>
                <w:szCs w:val="16"/>
                <w:lang w:val="en-US" w:eastAsia="en-US"/>
              </w:rPr>
              <w:t xml:space="preserve"> 23.07.2015 № 460), </w:t>
            </w:r>
            <w:r>
              <w:rPr>
                <w:rFonts w:cs="Arial" w:ascii="Arial" w:hAnsi="Arial"/>
                <w:sz w:val="16"/>
                <w:szCs w:val="16"/>
                <w:lang w:eastAsia="en-US"/>
              </w:rPr>
              <w:t>технічна</w:t>
            </w:r>
            <w:r>
              <w:rPr>
                <w:rFonts w:cs="Arial" w:ascii="Arial" w:hAnsi="Arial"/>
                <w:sz w:val="16"/>
                <w:szCs w:val="16"/>
                <w:lang w:val="en-US" w:eastAsia="en-US"/>
              </w:rPr>
              <w:t xml:space="preserve"> </w:t>
            </w:r>
            <w:r>
              <w:rPr>
                <w:rFonts w:cs="Arial" w:ascii="Arial" w:hAnsi="Arial"/>
                <w:sz w:val="16"/>
                <w:szCs w:val="16"/>
                <w:lang w:eastAsia="en-US"/>
              </w:rPr>
              <w:t>помилка</w:t>
            </w:r>
            <w:r>
              <w:rPr>
                <w:rFonts w:cs="Arial" w:ascii="Arial" w:hAnsi="Arial"/>
                <w:sz w:val="16"/>
                <w:szCs w:val="16"/>
                <w:lang w:val="en-US" w:eastAsia="en-US"/>
              </w:rPr>
              <w:t xml:space="preserve">, </w:t>
            </w:r>
            <w:r>
              <w:rPr>
                <w:rFonts w:cs="Arial" w:ascii="Arial" w:hAnsi="Arial"/>
                <w:sz w:val="16"/>
                <w:szCs w:val="16"/>
                <w:lang w:eastAsia="en-US"/>
              </w:rPr>
              <w:t>згідно</w:t>
            </w:r>
            <w:r>
              <w:rPr>
                <w:rFonts w:cs="Arial" w:ascii="Arial" w:hAnsi="Arial"/>
                <w:sz w:val="16"/>
                <w:szCs w:val="16"/>
                <w:lang w:val="en-US" w:eastAsia="en-US"/>
              </w:rPr>
              <w:t xml:space="preserve"> </w:t>
            </w:r>
            <w:r>
              <w:rPr>
                <w:rFonts w:cs="Arial" w:ascii="Arial" w:hAnsi="Arial"/>
                <w:sz w:val="16"/>
                <w:szCs w:val="16"/>
                <w:lang w:eastAsia="en-US"/>
              </w:rPr>
              <w:t>п</w:t>
            </w:r>
            <w:r>
              <w:rPr>
                <w:rFonts w:cs="Arial" w:ascii="Arial" w:hAnsi="Arial"/>
                <w:sz w:val="16"/>
                <w:szCs w:val="16"/>
                <w:lang w:val="en-US" w:eastAsia="en-US"/>
              </w:rPr>
              <w:t xml:space="preserve">. 2.4. </w:t>
            </w:r>
            <w:r>
              <w:rPr>
                <w:rFonts w:cs="Arial" w:ascii="Arial" w:hAnsi="Arial"/>
                <w:sz w:val="16"/>
                <w:szCs w:val="16"/>
                <w:lang w:eastAsia="en-US"/>
              </w:rPr>
              <w:t>розділу</w:t>
            </w:r>
            <w:r>
              <w:rPr>
                <w:rFonts w:cs="Arial" w:ascii="Arial" w:hAnsi="Arial"/>
                <w:sz w:val="16"/>
                <w:szCs w:val="16"/>
                <w:lang w:val="en-US" w:eastAsia="en-US"/>
              </w:rPr>
              <w:t xml:space="preserve"> VI </w:t>
            </w:r>
            <w:r>
              <w:rPr>
                <w:rFonts w:cs="Arial" w:ascii="Arial" w:hAnsi="Arial"/>
                <w:sz w:val="16"/>
                <w:szCs w:val="16"/>
                <w:lang w:eastAsia="en-US"/>
              </w:rPr>
              <w:t>наказу</w:t>
            </w:r>
            <w:r>
              <w:rPr>
                <w:rFonts w:cs="Arial" w:ascii="Arial" w:hAnsi="Arial"/>
                <w:sz w:val="16"/>
                <w:szCs w:val="16"/>
                <w:lang w:val="en-US" w:eastAsia="en-US"/>
              </w:rPr>
              <w:t xml:space="preserve"> </w:t>
            </w:r>
            <w:r>
              <w:rPr>
                <w:rFonts w:cs="Arial" w:ascii="Arial" w:hAnsi="Arial"/>
                <w:sz w:val="16"/>
                <w:szCs w:val="16"/>
                <w:lang w:eastAsia="en-US"/>
              </w:rPr>
              <w:t>МОЗ</w:t>
            </w:r>
            <w:r>
              <w:rPr>
                <w:rFonts w:cs="Arial" w:ascii="Arial" w:hAnsi="Arial"/>
                <w:sz w:val="16"/>
                <w:szCs w:val="16"/>
                <w:lang w:val="en-US" w:eastAsia="en-US"/>
              </w:rPr>
              <w:t xml:space="preserve"> </w:t>
            </w:r>
            <w:r>
              <w:rPr>
                <w:rFonts w:cs="Arial" w:ascii="Arial" w:hAnsi="Arial"/>
                <w:sz w:val="16"/>
                <w:szCs w:val="16"/>
                <w:lang w:eastAsia="en-US"/>
              </w:rPr>
              <w:t>України</w:t>
            </w:r>
            <w:r>
              <w:rPr>
                <w:rFonts w:cs="Arial" w:ascii="Arial" w:hAnsi="Arial"/>
                <w:sz w:val="16"/>
                <w:szCs w:val="16"/>
                <w:lang w:val="en-US" w:eastAsia="en-US"/>
              </w:rPr>
              <w:t xml:space="preserve"> </w:t>
            </w:r>
            <w:r>
              <w:rPr>
                <w:rFonts w:cs="Arial" w:ascii="Arial" w:hAnsi="Arial"/>
                <w:sz w:val="16"/>
                <w:szCs w:val="16"/>
                <w:lang w:eastAsia="en-US"/>
              </w:rPr>
              <w:t>від</w:t>
            </w:r>
            <w:r>
              <w:rPr>
                <w:rFonts w:cs="Arial" w:ascii="Arial" w:hAnsi="Arial"/>
                <w:sz w:val="16"/>
                <w:szCs w:val="16"/>
                <w:lang w:val="en-US" w:eastAsia="en-US"/>
              </w:rPr>
              <w:t xml:space="preserve"> 26.08.2005 </w:t>
            </w:r>
            <w:r>
              <w:rPr>
                <w:rFonts w:cs="Arial" w:ascii="Arial" w:hAnsi="Arial"/>
                <w:sz w:val="16"/>
                <w:szCs w:val="16"/>
                <w:lang w:eastAsia="en-US"/>
              </w:rPr>
              <w:t>р</w:t>
            </w:r>
            <w:r>
              <w:rPr>
                <w:rFonts w:cs="Arial" w:ascii="Arial" w:hAnsi="Arial"/>
                <w:sz w:val="16"/>
                <w:szCs w:val="16"/>
                <w:lang w:val="en-US" w:eastAsia="en-US"/>
              </w:rPr>
              <w:t>. № 426 (</w:t>
            </w:r>
            <w:r>
              <w:rPr>
                <w:rFonts w:cs="Arial" w:ascii="Arial" w:hAnsi="Arial"/>
                <w:sz w:val="16"/>
                <w:szCs w:val="16"/>
                <w:lang w:eastAsia="en-US"/>
              </w:rPr>
              <w:t>у</w:t>
            </w:r>
            <w:r>
              <w:rPr>
                <w:rFonts w:cs="Arial" w:ascii="Arial" w:hAnsi="Arial"/>
                <w:sz w:val="16"/>
                <w:szCs w:val="16"/>
                <w:lang w:val="en-US" w:eastAsia="en-US"/>
              </w:rPr>
              <w:t xml:space="preserve"> </w:t>
            </w:r>
            <w:r>
              <w:rPr>
                <w:rFonts w:cs="Arial" w:ascii="Arial" w:hAnsi="Arial"/>
                <w:sz w:val="16"/>
                <w:szCs w:val="16"/>
                <w:lang w:eastAsia="en-US"/>
              </w:rPr>
              <w:t>редакції</w:t>
            </w:r>
            <w:r>
              <w:rPr>
                <w:rFonts w:cs="Arial" w:ascii="Arial" w:hAnsi="Arial"/>
                <w:sz w:val="16"/>
                <w:szCs w:val="16"/>
                <w:lang w:val="en-US" w:eastAsia="en-US"/>
              </w:rPr>
              <w:t xml:space="preserve"> </w:t>
            </w:r>
            <w:r>
              <w:rPr>
                <w:rFonts w:cs="Arial" w:ascii="Arial" w:hAnsi="Arial"/>
                <w:sz w:val="16"/>
                <w:szCs w:val="16"/>
                <w:lang w:eastAsia="en-US"/>
              </w:rPr>
              <w:t>наказу</w:t>
            </w:r>
            <w:r>
              <w:rPr>
                <w:rFonts w:cs="Arial" w:ascii="Arial" w:hAnsi="Arial"/>
                <w:sz w:val="16"/>
                <w:szCs w:val="16"/>
                <w:lang w:val="en-US" w:eastAsia="en-US"/>
              </w:rPr>
              <w:t xml:space="preserve"> </w:t>
            </w:r>
            <w:r>
              <w:rPr>
                <w:rFonts w:cs="Arial" w:ascii="Arial" w:hAnsi="Arial"/>
                <w:sz w:val="16"/>
                <w:szCs w:val="16"/>
                <w:lang w:eastAsia="en-US"/>
              </w:rPr>
              <w:t>МОЗ</w:t>
            </w:r>
            <w:r>
              <w:rPr>
                <w:rFonts w:cs="Arial" w:ascii="Arial" w:hAnsi="Arial"/>
                <w:sz w:val="16"/>
                <w:szCs w:val="16"/>
                <w:lang w:val="en-US" w:eastAsia="en-US"/>
              </w:rPr>
              <w:t xml:space="preserve"> </w:t>
            </w:r>
            <w:r>
              <w:rPr>
                <w:rFonts w:cs="Arial" w:ascii="Arial" w:hAnsi="Arial"/>
                <w:sz w:val="16"/>
                <w:szCs w:val="16"/>
                <w:lang w:eastAsia="en-US"/>
              </w:rPr>
              <w:t>України</w:t>
            </w:r>
            <w:r>
              <w:rPr>
                <w:rFonts w:cs="Arial" w:ascii="Arial" w:hAnsi="Arial"/>
                <w:sz w:val="16"/>
                <w:szCs w:val="16"/>
                <w:lang w:val="en-US" w:eastAsia="en-US"/>
              </w:rPr>
              <w:t xml:space="preserve"> </w:t>
            </w:r>
            <w:r>
              <w:rPr>
                <w:rFonts w:cs="Arial" w:ascii="Arial" w:hAnsi="Arial"/>
                <w:sz w:val="16"/>
                <w:szCs w:val="16"/>
                <w:lang w:eastAsia="en-US"/>
              </w:rPr>
              <w:t>від</w:t>
            </w:r>
            <w:r>
              <w:rPr>
                <w:rFonts w:cs="Arial" w:ascii="Arial" w:hAnsi="Arial"/>
                <w:sz w:val="16"/>
                <w:szCs w:val="16"/>
                <w:lang w:val="en-US" w:eastAsia="en-US"/>
              </w:rPr>
              <w:t xml:space="preserve"> 23.07.2015</w:t>
            </w:r>
            <w:r>
              <w:rPr>
                <w:rFonts w:cs="Arial" w:ascii="Arial" w:hAnsi="Arial"/>
                <w:sz w:val="16"/>
                <w:szCs w:val="16"/>
                <w:lang w:eastAsia="en-US"/>
              </w:rPr>
              <w:t>р</w:t>
            </w:r>
            <w:r>
              <w:rPr>
                <w:rFonts w:cs="Arial" w:ascii="Arial" w:hAnsi="Arial"/>
                <w:sz w:val="16"/>
                <w:szCs w:val="16"/>
                <w:lang w:val="en-US" w:eastAsia="en-US"/>
              </w:rPr>
              <w:t xml:space="preserve">. № 460): </w:t>
            </w:r>
            <w:r>
              <w:rPr>
                <w:rFonts w:cs="Arial" w:ascii="Arial" w:hAnsi="Arial"/>
                <w:sz w:val="16"/>
                <w:szCs w:val="16"/>
                <w:lang w:eastAsia="en-US"/>
              </w:rPr>
              <w:t>Виправлення</w:t>
            </w:r>
            <w:r>
              <w:rPr>
                <w:rFonts w:cs="Arial" w:ascii="Arial" w:hAnsi="Arial"/>
                <w:sz w:val="16"/>
                <w:szCs w:val="16"/>
                <w:lang w:val="en-US" w:eastAsia="en-US"/>
              </w:rPr>
              <w:t xml:space="preserve"> </w:t>
            </w:r>
            <w:r>
              <w:rPr>
                <w:rFonts w:cs="Arial" w:ascii="Arial" w:hAnsi="Arial"/>
                <w:sz w:val="16"/>
                <w:szCs w:val="16"/>
                <w:lang w:eastAsia="en-US"/>
              </w:rPr>
              <w:t>технічної</w:t>
            </w:r>
            <w:r>
              <w:rPr>
                <w:rFonts w:cs="Arial" w:ascii="Arial" w:hAnsi="Arial"/>
                <w:sz w:val="16"/>
                <w:szCs w:val="16"/>
                <w:lang w:val="en-US" w:eastAsia="en-US"/>
              </w:rPr>
              <w:t xml:space="preserve"> </w:t>
            </w:r>
            <w:r>
              <w:rPr>
                <w:rFonts w:cs="Arial" w:ascii="Arial" w:hAnsi="Arial"/>
                <w:sz w:val="16"/>
                <w:szCs w:val="16"/>
                <w:lang w:eastAsia="en-US"/>
              </w:rPr>
              <w:t>помилки</w:t>
            </w:r>
            <w:r>
              <w:rPr>
                <w:rFonts w:cs="Arial" w:ascii="Arial" w:hAnsi="Arial"/>
                <w:sz w:val="16"/>
                <w:szCs w:val="16"/>
                <w:lang w:val="en-US" w:eastAsia="en-US"/>
              </w:rPr>
              <w:t xml:space="preserve"> </w:t>
            </w:r>
            <w:r>
              <w:rPr>
                <w:rFonts w:cs="Arial" w:ascii="Arial" w:hAnsi="Arial"/>
                <w:sz w:val="16"/>
                <w:szCs w:val="16"/>
                <w:lang w:eastAsia="en-US"/>
              </w:rPr>
              <w:t>в</w:t>
            </w:r>
            <w:r>
              <w:rPr>
                <w:rFonts w:cs="Arial" w:ascii="Arial" w:hAnsi="Arial"/>
                <w:sz w:val="16"/>
                <w:szCs w:val="16"/>
                <w:lang w:val="en-US" w:eastAsia="en-US"/>
              </w:rPr>
              <w:t xml:space="preserve"> </w:t>
            </w:r>
            <w:r>
              <w:rPr>
                <w:rFonts w:cs="Arial" w:ascii="Arial" w:hAnsi="Arial"/>
                <w:sz w:val="16"/>
                <w:szCs w:val="16"/>
                <w:lang w:eastAsia="en-US"/>
              </w:rPr>
              <w:t>методиці</w:t>
            </w:r>
            <w:r>
              <w:rPr>
                <w:rFonts w:cs="Arial" w:ascii="Arial" w:hAnsi="Arial"/>
                <w:sz w:val="16"/>
                <w:szCs w:val="16"/>
                <w:lang w:val="en-US" w:eastAsia="en-US"/>
              </w:rPr>
              <w:t xml:space="preserve"> </w:t>
            </w:r>
            <w:r>
              <w:rPr>
                <w:rFonts w:cs="Arial" w:ascii="Arial" w:hAnsi="Arial"/>
                <w:sz w:val="16"/>
                <w:szCs w:val="16"/>
                <w:lang w:eastAsia="en-US"/>
              </w:rPr>
              <w:t>випробування</w:t>
            </w:r>
            <w:r>
              <w:rPr>
                <w:rFonts w:cs="Arial" w:ascii="Arial" w:hAnsi="Arial"/>
                <w:sz w:val="16"/>
                <w:szCs w:val="16"/>
                <w:lang w:val="en-US" w:eastAsia="en-US"/>
              </w:rPr>
              <w:t xml:space="preserve"> </w:t>
            </w:r>
            <w:r>
              <w:rPr>
                <w:rFonts w:cs="Arial" w:ascii="Arial" w:hAnsi="Arial"/>
                <w:sz w:val="16"/>
                <w:szCs w:val="16"/>
                <w:lang w:eastAsia="en-US"/>
              </w:rPr>
              <w:t>за</w:t>
            </w:r>
            <w:r>
              <w:rPr>
                <w:rFonts w:cs="Arial" w:ascii="Arial" w:hAnsi="Arial"/>
                <w:sz w:val="16"/>
                <w:szCs w:val="16"/>
                <w:lang w:val="en-US" w:eastAsia="en-US"/>
              </w:rPr>
              <w:t xml:space="preserve"> </w:t>
            </w:r>
            <w:r>
              <w:rPr>
                <w:rFonts w:cs="Arial" w:ascii="Arial" w:hAnsi="Arial"/>
                <w:sz w:val="16"/>
                <w:szCs w:val="16"/>
                <w:lang w:eastAsia="en-US"/>
              </w:rPr>
              <w:t>показником</w:t>
            </w:r>
            <w:r>
              <w:rPr>
                <w:rFonts w:cs="Arial" w:ascii="Arial" w:hAnsi="Arial"/>
                <w:sz w:val="16"/>
                <w:szCs w:val="16"/>
                <w:lang w:val="en-US" w:eastAsia="en-US"/>
              </w:rPr>
              <w:t xml:space="preserve"> «</w:t>
            </w:r>
            <w:r>
              <w:rPr>
                <w:rFonts w:cs="Arial" w:ascii="Arial" w:hAnsi="Arial"/>
                <w:sz w:val="16"/>
                <w:szCs w:val="16"/>
                <w:lang w:eastAsia="en-US"/>
              </w:rPr>
              <w:t>Кількісне</w:t>
            </w:r>
            <w:r>
              <w:rPr>
                <w:rFonts w:cs="Arial" w:ascii="Arial" w:hAnsi="Arial"/>
                <w:sz w:val="16"/>
                <w:szCs w:val="16"/>
                <w:lang w:val="en-US" w:eastAsia="en-US"/>
              </w:rPr>
              <w:t xml:space="preserve"> </w:t>
            </w:r>
            <w:r>
              <w:rPr>
                <w:rFonts w:cs="Arial" w:ascii="Arial" w:hAnsi="Arial"/>
                <w:sz w:val="16"/>
                <w:szCs w:val="16"/>
                <w:lang w:eastAsia="en-US"/>
              </w:rPr>
              <w:t>визначення</w:t>
            </w:r>
            <w:r>
              <w:rPr>
                <w:rFonts w:cs="Arial" w:ascii="Arial" w:hAnsi="Arial"/>
                <w:sz w:val="16"/>
                <w:szCs w:val="16"/>
                <w:lang w:val="en-US" w:eastAsia="en-US"/>
              </w:rPr>
              <w:t xml:space="preserve">», </w:t>
            </w:r>
            <w:r>
              <w:rPr>
                <w:rFonts w:cs="Arial" w:ascii="Arial" w:hAnsi="Arial"/>
                <w:sz w:val="16"/>
                <w:szCs w:val="16"/>
                <w:lang w:eastAsia="en-US"/>
              </w:rPr>
              <w:t>зумовленої</w:t>
            </w:r>
            <w:r>
              <w:rPr>
                <w:rFonts w:cs="Arial" w:ascii="Arial" w:hAnsi="Arial"/>
                <w:sz w:val="16"/>
                <w:szCs w:val="16"/>
                <w:lang w:val="en-US" w:eastAsia="en-US"/>
              </w:rPr>
              <w:t xml:space="preserve"> </w:t>
            </w:r>
            <w:r>
              <w:rPr>
                <w:rFonts w:cs="Arial" w:ascii="Arial" w:hAnsi="Arial"/>
                <w:sz w:val="16"/>
                <w:szCs w:val="16"/>
                <w:lang w:eastAsia="en-US"/>
              </w:rPr>
              <w:t>некоректним</w:t>
            </w:r>
            <w:r>
              <w:rPr>
                <w:rFonts w:cs="Arial" w:ascii="Arial" w:hAnsi="Arial"/>
                <w:sz w:val="16"/>
                <w:szCs w:val="16"/>
                <w:lang w:val="en-US" w:eastAsia="en-US"/>
              </w:rPr>
              <w:t xml:space="preserve"> </w:t>
            </w:r>
            <w:r>
              <w:rPr>
                <w:rFonts w:cs="Arial" w:ascii="Arial" w:hAnsi="Arial"/>
                <w:sz w:val="16"/>
                <w:szCs w:val="16"/>
                <w:lang w:eastAsia="en-US"/>
              </w:rPr>
              <w:t>перекладом</w:t>
            </w:r>
            <w:r>
              <w:rPr>
                <w:rFonts w:cs="Arial" w:ascii="Arial" w:hAnsi="Arial"/>
                <w:sz w:val="16"/>
                <w:szCs w:val="16"/>
                <w:lang w:val="en-US" w:eastAsia="en-US"/>
              </w:rPr>
              <w:t xml:space="preserve"> </w:t>
            </w:r>
            <w:r>
              <w:rPr>
                <w:rFonts w:cs="Arial" w:ascii="Arial" w:hAnsi="Arial"/>
                <w:sz w:val="16"/>
                <w:szCs w:val="16"/>
                <w:lang w:eastAsia="en-US"/>
              </w:rPr>
              <w:t>тексту</w:t>
            </w:r>
            <w:r>
              <w:rPr>
                <w:rFonts w:cs="Arial" w:ascii="Arial" w:hAnsi="Arial"/>
                <w:sz w:val="16"/>
                <w:szCs w:val="16"/>
                <w:lang w:val="en-US" w:eastAsia="en-US"/>
              </w:rPr>
              <w:t xml:space="preserve"> </w:t>
            </w:r>
            <w:r>
              <w:rPr>
                <w:rFonts w:cs="Arial" w:ascii="Arial" w:hAnsi="Arial"/>
                <w:sz w:val="16"/>
                <w:szCs w:val="16"/>
                <w:lang w:eastAsia="en-US"/>
              </w:rPr>
              <w:t>МКЯ</w:t>
            </w:r>
            <w:r>
              <w:rPr>
                <w:rFonts w:cs="Arial" w:ascii="Arial" w:hAnsi="Arial"/>
                <w:sz w:val="16"/>
                <w:szCs w:val="16"/>
                <w:lang w:val="en-US" w:eastAsia="en-US"/>
              </w:rPr>
              <w:t xml:space="preserve"> </w:t>
            </w:r>
            <w:r>
              <w:rPr>
                <w:rFonts w:cs="Arial" w:ascii="Arial" w:hAnsi="Arial"/>
                <w:sz w:val="16"/>
                <w:szCs w:val="16"/>
                <w:lang w:eastAsia="en-US"/>
              </w:rPr>
              <w:t>ЛЗ</w:t>
            </w:r>
            <w:r>
              <w:rPr>
                <w:rFonts w:cs="Arial" w:ascii="Arial" w:hAnsi="Arial"/>
                <w:sz w:val="16"/>
                <w:szCs w:val="16"/>
                <w:lang w:val="en-US" w:eastAsia="en-US"/>
              </w:rPr>
              <w:t xml:space="preserve">, </w:t>
            </w:r>
            <w:r>
              <w:rPr>
                <w:rFonts w:cs="Arial" w:ascii="Arial" w:hAnsi="Arial"/>
                <w:sz w:val="16"/>
                <w:szCs w:val="16"/>
                <w:lang w:eastAsia="en-US"/>
              </w:rPr>
              <w:t>а</w:t>
            </w:r>
            <w:r>
              <w:rPr>
                <w:rFonts w:cs="Arial" w:ascii="Arial" w:hAnsi="Arial"/>
                <w:sz w:val="16"/>
                <w:szCs w:val="16"/>
                <w:lang w:val="en-US" w:eastAsia="en-US"/>
              </w:rPr>
              <w:t xml:space="preserve"> </w:t>
            </w:r>
            <w:r>
              <w:rPr>
                <w:rFonts w:cs="Arial" w:ascii="Arial" w:hAnsi="Arial"/>
                <w:sz w:val="16"/>
                <w:szCs w:val="16"/>
                <w:lang w:eastAsia="en-US"/>
              </w:rPr>
              <w:t>саме</w:t>
            </w:r>
            <w:r>
              <w:rPr>
                <w:rFonts w:cs="Arial" w:ascii="Arial" w:hAnsi="Arial"/>
                <w:sz w:val="16"/>
                <w:szCs w:val="16"/>
                <w:lang w:val="en-US" w:eastAsia="en-US"/>
              </w:rPr>
              <w:t xml:space="preserve"> </w:t>
            </w:r>
            <w:r>
              <w:rPr>
                <w:rFonts w:cs="Arial" w:ascii="Arial" w:hAnsi="Arial"/>
                <w:sz w:val="16"/>
                <w:szCs w:val="16"/>
                <w:lang w:eastAsia="en-US"/>
              </w:rPr>
              <w:t>у</w:t>
            </w:r>
            <w:r>
              <w:rPr>
                <w:rFonts w:cs="Arial" w:ascii="Arial" w:hAnsi="Arial"/>
                <w:sz w:val="16"/>
                <w:szCs w:val="16"/>
                <w:lang w:val="en-US" w:eastAsia="en-US"/>
              </w:rPr>
              <w:t xml:space="preserve"> </w:t>
            </w:r>
            <w:r>
              <w:rPr>
                <w:rFonts w:cs="Arial" w:ascii="Arial" w:hAnsi="Arial"/>
                <w:sz w:val="16"/>
                <w:szCs w:val="16"/>
                <w:lang w:eastAsia="en-US"/>
              </w:rPr>
              <w:t>розрахунковій</w:t>
            </w:r>
            <w:r>
              <w:rPr>
                <w:rFonts w:cs="Arial" w:ascii="Arial" w:hAnsi="Arial"/>
                <w:sz w:val="16"/>
                <w:szCs w:val="16"/>
                <w:lang w:val="en-US" w:eastAsia="en-US"/>
              </w:rPr>
              <w:t xml:space="preserve"> </w:t>
            </w:r>
            <w:r>
              <w:rPr>
                <w:rFonts w:cs="Arial" w:ascii="Arial" w:hAnsi="Arial"/>
                <w:sz w:val="16"/>
                <w:szCs w:val="16"/>
                <w:lang w:eastAsia="en-US"/>
              </w:rPr>
              <w:t>формулі</w:t>
            </w:r>
            <w:r>
              <w:rPr>
                <w:rFonts w:cs="Arial" w:ascii="Arial" w:hAnsi="Arial"/>
                <w:sz w:val="16"/>
                <w:szCs w:val="16"/>
                <w:lang w:val="en-US" w:eastAsia="en-US"/>
              </w:rPr>
              <w:t xml:space="preserve"> </w:t>
            </w:r>
            <w:r>
              <w:rPr>
                <w:rFonts w:cs="Arial" w:ascii="Arial" w:hAnsi="Arial"/>
                <w:sz w:val="16"/>
                <w:szCs w:val="16"/>
                <w:lang w:eastAsia="en-US"/>
              </w:rPr>
              <w:t>кількісного</w:t>
            </w:r>
            <w:r>
              <w:rPr>
                <w:rFonts w:cs="Arial" w:ascii="Arial" w:hAnsi="Arial"/>
                <w:sz w:val="16"/>
                <w:szCs w:val="16"/>
                <w:lang w:val="en-US" w:eastAsia="en-US"/>
              </w:rPr>
              <w:t xml:space="preserve"> </w:t>
            </w:r>
            <w:r>
              <w:rPr>
                <w:rFonts w:cs="Arial" w:ascii="Arial" w:hAnsi="Arial"/>
                <w:sz w:val="16"/>
                <w:szCs w:val="16"/>
                <w:lang w:eastAsia="en-US"/>
              </w:rPr>
              <w:t>визначення</w:t>
            </w:r>
            <w:r>
              <w:rPr>
                <w:rFonts w:cs="Arial" w:ascii="Arial" w:hAnsi="Arial"/>
                <w:sz w:val="16"/>
                <w:szCs w:val="16"/>
                <w:lang w:val="en-US" w:eastAsia="en-US"/>
              </w:rPr>
              <w:t xml:space="preserve"> </w:t>
            </w:r>
            <w:r>
              <w:rPr>
                <w:rFonts w:cs="Arial" w:ascii="Arial" w:hAnsi="Arial"/>
                <w:sz w:val="16"/>
                <w:szCs w:val="16"/>
                <w:lang w:eastAsia="en-US"/>
              </w:rPr>
              <w:t>для</w:t>
            </w:r>
            <w:r>
              <w:rPr>
                <w:rFonts w:cs="Arial" w:ascii="Arial" w:hAnsi="Arial"/>
                <w:sz w:val="16"/>
                <w:szCs w:val="16"/>
                <w:lang w:val="en-US" w:eastAsia="en-US"/>
              </w:rPr>
              <w:t xml:space="preserve"> </w:t>
            </w:r>
            <w:r>
              <w:rPr>
                <w:rFonts w:cs="Arial" w:ascii="Arial" w:hAnsi="Arial"/>
                <w:sz w:val="16"/>
                <w:szCs w:val="16"/>
                <w:lang w:eastAsia="en-US"/>
              </w:rPr>
              <w:t>параметра</w:t>
            </w:r>
            <w:r>
              <w:rPr>
                <w:rFonts w:cs="Arial" w:ascii="Arial" w:hAnsi="Arial"/>
                <w:sz w:val="16"/>
                <w:szCs w:val="16"/>
                <w:lang w:val="en-US" w:eastAsia="en-US"/>
              </w:rPr>
              <w:t xml:space="preserve"> (P) </w:t>
            </w:r>
            <w:r>
              <w:rPr>
                <w:rFonts w:cs="Arial" w:ascii="Arial" w:hAnsi="Arial"/>
                <w:sz w:val="16"/>
                <w:szCs w:val="16"/>
                <w:lang w:eastAsia="en-US"/>
              </w:rPr>
              <w:t>помилково</w:t>
            </w:r>
            <w:r>
              <w:rPr>
                <w:rFonts w:cs="Arial" w:ascii="Arial" w:hAnsi="Arial"/>
                <w:sz w:val="16"/>
                <w:szCs w:val="16"/>
                <w:lang w:val="en-US" w:eastAsia="en-US"/>
              </w:rPr>
              <w:t xml:space="preserve"> </w:t>
            </w:r>
            <w:r>
              <w:rPr>
                <w:rFonts w:cs="Arial" w:ascii="Arial" w:hAnsi="Arial"/>
                <w:sz w:val="16"/>
                <w:szCs w:val="16"/>
                <w:lang w:eastAsia="en-US"/>
              </w:rPr>
              <w:t>було</w:t>
            </w:r>
            <w:r>
              <w:rPr>
                <w:rFonts w:cs="Arial" w:ascii="Arial" w:hAnsi="Arial"/>
                <w:sz w:val="16"/>
                <w:szCs w:val="16"/>
                <w:lang w:val="en-US" w:eastAsia="en-US"/>
              </w:rPr>
              <w:t xml:space="preserve"> </w:t>
            </w:r>
            <w:r>
              <w:rPr>
                <w:rFonts w:cs="Arial" w:ascii="Arial" w:hAnsi="Arial"/>
                <w:sz w:val="16"/>
                <w:szCs w:val="16"/>
                <w:lang w:eastAsia="en-US"/>
              </w:rPr>
              <w:t>зазначено</w:t>
            </w:r>
            <w:r>
              <w:rPr>
                <w:rFonts w:cs="Arial" w:ascii="Arial" w:hAnsi="Arial"/>
                <w:sz w:val="16"/>
                <w:szCs w:val="16"/>
                <w:lang w:val="en-US" w:eastAsia="en-US"/>
              </w:rPr>
              <w:t xml:space="preserve"> </w:t>
            </w:r>
            <w:r>
              <w:rPr>
                <w:rFonts w:cs="Arial" w:ascii="Arial" w:hAnsi="Arial"/>
                <w:sz w:val="16"/>
                <w:szCs w:val="16"/>
                <w:lang w:eastAsia="en-US"/>
              </w:rPr>
              <w:t>умови</w:t>
            </w:r>
            <w:r>
              <w:rPr>
                <w:rFonts w:cs="Arial" w:ascii="Arial" w:hAnsi="Arial"/>
                <w:sz w:val="16"/>
                <w:szCs w:val="16"/>
                <w:lang w:val="en-US" w:eastAsia="en-US"/>
              </w:rPr>
              <w:t xml:space="preserve"> </w:t>
            </w:r>
            <w:r>
              <w:rPr>
                <w:rFonts w:cs="Arial" w:ascii="Arial" w:hAnsi="Arial"/>
                <w:sz w:val="16"/>
                <w:szCs w:val="16"/>
                <w:lang w:eastAsia="en-US"/>
              </w:rPr>
              <w:t>перерахунку</w:t>
            </w:r>
            <w:r>
              <w:rPr>
                <w:rFonts w:cs="Arial" w:ascii="Arial" w:hAnsi="Arial"/>
                <w:sz w:val="16"/>
                <w:szCs w:val="16"/>
                <w:lang w:val="en-US" w:eastAsia="en-US"/>
              </w:rPr>
              <w:t xml:space="preserve"> </w:t>
            </w:r>
            <w:r>
              <w:rPr>
                <w:rFonts w:cs="Arial" w:ascii="Arial" w:hAnsi="Arial"/>
                <w:sz w:val="16"/>
                <w:szCs w:val="16"/>
                <w:lang w:eastAsia="en-US"/>
              </w:rPr>
              <w:t>стандартного</w:t>
            </w:r>
            <w:r>
              <w:rPr>
                <w:rFonts w:cs="Arial" w:ascii="Arial" w:hAnsi="Arial"/>
                <w:sz w:val="16"/>
                <w:szCs w:val="16"/>
                <w:lang w:val="en-US" w:eastAsia="en-US"/>
              </w:rPr>
              <w:t xml:space="preserve"> </w:t>
            </w:r>
            <w:r>
              <w:rPr>
                <w:rFonts w:cs="Arial" w:ascii="Arial" w:hAnsi="Arial"/>
                <w:sz w:val="16"/>
                <w:szCs w:val="16"/>
                <w:lang w:eastAsia="en-US"/>
              </w:rPr>
              <w:t>зразка</w:t>
            </w:r>
            <w:r>
              <w:rPr>
                <w:rFonts w:cs="Arial" w:ascii="Arial" w:hAnsi="Arial"/>
                <w:sz w:val="16"/>
                <w:szCs w:val="16"/>
                <w:lang w:val="en-US" w:eastAsia="en-US"/>
              </w:rPr>
              <w:t xml:space="preserve"> </w:t>
            </w:r>
            <w:r>
              <w:rPr>
                <w:rFonts w:cs="Arial" w:ascii="Arial" w:hAnsi="Arial"/>
                <w:sz w:val="16"/>
                <w:szCs w:val="16"/>
                <w:lang w:eastAsia="en-US"/>
              </w:rPr>
              <w:t>на</w:t>
            </w:r>
            <w:r>
              <w:rPr>
                <w:rFonts w:cs="Arial" w:ascii="Arial" w:hAnsi="Arial"/>
                <w:sz w:val="16"/>
                <w:szCs w:val="16"/>
                <w:lang w:val="en-US" w:eastAsia="en-US"/>
              </w:rPr>
              <w:t xml:space="preserve"> «</w:t>
            </w:r>
            <w:r>
              <w:rPr>
                <w:rFonts w:cs="Arial" w:ascii="Arial" w:hAnsi="Arial"/>
                <w:sz w:val="16"/>
                <w:szCs w:val="16"/>
                <w:lang w:eastAsia="en-US"/>
              </w:rPr>
              <w:t>суху</w:t>
            </w:r>
            <w:r>
              <w:rPr>
                <w:rFonts w:cs="Arial" w:ascii="Arial" w:hAnsi="Arial"/>
                <w:sz w:val="16"/>
                <w:szCs w:val="16"/>
                <w:lang w:val="en-US" w:eastAsia="en-US"/>
              </w:rPr>
              <w:t xml:space="preserve"> </w:t>
            </w:r>
            <w:r>
              <w:rPr>
                <w:rFonts w:cs="Arial" w:ascii="Arial" w:hAnsi="Arial"/>
                <w:sz w:val="16"/>
                <w:szCs w:val="16"/>
                <w:lang w:eastAsia="en-US"/>
              </w:rPr>
              <w:t>речовину</w:t>
            </w:r>
            <w:r>
              <w:rPr>
                <w:rFonts w:cs="Arial" w:ascii="Arial" w:hAnsi="Arial"/>
                <w:sz w:val="16"/>
                <w:szCs w:val="16"/>
                <w:lang w:val="en-US" w:eastAsia="en-US"/>
              </w:rPr>
              <w:t xml:space="preserve">». </w:t>
            </w:r>
            <w:r>
              <w:rPr>
                <w:rFonts w:cs="Arial" w:ascii="Arial" w:hAnsi="Arial"/>
                <w:sz w:val="16"/>
                <w:szCs w:val="16"/>
                <w:lang w:eastAsia="en-US"/>
              </w:rPr>
              <w:t>Зазначене виправлення не рекомендовано до затвердження, оскільки в оригінальних матеріалах виробника, що подавались на реєстрацію і які представлені в архіві (розділ 3.2.P.5.2. Аналітичні методики), а також в матеріалах реєстраційного досьє, які подані з процедурою Технічна помилка (розділ 3.2.P.5.2. Аналітичні методики) зазначено: «P Dry potency of meldonium dehydrate WS, %», тобто зазначено умови перерахунку на суху речовину</w:t>
            </w:r>
          </w:p>
        </w:tc>
      </w:tr>
      <w:tr>
        <w:trPr>
          <w:trHeight w:val="557"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6"/>
              </w:numPr>
              <w:snapToGrid w:val="false"/>
              <w:spacing w:lineRule="auto" w:line="254"/>
              <w:rPr>
                <w:rFonts w:ascii="Arial" w:hAnsi="Arial" w:cs="Arial"/>
                <w:b/>
                <w:b/>
                <w:sz w:val="16"/>
                <w:szCs w:val="16"/>
                <w:lang w:eastAsia="en-US"/>
              </w:rPr>
            </w:pPr>
            <w:r>
              <w:rPr>
                <w:rFonts w:cs="Arial" w:ascii="Arial" w:hAnsi="Arial"/>
                <w:b/>
                <w:sz w:val="16"/>
                <w:szCs w:val="16"/>
                <w:lang w:eastAsia="en-US"/>
              </w:rPr>
            </w:r>
          </w:p>
        </w:tc>
        <w:tc>
          <w:tcPr>
            <w:tcW w:w="177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both"/>
              <w:rPr>
                <w:rFonts w:ascii="Arial" w:hAnsi="Arial" w:cs="Arial"/>
                <w:b/>
                <w:b/>
                <w:sz w:val="16"/>
                <w:szCs w:val="16"/>
                <w:lang w:eastAsia="en-US"/>
              </w:rPr>
            </w:pPr>
            <w:r>
              <w:rPr>
                <w:rFonts w:cs="Arial" w:ascii="Arial" w:hAnsi="Arial"/>
                <w:b/>
                <w:sz w:val="16"/>
                <w:szCs w:val="16"/>
                <w:lang w:eastAsia="en-US"/>
              </w:rPr>
              <w:t xml:space="preserve">ТРАВОНЕКСТ </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rPr>
                <w:rFonts w:ascii="Arial" w:hAnsi="Arial" w:cs="Arial"/>
                <w:sz w:val="16"/>
                <w:szCs w:val="16"/>
                <w:lang w:eastAsia="en-US"/>
              </w:rPr>
            </w:pPr>
            <w:r>
              <w:rPr>
                <w:rFonts w:cs="Arial" w:ascii="Arial" w:hAnsi="Arial"/>
                <w:sz w:val="16"/>
                <w:szCs w:val="16"/>
                <w:lang w:eastAsia="en-US"/>
              </w:rPr>
              <w:t>краплі очні, розчин, 40 мкг/мл; по 2,5 мл у флаконі-крапельниці; по 1 флакону-крапельниці у картонній коробці</w:t>
            </w:r>
          </w:p>
          <w:p>
            <w:pPr>
              <w:pStyle w:val="Normal"/>
              <w:spacing w:lineRule="auto" w:line="276"/>
              <w:rPr>
                <w:rFonts w:ascii="Arial" w:hAnsi="Arial" w:cs="Arial"/>
                <w:sz w:val="16"/>
                <w:szCs w:val="16"/>
                <w:lang w:eastAsia="en-US"/>
              </w:rPr>
            </w:pPr>
            <w:r>
              <w:rPr>
                <w:rFonts w:cs="Arial" w:ascii="Arial" w:hAnsi="Arial"/>
                <w:sz w:val="16"/>
                <w:szCs w:val="16"/>
                <w:lang w:eastAsia="en-US"/>
              </w:rPr>
            </w:r>
          </w:p>
        </w:tc>
        <w:tc>
          <w:tcPr>
            <w:tcW w:w="110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БІОСАЙНС ГРУП ЛАБОРАТОРІЗ с.р.о.</w:t>
            </w:r>
          </w:p>
          <w:p>
            <w:pPr>
              <w:pStyle w:val="Normal"/>
              <w:spacing w:lineRule="auto" w:line="276"/>
              <w:ind w:left="170" w:hanging="0"/>
              <w:jc w:val="center"/>
              <w:rPr>
                <w:rFonts w:ascii="Arial" w:hAnsi="Arial" w:cs="Arial"/>
                <w:sz w:val="16"/>
                <w:szCs w:val="16"/>
                <w:lang w:eastAsia="en-US"/>
              </w:rPr>
            </w:pPr>
            <w:r>
              <w:rPr>
                <w:rFonts w:cs="Arial" w:ascii="Arial" w:hAnsi="Arial"/>
                <w:sz w:val="16"/>
                <w:szCs w:val="16"/>
                <w:lang w:eastAsia="en-US"/>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Словацька Республіка</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center"/>
              <w:rPr>
                <w:rFonts w:cs="Arial"/>
                <w:b w:val="false"/>
                <w:b w:val="false"/>
                <w:iCs/>
                <w:sz w:val="16"/>
                <w:szCs w:val="16"/>
              </w:rPr>
            </w:pPr>
            <w:r>
              <w:rPr>
                <w:rFonts w:cs="Arial"/>
                <w:b w:val="false"/>
                <w:sz w:val="16"/>
                <w:szCs w:val="16"/>
              </w:rPr>
              <w:t>РАФАРМ СА</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76" w:before="0" w:after="120"/>
              <w:ind w:left="0" w:hanging="0"/>
              <w:rPr>
                <w:rFonts w:ascii="Arial" w:hAnsi="Arial" w:cs="Arial"/>
                <w:sz w:val="16"/>
                <w:szCs w:val="16"/>
                <w:lang w:eastAsia="en-US"/>
              </w:rPr>
            </w:pPr>
            <w:r>
              <w:rPr>
                <w:rFonts w:cs="Arial" w:ascii="Arial" w:hAnsi="Arial"/>
                <w:sz w:val="16"/>
                <w:szCs w:val="16"/>
                <w:lang w:eastAsia="en-US"/>
              </w:rPr>
              <w:t>Грецiя</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left"/>
              <w:rPr>
                <w:rFonts w:cs="Arial"/>
                <w:b w:val="false"/>
                <w:b w:val="false"/>
                <w:iCs/>
                <w:sz w:val="16"/>
                <w:szCs w:val="16"/>
              </w:rPr>
            </w:pPr>
            <w:r>
              <w:rPr>
                <w:rFonts w:cs="Arial"/>
                <w:b w:val="false"/>
                <w:iCs/>
                <w:sz w:val="16"/>
                <w:szCs w:val="16"/>
              </w:rPr>
              <w:t>засідання НТР № 37 від 17.09.2026</w:t>
            </w:r>
          </w:p>
        </w:tc>
        <w:tc>
          <w:tcPr>
            <w:tcW w:w="53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76" w:before="0" w:after="120"/>
              <w:ind w:left="0" w:hanging="0"/>
              <w:jc w:val="both"/>
              <w:rPr>
                <w:rFonts w:ascii="Arial" w:hAnsi="Arial" w:cs="Arial"/>
                <w:b/>
                <w:b/>
                <w:sz w:val="16"/>
                <w:szCs w:val="16"/>
                <w:lang w:val="en-US" w:eastAsia="en-US"/>
              </w:rPr>
            </w:pPr>
            <w:r>
              <w:rPr>
                <w:rFonts w:cs="Arial" w:ascii="Arial" w:hAnsi="Arial"/>
                <w:b/>
                <w:sz w:val="16"/>
                <w:szCs w:val="16"/>
                <w:lang w:val="uk-UA"/>
              </w:rPr>
              <w:t xml:space="preserve">Відмовити у затвердженні </w:t>
            </w:r>
            <w:r>
              <w:rPr>
                <w:rFonts w:cs="Arial" w:ascii="Arial" w:hAnsi="Arial"/>
                <w:b/>
                <w:sz w:val="16"/>
                <w:szCs w:val="16"/>
                <w:lang w:val="en-US" w:eastAsia="en-US"/>
              </w:rPr>
              <w:t xml:space="preserve">-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І</w:t>
            </w:r>
            <w:r>
              <w:rPr>
                <w:rFonts w:cs="Arial" w:ascii="Arial" w:hAnsi="Arial"/>
                <w:sz w:val="16"/>
                <w:szCs w:val="16"/>
                <w:lang w:val="en-US" w:eastAsia="en-US"/>
              </w:rPr>
              <w:t xml:space="preserve"> </w:t>
            </w:r>
            <w:r>
              <w:rPr>
                <w:rFonts w:cs="Arial" w:ascii="Arial" w:hAnsi="Arial"/>
                <w:sz w:val="16"/>
                <w:szCs w:val="16"/>
                <w:lang w:eastAsia="en-US"/>
              </w:rPr>
              <w:t>типу</w:t>
            </w:r>
            <w:r>
              <w:rPr>
                <w:rFonts w:cs="Arial" w:ascii="Arial" w:hAnsi="Arial"/>
                <w:sz w:val="16"/>
                <w:szCs w:val="16"/>
                <w:lang w:val="en-US" w:eastAsia="en-US"/>
              </w:rPr>
              <w:t xml:space="preserve"> -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щодо</w:t>
            </w:r>
            <w:r>
              <w:rPr>
                <w:rFonts w:cs="Arial" w:ascii="Arial" w:hAnsi="Arial"/>
                <w:sz w:val="16"/>
                <w:szCs w:val="16"/>
                <w:lang w:val="en-US" w:eastAsia="en-US"/>
              </w:rPr>
              <w:t xml:space="preserve"> </w:t>
            </w:r>
            <w:r>
              <w:rPr>
                <w:rFonts w:cs="Arial" w:ascii="Arial" w:hAnsi="Arial"/>
                <w:sz w:val="16"/>
                <w:szCs w:val="16"/>
                <w:lang w:eastAsia="en-US"/>
              </w:rPr>
              <w:t>безпеки</w:t>
            </w:r>
            <w:r>
              <w:rPr>
                <w:rFonts w:cs="Arial" w:ascii="Arial" w:hAnsi="Arial"/>
                <w:sz w:val="16"/>
                <w:szCs w:val="16"/>
                <w:lang w:val="en-US" w:eastAsia="en-US"/>
              </w:rPr>
              <w:t>/</w:t>
            </w:r>
            <w:r>
              <w:rPr>
                <w:rFonts w:cs="Arial" w:ascii="Arial" w:hAnsi="Arial"/>
                <w:sz w:val="16"/>
                <w:szCs w:val="16"/>
                <w:lang w:eastAsia="en-US"/>
              </w:rPr>
              <w:t>ефективності</w:t>
            </w:r>
            <w:r>
              <w:rPr>
                <w:rFonts w:cs="Arial" w:ascii="Arial" w:hAnsi="Arial"/>
                <w:sz w:val="16"/>
                <w:szCs w:val="16"/>
                <w:lang w:val="en-US" w:eastAsia="en-US"/>
              </w:rPr>
              <w:t xml:space="preserve"> </w:t>
            </w:r>
            <w:r>
              <w:rPr>
                <w:rFonts w:cs="Arial" w:ascii="Arial" w:hAnsi="Arial"/>
                <w:sz w:val="16"/>
                <w:szCs w:val="16"/>
                <w:lang w:eastAsia="en-US"/>
              </w:rPr>
              <w:t>та</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Введення</w:t>
            </w:r>
            <w:r>
              <w:rPr>
                <w:rFonts w:cs="Arial" w:ascii="Arial" w:hAnsi="Arial"/>
                <w:sz w:val="16"/>
                <w:szCs w:val="16"/>
                <w:lang w:val="en-US" w:eastAsia="en-US"/>
              </w:rPr>
              <w:t xml:space="preserve"> </w:t>
            </w:r>
            <w:r>
              <w:rPr>
                <w:rFonts w:cs="Arial" w:ascii="Arial" w:hAnsi="Arial"/>
                <w:sz w:val="16"/>
                <w:szCs w:val="16"/>
                <w:lang w:eastAsia="en-US"/>
              </w:rPr>
              <w:t>або</w:t>
            </w:r>
            <w:r>
              <w:rPr>
                <w:rFonts w:cs="Arial" w:ascii="Arial" w:hAnsi="Arial"/>
                <w:sz w:val="16"/>
                <w:szCs w:val="16"/>
                <w:lang w:val="en-US" w:eastAsia="en-US"/>
              </w:rPr>
              <w:t xml:space="preserve">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до</w:t>
            </w:r>
            <w:r>
              <w:rPr>
                <w:rFonts w:cs="Arial" w:ascii="Arial" w:hAnsi="Arial"/>
                <w:sz w:val="16"/>
                <w:szCs w:val="16"/>
                <w:lang w:val="en-US" w:eastAsia="en-US"/>
              </w:rPr>
              <w:t xml:space="preserve"> </w:t>
            </w:r>
            <w:r>
              <w:rPr>
                <w:rFonts w:cs="Arial" w:ascii="Arial" w:hAnsi="Arial"/>
                <w:sz w:val="16"/>
                <w:szCs w:val="16"/>
                <w:lang w:eastAsia="en-US"/>
              </w:rPr>
              <w:t>узагальнених</w:t>
            </w:r>
            <w:r>
              <w:rPr>
                <w:rFonts w:cs="Arial" w:ascii="Arial" w:hAnsi="Arial"/>
                <w:sz w:val="16"/>
                <w:szCs w:val="16"/>
                <w:lang w:val="en-US" w:eastAsia="en-US"/>
              </w:rPr>
              <w:t xml:space="preserve"> </w:t>
            </w:r>
            <w:r>
              <w:rPr>
                <w:rFonts w:cs="Arial" w:ascii="Arial" w:hAnsi="Arial"/>
                <w:sz w:val="16"/>
                <w:szCs w:val="16"/>
                <w:lang w:eastAsia="en-US"/>
              </w:rPr>
              <w:t>даних</w:t>
            </w:r>
            <w:r>
              <w:rPr>
                <w:rFonts w:cs="Arial" w:ascii="Arial" w:hAnsi="Arial"/>
                <w:sz w:val="16"/>
                <w:szCs w:val="16"/>
                <w:lang w:val="en-US" w:eastAsia="en-US"/>
              </w:rPr>
              <w:t xml:space="preserve"> </w:t>
            </w:r>
            <w:r>
              <w:rPr>
                <w:rFonts w:cs="Arial" w:ascii="Arial" w:hAnsi="Arial"/>
                <w:sz w:val="16"/>
                <w:szCs w:val="16"/>
                <w:lang w:eastAsia="en-US"/>
              </w:rPr>
              <w:t>про</w:t>
            </w:r>
            <w:r>
              <w:rPr>
                <w:rFonts w:cs="Arial" w:ascii="Arial" w:hAnsi="Arial"/>
                <w:sz w:val="16"/>
                <w:szCs w:val="16"/>
                <w:lang w:val="en-US" w:eastAsia="en-US"/>
              </w:rPr>
              <w:t xml:space="preserve"> </w:t>
            </w:r>
            <w:r>
              <w:rPr>
                <w:rFonts w:cs="Arial" w:ascii="Arial" w:hAnsi="Arial"/>
                <w:sz w:val="16"/>
                <w:szCs w:val="16"/>
                <w:lang w:eastAsia="en-US"/>
              </w:rPr>
              <w:t>систему</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введення</w:t>
            </w:r>
            <w:r>
              <w:rPr>
                <w:rFonts w:cs="Arial" w:ascii="Arial" w:hAnsi="Arial"/>
                <w:sz w:val="16"/>
                <w:szCs w:val="16"/>
                <w:lang w:val="en-US" w:eastAsia="en-US"/>
              </w:rPr>
              <w:t xml:space="preserve"> </w:t>
            </w:r>
            <w:r>
              <w:rPr>
                <w:rFonts w:cs="Arial" w:ascii="Arial" w:hAnsi="Arial"/>
                <w:sz w:val="16"/>
                <w:szCs w:val="16"/>
                <w:lang w:eastAsia="en-US"/>
              </w:rPr>
              <w:t>узагальнених</w:t>
            </w:r>
            <w:r>
              <w:rPr>
                <w:rFonts w:cs="Arial" w:ascii="Arial" w:hAnsi="Arial"/>
                <w:sz w:val="16"/>
                <w:szCs w:val="16"/>
                <w:lang w:val="en-US" w:eastAsia="en-US"/>
              </w:rPr>
              <w:t xml:space="preserve"> </w:t>
            </w:r>
            <w:r>
              <w:rPr>
                <w:rFonts w:cs="Arial" w:ascii="Arial" w:hAnsi="Arial"/>
                <w:sz w:val="16"/>
                <w:szCs w:val="16"/>
                <w:lang w:eastAsia="en-US"/>
              </w:rPr>
              <w:t>даних</w:t>
            </w:r>
            <w:r>
              <w:rPr>
                <w:rFonts w:cs="Arial" w:ascii="Arial" w:hAnsi="Arial"/>
                <w:sz w:val="16"/>
                <w:szCs w:val="16"/>
                <w:lang w:val="en-US" w:eastAsia="en-US"/>
              </w:rPr>
              <w:t xml:space="preserve"> </w:t>
            </w:r>
            <w:r>
              <w:rPr>
                <w:rFonts w:cs="Arial" w:ascii="Arial" w:hAnsi="Arial"/>
                <w:sz w:val="16"/>
                <w:szCs w:val="16"/>
                <w:lang w:eastAsia="en-US"/>
              </w:rPr>
              <w:t>про</w:t>
            </w:r>
            <w:r>
              <w:rPr>
                <w:rFonts w:cs="Arial" w:ascii="Arial" w:hAnsi="Arial"/>
                <w:sz w:val="16"/>
                <w:szCs w:val="16"/>
                <w:lang w:val="en-US" w:eastAsia="en-US"/>
              </w:rPr>
              <w:t xml:space="preserve"> </w:t>
            </w:r>
            <w:r>
              <w:rPr>
                <w:rFonts w:cs="Arial" w:ascii="Arial" w:hAnsi="Arial"/>
                <w:sz w:val="16"/>
                <w:szCs w:val="16"/>
                <w:lang w:eastAsia="en-US"/>
              </w:rPr>
              <w:t>систему</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зміна</w:t>
            </w:r>
            <w:r>
              <w:rPr>
                <w:rFonts w:cs="Arial" w:ascii="Arial" w:hAnsi="Arial"/>
                <w:sz w:val="16"/>
                <w:szCs w:val="16"/>
                <w:lang w:val="en-US" w:eastAsia="en-US"/>
              </w:rPr>
              <w:t xml:space="preserve"> </w:t>
            </w:r>
            <w:r>
              <w:rPr>
                <w:rFonts w:cs="Arial" w:ascii="Arial" w:hAnsi="Arial"/>
                <w:sz w:val="16"/>
                <w:szCs w:val="16"/>
                <w:lang w:eastAsia="en-US"/>
              </w:rPr>
              <w:t>уповноваженої</w:t>
            </w:r>
            <w:r>
              <w:rPr>
                <w:rFonts w:cs="Arial" w:ascii="Arial" w:hAnsi="Arial"/>
                <w:sz w:val="16"/>
                <w:szCs w:val="16"/>
                <w:lang w:val="en-US" w:eastAsia="en-US"/>
              </w:rPr>
              <w:t xml:space="preserve"> </w:t>
            </w:r>
            <w:r>
              <w:rPr>
                <w:rFonts w:cs="Arial" w:ascii="Arial" w:hAnsi="Arial"/>
                <w:sz w:val="16"/>
                <w:szCs w:val="16"/>
                <w:lang w:eastAsia="en-US"/>
              </w:rPr>
              <w:t>особи</w:t>
            </w:r>
            <w:r>
              <w:rPr>
                <w:rFonts w:cs="Arial" w:ascii="Arial" w:hAnsi="Arial"/>
                <w:sz w:val="16"/>
                <w:szCs w:val="16"/>
                <w:lang w:val="en-US" w:eastAsia="en-US"/>
              </w:rPr>
              <w:t xml:space="preserve">, </w:t>
            </w:r>
            <w:r>
              <w:rPr>
                <w:rFonts w:cs="Arial" w:ascii="Arial" w:hAnsi="Arial"/>
                <w:sz w:val="16"/>
                <w:szCs w:val="16"/>
                <w:lang w:eastAsia="en-US"/>
              </w:rPr>
              <w:t>відповідальної</w:t>
            </w:r>
            <w:r>
              <w:rPr>
                <w:rFonts w:cs="Arial" w:ascii="Arial" w:hAnsi="Arial"/>
                <w:sz w:val="16"/>
                <w:szCs w:val="16"/>
                <w:lang w:val="en-US" w:eastAsia="en-US"/>
              </w:rPr>
              <w:t xml:space="preserve"> </w:t>
            </w:r>
            <w:r>
              <w:rPr>
                <w:rFonts w:cs="Arial" w:ascii="Arial" w:hAnsi="Arial"/>
                <w:sz w:val="16"/>
                <w:szCs w:val="16"/>
                <w:lang w:eastAsia="en-US"/>
              </w:rPr>
              <w:t>за</w:t>
            </w:r>
            <w:r>
              <w:rPr>
                <w:rFonts w:cs="Arial" w:ascii="Arial" w:hAnsi="Arial"/>
                <w:sz w:val="16"/>
                <w:szCs w:val="16"/>
                <w:lang w:val="en-US" w:eastAsia="en-US"/>
              </w:rPr>
              <w:t xml:space="preserve"> </w:t>
            </w:r>
            <w:r>
              <w:rPr>
                <w:rFonts w:cs="Arial" w:ascii="Arial" w:hAnsi="Arial"/>
                <w:sz w:val="16"/>
                <w:szCs w:val="16"/>
                <w:lang w:eastAsia="en-US"/>
              </w:rPr>
              <w:t>здійснення</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контактної</w:t>
            </w:r>
            <w:r>
              <w:rPr>
                <w:rFonts w:cs="Arial" w:ascii="Arial" w:hAnsi="Arial"/>
                <w:sz w:val="16"/>
                <w:szCs w:val="16"/>
                <w:lang w:val="en-US" w:eastAsia="en-US"/>
              </w:rPr>
              <w:t xml:space="preserve"> </w:t>
            </w:r>
            <w:r>
              <w:rPr>
                <w:rFonts w:cs="Arial" w:ascii="Arial" w:hAnsi="Arial"/>
                <w:sz w:val="16"/>
                <w:szCs w:val="16"/>
                <w:lang w:eastAsia="en-US"/>
              </w:rPr>
              <w:t>особи</w:t>
            </w:r>
            <w:r>
              <w:rPr>
                <w:rFonts w:cs="Arial" w:ascii="Arial" w:hAnsi="Arial"/>
                <w:sz w:val="16"/>
                <w:szCs w:val="16"/>
                <w:lang w:val="en-US" w:eastAsia="en-US"/>
              </w:rPr>
              <w:t xml:space="preserve"> </w:t>
            </w:r>
            <w:r>
              <w:rPr>
                <w:rFonts w:cs="Arial" w:ascii="Arial" w:hAnsi="Arial"/>
                <w:sz w:val="16"/>
                <w:szCs w:val="16"/>
                <w:lang w:eastAsia="en-US"/>
              </w:rPr>
              <w:t>з</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заявника</w:t>
            </w:r>
            <w:r>
              <w:rPr>
                <w:rFonts w:cs="Arial" w:ascii="Arial" w:hAnsi="Arial"/>
                <w:sz w:val="16"/>
                <w:szCs w:val="16"/>
                <w:lang w:val="en-US" w:eastAsia="en-US"/>
              </w:rPr>
              <w:t xml:space="preserve"> </w:t>
            </w:r>
            <w:r>
              <w:rPr>
                <w:rFonts w:cs="Arial" w:ascii="Arial" w:hAnsi="Arial"/>
                <w:sz w:val="16"/>
                <w:szCs w:val="16"/>
                <w:lang w:eastAsia="en-US"/>
              </w:rPr>
              <w:t>для</w:t>
            </w:r>
            <w:r>
              <w:rPr>
                <w:rFonts w:cs="Arial" w:ascii="Arial" w:hAnsi="Arial"/>
                <w:sz w:val="16"/>
                <w:szCs w:val="16"/>
                <w:lang w:val="en-US" w:eastAsia="en-US"/>
              </w:rPr>
              <w:t xml:space="preserve"> </w:t>
            </w:r>
            <w:r>
              <w:rPr>
                <w:rFonts w:cs="Arial" w:ascii="Arial" w:hAnsi="Arial"/>
                <w:sz w:val="16"/>
                <w:szCs w:val="16"/>
                <w:lang w:eastAsia="en-US"/>
              </w:rPr>
              <w:t>здійснення</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в</w:t>
            </w:r>
            <w:r>
              <w:rPr>
                <w:rFonts w:cs="Arial" w:ascii="Arial" w:hAnsi="Arial"/>
                <w:sz w:val="16"/>
                <w:szCs w:val="16"/>
                <w:lang w:val="en-US" w:eastAsia="en-US"/>
              </w:rPr>
              <w:t xml:space="preserve"> </w:t>
            </w:r>
            <w:r>
              <w:rPr>
                <w:rFonts w:cs="Arial" w:ascii="Arial" w:hAnsi="Arial"/>
                <w:sz w:val="16"/>
                <w:szCs w:val="16"/>
                <w:lang w:eastAsia="en-US"/>
              </w:rPr>
              <w:t>Україні</w:t>
            </w:r>
            <w:r>
              <w:rPr>
                <w:rFonts w:cs="Arial" w:ascii="Arial" w:hAnsi="Arial"/>
                <w:sz w:val="16"/>
                <w:szCs w:val="16"/>
                <w:lang w:val="en-US" w:eastAsia="en-US"/>
              </w:rPr>
              <w:t xml:space="preserve">, </w:t>
            </w:r>
            <w:r>
              <w:rPr>
                <w:rFonts w:cs="Arial" w:ascii="Arial" w:hAnsi="Arial"/>
                <w:sz w:val="16"/>
                <w:szCs w:val="16"/>
                <w:lang w:eastAsia="en-US"/>
              </w:rPr>
              <w:t>якщо</w:t>
            </w:r>
            <w:r>
              <w:rPr>
                <w:rFonts w:cs="Arial" w:ascii="Arial" w:hAnsi="Arial"/>
                <w:sz w:val="16"/>
                <w:szCs w:val="16"/>
                <w:lang w:val="en-US" w:eastAsia="en-US"/>
              </w:rPr>
              <w:t xml:space="preserve"> </w:t>
            </w:r>
            <w:r>
              <w:rPr>
                <w:rFonts w:cs="Arial" w:ascii="Arial" w:hAnsi="Arial"/>
                <w:sz w:val="16"/>
                <w:szCs w:val="16"/>
                <w:lang w:eastAsia="en-US"/>
              </w:rPr>
              <w:t>вона</w:t>
            </w:r>
            <w:r>
              <w:rPr>
                <w:rFonts w:cs="Arial" w:ascii="Arial" w:hAnsi="Arial"/>
                <w:sz w:val="16"/>
                <w:szCs w:val="16"/>
                <w:lang w:val="en-US" w:eastAsia="en-US"/>
              </w:rPr>
              <w:t xml:space="preserve"> </w:t>
            </w:r>
            <w:r>
              <w:rPr>
                <w:rFonts w:cs="Arial" w:ascii="Arial" w:hAnsi="Arial"/>
                <w:sz w:val="16"/>
                <w:szCs w:val="16"/>
                <w:lang w:eastAsia="en-US"/>
              </w:rPr>
              <w:t>відмінна</w:t>
            </w:r>
            <w:r>
              <w:rPr>
                <w:rFonts w:cs="Arial" w:ascii="Arial" w:hAnsi="Arial"/>
                <w:sz w:val="16"/>
                <w:szCs w:val="16"/>
                <w:lang w:val="en-US" w:eastAsia="en-US"/>
              </w:rPr>
              <w:t xml:space="preserve"> </w:t>
            </w:r>
            <w:r>
              <w:rPr>
                <w:rFonts w:cs="Arial" w:ascii="Arial" w:hAnsi="Arial"/>
                <w:sz w:val="16"/>
                <w:szCs w:val="16"/>
                <w:lang w:eastAsia="en-US"/>
              </w:rPr>
              <w:t>від</w:t>
            </w:r>
            <w:r>
              <w:rPr>
                <w:rFonts w:cs="Arial" w:ascii="Arial" w:hAnsi="Arial"/>
                <w:sz w:val="16"/>
                <w:szCs w:val="16"/>
                <w:lang w:val="en-US" w:eastAsia="en-US"/>
              </w:rPr>
              <w:t xml:space="preserve"> </w:t>
            </w:r>
            <w:r>
              <w:rPr>
                <w:rFonts w:cs="Arial" w:ascii="Arial" w:hAnsi="Arial"/>
                <w:sz w:val="16"/>
                <w:szCs w:val="16"/>
                <w:lang w:eastAsia="en-US"/>
              </w:rPr>
              <w:t>уповноваженої</w:t>
            </w:r>
            <w:r>
              <w:rPr>
                <w:rFonts w:cs="Arial" w:ascii="Arial" w:hAnsi="Arial"/>
                <w:sz w:val="16"/>
                <w:szCs w:val="16"/>
                <w:lang w:val="en-US" w:eastAsia="en-US"/>
              </w:rPr>
              <w:t xml:space="preserve"> </w:t>
            </w:r>
            <w:r>
              <w:rPr>
                <w:rFonts w:cs="Arial" w:ascii="Arial" w:hAnsi="Arial"/>
                <w:sz w:val="16"/>
                <w:szCs w:val="16"/>
                <w:lang w:eastAsia="en-US"/>
              </w:rPr>
              <w:t>особи</w:t>
            </w:r>
            <w:r>
              <w:rPr>
                <w:rFonts w:cs="Arial" w:ascii="Arial" w:hAnsi="Arial"/>
                <w:sz w:val="16"/>
                <w:szCs w:val="16"/>
                <w:lang w:val="en-US" w:eastAsia="en-US"/>
              </w:rPr>
              <w:t xml:space="preserve">, </w:t>
            </w:r>
            <w:r>
              <w:rPr>
                <w:rFonts w:cs="Arial" w:ascii="Arial" w:hAnsi="Arial"/>
                <w:sz w:val="16"/>
                <w:szCs w:val="16"/>
                <w:lang w:eastAsia="en-US"/>
              </w:rPr>
              <w:t>відповідальної</w:t>
            </w:r>
            <w:r>
              <w:rPr>
                <w:rFonts w:cs="Arial" w:ascii="Arial" w:hAnsi="Arial"/>
                <w:sz w:val="16"/>
                <w:szCs w:val="16"/>
                <w:lang w:val="en-US" w:eastAsia="en-US"/>
              </w:rPr>
              <w:t xml:space="preserve"> </w:t>
            </w:r>
            <w:r>
              <w:rPr>
                <w:rFonts w:cs="Arial" w:ascii="Arial" w:hAnsi="Arial"/>
                <w:sz w:val="16"/>
                <w:szCs w:val="16"/>
                <w:lang w:eastAsia="en-US"/>
              </w:rPr>
              <w:t>за</w:t>
            </w:r>
            <w:r>
              <w:rPr>
                <w:rFonts w:cs="Arial" w:ascii="Arial" w:hAnsi="Arial"/>
                <w:sz w:val="16"/>
                <w:szCs w:val="16"/>
                <w:lang w:val="en-US" w:eastAsia="en-US"/>
              </w:rPr>
              <w:t xml:space="preserve"> </w:t>
            </w:r>
            <w:r>
              <w:rPr>
                <w:rFonts w:cs="Arial" w:ascii="Arial" w:hAnsi="Arial"/>
                <w:sz w:val="16"/>
                <w:szCs w:val="16"/>
                <w:lang w:eastAsia="en-US"/>
              </w:rPr>
              <w:t>здійснення</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включаючи</w:t>
            </w:r>
            <w:r>
              <w:rPr>
                <w:rFonts w:cs="Arial" w:ascii="Arial" w:hAnsi="Arial"/>
                <w:sz w:val="16"/>
                <w:szCs w:val="16"/>
                <w:lang w:val="en-US" w:eastAsia="en-US"/>
              </w:rPr>
              <w:t xml:space="preserve"> </w:t>
            </w:r>
            <w:r>
              <w:rPr>
                <w:rFonts w:cs="Arial" w:ascii="Arial" w:hAnsi="Arial"/>
                <w:sz w:val="16"/>
                <w:szCs w:val="16"/>
                <w:lang w:eastAsia="en-US"/>
              </w:rPr>
              <w:t>контактні</w:t>
            </w:r>
            <w:r>
              <w:rPr>
                <w:rFonts w:cs="Arial" w:ascii="Arial" w:hAnsi="Arial"/>
                <w:sz w:val="16"/>
                <w:szCs w:val="16"/>
                <w:lang w:val="en-US" w:eastAsia="en-US"/>
              </w:rPr>
              <w:t xml:space="preserve"> </w:t>
            </w:r>
            <w:r>
              <w:rPr>
                <w:rFonts w:cs="Arial" w:ascii="Arial" w:hAnsi="Arial"/>
                <w:sz w:val="16"/>
                <w:szCs w:val="16"/>
                <w:lang w:eastAsia="en-US"/>
              </w:rPr>
              <w:t>дані</w:t>
            </w:r>
            <w:r>
              <w:rPr>
                <w:rFonts w:cs="Arial" w:ascii="Arial" w:hAnsi="Arial"/>
                <w:sz w:val="16"/>
                <w:szCs w:val="16"/>
                <w:lang w:val="en-US" w:eastAsia="en-US"/>
              </w:rPr>
              <w:t xml:space="preserve">) </w:t>
            </w:r>
            <w:r>
              <w:rPr>
                <w:rFonts w:cs="Arial" w:ascii="Arial" w:hAnsi="Arial"/>
                <w:sz w:val="16"/>
                <w:szCs w:val="16"/>
                <w:lang w:eastAsia="en-US"/>
              </w:rPr>
              <w:t>та</w:t>
            </w:r>
            <w:r>
              <w:rPr>
                <w:rFonts w:cs="Arial" w:ascii="Arial" w:hAnsi="Arial"/>
                <w:sz w:val="16"/>
                <w:szCs w:val="16"/>
                <w:lang w:val="en-US" w:eastAsia="en-US"/>
              </w:rPr>
              <w:t>/</w:t>
            </w:r>
            <w:r>
              <w:rPr>
                <w:rFonts w:cs="Arial" w:ascii="Arial" w:hAnsi="Arial"/>
                <w:sz w:val="16"/>
                <w:szCs w:val="16"/>
                <w:lang w:eastAsia="en-US"/>
              </w:rPr>
              <w:t>або</w:t>
            </w:r>
            <w:r>
              <w:rPr>
                <w:rFonts w:cs="Arial" w:ascii="Arial" w:hAnsi="Arial"/>
                <w:sz w:val="16"/>
                <w:szCs w:val="16"/>
                <w:lang w:val="en-US" w:eastAsia="en-US"/>
              </w:rPr>
              <w:t xml:space="preserve">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у</w:t>
            </w:r>
            <w:r>
              <w:rPr>
                <w:rFonts w:cs="Arial" w:ascii="Arial" w:hAnsi="Arial"/>
                <w:sz w:val="16"/>
                <w:szCs w:val="16"/>
                <w:lang w:val="en-US" w:eastAsia="en-US"/>
              </w:rPr>
              <w:t xml:space="preserve"> </w:t>
            </w:r>
            <w:r>
              <w:rPr>
                <w:rFonts w:cs="Arial" w:ascii="Arial" w:hAnsi="Arial"/>
                <w:sz w:val="16"/>
                <w:szCs w:val="16"/>
                <w:lang w:eastAsia="en-US"/>
              </w:rPr>
              <w:t>розміщенні</w:t>
            </w:r>
            <w:r>
              <w:rPr>
                <w:rFonts w:cs="Arial" w:ascii="Arial" w:hAnsi="Arial"/>
                <w:sz w:val="16"/>
                <w:szCs w:val="16"/>
                <w:lang w:val="en-US" w:eastAsia="en-US"/>
              </w:rPr>
              <w:t xml:space="preserve"> </w:t>
            </w:r>
            <w:r>
              <w:rPr>
                <w:rFonts w:cs="Arial" w:ascii="Arial" w:hAnsi="Arial"/>
                <w:sz w:val="16"/>
                <w:szCs w:val="16"/>
                <w:lang w:eastAsia="en-US"/>
              </w:rPr>
              <w:t>мастер</w:t>
            </w:r>
            <w:r>
              <w:rPr>
                <w:rFonts w:cs="Arial" w:ascii="Arial" w:hAnsi="Arial"/>
                <w:sz w:val="16"/>
                <w:szCs w:val="16"/>
                <w:lang w:val="en-US" w:eastAsia="en-US"/>
              </w:rPr>
              <w:t>-</w:t>
            </w:r>
            <w:r>
              <w:rPr>
                <w:rFonts w:cs="Arial" w:ascii="Arial" w:hAnsi="Arial"/>
                <w:sz w:val="16"/>
                <w:szCs w:val="16"/>
                <w:lang w:eastAsia="en-US"/>
              </w:rPr>
              <w:t>файла</w:t>
            </w:r>
            <w:r>
              <w:rPr>
                <w:rFonts w:cs="Arial" w:ascii="Arial" w:hAnsi="Arial"/>
                <w:sz w:val="16"/>
                <w:szCs w:val="16"/>
                <w:lang w:val="en-US" w:eastAsia="en-US"/>
              </w:rPr>
              <w:t xml:space="preserve"> </w:t>
            </w:r>
            <w:r>
              <w:rPr>
                <w:rFonts w:cs="Arial" w:ascii="Arial" w:hAnsi="Arial"/>
                <w:sz w:val="16"/>
                <w:szCs w:val="16"/>
                <w:lang w:eastAsia="en-US"/>
              </w:rPr>
              <w:t>системи</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w:t>
            </w:r>
            <w:r>
              <w:rPr>
                <w:rFonts w:cs="Arial" w:ascii="Arial" w:hAnsi="Arial"/>
                <w:sz w:val="16"/>
                <w:szCs w:val="16"/>
                <w:lang w:eastAsia="en-US"/>
              </w:rPr>
              <w:t>В</w:t>
            </w:r>
            <w:r>
              <w:rPr>
                <w:rFonts w:cs="Arial" w:ascii="Arial" w:hAnsi="Arial"/>
                <w:sz w:val="16"/>
                <w:szCs w:val="16"/>
                <w:lang w:val="en-US" w:eastAsia="en-US"/>
              </w:rPr>
              <w:t>.I.8. (</w:t>
            </w:r>
            <w:r>
              <w:rPr>
                <w:rFonts w:cs="Arial" w:ascii="Arial" w:hAnsi="Arial"/>
                <w:sz w:val="16"/>
                <w:szCs w:val="16"/>
                <w:lang w:eastAsia="en-US"/>
              </w:rPr>
              <w:t>а</w:t>
            </w:r>
            <w:r>
              <w:rPr>
                <w:rFonts w:cs="Arial" w:ascii="Arial" w:hAnsi="Arial"/>
                <w:sz w:val="16"/>
                <w:szCs w:val="16"/>
                <w:lang w:val="en-US" w:eastAsia="en-US"/>
              </w:rPr>
              <w:t>) IA</w:t>
            </w:r>
            <w:r>
              <w:rPr>
                <w:rFonts w:cs="Arial" w:ascii="Arial" w:hAnsi="Arial"/>
                <w:sz w:val="16"/>
                <w:szCs w:val="16"/>
                <w:lang w:eastAsia="en-US"/>
              </w:rPr>
              <w:t>нп</w:t>
            </w:r>
            <w:r>
              <w:rPr>
                <w:rFonts w:cs="Arial" w:ascii="Arial" w:hAnsi="Arial"/>
                <w:sz w:val="16"/>
                <w:szCs w:val="16"/>
                <w:lang w:val="en-US" w:eastAsia="en-US"/>
              </w:rPr>
              <w:t xml:space="preserve">), </w:t>
            </w:r>
            <w:r>
              <w:rPr>
                <w:rFonts w:cs="Arial" w:ascii="Arial" w:hAnsi="Arial"/>
                <w:sz w:val="16"/>
                <w:szCs w:val="16"/>
                <w:lang w:eastAsia="en-US"/>
              </w:rPr>
              <w:t>оскільки</w:t>
            </w:r>
            <w:r>
              <w:rPr>
                <w:rFonts w:cs="Arial" w:ascii="Arial" w:hAnsi="Arial"/>
                <w:sz w:val="16"/>
                <w:szCs w:val="16"/>
                <w:lang w:val="en-US" w:eastAsia="en-US"/>
              </w:rPr>
              <w:t xml:space="preserve"> </w:t>
            </w:r>
            <w:r>
              <w:rPr>
                <w:rFonts w:cs="Arial" w:ascii="Arial" w:hAnsi="Arial"/>
                <w:sz w:val="16"/>
                <w:szCs w:val="16"/>
                <w:lang w:eastAsia="en-US"/>
              </w:rPr>
              <w:t>не</w:t>
            </w:r>
            <w:r>
              <w:rPr>
                <w:rFonts w:cs="Arial" w:ascii="Arial" w:hAnsi="Arial"/>
                <w:sz w:val="16"/>
                <w:szCs w:val="16"/>
                <w:lang w:val="en-US" w:eastAsia="en-US"/>
              </w:rPr>
              <w:t xml:space="preserve"> </w:t>
            </w:r>
            <w:r>
              <w:rPr>
                <w:rFonts w:cs="Arial" w:ascii="Arial" w:hAnsi="Arial"/>
                <w:sz w:val="16"/>
                <w:szCs w:val="16"/>
                <w:lang w:eastAsia="en-US"/>
              </w:rPr>
              <w:t>відбулося</w:t>
            </w:r>
            <w:r>
              <w:rPr>
                <w:rFonts w:cs="Arial" w:ascii="Arial" w:hAnsi="Arial"/>
                <w:sz w:val="16"/>
                <w:szCs w:val="16"/>
                <w:lang w:val="en-US" w:eastAsia="en-US"/>
              </w:rPr>
              <w:t xml:space="preserve"> </w:t>
            </w:r>
            <w:r>
              <w:rPr>
                <w:rFonts w:cs="Arial" w:ascii="Arial" w:hAnsi="Arial"/>
                <w:sz w:val="16"/>
                <w:szCs w:val="16"/>
                <w:lang w:eastAsia="en-US"/>
              </w:rPr>
              <w:t>змін</w:t>
            </w:r>
            <w:r>
              <w:rPr>
                <w:rFonts w:cs="Arial" w:ascii="Arial" w:hAnsi="Arial"/>
                <w:sz w:val="16"/>
                <w:szCs w:val="16"/>
                <w:lang w:val="en-US" w:eastAsia="en-US"/>
              </w:rPr>
              <w:t xml:space="preserve"> </w:t>
            </w:r>
            <w:r>
              <w:rPr>
                <w:rFonts w:cs="Arial" w:ascii="Arial" w:hAnsi="Arial"/>
                <w:sz w:val="16"/>
                <w:szCs w:val="16"/>
                <w:lang w:eastAsia="en-US"/>
              </w:rPr>
              <w:t>у</w:t>
            </w:r>
            <w:r>
              <w:rPr>
                <w:rFonts w:cs="Arial" w:ascii="Arial" w:hAnsi="Arial"/>
                <w:sz w:val="16"/>
                <w:szCs w:val="16"/>
                <w:lang w:val="en-US" w:eastAsia="en-US"/>
              </w:rPr>
              <w:t xml:space="preserve"> </w:t>
            </w:r>
            <w:r>
              <w:rPr>
                <w:rFonts w:cs="Arial" w:ascii="Arial" w:hAnsi="Arial"/>
                <w:sz w:val="16"/>
                <w:szCs w:val="16"/>
                <w:lang w:eastAsia="en-US"/>
              </w:rPr>
              <w:t>системі</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нового</w:t>
            </w:r>
            <w:r>
              <w:rPr>
                <w:rFonts w:cs="Arial" w:ascii="Arial" w:hAnsi="Arial"/>
                <w:sz w:val="16"/>
                <w:szCs w:val="16"/>
                <w:lang w:val="en-US" w:eastAsia="en-US"/>
              </w:rPr>
              <w:t xml:space="preserve"> </w:t>
            </w:r>
            <w:r>
              <w:rPr>
                <w:rFonts w:cs="Arial" w:ascii="Arial" w:hAnsi="Arial"/>
                <w:sz w:val="16"/>
                <w:szCs w:val="16"/>
                <w:lang w:eastAsia="en-US"/>
              </w:rPr>
              <w:t>заявника</w:t>
            </w:r>
            <w:r>
              <w:rPr>
                <w:rFonts w:cs="Arial" w:ascii="Arial" w:hAnsi="Arial"/>
                <w:sz w:val="16"/>
                <w:szCs w:val="16"/>
                <w:lang w:val="en-US" w:eastAsia="en-US"/>
              </w:rPr>
              <w:t xml:space="preserve">, </w:t>
            </w:r>
            <w:r>
              <w:rPr>
                <w:rFonts w:cs="Arial" w:ascii="Arial" w:hAnsi="Arial"/>
                <w:sz w:val="16"/>
                <w:szCs w:val="16"/>
                <w:lang w:eastAsia="en-US"/>
              </w:rPr>
              <w:t>а</w:t>
            </w:r>
            <w:r>
              <w:rPr>
                <w:rFonts w:cs="Arial" w:ascii="Arial" w:hAnsi="Arial"/>
                <w:sz w:val="16"/>
                <w:szCs w:val="16"/>
                <w:lang w:val="en-US" w:eastAsia="en-US"/>
              </w:rPr>
              <w:t xml:space="preserve"> </w:t>
            </w:r>
            <w:r>
              <w:rPr>
                <w:rFonts w:cs="Arial" w:ascii="Arial" w:hAnsi="Arial"/>
                <w:sz w:val="16"/>
                <w:szCs w:val="16"/>
                <w:lang w:eastAsia="en-US"/>
              </w:rPr>
              <w:t>розділи</w:t>
            </w:r>
            <w:r>
              <w:rPr>
                <w:rFonts w:cs="Arial" w:ascii="Arial" w:hAnsi="Arial"/>
                <w:sz w:val="16"/>
                <w:szCs w:val="16"/>
                <w:lang w:val="en-US" w:eastAsia="en-US"/>
              </w:rPr>
              <w:t xml:space="preserve"> "</w:t>
            </w:r>
            <w:r>
              <w:rPr>
                <w:rFonts w:cs="Arial" w:ascii="Arial" w:hAnsi="Arial"/>
                <w:sz w:val="16"/>
                <w:szCs w:val="16"/>
                <w:lang w:eastAsia="en-US"/>
              </w:rPr>
              <w:t>Діюча</w:t>
            </w:r>
            <w:r>
              <w:rPr>
                <w:rFonts w:cs="Arial" w:ascii="Arial" w:hAnsi="Arial"/>
                <w:sz w:val="16"/>
                <w:szCs w:val="16"/>
                <w:lang w:val="en-US" w:eastAsia="en-US"/>
              </w:rPr>
              <w:t xml:space="preserve"> </w:t>
            </w:r>
            <w:r>
              <w:rPr>
                <w:rFonts w:cs="Arial" w:ascii="Arial" w:hAnsi="Arial"/>
                <w:sz w:val="16"/>
                <w:szCs w:val="16"/>
                <w:lang w:eastAsia="en-US"/>
              </w:rPr>
              <w:t>редакція</w:t>
            </w:r>
            <w:r>
              <w:rPr>
                <w:rFonts w:cs="Arial" w:ascii="Arial" w:hAnsi="Arial"/>
                <w:sz w:val="16"/>
                <w:szCs w:val="16"/>
                <w:lang w:val="en-US" w:eastAsia="en-US"/>
              </w:rPr>
              <w:t xml:space="preserve">" </w:t>
            </w:r>
            <w:r>
              <w:rPr>
                <w:rFonts w:cs="Arial" w:ascii="Arial" w:hAnsi="Arial"/>
                <w:sz w:val="16"/>
                <w:szCs w:val="16"/>
                <w:lang w:eastAsia="en-US"/>
              </w:rPr>
              <w:t>та</w:t>
            </w:r>
            <w:r>
              <w:rPr>
                <w:rFonts w:cs="Arial" w:ascii="Arial" w:hAnsi="Arial"/>
                <w:sz w:val="16"/>
                <w:szCs w:val="16"/>
                <w:lang w:val="en-US" w:eastAsia="en-US"/>
              </w:rPr>
              <w:t xml:space="preserve"> "</w:t>
            </w:r>
            <w:r>
              <w:rPr>
                <w:rFonts w:cs="Arial" w:ascii="Arial" w:hAnsi="Arial"/>
                <w:sz w:val="16"/>
                <w:szCs w:val="16"/>
                <w:lang w:eastAsia="en-US"/>
              </w:rPr>
              <w:t>Пропонована</w:t>
            </w:r>
            <w:r>
              <w:rPr>
                <w:rFonts w:cs="Arial" w:ascii="Arial" w:hAnsi="Arial"/>
                <w:sz w:val="16"/>
                <w:szCs w:val="16"/>
                <w:lang w:val="en-US" w:eastAsia="en-US"/>
              </w:rPr>
              <w:t xml:space="preserve"> </w:t>
            </w:r>
            <w:r>
              <w:rPr>
                <w:rFonts w:cs="Arial" w:ascii="Arial" w:hAnsi="Arial"/>
                <w:sz w:val="16"/>
                <w:szCs w:val="16"/>
                <w:lang w:eastAsia="en-US"/>
              </w:rPr>
              <w:t>редакція</w:t>
            </w:r>
            <w:r>
              <w:rPr>
                <w:rFonts w:cs="Arial" w:ascii="Arial" w:hAnsi="Arial"/>
                <w:sz w:val="16"/>
                <w:szCs w:val="16"/>
                <w:lang w:val="en-US" w:eastAsia="en-US"/>
              </w:rPr>
              <w:t xml:space="preserve">" </w:t>
            </w:r>
            <w:r>
              <w:rPr>
                <w:rFonts w:cs="Arial" w:ascii="Arial" w:hAnsi="Arial"/>
                <w:sz w:val="16"/>
                <w:szCs w:val="16"/>
                <w:lang w:eastAsia="en-US"/>
              </w:rPr>
              <w:t>реєстраційної</w:t>
            </w:r>
            <w:r>
              <w:rPr>
                <w:rFonts w:cs="Arial" w:ascii="Arial" w:hAnsi="Arial"/>
                <w:sz w:val="16"/>
                <w:szCs w:val="16"/>
                <w:lang w:val="en-US" w:eastAsia="en-US"/>
              </w:rPr>
              <w:t xml:space="preserve"> </w:t>
            </w:r>
            <w:r>
              <w:rPr>
                <w:rFonts w:cs="Arial" w:ascii="Arial" w:hAnsi="Arial"/>
                <w:sz w:val="16"/>
                <w:szCs w:val="16"/>
                <w:lang w:eastAsia="en-US"/>
              </w:rPr>
              <w:t>форми</w:t>
            </w:r>
            <w:r>
              <w:rPr>
                <w:rFonts w:cs="Arial" w:ascii="Arial" w:hAnsi="Arial"/>
                <w:sz w:val="16"/>
                <w:szCs w:val="16"/>
                <w:lang w:val="en-US" w:eastAsia="en-US"/>
              </w:rPr>
              <w:t xml:space="preserve"> </w:t>
            </w:r>
            <w:r>
              <w:rPr>
                <w:rFonts w:cs="Arial" w:ascii="Arial" w:hAnsi="Arial"/>
                <w:sz w:val="16"/>
                <w:szCs w:val="16"/>
                <w:lang w:eastAsia="en-US"/>
              </w:rPr>
              <w:t>містять</w:t>
            </w:r>
            <w:r>
              <w:rPr>
                <w:rFonts w:cs="Arial" w:ascii="Arial" w:hAnsi="Arial"/>
                <w:sz w:val="16"/>
                <w:szCs w:val="16"/>
                <w:lang w:val="en-US" w:eastAsia="en-US"/>
              </w:rPr>
              <w:t xml:space="preserve"> </w:t>
            </w:r>
            <w:r>
              <w:rPr>
                <w:rFonts w:cs="Arial" w:ascii="Arial" w:hAnsi="Arial"/>
                <w:sz w:val="16"/>
                <w:szCs w:val="16"/>
                <w:lang w:eastAsia="en-US"/>
              </w:rPr>
              <w:t>ідентичну</w:t>
            </w:r>
            <w:r>
              <w:rPr>
                <w:rFonts w:cs="Arial" w:ascii="Arial" w:hAnsi="Arial"/>
                <w:sz w:val="16"/>
                <w:szCs w:val="16"/>
                <w:lang w:val="en-US" w:eastAsia="en-US"/>
              </w:rPr>
              <w:t xml:space="preserve"> </w:t>
            </w:r>
            <w:r>
              <w:rPr>
                <w:rFonts w:cs="Arial" w:ascii="Arial" w:hAnsi="Arial"/>
                <w:sz w:val="16"/>
                <w:szCs w:val="16"/>
                <w:lang w:eastAsia="en-US"/>
              </w:rPr>
              <w:t>інформацію</w:t>
            </w:r>
          </w:p>
        </w:tc>
      </w:tr>
      <w:tr>
        <w:trPr>
          <w:trHeight w:val="557"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6"/>
              </w:numPr>
              <w:snapToGrid w:val="false"/>
              <w:spacing w:lineRule="auto" w:line="254"/>
              <w:rPr>
                <w:rFonts w:ascii="Arial" w:hAnsi="Arial" w:cs="Arial"/>
                <w:b/>
                <w:b/>
                <w:sz w:val="16"/>
                <w:szCs w:val="16"/>
                <w:lang w:val="en-US" w:eastAsia="en-US"/>
              </w:rPr>
            </w:pPr>
            <w:r>
              <w:rPr>
                <w:rFonts w:cs="Arial" w:ascii="Arial" w:hAnsi="Arial"/>
                <w:b/>
                <w:sz w:val="16"/>
                <w:szCs w:val="16"/>
                <w:lang w:val="en-US" w:eastAsia="en-US"/>
              </w:rPr>
            </w:r>
          </w:p>
        </w:tc>
        <w:tc>
          <w:tcPr>
            <w:tcW w:w="177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both"/>
              <w:rPr>
                <w:rFonts w:ascii="Arial" w:hAnsi="Arial" w:cs="Arial"/>
                <w:b/>
                <w:b/>
                <w:sz w:val="16"/>
                <w:szCs w:val="16"/>
                <w:lang w:eastAsia="en-US"/>
              </w:rPr>
            </w:pPr>
            <w:r>
              <w:rPr>
                <w:rFonts w:cs="Arial" w:ascii="Arial" w:hAnsi="Arial"/>
                <w:b/>
                <w:sz w:val="16"/>
                <w:szCs w:val="16"/>
                <w:lang w:eastAsia="en-US"/>
              </w:rPr>
              <w:t xml:space="preserve">ЦИТРАМОН-Ф </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rPr>
                <w:rFonts w:ascii="Arial" w:hAnsi="Arial" w:cs="Arial"/>
                <w:sz w:val="16"/>
                <w:szCs w:val="16"/>
                <w:lang w:eastAsia="en-US"/>
              </w:rPr>
            </w:pPr>
            <w:r>
              <w:rPr>
                <w:rFonts w:cs="Arial" w:ascii="Arial" w:hAnsi="Arial"/>
                <w:sz w:val="16"/>
                <w:szCs w:val="16"/>
                <w:lang w:eastAsia="en-US"/>
              </w:rPr>
              <w:t>таблетки по 6 або по 10 таблеток у блістерах; по 6 таблеток у блістері; по 20 блістерів в пачці</w:t>
            </w:r>
          </w:p>
          <w:p>
            <w:pPr>
              <w:pStyle w:val="Normal"/>
              <w:spacing w:lineRule="auto" w:line="276"/>
              <w:rPr>
                <w:rFonts w:ascii="Arial" w:hAnsi="Arial" w:cs="Arial"/>
                <w:sz w:val="16"/>
                <w:szCs w:val="16"/>
                <w:lang w:eastAsia="en-US"/>
              </w:rPr>
            </w:pPr>
            <w:r>
              <w:rPr>
                <w:rFonts w:cs="Arial" w:ascii="Arial" w:hAnsi="Arial"/>
                <w:sz w:val="16"/>
                <w:szCs w:val="16"/>
                <w:lang w:eastAsia="en-US"/>
              </w:rPr>
            </w:r>
          </w:p>
        </w:tc>
        <w:tc>
          <w:tcPr>
            <w:tcW w:w="110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ТОВ"ФАРМІС ЛТД"</w:t>
            </w:r>
          </w:p>
          <w:p>
            <w:pPr>
              <w:pStyle w:val="Normal"/>
              <w:spacing w:lineRule="auto" w:line="276"/>
              <w:ind w:left="170" w:hanging="0"/>
              <w:jc w:val="center"/>
              <w:rPr>
                <w:rFonts w:ascii="Arial" w:hAnsi="Arial" w:cs="Arial"/>
                <w:sz w:val="16"/>
                <w:szCs w:val="16"/>
                <w:lang w:eastAsia="en-US"/>
              </w:rPr>
            </w:pPr>
            <w:r>
              <w:rPr>
                <w:rFonts w:cs="Arial" w:ascii="Arial" w:hAnsi="Arial"/>
                <w:sz w:val="16"/>
                <w:szCs w:val="16"/>
                <w:lang w:eastAsia="en-US"/>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Україна</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center"/>
              <w:rPr>
                <w:rFonts w:cs="Arial"/>
                <w:b w:val="false"/>
                <w:b w:val="false"/>
                <w:iCs/>
                <w:sz w:val="16"/>
                <w:szCs w:val="16"/>
              </w:rPr>
            </w:pPr>
            <w:r>
              <w:rPr>
                <w:rFonts w:cs="Arial"/>
                <w:b w:val="false"/>
                <w:sz w:val="16"/>
                <w:szCs w:val="16"/>
              </w:rPr>
              <w:t>ПРАТ "ФІТОФАРМ"</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76" w:before="0" w:after="120"/>
              <w:ind w:left="0" w:hanging="0"/>
              <w:rPr>
                <w:rFonts w:ascii="Arial" w:hAnsi="Arial" w:cs="Arial"/>
                <w:sz w:val="16"/>
                <w:szCs w:val="16"/>
                <w:lang w:eastAsia="en-US"/>
              </w:rPr>
            </w:pPr>
            <w:r>
              <w:rPr>
                <w:rFonts w:cs="Arial" w:ascii="Arial" w:hAnsi="Arial"/>
                <w:sz w:val="16"/>
                <w:szCs w:val="16"/>
                <w:lang w:eastAsia="en-US"/>
              </w:rPr>
              <w:t>Україна</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left"/>
              <w:rPr>
                <w:rFonts w:cs="Arial"/>
                <w:b w:val="false"/>
                <w:b w:val="false"/>
                <w:iCs/>
                <w:sz w:val="16"/>
                <w:szCs w:val="16"/>
              </w:rPr>
            </w:pPr>
            <w:r>
              <w:rPr>
                <w:rFonts w:cs="Arial"/>
                <w:b w:val="false"/>
                <w:iCs/>
                <w:sz w:val="16"/>
                <w:szCs w:val="16"/>
              </w:rPr>
              <w:t>засідання НТР № 37 від 17.09.2026</w:t>
            </w:r>
          </w:p>
        </w:tc>
        <w:tc>
          <w:tcPr>
            <w:tcW w:w="53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76" w:before="0" w:after="120"/>
              <w:ind w:left="0" w:hanging="0"/>
              <w:jc w:val="both"/>
              <w:rPr>
                <w:rFonts w:ascii="Arial" w:hAnsi="Arial" w:cs="Arial"/>
                <w:b/>
                <w:b/>
                <w:sz w:val="16"/>
                <w:szCs w:val="16"/>
                <w:lang w:eastAsia="en-US"/>
              </w:rPr>
            </w:pPr>
            <w:r>
              <w:rPr>
                <w:rFonts w:cs="Arial" w:ascii="Arial" w:hAnsi="Arial"/>
                <w:b/>
                <w:sz w:val="16"/>
                <w:szCs w:val="16"/>
                <w:lang w:val="uk-UA"/>
              </w:rPr>
              <w:t xml:space="preserve">Відмовити у затвердженні </w:t>
            </w:r>
            <w:r>
              <w:rPr>
                <w:rFonts w:cs="Arial" w:ascii="Arial" w:hAnsi="Arial"/>
                <w:b/>
                <w:sz w:val="16"/>
                <w:szCs w:val="16"/>
                <w:lang w:val="en-US" w:eastAsia="en-US"/>
              </w:rPr>
              <w:t xml:space="preserve">-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І</w:t>
            </w:r>
            <w:r>
              <w:rPr>
                <w:rFonts w:cs="Arial" w:ascii="Arial" w:hAnsi="Arial"/>
                <w:sz w:val="16"/>
                <w:szCs w:val="16"/>
                <w:lang w:val="en-US" w:eastAsia="en-US"/>
              </w:rPr>
              <w:t xml:space="preserve"> </w:t>
            </w:r>
            <w:r>
              <w:rPr>
                <w:rFonts w:cs="Arial" w:ascii="Arial" w:hAnsi="Arial"/>
                <w:sz w:val="16"/>
                <w:szCs w:val="16"/>
                <w:lang w:eastAsia="en-US"/>
              </w:rPr>
              <w:t>типу</w:t>
            </w:r>
            <w:r>
              <w:rPr>
                <w:rFonts w:cs="Arial" w:ascii="Arial" w:hAnsi="Arial"/>
                <w:sz w:val="16"/>
                <w:szCs w:val="16"/>
                <w:lang w:val="en-US" w:eastAsia="en-US"/>
              </w:rPr>
              <w:t xml:space="preserve"> -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щодо</w:t>
            </w:r>
            <w:r>
              <w:rPr>
                <w:rFonts w:cs="Arial" w:ascii="Arial" w:hAnsi="Arial"/>
                <w:sz w:val="16"/>
                <w:szCs w:val="16"/>
                <w:lang w:val="en-US" w:eastAsia="en-US"/>
              </w:rPr>
              <w:t xml:space="preserve"> </w:t>
            </w:r>
            <w:r>
              <w:rPr>
                <w:rFonts w:cs="Arial" w:ascii="Arial" w:hAnsi="Arial"/>
                <w:sz w:val="16"/>
                <w:szCs w:val="16"/>
                <w:lang w:eastAsia="en-US"/>
              </w:rPr>
              <w:t>безпеки</w:t>
            </w:r>
            <w:r>
              <w:rPr>
                <w:rFonts w:cs="Arial" w:ascii="Arial" w:hAnsi="Arial"/>
                <w:sz w:val="16"/>
                <w:szCs w:val="16"/>
                <w:lang w:val="en-US" w:eastAsia="en-US"/>
              </w:rPr>
              <w:t>/</w:t>
            </w:r>
            <w:r>
              <w:rPr>
                <w:rFonts w:cs="Arial" w:ascii="Arial" w:hAnsi="Arial"/>
                <w:sz w:val="16"/>
                <w:szCs w:val="16"/>
                <w:lang w:eastAsia="en-US"/>
              </w:rPr>
              <w:t>ефективності</w:t>
            </w:r>
            <w:r>
              <w:rPr>
                <w:rFonts w:cs="Arial" w:ascii="Arial" w:hAnsi="Arial"/>
                <w:sz w:val="16"/>
                <w:szCs w:val="16"/>
                <w:lang w:val="en-US" w:eastAsia="en-US"/>
              </w:rPr>
              <w:t xml:space="preserve"> </w:t>
            </w:r>
            <w:r>
              <w:rPr>
                <w:rFonts w:cs="Arial" w:ascii="Arial" w:hAnsi="Arial"/>
                <w:sz w:val="16"/>
                <w:szCs w:val="16"/>
                <w:lang w:eastAsia="en-US"/>
              </w:rPr>
              <w:t>та</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у</w:t>
            </w:r>
            <w:r>
              <w:rPr>
                <w:rFonts w:cs="Arial" w:ascii="Arial" w:hAnsi="Arial"/>
                <w:sz w:val="16"/>
                <w:szCs w:val="16"/>
                <w:lang w:val="en-US" w:eastAsia="en-US"/>
              </w:rPr>
              <w:t xml:space="preserve"> </w:t>
            </w:r>
            <w:r>
              <w:rPr>
                <w:rFonts w:cs="Arial" w:ascii="Arial" w:hAnsi="Arial"/>
                <w:sz w:val="16"/>
                <w:szCs w:val="16"/>
                <w:lang w:eastAsia="en-US"/>
              </w:rPr>
              <w:t>короткій</w:t>
            </w:r>
            <w:r>
              <w:rPr>
                <w:rFonts w:cs="Arial" w:ascii="Arial" w:hAnsi="Arial"/>
                <w:sz w:val="16"/>
                <w:szCs w:val="16"/>
                <w:lang w:val="en-US" w:eastAsia="en-US"/>
              </w:rPr>
              <w:t xml:space="preserve"> </w:t>
            </w:r>
            <w:r>
              <w:rPr>
                <w:rFonts w:cs="Arial" w:ascii="Arial" w:hAnsi="Arial"/>
                <w:sz w:val="16"/>
                <w:szCs w:val="16"/>
                <w:lang w:eastAsia="en-US"/>
              </w:rPr>
              <w:t>характеристиці</w:t>
            </w:r>
            <w:r>
              <w:rPr>
                <w:rFonts w:cs="Arial" w:ascii="Arial" w:hAnsi="Arial"/>
                <w:sz w:val="16"/>
                <w:szCs w:val="16"/>
                <w:lang w:val="en-US" w:eastAsia="en-US"/>
              </w:rPr>
              <w:t xml:space="preserve"> </w:t>
            </w:r>
            <w:r>
              <w:rPr>
                <w:rFonts w:cs="Arial" w:ascii="Arial" w:hAnsi="Arial"/>
                <w:sz w:val="16"/>
                <w:szCs w:val="16"/>
                <w:lang w:eastAsia="en-US"/>
              </w:rPr>
              <w:t>лікарського</w:t>
            </w:r>
            <w:r>
              <w:rPr>
                <w:rFonts w:cs="Arial" w:ascii="Arial" w:hAnsi="Arial"/>
                <w:sz w:val="16"/>
                <w:szCs w:val="16"/>
                <w:lang w:val="en-US" w:eastAsia="en-US"/>
              </w:rPr>
              <w:t xml:space="preserve"> </w:t>
            </w:r>
            <w:r>
              <w:rPr>
                <w:rFonts w:cs="Arial" w:ascii="Arial" w:hAnsi="Arial"/>
                <w:sz w:val="16"/>
                <w:szCs w:val="16"/>
                <w:lang w:eastAsia="en-US"/>
              </w:rPr>
              <w:t>засобу</w:t>
            </w:r>
            <w:r>
              <w:rPr>
                <w:rFonts w:cs="Arial" w:ascii="Arial" w:hAnsi="Arial"/>
                <w:sz w:val="16"/>
                <w:szCs w:val="16"/>
                <w:lang w:val="en-US" w:eastAsia="en-US"/>
              </w:rPr>
              <w:t xml:space="preserve">, </w:t>
            </w:r>
            <w:r>
              <w:rPr>
                <w:rFonts w:cs="Arial" w:ascii="Arial" w:hAnsi="Arial"/>
                <w:sz w:val="16"/>
                <w:szCs w:val="16"/>
                <w:lang w:eastAsia="en-US"/>
              </w:rPr>
              <w:t>тексті</w:t>
            </w:r>
            <w:r>
              <w:rPr>
                <w:rFonts w:cs="Arial" w:ascii="Arial" w:hAnsi="Arial"/>
                <w:sz w:val="16"/>
                <w:szCs w:val="16"/>
                <w:lang w:val="en-US" w:eastAsia="en-US"/>
              </w:rPr>
              <w:t xml:space="preserve"> </w:t>
            </w:r>
            <w:r>
              <w:rPr>
                <w:rFonts w:cs="Arial" w:ascii="Arial" w:hAnsi="Arial"/>
                <w:sz w:val="16"/>
                <w:szCs w:val="16"/>
                <w:lang w:eastAsia="en-US"/>
              </w:rPr>
              <w:t>маркування</w:t>
            </w:r>
            <w:r>
              <w:rPr>
                <w:rFonts w:cs="Arial" w:ascii="Arial" w:hAnsi="Arial"/>
                <w:sz w:val="16"/>
                <w:szCs w:val="16"/>
                <w:lang w:val="en-US" w:eastAsia="en-US"/>
              </w:rPr>
              <w:t xml:space="preserve"> </w:t>
            </w:r>
            <w:r>
              <w:rPr>
                <w:rFonts w:cs="Arial" w:ascii="Arial" w:hAnsi="Arial"/>
                <w:sz w:val="16"/>
                <w:szCs w:val="16"/>
                <w:lang w:eastAsia="en-US"/>
              </w:rPr>
              <w:t>та</w:t>
            </w:r>
            <w:r>
              <w:rPr>
                <w:rFonts w:cs="Arial" w:ascii="Arial" w:hAnsi="Arial"/>
                <w:sz w:val="16"/>
                <w:szCs w:val="16"/>
                <w:lang w:val="en-US" w:eastAsia="en-US"/>
              </w:rPr>
              <w:t xml:space="preserve"> </w:t>
            </w:r>
            <w:r>
              <w:rPr>
                <w:rFonts w:cs="Arial" w:ascii="Arial" w:hAnsi="Arial"/>
                <w:sz w:val="16"/>
                <w:szCs w:val="16"/>
                <w:lang w:eastAsia="en-US"/>
              </w:rPr>
              <w:t>інструкції</w:t>
            </w:r>
            <w:r>
              <w:rPr>
                <w:rFonts w:cs="Arial" w:ascii="Arial" w:hAnsi="Arial"/>
                <w:sz w:val="16"/>
                <w:szCs w:val="16"/>
                <w:lang w:val="en-US" w:eastAsia="en-US"/>
              </w:rPr>
              <w:t xml:space="preserve"> </w:t>
            </w:r>
            <w:r>
              <w:rPr>
                <w:rFonts w:cs="Arial" w:ascii="Arial" w:hAnsi="Arial"/>
                <w:sz w:val="16"/>
                <w:szCs w:val="16"/>
                <w:lang w:eastAsia="en-US"/>
              </w:rPr>
              <w:t>для</w:t>
            </w:r>
            <w:r>
              <w:rPr>
                <w:rFonts w:cs="Arial" w:ascii="Arial" w:hAnsi="Arial"/>
                <w:sz w:val="16"/>
                <w:szCs w:val="16"/>
                <w:lang w:val="en-US" w:eastAsia="en-US"/>
              </w:rPr>
              <w:t xml:space="preserve"> </w:t>
            </w:r>
            <w:r>
              <w:rPr>
                <w:rFonts w:cs="Arial" w:ascii="Arial" w:hAnsi="Arial"/>
                <w:sz w:val="16"/>
                <w:szCs w:val="16"/>
                <w:lang w:eastAsia="en-US"/>
              </w:rPr>
              <w:t>медичного</w:t>
            </w:r>
            <w:r>
              <w:rPr>
                <w:rFonts w:cs="Arial" w:ascii="Arial" w:hAnsi="Arial"/>
                <w:sz w:val="16"/>
                <w:szCs w:val="16"/>
                <w:lang w:val="en-US" w:eastAsia="en-US"/>
              </w:rPr>
              <w:t xml:space="preserve"> </w:t>
            </w:r>
            <w:r>
              <w:rPr>
                <w:rFonts w:cs="Arial" w:ascii="Arial" w:hAnsi="Arial"/>
                <w:sz w:val="16"/>
                <w:szCs w:val="16"/>
                <w:lang w:eastAsia="en-US"/>
              </w:rPr>
              <w:t>застосування</w:t>
            </w:r>
            <w:r>
              <w:rPr>
                <w:rFonts w:cs="Arial" w:ascii="Arial" w:hAnsi="Arial"/>
                <w:sz w:val="16"/>
                <w:szCs w:val="16"/>
                <w:lang w:val="en-US" w:eastAsia="en-US"/>
              </w:rPr>
              <w:t xml:space="preserve"> </w:t>
            </w:r>
            <w:r>
              <w:rPr>
                <w:rFonts w:cs="Arial" w:ascii="Arial" w:hAnsi="Arial"/>
                <w:sz w:val="16"/>
                <w:szCs w:val="16"/>
                <w:lang w:eastAsia="en-US"/>
              </w:rPr>
              <w:t>генеричних</w:t>
            </w:r>
            <w:r>
              <w:rPr>
                <w:rFonts w:cs="Arial" w:ascii="Arial" w:hAnsi="Arial"/>
                <w:sz w:val="16"/>
                <w:szCs w:val="16"/>
                <w:lang w:val="en-US" w:eastAsia="en-US"/>
              </w:rPr>
              <w:t>/</w:t>
            </w:r>
            <w:r>
              <w:rPr>
                <w:rFonts w:cs="Arial" w:ascii="Arial" w:hAnsi="Arial"/>
                <w:sz w:val="16"/>
                <w:szCs w:val="16"/>
                <w:lang w:eastAsia="en-US"/>
              </w:rPr>
              <w:t>гібридних</w:t>
            </w:r>
            <w:r>
              <w:rPr>
                <w:rFonts w:cs="Arial" w:ascii="Arial" w:hAnsi="Arial"/>
                <w:sz w:val="16"/>
                <w:szCs w:val="16"/>
                <w:lang w:val="en-US" w:eastAsia="en-US"/>
              </w:rPr>
              <w:t>/</w:t>
            </w:r>
            <w:r>
              <w:rPr>
                <w:rFonts w:cs="Arial" w:ascii="Arial" w:hAnsi="Arial"/>
                <w:sz w:val="16"/>
                <w:szCs w:val="16"/>
                <w:lang w:eastAsia="en-US"/>
              </w:rPr>
              <w:t>біоподібних</w:t>
            </w:r>
            <w:r>
              <w:rPr>
                <w:rFonts w:cs="Arial" w:ascii="Arial" w:hAnsi="Arial"/>
                <w:sz w:val="16"/>
                <w:szCs w:val="16"/>
                <w:lang w:val="en-US" w:eastAsia="en-US"/>
              </w:rPr>
              <w:t xml:space="preserve"> </w:t>
            </w:r>
            <w:r>
              <w:rPr>
                <w:rFonts w:cs="Arial" w:ascii="Arial" w:hAnsi="Arial"/>
                <w:sz w:val="16"/>
                <w:szCs w:val="16"/>
                <w:lang w:eastAsia="en-US"/>
              </w:rPr>
              <w:t>лікарських</w:t>
            </w:r>
            <w:r>
              <w:rPr>
                <w:rFonts w:cs="Arial" w:ascii="Arial" w:hAnsi="Arial"/>
                <w:sz w:val="16"/>
                <w:szCs w:val="16"/>
                <w:lang w:val="en-US" w:eastAsia="en-US"/>
              </w:rPr>
              <w:t xml:space="preserve"> </w:t>
            </w:r>
            <w:r>
              <w:rPr>
                <w:rFonts w:cs="Arial" w:ascii="Arial" w:hAnsi="Arial"/>
                <w:sz w:val="16"/>
                <w:szCs w:val="16"/>
                <w:lang w:eastAsia="en-US"/>
              </w:rPr>
              <w:t>засобів</w:t>
            </w:r>
            <w:r>
              <w:rPr>
                <w:rFonts w:cs="Arial" w:ascii="Arial" w:hAnsi="Arial"/>
                <w:sz w:val="16"/>
                <w:szCs w:val="16"/>
                <w:lang w:val="en-US" w:eastAsia="en-US"/>
              </w:rPr>
              <w:t xml:space="preserve"> </w:t>
            </w:r>
            <w:r>
              <w:rPr>
                <w:rFonts w:cs="Arial" w:ascii="Arial" w:hAnsi="Arial"/>
                <w:sz w:val="16"/>
                <w:szCs w:val="16"/>
                <w:lang w:eastAsia="en-US"/>
              </w:rPr>
              <w:t>після</w:t>
            </w:r>
            <w:r>
              <w:rPr>
                <w:rFonts w:cs="Arial" w:ascii="Arial" w:hAnsi="Arial"/>
                <w:sz w:val="16"/>
                <w:szCs w:val="16"/>
                <w:lang w:val="en-US" w:eastAsia="en-US"/>
              </w:rPr>
              <w:t xml:space="preserve"> </w:t>
            </w:r>
            <w:r>
              <w:rPr>
                <w:rFonts w:cs="Arial" w:ascii="Arial" w:hAnsi="Arial"/>
                <w:sz w:val="16"/>
                <w:szCs w:val="16"/>
                <w:lang w:eastAsia="en-US"/>
              </w:rPr>
              <w:t>внесення</w:t>
            </w:r>
            <w:r>
              <w:rPr>
                <w:rFonts w:cs="Arial" w:ascii="Arial" w:hAnsi="Arial"/>
                <w:sz w:val="16"/>
                <w:szCs w:val="16"/>
                <w:lang w:val="en-US" w:eastAsia="en-US"/>
              </w:rPr>
              <w:t xml:space="preserve"> </w:t>
            </w:r>
            <w:r>
              <w:rPr>
                <w:rFonts w:cs="Arial" w:ascii="Arial" w:hAnsi="Arial"/>
                <w:sz w:val="16"/>
                <w:szCs w:val="16"/>
                <w:lang w:eastAsia="en-US"/>
              </w:rPr>
              <w:t>тієї</w:t>
            </w:r>
            <w:r>
              <w:rPr>
                <w:rFonts w:cs="Arial" w:ascii="Arial" w:hAnsi="Arial"/>
                <w:sz w:val="16"/>
                <w:szCs w:val="16"/>
                <w:lang w:val="en-US" w:eastAsia="en-US"/>
              </w:rPr>
              <w:t xml:space="preserve"> </w:t>
            </w:r>
            <w:r>
              <w:rPr>
                <w:rFonts w:cs="Arial" w:ascii="Arial" w:hAnsi="Arial"/>
                <w:sz w:val="16"/>
                <w:szCs w:val="16"/>
                <w:lang w:eastAsia="en-US"/>
              </w:rPr>
              <w:t>самої</w:t>
            </w:r>
            <w:r>
              <w:rPr>
                <w:rFonts w:cs="Arial" w:ascii="Arial" w:hAnsi="Arial"/>
                <w:sz w:val="16"/>
                <w:szCs w:val="16"/>
                <w:lang w:val="en-US" w:eastAsia="en-US"/>
              </w:rPr>
              <w:t xml:space="preserve">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на</w:t>
            </w:r>
            <w:r>
              <w:rPr>
                <w:rFonts w:cs="Arial" w:ascii="Arial" w:hAnsi="Arial"/>
                <w:sz w:val="16"/>
                <w:szCs w:val="16"/>
                <w:lang w:val="en-US" w:eastAsia="en-US"/>
              </w:rPr>
              <w:t xml:space="preserve"> </w:t>
            </w:r>
            <w:r>
              <w:rPr>
                <w:rFonts w:cs="Arial" w:ascii="Arial" w:hAnsi="Arial"/>
                <w:sz w:val="16"/>
                <w:szCs w:val="16"/>
                <w:lang w:eastAsia="en-US"/>
              </w:rPr>
              <w:t>референтний</w:t>
            </w:r>
            <w:r>
              <w:rPr>
                <w:rFonts w:cs="Arial" w:ascii="Arial" w:hAnsi="Arial"/>
                <w:sz w:val="16"/>
                <w:szCs w:val="16"/>
                <w:lang w:val="en-US" w:eastAsia="en-US"/>
              </w:rPr>
              <w:t xml:space="preserve"> </w:t>
            </w:r>
            <w:r>
              <w:rPr>
                <w:rFonts w:cs="Arial" w:ascii="Arial" w:hAnsi="Arial"/>
                <w:sz w:val="16"/>
                <w:szCs w:val="16"/>
                <w:lang w:eastAsia="en-US"/>
              </w:rPr>
              <w:t>препарат</w:t>
            </w:r>
            <w:r>
              <w:rPr>
                <w:rFonts w:cs="Arial" w:ascii="Arial" w:hAnsi="Arial"/>
                <w:sz w:val="16"/>
                <w:szCs w:val="16"/>
                <w:lang w:val="en-US" w:eastAsia="en-US"/>
              </w:rPr>
              <w:t xml:space="preserve"> (</w:t>
            </w:r>
            <w:r>
              <w:rPr>
                <w:rFonts w:cs="Arial" w:ascii="Arial" w:hAnsi="Arial"/>
                <w:sz w:val="16"/>
                <w:szCs w:val="16"/>
                <w:lang w:eastAsia="en-US"/>
              </w:rPr>
              <w:t>зміна</w:t>
            </w:r>
            <w:r>
              <w:rPr>
                <w:rFonts w:cs="Arial" w:ascii="Arial" w:hAnsi="Arial"/>
                <w:sz w:val="16"/>
                <w:szCs w:val="16"/>
                <w:lang w:val="en-US" w:eastAsia="en-US"/>
              </w:rPr>
              <w:t xml:space="preserve"> </w:t>
            </w:r>
            <w:r>
              <w:rPr>
                <w:rFonts w:cs="Arial" w:ascii="Arial" w:hAnsi="Arial"/>
                <w:sz w:val="16"/>
                <w:szCs w:val="16"/>
                <w:lang w:eastAsia="en-US"/>
              </w:rPr>
              <w:t>не</w:t>
            </w:r>
            <w:r>
              <w:rPr>
                <w:rFonts w:cs="Arial" w:ascii="Arial" w:hAnsi="Arial"/>
                <w:sz w:val="16"/>
                <w:szCs w:val="16"/>
                <w:lang w:val="en-US" w:eastAsia="en-US"/>
              </w:rPr>
              <w:t xml:space="preserve"> </w:t>
            </w:r>
            <w:r>
              <w:rPr>
                <w:rFonts w:cs="Arial" w:ascii="Arial" w:hAnsi="Arial"/>
                <w:sz w:val="16"/>
                <w:szCs w:val="16"/>
                <w:lang w:eastAsia="en-US"/>
              </w:rPr>
              <w:t>потребує</w:t>
            </w:r>
            <w:r>
              <w:rPr>
                <w:rFonts w:cs="Arial" w:ascii="Arial" w:hAnsi="Arial"/>
                <w:sz w:val="16"/>
                <w:szCs w:val="16"/>
                <w:lang w:val="en-US" w:eastAsia="en-US"/>
              </w:rPr>
              <w:t xml:space="preserve"> </w:t>
            </w:r>
            <w:r>
              <w:rPr>
                <w:rFonts w:cs="Arial" w:ascii="Arial" w:hAnsi="Arial"/>
                <w:sz w:val="16"/>
                <w:szCs w:val="16"/>
                <w:lang w:eastAsia="en-US"/>
              </w:rPr>
              <w:t>надання</w:t>
            </w:r>
            <w:r>
              <w:rPr>
                <w:rFonts w:cs="Arial" w:ascii="Arial" w:hAnsi="Arial"/>
                <w:sz w:val="16"/>
                <w:szCs w:val="16"/>
                <w:lang w:val="en-US" w:eastAsia="en-US"/>
              </w:rPr>
              <w:t xml:space="preserve"> </w:t>
            </w:r>
            <w:r>
              <w:rPr>
                <w:rFonts w:cs="Arial" w:ascii="Arial" w:hAnsi="Arial"/>
                <w:sz w:val="16"/>
                <w:szCs w:val="16"/>
                <w:lang w:eastAsia="en-US"/>
              </w:rPr>
              <w:t>жодних</w:t>
            </w:r>
            <w:r>
              <w:rPr>
                <w:rFonts w:cs="Arial" w:ascii="Arial" w:hAnsi="Arial"/>
                <w:sz w:val="16"/>
                <w:szCs w:val="16"/>
                <w:lang w:val="en-US" w:eastAsia="en-US"/>
              </w:rPr>
              <w:t xml:space="preserve"> </w:t>
            </w:r>
            <w:r>
              <w:rPr>
                <w:rFonts w:cs="Arial" w:ascii="Arial" w:hAnsi="Arial"/>
                <w:sz w:val="16"/>
                <w:szCs w:val="16"/>
                <w:lang w:eastAsia="en-US"/>
              </w:rPr>
              <w:t>нових</w:t>
            </w:r>
            <w:r>
              <w:rPr>
                <w:rFonts w:cs="Arial" w:ascii="Arial" w:hAnsi="Arial"/>
                <w:sz w:val="16"/>
                <w:szCs w:val="16"/>
                <w:lang w:val="en-US" w:eastAsia="en-US"/>
              </w:rPr>
              <w:t xml:space="preserve"> </w:t>
            </w:r>
            <w:r>
              <w:rPr>
                <w:rFonts w:cs="Arial" w:ascii="Arial" w:hAnsi="Arial"/>
                <w:sz w:val="16"/>
                <w:szCs w:val="16"/>
                <w:lang w:eastAsia="en-US"/>
              </w:rPr>
              <w:t>додаткових</w:t>
            </w:r>
            <w:r>
              <w:rPr>
                <w:rFonts w:cs="Arial" w:ascii="Arial" w:hAnsi="Arial"/>
                <w:sz w:val="16"/>
                <w:szCs w:val="16"/>
                <w:lang w:val="en-US" w:eastAsia="en-US"/>
              </w:rPr>
              <w:t xml:space="preserve"> </w:t>
            </w:r>
            <w:r>
              <w:rPr>
                <w:rFonts w:cs="Arial" w:ascii="Arial" w:hAnsi="Arial"/>
                <w:sz w:val="16"/>
                <w:szCs w:val="16"/>
                <w:lang w:eastAsia="en-US"/>
              </w:rPr>
              <w:t>даних</w:t>
            </w:r>
            <w:r>
              <w:rPr>
                <w:rFonts w:cs="Arial" w:ascii="Arial" w:hAnsi="Arial"/>
                <w:sz w:val="16"/>
                <w:szCs w:val="16"/>
                <w:lang w:val="en-US" w:eastAsia="en-US"/>
              </w:rPr>
              <w:t>) (</w:t>
            </w:r>
            <w:r>
              <w:rPr>
                <w:rFonts w:cs="Arial" w:ascii="Arial" w:hAnsi="Arial"/>
                <w:sz w:val="16"/>
                <w:szCs w:val="16"/>
                <w:lang w:eastAsia="en-US"/>
              </w:rPr>
              <w:t>В</w:t>
            </w:r>
            <w:r>
              <w:rPr>
                <w:rFonts w:cs="Arial" w:ascii="Arial" w:hAnsi="Arial"/>
                <w:sz w:val="16"/>
                <w:szCs w:val="16"/>
                <w:lang w:val="en-US" w:eastAsia="en-US"/>
              </w:rPr>
              <w:t xml:space="preserve">.I.2. </w:t>
            </w:r>
            <w:r>
              <w:rPr>
                <w:rFonts w:cs="Arial" w:ascii="Arial" w:hAnsi="Arial"/>
                <w:sz w:val="16"/>
                <w:szCs w:val="16"/>
                <w:lang w:eastAsia="en-US"/>
              </w:rPr>
              <w:t>(а) ІБ), оскільки не відповідають типу заявлених змін</w:t>
            </w:r>
          </w:p>
        </w:tc>
      </w:tr>
    </w:tbl>
    <w:p>
      <w:pPr>
        <w:pStyle w:val="11"/>
        <w:rPr/>
      </w:pPr>
      <w:r>
        <w:rPr/>
      </w:r>
    </w:p>
    <w:p>
      <w:pPr>
        <w:pStyle w:val="11"/>
        <w:rPr/>
      </w:pPr>
      <w:r>
        <w:rPr/>
      </w:r>
    </w:p>
    <w:p>
      <w:pPr>
        <w:pStyle w:val="11"/>
        <w:rPr>
          <w:b/>
          <w:b/>
          <w:bCs/>
          <w:sz w:val="28"/>
          <w:szCs w:val="28"/>
        </w:rPr>
      </w:pPr>
      <w:r>
        <w:rPr>
          <w:b/>
          <w:bCs/>
          <w:sz w:val="28"/>
          <w:szCs w:val="28"/>
        </w:rPr>
        <w:t>Начальник</w:t>
      </w:r>
    </w:p>
    <w:p>
      <w:pPr>
        <w:pStyle w:val="11"/>
        <w:rPr>
          <w:b/>
          <w:b/>
          <w:bCs/>
          <w:sz w:val="28"/>
          <w:szCs w:val="28"/>
        </w:rPr>
      </w:pPr>
      <w:r>
        <w:rPr>
          <w:b/>
          <w:bCs/>
          <w:sz w:val="28"/>
          <w:szCs w:val="28"/>
        </w:rPr>
        <w:t>Фармацевтичного управління                                                                                                               Олександр ГРІЦЕНКО</w:t>
      </w:r>
    </w:p>
    <w:p>
      <w:pPr>
        <w:pStyle w:val="11"/>
        <w:rPr>
          <w:rStyle w:val="Cs7864ebcf1"/>
          <w:color w:val="000000"/>
          <w:sz w:val="16"/>
          <w:szCs w:val="16"/>
        </w:rPr>
      </w:pPr>
      <w:r>
        <w:rPr>
          <w:b/>
          <w:bCs/>
          <w:sz w:val="28"/>
          <w:szCs w:val="28"/>
        </w:rPr>
      </w:r>
    </w:p>
    <w:p>
      <w:pPr>
        <w:pStyle w:val="11"/>
        <w:rPr>
          <w:rStyle w:val="Cs7864ebcf1"/>
          <w:color w:val="000000"/>
          <w:sz w:val="16"/>
          <w:szCs w:val="16"/>
        </w:rPr>
      </w:pPr>
      <w:r>
        <w:rPr/>
      </w:r>
    </w:p>
    <w:p>
      <w:pPr>
        <w:pStyle w:val="33"/>
        <w:spacing w:before="0" w:after="0"/>
        <w:ind w:left="0" w:hanging="0"/>
        <w:rPr>
          <w:rStyle w:val="Cs7864ebcf1"/>
          <w:b/>
          <w:b/>
          <w:color w:val="000000"/>
          <w:sz w:val="28"/>
          <w:szCs w:val="28"/>
          <w:lang w:val="uk-UA"/>
        </w:rPr>
      </w:pPr>
      <w:r>
        <w:rPr/>
      </w:r>
    </w:p>
    <w:sectPr>
      <w:headerReference w:type="default" r:id="rId10"/>
      <w:headerReference w:type="first" r:id="rId11"/>
      <w:footerReference w:type="default" r:id="rId12"/>
      <w:footerReference w:type="first" r:id="rId13"/>
      <w:type w:val="nextPage"/>
      <w:pgSz w:orient="landscape" w:w="16838" w:h="11906"/>
      <w:pgMar w:left="1077" w:right="1134" w:header="709" w:top="907" w:footer="709" w:bottom="907"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Segoe UI">
    <w:charset w:val="cc"/>
    <w:family w:val="swiss"/>
    <w:pitch w:val="variable"/>
  </w:font>
  <w:font w:name="Tahoma">
    <w:charset w:val="cc"/>
    <w:family w:val="swiss"/>
    <w:pitch w:val="variable"/>
  </w:font>
  <w:font w:name="Microsoft YaHei">
    <w:charset w:val="86"/>
    <w:family w:val="swiss"/>
    <w:pitch w:val="variable"/>
  </w:font>
  <w:font w:name="Cambria">
    <w:charset w:val="cc"/>
    <w:family w:val="roman"/>
    <w:pitch w:val="variable"/>
  </w:font>
  <w:font w:name="Calibri Light">
    <w:charset w:val="cc"/>
    <w:family w:val="swiss"/>
    <w:pitch w:val="variable"/>
  </w:font>
  <w:font w:name="Calibri">
    <w:charset w:val="cc"/>
    <w:family w:val="swiss"/>
    <w:pitch w:val="variable"/>
  </w:font>
  <w:font w:name="Times New Roman CYR">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r>
      <mc:AlternateContent>
        <mc:Choice Requires="wps">
          <w:drawing>
            <wp:anchor behindDoc="0" distT="0" distB="0" distL="0" distR="0" simplePos="0" locked="0" layoutInCell="1" allowOverlap="1" relativeHeight="3">
              <wp:simplePos x="0" y="0"/>
              <wp:positionH relativeFrom="margin">
                <wp:align>center</wp:align>
              </wp:positionH>
              <wp:positionV relativeFrom="paragraph">
                <wp:posOffset>635</wp:posOffset>
              </wp:positionV>
              <wp:extent cx="64135" cy="145415"/>
              <wp:effectExtent l="0" t="0" r="0" b="0"/>
              <wp:wrapSquare wrapText="largest"/>
              <wp:docPr id="2" name="Frame1"/>
              <a:graphic xmlns:a="http://schemas.openxmlformats.org/drawingml/2006/main">
                <a:graphicData uri="http://schemas.microsoft.com/office/word/2010/wordprocessingShape">
                  <wps:wsp>
                    <wps:cNvSpPr txBox="1"/>
                    <wps:spPr>
                      <a:xfrm>
                        <a:off x="0" y="0"/>
                        <a:ext cx="64135" cy="145415"/>
                      </a:xfrm>
                      <a:prstGeom prst="rect"/>
                      <a:solidFill>
                        <a:srgbClr val="FFFFFF">
                          <a:alpha val="0"/>
                        </a:srgbClr>
                      </a:solidFill>
                    </wps:spPr>
                    <wps:txbx>
                      <w:txbxContent>
                        <w:p>
                          <w:pPr>
                            <w:pStyle w:val="Header"/>
                            <w:rPr>
                              <w:rStyle w:val="PageNumber"/>
                            </w:rPr>
                          </w:pPr>
                          <w:r>
                            <w:rPr>
                              <w:rStyle w:val="PageNumber"/>
                            </w:rPr>
                            <w:fldChar w:fldCharType="begin"/>
                          </w:r>
                          <w:r>
                            <w:instrText> PAGE </w:instrText>
                          </w:r>
                          <w:r>
                            <w:fldChar w:fldCharType="separate"/>
                          </w:r>
                          <w:r>
                            <w:t>2</w:t>
                          </w:r>
                          <w:r>
                            <w:fldChar w:fldCharType="end"/>
                          </w:r>
                        </w:p>
                      </w:txbxContent>
                    </wps:txbx>
                    <wps:bodyPr anchor="t">
                      <a:noAutofit/>
                    </wps:bodyPr>
                  </wps:wsp>
                </a:graphicData>
              </a:graphic>
            </wp:anchor>
          </w:drawing>
        </mc:Choice>
        <mc:Fallback>
          <w:pict>
            <v:rect fillcolor="#FFFFFF" style="position:absolute;rotation:0;width:5.05pt;height:11.45pt;margin-top:0.05pt;mso-position-vertical-relative:text;margin-left:238.45pt;mso-position-horizontal:center;mso-position-horizontal-relative:margin">
              <v:fill opacity="0f"/>
              <v:textbox>
                <w:txbxContent>
                  <w:p>
                    <w:pPr>
                      <w:pStyle w:val="Header"/>
                      <w:rPr>
                        <w:rStyle w:val="PageNumber"/>
                      </w:rPr>
                    </w:pPr>
                    <w:r>
                      <w:rPr>
                        <w:rStyle w:val="PageNumber"/>
                      </w:rPr>
                      <w:fldChar w:fldCharType="begin"/>
                    </w:r>
                    <w:r>
                      <w:instrText> PAGE </w:instrText>
                    </w:r>
                    <w:r>
                      <w:fldChar w:fldCharType="separate"/>
                    </w:r>
                    <w:r>
                      <w:t>2</w:t>
                    </w:r>
                    <w:r>
                      <w:fldChar w:fldCharType="end"/>
                    </w:r>
                  </w:p>
                </w:txbxContent>
              </v:textbox>
              <w10:wrap type="square" side="larges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7313" w:leader="none"/>
        <w:tab w:val="left" w:pos="12360" w:leader="none"/>
      </w:tabs>
      <w:rPr/>
    </w:pPr>
    <w:r>
      <w:rPr/>
      <w:tab/>
      <w:tab/>
    </w:r>
    <w:r>
      <w:rPr/>
      <w:fldChar w:fldCharType="begin"/>
    </w:r>
    <w:r>
      <w:instrText> PAGE </w:instrText>
    </w:r>
    <w:r>
      <w:fldChar w:fldCharType="separate"/>
    </w:r>
    <w:r>
      <w:t>349</w:t>
    </w:r>
    <w:r>
      <w:fldChar w:fldCharType="end"/>
    </w:r>
    <w:r>
      <w:rPr/>
      <w:tab/>
      <w:t xml:space="preserve">                                                                     Продовження додатка 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right"/>
      <w:pPr>
        <w:ind w:left="720" w:hanging="360"/>
      </w:pPr>
      <w:rPr/>
    </w:lvl>
  </w:abstractNum>
  <w:abstractNum w:abstractNumId="3">
    <w:lvl w:ilvl="0">
      <w:start w:val="1"/>
      <w:numFmt w:val="decimal"/>
      <w:lvlText w:val="%1."/>
      <w:lvlJc w:val="left"/>
      <w:pPr>
        <w:tabs>
          <w:tab w:val="num" w:pos="360"/>
        </w:tabs>
        <w:ind w:left="360" w:hanging="360"/>
      </w:pPr>
      <w:rPr/>
    </w:lvl>
  </w:abstractNum>
  <w:abstractNum w:abstractNumId="4">
    <w:lvl w:ilvl="0">
      <w:start w:val="1"/>
      <w:numFmt w:val="decimal"/>
      <w:lvlText w:val="%1."/>
      <w:lvlJc w:val="right"/>
      <w:pPr>
        <w:ind w:left="720" w:hanging="360"/>
      </w:pPr>
      <w:rPr/>
    </w:lvl>
  </w:abstractNum>
  <w:abstractNum w:abstractNumId="5">
    <w:lvl w:ilvl="0">
      <w:start w:val="1"/>
      <w:numFmt w:val="decimal"/>
      <w:lvlText w:val="%1."/>
      <w:lvlJc w:val="right"/>
      <w:pPr>
        <w:ind w:left="720" w:hanging="360"/>
      </w:pPr>
      <w:rPr/>
    </w:lvl>
  </w:abstractNum>
  <w:abstractNum w:abstractNumId="6">
    <w:lvl w:ilvl="0">
      <w:start w:val="1"/>
      <w:numFmt w:val="decimal"/>
      <w:lvlText w:val="%1."/>
      <w:lvlJc w:val="left"/>
      <w:pPr>
        <w:tabs>
          <w:tab w:val="num" w:pos="360"/>
        </w:tabs>
        <w:ind w:left="360" w:hanging="360"/>
      </w:pPr>
      <w:rPr/>
    </w:lvl>
    <w:lvl w:ilvl="1">
      <w:start w:val="1"/>
      <w:numFmt w:val="lowerLetter"/>
      <w:lvlText w:val="%2."/>
      <w:lvlJc w:val="left"/>
      <w:pPr>
        <w:tabs>
          <w:tab w:val="num" w:pos="1080"/>
        </w:tabs>
        <w:ind w:left="1080" w:hanging="360"/>
      </w:pPr>
      <w:rPr/>
    </w:lvl>
    <w:lvl w:ilvl="2">
      <w:start w:val="1"/>
      <w:numFmt w:val="lowerRoman"/>
      <w:lvlText w:val="%3."/>
      <w:lvlJc w:val="right"/>
      <w:pPr>
        <w:tabs>
          <w:tab w:val="num" w:pos="1800"/>
        </w:tabs>
        <w:ind w:left="1800" w:hanging="180"/>
      </w:pPr>
      <w:rPr/>
    </w:lvl>
    <w:lvl w:ilvl="3">
      <w:start w:val="1"/>
      <w:numFmt w:val="decimal"/>
      <w:lvlText w:val="%4."/>
      <w:lvlJc w:val="left"/>
      <w:pPr>
        <w:tabs>
          <w:tab w:val="num" w:pos="2520"/>
        </w:tabs>
        <w:ind w:left="2520" w:hanging="360"/>
      </w:pPr>
      <w:rPr/>
    </w:lvl>
    <w:lvl w:ilvl="4">
      <w:start w:val="1"/>
      <w:numFmt w:val="lowerLetter"/>
      <w:lvlText w:val="%5."/>
      <w:lvlJc w:val="left"/>
      <w:pPr>
        <w:tabs>
          <w:tab w:val="num" w:pos="3240"/>
        </w:tabs>
        <w:ind w:left="3240" w:hanging="360"/>
      </w:pPr>
      <w:rPr/>
    </w:lvl>
    <w:lvl w:ilvl="5">
      <w:start w:val="1"/>
      <w:numFmt w:val="lowerRoman"/>
      <w:lvlText w:val="%6."/>
      <w:lvlJc w:val="right"/>
      <w:pPr>
        <w:tabs>
          <w:tab w:val="num" w:pos="3960"/>
        </w:tabs>
        <w:ind w:left="3960" w:hanging="180"/>
      </w:pPr>
      <w:rPr/>
    </w:lvl>
    <w:lvl w:ilvl="6">
      <w:start w:val="1"/>
      <w:numFmt w:val="decimal"/>
      <w:lvlText w:val="%7."/>
      <w:lvlJc w:val="left"/>
      <w:pPr>
        <w:tabs>
          <w:tab w:val="num" w:pos="4680"/>
        </w:tabs>
        <w:ind w:left="4680" w:hanging="360"/>
      </w:pPr>
      <w:rPr/>
    </w:lvl>
    <w:lvl w:ilvl="7">
      <w:start w:val="1"/>
      <w:numFmt w:val="lowerLetter"/>
      <w:lvlText w:val="%8."/>
      <w:lvlJc w:val="left"/>
      <w:pPr>
        <w:tabs>
          <w:tab w:val="num" w:pos="5400"/>
        </w:tabs>
        <w:ind w:left="5400" w:hanging="360"/>
      </w:pPr>
      <w:rPr/>
    </w:lvl>
    <w:lvl w:ilvl="8">
      <w:start w:val="1"/>
      <w:numFmt w:val="lowerRoman"/>
      <w:lvlText w:val="%9."/>
      <w:lvlJc w:val="right"/>
      <w:pPr>
        <w:tabs>
          <w:tab w:val="num" w:pos="6120"/>
        </w:tabs>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2"/>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ru-RU"/>
    </w:rPr>
  </w:style>
  <w:style w:type="paragraph" w:styleId="Heading2">
    <w:name w:val="Heading 2"/>
    <w:basedOn w:val="Normal"/>
    <w:next w:val="11"/>
    <w:qFormat/>
    <w:pPr>
      <w:keepNext w:val="true"/>
      <w:numPr>
        <w:ilvl w:val="1"/>
        <w:numId w:val="1"/>
      </w:numPr>
      <w:outlineLvl w:val="1"/>
    </w:pPr>
    <w:rPr>
      <w:rFonts w:ascii="Arial" w:hAnsi="Arial" w:eastAsia="Times New Roman" w:cs="Arial"/>
      <w:b/>
      <w:caps/>
      <w:sz w:val="16"/>
      <w:lang w:val="uk-UA"/>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6">
    <w:name w:val="Heading 6"/>
    <w:basedOn w:val="Normal"/>
    <w:next w:val="TextBody"/>
    <w:qFormat/>
    <w:pPr>
      <w:numPr>
        <w:ilvl w:val="5"/>
        <w:numId w:val="1"/>
      </w:numPr>
      <w:spacing w:before="240" w:after="60"/>
      <w:outlineLvl w:val="5"/>
    </w:pPr>
    <w:rPr>
      <w:b/>
      <w:bCs/>
      <w:sz w:val="22"/>
      <w:szCs w:val="22"/>
      <w:lang w:val="en-U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Style9">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0">
    <w:name w:val="Верхний колонтитул Знак"/>
    <w:qFormat/>
    <w:rPr>
      <w:rFonts w:ascii="Times New Roman" w:hAnsi="Times New Roman" w:cs="Times New Roman"/>
      <w:lang w:val="ru-RU"/>
    </w:rPr>
  </w:style>
  <w:style w:type="character" w:styleId="Style11">
    <w:name w:val="Нижний колонтитул Знак"/>
    <w:qFormat/>
    <w:rPr>
      <w:rFonts w:ascii="Times New Roman" w:hAnsi="Times New Roman" w:cs="Times New Roman"/>
      <w:lang w:val="ru-RU"/>
    </w:rPr>
  </w:style>
  <w:style w:type="character" w:styleId="PageNumber">
    <w:name w:val="Page Number"/>
    <w:basedOn w:val="Style9"/>
    <w:rPr/>
  </w:style>
  <w:style w:type="character" w:styleId="Appleconvertedspace">
    <w:name w:val="apple-converted-space"/>
    <w:basedOn w:val="Style9"/>
    <w:qFormat/>
    <w:rPr/>
  </w:style>
  <w:style w:type="character" w:styleId="InternetLink">
    <w:name w:val="Internet Link"/>
    <w:rPr>
      <w:rFonts w:ascii="Segoe UI" w:hAnsi="Segoe UI" w:cs="Segoe UI"/>
      <w:color w:val="0000FF"/>
      <w:sz w:val="18"/>
      <w:szCs w:val="18"/>
      <w:u w:val="single"/>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2">
    <w:name w:val="Заголовок 2 Знак"/>
    <w:qFormat/>
    <w:rPr>
      <w:rFonts w:ascii="Arial" w:hAnsi="Arial" w:eastAsia="Times New Roman" w:cs="Arial"/>
      <w:b/>
      <w:caps/>
      <w:sz w:val="16"/>
    </w:rPr>
  </w:style>
  <w:style w:type="character" w:styleId="6">
    <w:name w:val="Заголовок 6 Знак"/>
    <w:qFormat/>
    <w:rPr>
      <w:rFonts w:ascii="Times New Roman" w:hAnsi="Times New Roman" w:cs="Times New Roman"/>
      <w:b/>
      <w:bCs/>
      <w:sz w:val="22"/>
      <w:szCs w:val="22"/>
      <w:lang w:val="en-US"/>
    </w:rPr>
  </w:style>
  <w:style w:type="character" w:styleId="4">
    <w:name w:val="Заголовок 4 Знак"/>
    <w:qFormat/>
    <w:rPr>
      <w:rFonts w:ascii="Times New Roman" w:hAnsi="Times New Roman" w:cs="Times New Roman"/>
      <w:b/>
      <w:bCs/>
      <w:sz w:val="28"/>
      <w:szCs w:val="28"/>
      <w:lang w:val="ru-RU"/>
    </w:rPr>
  </w:style>
  <w:style w:type="character" w:styleId="Heading2Char">
    <w:name w:val="Heading 2 Char"/>
    <w:qFormat/>
    <w:rPr>
      <w:rFonts w:ascii="Arial" w:hAnsi="Arial" w:eastAsia="Times New Roman" w:cs="Arial"/>
      <w:b/>
      <w:caps/>
      <w:sz w:val="16"/>
      <w:lang w:val="ru-RU"/>
    </w:rPr>
  </w:style>
  <w:style w:type="character" w:styleId="Heading4Char">
    <w:name w:val="Heading 4 Char"/>
    <w:qFormat/>
    <w:rPr>
      <w:rFonts w:ascii="Arial" w:hAnsi="Arial" w:eastAsia="Times New Roman" w:cs="Arial"/>
      <w:b/>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2">
    <w:name w:val="Основной текст 3 Знак"/>
    <w:qFormat/>
    <w:rPr>
      <w:rFonts w:ascii="Times New Roman" w:hAnsi="Times New Roman" w:eastAsia="Times New Roman" w:cs="Times New Roman"/>
      <w:sz w:val="16"/>
      <w:szCs w:val="16"/>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ing">
    <w:name w:val="Line Numbering"/>
    <w:rPr>
      <w:rFonts w:ascii="Segoe UI" w:hAnsi="Segoe UI" w:cs="Segoe UI"/>
      <w:color w:val="000000"/>
      <w:sz w:val="18"/>
      <w:szCs w:val="18"/>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rPr>
  </w:style>
  <w:style w:type="character" w:styleId="Style16">
    <w:name w:val="Тема примечания Знак"/>
    <w:qFormat/>
    <w:rPr>
      <w:rFonts w:ascii="Times New Roman" w:hAnsi="Times New Roman" w:eastAsia="Times New Roman" w:cs="Times New Roman"/>
      <w:b/>
      <w:bCs/>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ru-RU"/>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VisitedInternetLink">
    <w:name w:val="Visited Internet Link"/>
    <w:rPr>
      <w:color w:val="954F72"/>
      <w:u w:val="single"/>
    </w:rPr>
  </w:style>
  <w:style w:type="character" w:styleId="Style17">
    <w:name w:val="Заголовок Знак"/>
    <w:qFormat/>
    <w:rPr>
      <w:rFonts w:ascii="Times New Roman" w:hAnsi="Times New Roman" w:cs="Times New Roman"/>
      <w:sz w:val="24"/>
      <w:szCs w:val="24"/>
      <w:lang w:val="en-US"/>
    </w:rPr>
  </w:style>
  <w:style w:type="character" w:styleId="22">
    <w:name w:val="Основной текст 2 Знак"/>
    <w:qFormat/>
    <w:rPr>
      <w:rFonts w:ascii="Times New Roman" w:hAnsi="Times New Roman" w:cs="Times New Roman"/>
      <w:sz w:val="24"/>
      <w:szCs w:val="24"/>
      <w:lang w:val="en-US"/>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character" w:styleId="Csa16174ba1">
    <w:name w:val="csa16174ba1"/>
    <w:qFormat/>
    <w:rPr>
      <w:rFonts w:ascii="Arial" w:hAnsi="Arial" w:cs="Arial"/>
      <w:b w:val="false"/>
      <w:bCs w:val="false"/>
      <w:i w:val="false"/>
      <w:iCs w:val="false"/>
      <w:color w:val="000000"/>
      <w:sz w:val="20"/>
      <w:szCs w:val="20"/>
      <w:shd w:fill="auto" w:val="clear"/>
    </w:rPr>
  </w:style>
  <w:style w:type="character" w:styleId="Csafaf574161">
    <w:name w:val="csafaf574161"/>
    <w:qFormat/>
    <w:rPr>
      <w:rFonts w:ascii="Arial" w:hAnsi="Arial" w:cs="Arial"/>
      <w:b/>
      <w:bCs/>
      <w:i w:val="false"/>
      <w:iCs w:val="false"/>
      <w:color w:val="000000"/>
      <w:sz w:val="18"/>
      <w:szCs w:val="18"/>
      <w:shd w:fill="auto" w:val="clear"/>
    </w:rPr>
  </w:style>
  <w:style w:type="character" w:styleId="Csafaf574162">
    <w:name w:val="csafaf574162"/>
    <w:qFormat/>
    <w:rPr>
      <w:rFonts w:ascii="Arial" w:hAnsi="Arial" w:cs="Arial"/>
      <w:b/>
      <w:bCs/>
      <w:i w:val="false"/>
      <w:iCs w:val="false"/>
      <w:color w:val="000000"/>
      <w:sz w:val="18"/>
      <w:szCs w:val="18"/>
      <w:shd w:fill="auto" w:val="clear"/>
    </w:rPr>
  </w:style>
  <w:style w:type="character" w:styleId="Csab6e076962">
    <w:name w:val="csab6e076962"/>
    <w:qFormat/>
    <w:rPr>
      <w:rFonts w:ascii="Arial" w:hAnsi="Arial" w:cs="Arial"/>
      <w:b w:val="false"/>
      <w:bCs w:val="false"/>
      <w:i w:val="false"/>
      <w:iCs w:val="false"/>
      <w:color w:val="000000"/>
      <w:sz w:val="18"/>
      <w:szCs w:val="18"/>
      <w:shd w:fill="auto" w:val="clear"/>
    </w:rPr>
  </w:style>
  <w:style w:type="character" w:styleId="Cs9ff1b61133">
    <w:name w:val="cs9ff1b61133"/>
    <w:qFormat/>
    <w:rPr>
      <w:rFonts w:ascii="Arial" w:hAnsi="Arial" w:cs="Arial"/>
      <w:b w:val="false"/>
      <w:bCs w:val="false"/>
      <w:i w:val="false"/>
      <w:iCs w:val="false"/>
      <w:color w:val="000000"/>
      <w:sz w:val="18"/>
      <w:szCs w:val="18"/>
      <w:shd w:fill="auto" w:val="clear"/>
    </w:rPr>
  </w:style>
  <w:style w:type="character" w:styleId="Csccf5e31629">
    <w:name w:val="csccf5e31629"/>
    <w:qFormat/>
    <w:rPr>
      <w:rFonts w:ascii="Arial" w:hAnsi="Arial" w:cs="Arial"/>
      <w:b/>
      <w:bCs/>
      <w:i w:val="false"/>
      <w:iCs w:val="false"/>
      <w:color w:val="000000"/>
      <w:sz w:val="18"/>
      <w:szCs w:val="18"/>
      <w:shd w:fill="auto" w:val="clear"/>
    </w:rPr>
  </w:style>
  <w:style w:type="character" w:styleId="Cs9ff1b61129">
    <w:name w:val="cs9ff1b61129"/>
    <w:qFormat/>
    <w:rPr>
      <w:rFonts w:ascii="Arial" w:hAnsi="Arial" w:cs="Arial"/>
      <w:b w:val="false"/>
      <w:bCs w:val="false"/>
      <w:i w:val="false"/>
      <w:iCs w:val="false"/>
      <w:color w:val="000000"/>
      <w:sz w:val="18"/>
      <w:szCs w:val="18"/>
      <w:shd w:fill="auto" w:val="clear"/>
    </w:rPr>
  </w:style>
  <w:style w:type="character" w:styleId="Cs9ff1b61117">
    <w:name w:val="cs9ff1b61117"/>
    <w:qFormat/>
    <w:rPr>
      <w:rFonts w:ascii="Arial" w:hAnsi="Arial" w:cs="Arial"/>
      <w:b w:val="false"/>
      <w:bCs w:val="false"/>
      <w:i w:val="false"/>
      <w:iCs w:val="false"/>
      <w:color w:val="000000"/>
      <w:sz w:val="18"/>
      <w:szCs w:val="18"/>
      <w:shd w:fill="auto" w:val="clear"/>
    </w:rPr>
  </w:style>
  <w:style w:type="character" w:styleId="Csccf5e31631">
    <w:name w:val="csccf5e31631"/>
    <w:qFormat/>
    <w:rPr>
      <w:rFonts w:ascii="Arial" w:hAnsi="Arial" w:cs="Arial"/>
      <w:b/>
      <w:bCs/>
      <w:i w:val="false"/>
      <w:iCs w:val="false"/>
      <w:color w:val="000000"/>
      <w:sz w:val="18"/>
      <w:szCs w:val="18"/>
      <w:shd w:fill="auto" w:val="clear"/>
    </w:rPr>
  </w:style>
  <w:style w:type="character" w:styleId="Cs9ff1b61131">
    <w:name w:val="cs9ff1b61131"/>
    <w:qFormat/>
    <w:rPr>
      <w:rFonts w:ascii="Arial" w:hAnsi="Arial" w:cs="Arial"/>
      <w:b w:val="false"/>
      <w:bCs w:val="false"/>
      <w:i w:val="false"/>
      <w:iCs w:val="false"/>
      <w:color w:val="000000"/>
      <w:sz w:val="18"/>
      <w:szCs w:val="18"/>
      <w:shd w:fill="auto" w:val="clear"/>
    </w:rPr>
  </w:style>
  <w:style w:type="paragraph" w:styleId="Heading">
    <w:name w:val="Heading"/>
    <w:basedOn w:val="Normal"/>
    <w:next w:val="TextBody"/>
    <w:qFormat/>
    <w:pPr/>
    <w:rPr>
      <w:sz w:val="24"/>
      <w:szCs w:val="24"/>
      <w:lang w:val="en-US"/>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rPr>
      <w:rFonts w:ascii="Courier New" w:hAnsi="Courier New" w:cs="Courier New"/>
      <w:color w:val="000000"/>
      <w:sz w:val="21"/>
      <w:szCs w:val="21"/>
    </w:rPr>
  </w:style>
  <w:style w:type="paragraph" w:styleId="33">
    <w:name w:val="Основной текст с отступом 3"/>
    <w:basedOn w:val="Normal"/>
    <w:qFormat/>
    <w:pPr>
      <w:spacing w:before="0" w:after="120"/>
      <w:ind w:left="283" w:hanging="0"/>
    </w:pPr>
    <w:rPr>
      <w:sz w:val="16"/>
      <w:szCs w:val="16"/>
    </w:rPr>
  </w:style>
  <w:style w:type="paragraph" w:styleId="Header">
    <w:name w:val="Header"/>
    <w:basedOn w:val="Normal"/>
    <w:pPr/>
    <w:rPr/>
  </w:style>
  <w:style w:type="paragraph" w:styleId="Footer">
    <w:name w:val="Footer"/>
    <w:basedOn w:val="Normal"/>
    <w:pPr/>
    <w:rPr/>
  </w:style>
  <w:style w:type="paragraph" w:styleId="11">
    <w:name w:val="Обычный1"/>
    <w:basedOn w:val="Normal"/>
    <w:qFormat/>
    <w:pPr/>
    <w:rPr>
      <w:rFonts w:eastAsia="Times New Roman"/>
      <w:sz w:val="24"/>
      <w:szCs w:val="24"/>
      <w:lang w:val="uk-UA"/>
    </w:rPr>
  </w:style>
  <w:style w:type="paragraph" w:styleId="111">
    <w:name w:val="Обычный11"/>
    <w:basedOn w:val="Normal"/>
    <w:qFormat/>
    <w:pPr/>
    <w:rPr>
      <w:rFonts w:eastAsia="Times New Roman"/>
      <w:sz w:val="24"/>
      <w:szCs w:val="24"/>
      <w:lang w:val="uk-UA"/>
    </w:rPr>
  </w:style>
  <w:style w:type="paragraph" w:styleId="Msolistparagraph">
    <w:name w:val="msolistparagraph"/>
    <w:basedOn w:val="Normal"/>
    <w:qFormat/>
    <w:pPr>
      <w:spacing w:before="0" w:after="0"/>
      <w:ind w:left="720" w:hanging="0"/>
      <w:contextualSpacing/>
    </w:pPr>
    <w:rPr>
      <w:rFonts w:eastAsia="Times New Roman"/>
      <w:sz w:val="24"/>
      <w:szCs w:val="24"/>
      <w:lang w:val="uk-UA"/>
    </w:rPr>
  </w:style>
  <w:style w:type="paragraph" w:styleId="Encryption">
    <w:name w:val="Encryption"/>
    <w:basedOn w:val="Normal"/>
    <w:qFormat/>
    <w:pPr>
      <w:jc w:val="both"/>
    </w:pPr>
    <w:rPr>
      <w:rFonts w:eastAsia="Times New Roman"/>
      <w:b/>
      <w:bCs/>
      <w:i/>
      <w:iCs/>
      <w:sz w:val="24"/>
      <w:szCs w:val="24"/>
      <w:lang w:val="uk-UA"/>
    </w:rPr>
  </w:style>
  <w:style w:type="paragraph" w:styleId="211">
    <w:name w:val="Заголовок 21"/>
    <w:basedOn w:val="Normal"/>
    <w:qFormat/>
    <w:pPr/>
    <w:rPr>
      <w:rFonts w:ascii="Arial" w:hAnsi="Arial" w:eastAsia="Times New Roman" w:cs="Arial"/>
      <w:b/>
      <w:caps/>
      <w:sz w:val="16"/>
    </w:rPr>
  </w:style>
  <w:style w:type="paragraph" w:styleId="411">
    <w:name w:val="Заголовок 41"/>
    <w:basedOn w:val="Normal"/>
    <w:qFormat/>
    <w:pPr/>
    <w:rPr>
      <w:rFonts w:ascii="Arial" w:hAnsi="Arial" w:eastAsia="Times New Roman" w:cs="Arial"/>
      <w:b/>
    </w:rPr>
  </w:style>
  <w:style w:type="paragraph" w:styleId="Style23">
    <w:name w:val="Текст выноски"/>
    <w:basedOn w:val="Normal"/>
    <w:qFormat/>
    <w:pPr/>
    <w:rPr>
      <w:rFonts w:ascii="Tahoma" w:hAnsi="Tahoma" w:eastAsia="Times New Roman" w:cs="Tahoma"/>
      <w:sz w:val="16"/>
      <w:szCs w:val="16"/>
    </w:rPr>
  </w:style>
  <w:style w:type="paragraph" w:styleId="BodyTextIndent2">
    <w:name w:val="Body Text Indent2"/>
    <w:basedOn w:val="Normal"/>
    <w:qFormat/>
    <w:pPr>
      <w:jc w:val="center"/>
    </w:pPr>
    <w:rPr>
      <w:rFonts w:ascii="Arial" w:hAnsi="Arial" w:eastAsia="Times New Roman" w:cs="Arial"/>
      <w:b/>
      <w:i/>
      <w:sz w:val="18"/>
      <w:lang w:val="uk-UA"/>
    </w:rPr>
  </w:style>
  <w:style w:type="paragraph" w:styleId="12">
    <w:name w:val="Основной текст с отступом1"/>
    <w:basedOn w:val="Normal"/>
    <w:qFormat/>
    <w:pPr>
      <w:spacing w:before="120" w:after="120"/>
    </w:pPr>
    <w:rPr>
      <w:rFonts w:ascii="Arial" w:hAnsi="Arial" w:eastAsia="Times New Roman" w:cs="Arial"/>
      <w:sz w:val="18"/>
    </w:rPr>
  </w:style>
  <w:style w:type="paragraph" w:styleId="Cs95e872d0">
    <w:name w:val="cs95e872d0"/>
    <w:basedOn w:val="Normal"/>
    <w:qFormat/>
    <w:pPr/>
    <w:rPr>
      <w:rFonts w:eastAsia="Times New Roman"/>
      <w:sz w:val="24"/>
      <w:szCs w:val="24"/>
    </w:rPr>
  </w:style>
  <w:style w:type="paragraph" w:styleId="TextBodyIndent">
    <w:name w:val="Body Text Indent"/>
    <w:basedOn w:val="Normal"/>
    <w:pPr>
      <w:spacing w:before="0" w:after="120"/>
      <w:ind w:left="283" w:hanging="0"/>
    </w:pPr>
    <w:rPr>
      <w:rFonts w:eastAsia="Times New Roman"/>
      <w:sz w:val="24"/>
      <w:szCs w:val="24"/>
    </w:rPr>
  </w:style>
  <w:style w:type="paragraph" w:styleId="34">
    <w:name w:val="Основной текст 3"/>
    <w:basedOn w:val="Normal"/>
    <w:qFormat/>
    <w:pPr>
      <w:spacing w:before="0" w:after="120"/>
    </w:pPr>
    <w:rPr>
      <w:rFonts w:eastAsia="Times New Roman"/>
      <w:sz w:val="16"/>
      <w:szCs w:val="16"/>
      <w:lang w:val="uk-UA"/>
    </w:rPr>
  </w:style>
  <w:style w:type="paragraph" w:styleId="24">
    <w:name w:val="Основной текст с отступом2"/>
    <w:basedOn w:val="Normal"/>
    <w:qFormat/>
    <w:pPr>
      <w:ind w:firstLine="708"/>
      <w:jc w:val="both"/>
    </w:pPr>
    <w:rPr>
      <w:rFonts w:ascii="Arial" w:hAnsi="Arial" w:eastAsia="Times New Roman" w:cs="Arial"/>
      <w:b/>
      <w:sz w:val="18"/>
      <w:lang w:val="uk-UA"/>
    </w:rPr>
  </w:style>
  <w:style w:type="paragraph" w:styleId="35">
    <w:name w:val="Основной текст с отступом3"/>
    <w:basedOn w:val="Normal"/>
    <w:qFormat/>
    <w:pPr>
      <w:ind w:firstLine="708"/>
      <w:jc w:val="both"/>
    </w:pPr>
    <w:rPr>
      <w:rFonts w:ascii="Arial" w:hAnsi="Arial" w:eastAsia="Times New Roman" w:cs="Arial"/>
      <w:b/>
      <w:sz w:val="18"/>
      <w:lang w:val="uk-UA"/>
    </w:rPr>
  </w:style>
  <w:style w:type="paragraph" w:styleId="42">
    <w:name w:val="Основной текст с отступом4"/>
    <w:basedOn w:val="Normal"/>
    <w:qFormat/>
    <w:pPr>
      <w:ind w:firstLine="708"/>
      <w:jc w:val="both"/>
    </w:pPr>
    <w:rPr>
      <w:rFonts w:ascii="Arial" w:hAnsi="Arial" w:eastAsia="Times New Roman" w:cs="Arial"/>
      <w:b/>
      <w:sz w:val="18"/>
      <w:lang w:val="uk-UA"/>
    </w:rPr>
  </w:style>
  <w:style w:type="paragraph" w:styleId="5">
    <w:name w:val="Основной текст с отступом5"/>
    <w:basedOn w:val="Normal"/>
    <w:qFormat/>
    <w:pPr>
      <w:ind w:firstLine="708"/>
      <w:jc w:val="both"/>
    </w:pPr>
    <w:rPr>
      <w:rFonts w:ascii="Arial" w:hAnsi="Arial" w:eastAsia="Times New Roman" w:cs="Arial"/>
      <w:b/>
      <w:sz w:val="18"/>
      <w:lang w:val="uk-UA"/>
    </w:rPr>
  </w:style>
  <w:style w:type="paragraph" w:styleId="Cse71256d6">
    <w:name w:val="cse71256d6"/>
    <w:basedOn w:val="Normal"/>
    <w:qFormat/>
    <w:pPr>
      <w:ind w:left="1440" w:hanging="0"/>
    </w:pPr>
    <w:rPr>
      <w:rFonts w:eastAsia="Times New Roman"/>
      <w:sz w:val="24"/>
      <w:szCs w:val="24"/>
      <w:lang w:val="uk-UA"/>
    </w:rPr>
  </w:style>
  <w:style w:type="paragraph" w:styleId="61">
    <w:name w:val="Основной текст с отступом6"/>
    <w:basedOn w:val="Normal"/>
    <w:qFormat/>
    <w:pPr>
      <w:ind w:firstLine="708"/>
      <w:jc w:val="both"/>
    </w:pPr>
    <w:rPr>
      <w:rFonts w:ascii="Arial" w:hAnsi="Arial" w:eastAsia="Times New Roman" w:cs="Arial"/>
      <w:b/>
      <w:sz w:val="18"/>
      <w:lang w:val="uk-UA"/>
    </w:rPr>
  </w:style>
  <w:style w:type="paragraph" w:styleId="7">
    <w:name w:val="Основной текст с отступом7"/>
    <w:basedOn w:val="Normal"/>
    <w:qFormat/>
    <w:pPr>
      <w:ind w:firstLine="708"/>
      <w:jc w:val="both"/>
    </w:pPr>
    <w:rPr>
      <w:rFonts w:ascii="Arial" w:hAnsi="Arial" w:eastAsia="Times New Roman" w:cs="Arial"/>
      <w:b/>
      <w:sz w:val="18"/>
      <w:lang w:val="uk-UA"/>
    </w:rPr>
  </w:style>
  <w:style w:type="paragraph" w:styleId="8">
    <w:name w:val="Основной текст с отступом8"/>
    <w:basedOn w:val="Normal"/>
    <w:qFormat/>
    <w:pPr>
      <w:ind w:firstLine="708"/>
      <w:jc w:val="both"/>
    </w:pPr>
    <w:rPr>
      <w:rFonts w:ascii="Arial" w:hAnsi="Arial" w:eastAsia="Times New Roman" w:cs="Arial"/>
      <w:b/>
      <w:sz w:val="18"/>
      <w:lang w:val="uk-UA"/>
    </w:rPr>
  </w:style>
  <w:style w:type="paragraph" w:styleId="9">
    <w:name w:val="Основной текст с отступом9"/>
    <w:basedOn w:val="Normal"/>
    <w:qFormat/>
    <w:pPr>
      <w:ind w:firstLine="708"/>
      <w:jc w:val="both"/>
    </w:pPr>
    <w:rPr>
      <w:rFonts w:ascii="Arial" w:hAnsi="Arial" w:eastAsia="Times New Roman" w:cs="Arial"/>
      <w:b/>
      <w:sz w:val="18"/>
      <w:lang w:val="uk-UA"/>
    </w:rPr>
  </w:style>
  <w:style w:type="paragraph" w:styleId="112">
    <w:name w:val="Основной текст с отступом11"/>
    <w:basedOn w:val="Normal"/>
    <w:qFormat/>
    <w:pPr>
      <w:ind w:firstLine="708"/>
      <w:jc w:val="both"/>
    </w:pPr>
    <w:rPr>
      <w:rFonts w:ascii="Arial" w:hAnsi="Arial" w:eastAsia="Times New Roman" w:cs="Arial"/>
      <w:b/>
      <w:sz w:val="18"/>
      <w:lang w:val="uk-UA"/>
    </w:rPr>
  </w:style>
  <w:style w:type="paragraph" w:styleId="10">
    <w:name w:val="Основной текст с отступом10"/>
    <w:basedOn w:val="Normal"/>
    <w:qFormat/>
    <w:pPr>
      <w:ind w:firstLine="708"/>
      <w:jc w:val="both"/>
    </w:pPr>
    <w:rPr>
      <w:rFonts w:ascii="Arial" w:hAnsi="Arial" w:eastAsia="Times New Roman" w:cs="Arial"/>
      <w:b/>
      <w:sz w:val="18"/>
      <w:lang w:val="uk-UA"/>
    </w:rPr>
  </w:style>
  <w:style w:type="paragraph" w:styleId="110">
    <w:name w:val="Основной текст с отступом110"/>
    <w:basedOn w:val="Normal"/>
    <w:qFormat/>
    <w:pPr>
      <w:ind w:firstLine="708"/>
      <w:jc w:val="both"/>
    </w:pPr>
    <w:rPr>
      <w:rFonts w:ascii="Arial" w:hAnsi="Arial" w:eastAsia="Times New Roman" w:cs="Arial"/>
      <w:b/>
      <w:sz w:val="18"/>
      <w:szCs w:val="22"/>
      <w:lang w:val="uk-UA"/>
    </w:rPr>
  </w:style>
  <w:style w:type="paragraph" w:styleId="121">
    <w:name w:val="Основной текст с отступом12"/>
    <w:basedOn w:val="Normal"/>
    <w:qFormat/>
    <w:pPr>
      <w:ind w:firstLine="708"/>
      <w:jc w:val="both"/>
    </w:pPr>
    <w:rPr>
      <w:rFonts w:ascii="Arial" w:hAnsi="Arial" w:eastAsia="Times New Roman" w:cs="Arial"/>
      <w:b/>
      <w:sz w:val="18"/>
      <w:lang w:val="uk-UA"/>
    </w:rPr>
  </w:style>
  <w:style w:type="paragraph" w:styleId="13">
    <w:name w:val="Основной текст с отступом13"/>
    <w:basedOn w:val="Normal"/>
    <w:qFormat/>
    <w:pPr>
      <w:ind w:firstLine="708"/>
      <w:jc w:val="both"/>
    </w:pPr>
    <w:rPr>
      <w:rFonts w:ascii="Arial" w:hAnsi="Arial" w:eastAsia="Times New Roman" w:cs="Arial"/>
      <w:b/>
      <w:sz w:val="18"/>
      <w:lang w:val="uk-UA"/>
    </w:rPr>
  </w:style>
  <w:style w:type="paragraph" w:styleId="141">
    <w:name w:val="Основной текст с отступом14"/>
    <w:basedOn w:val="Normal"/>
    <w:qFormat/>
    <w:pPr>
      <w:ind w:firstLine="708"/>
      <w:jc w:val="both"/>
    </w:pPr>
    <w:rPr>
      <w:rFonts w:ascii="Arial" w:hAnsi="Arial" w:eastAsia="Times New Roman" w:cs="Arial"/>
      <w:b/>
      <w:sz w:val="18"/>
      <w:lang w:val="uk-UA"/>
    </w:rPr>
  </w:style>
  <w:style w:type="paragraph" w:styleId="15">
    <w:name w:val="Основной текст с отступом15"/>
    <w:basedOn w:val="Normal"/>
    <w:qFormat/>
    <w:pPr>
      <w:ind w:firstLine="708"/>
      <w:jc w:val="both"/>
    </w:pPr>
    <w:rPr>
      <w:rFonts w:ascii="Arial" w:hAnsi="Arial" w:eastAsia="Times New Roman" w:cs="Arial"/>
      <w:b/>
      <w:sz w:val="18"/>
      <w:lang w:val="uk-UA"/>
    </w:rPr>
  </w:style>
  <w:style w:type="paragraph" w:styleId="16">
    <w:name w:val="Основной текст с отступом16"/>
    <w:basedOn w:val="Normal"/>
    <w:qFormat/>
    <w:pPr>
      <w:ind w:firstLine="708"/>
      <w:jc w:val="both"/>
    </w:pPr>
    <w:rPr>
      <w:rFonts w:ascii="Arial" w:hAnsi="Arial" w:eastAsia="Times New Roman" w:cs="Arial"/>
      <w:b/>
      <w:sz w:val="18"/>
      <w:lang w:val="uk-UA"/>
    </w:rPr>
  </w:style>
  <w:style w:type="paragraph" w:styleId="17">
    <w:name w:val="Основной текст с отступом17"/>
    <w:basedOn w:val="Normal"/>
    <w:qFormat/>
    <w:pPr>
      <w:ind w:firstLine="708"/>
      <w:jc w:val="both"/>
    </w:pPr>
    <w:rPr>
      <w:rFonts w:ascii="Arial" w:hAnsi="Arial" w:eastAsia="Times New Roman" w:cs="Arial"/>
      <w:b/>
      <w:sz w:val="18"/>
      <w:lang w:val="uk-UA"/>
    </w:rPr>
  </w:style>
  <w:style w:type="paragraph" w:styleId="18">
    <w:name w:val="Основной текст с отступом18"/>
    <w:basedOn w:val="Normal"/>
    <w:qFormat/>
    <w:pPr>
      <w:ind w:firstLine="708"/>
      <w:jc w:val="both"/>
    </w:pPr>
    <w:rPr>
      <w:rFonts w:ascii="Arial" w:hAnsi="Arial" w:eastAsia="Times New Roman" w:cs="Arial"/>
      <w:b/>
      <w:sz w:val="18"/>
      <w:lang w:val="uk-UA"/>
    </w:rPr>
  </w:style>
  <w:style w:type="paragraph" w:styleId="19">
    <w:name w:val="Основной текст с отступом19"/>
    <w:basedOn w:val="Normal"/>
    <w:qFormat/>
    <w:pPr>
      <w:ind w:firstLine="708"/>
      <w:jc w:val="both"/>
    </w:pPr>
    <w:rPr>
      <w:rFonts w:ascii="Arial" w:hAnsi="Arial" w:eastAsia="Times New Roman" w:cs="Arial"/>
      <w:b/>
      <w:sz w:val="18"/>
      <w:lang w:val="uk-UA"/>
    </w:rPr>
  </w:style>
  <w:style w:type="paragraph" w:styleId="20">
    <w:name w:val="Основной текст с отступом20"/>
    <w:basedOn w:val="Normal"/>
    <w:qFormat/>
    <w:pPr>
      <w:ind w:firstLine="708"/>
      <w:jc w:val="both"/>
    </w:pPr>
    <w:rPr>
      <w:rFonts w:ascii="Arial" w:hAnsi="Arial" w:eastAsia="Times New Roman" w:cs="Arial"/>
      <w:b/>
      <w:sz w:val="18"/>
      <w:lang w:val="uk-UA"/>
    </w:rPr>
  </w:style>
  <w:style w:type="paragraph" w:styleId="Cs80d9435b">
    <w:name w:val="cs80d9435b"/>
    <w:basedOn w:val="Normal"/>
    <w:qFormat/>
    <w:pPr>
      <w:jc w:val="both"/>
    </w:pPr>
    <w:rPr>
      <w:rFonts w:ascii="Arial" w:hAnsi="Arial" w:eastAsia="Times New Roman" w:cs="Arial"/>
      <w:sz w:val="24"/>
      <w:szCs w:val="24"/>
      <w:lang w:val="uk-UA"/>
    </w:rPr>
  </w:style>
  <w:style w:type="paragraph" w:styleId="212">
    <w:name w:val="Основной текст с отступом21"/>
    <w:basedOn w:val="Normal"/>
    <w:qFormat/>
    <w:pPr>
      <w:ind w:firstLine="708"/>
      <w:jc w:val="both"/>
    </w:pPr>
    <w:rPr>
      <w:rFonts w:ascii="Arial" w:hAnsi="Arial" w:eastAsia="Times New Roman" w:cs="Arial"/>
      <w:b/>
      <w:sz w:val="18"/>
      <w:lang w:val="uk-UA"/>
    </w:rPr>
  </w:style>
  <w:style w:type="paragraph" w:styleId="231">
    <w:name w:val="Основной текст с отступом23"/>
    <w:basedOn w:val="Normal"/>
    <w:qFormat/>
    <w:pPr>
      <w:ind w:firstLine="708"/>
      <w:jc w:val="both"/>
    </w:pPr>
    <w:rPr>
      <w:rFonts w:ascii="Arial" w:hAnsi="Arial" w:eastAsia="Times New Roman" w:cs="Arial"/>
      <w:b/>
      <w:sz w:val="18"/>
      <w:lang w:val="uk-UA"/>
    </w:rPr>
  </w:style>
  <w:style w:type="paragraph" w:styleId="26">
    <w:name w:val="Основной текст с отступом26"/>
    <w:basedOn w:val="Normal"/>
    <w:qFormat/>
    <w:pPr>
      <w:ind w:firstLine="708"/>
      <w:jc w:val="both"/>
    </w:pPr>
    <w:rPr>
      <w:rFonts w:ascii="Arial" w:hAnsi="Arial" w:eastAsia="Times New Roman" w:cs="Arial"/>
      <w:b/>
      <w:sz w:val="18"/>
      <w:lang w:val="uk-UA"/>
    </w:rPr>
  </w:style>
  <w:style w:type="paragraph" w:styleId="28">
    <w:name w:val="Основной текст с отступом28"/>
    <w:basedOn w:val="Normal"/>
    <w:qFormat/>
    <w:pPr>
      <w:ind w:firstLine="708"/>
      <w:jc w:val="both"/>
    </w:pPr>
    <w:rPr>
      <w:rFonts w:ascii="Arial" w:hAnsi="Arial" w:eastAsia="Times New Roman" w:cs="Arial"/>
      <w:b/>
      <w:sz w:val="18"/>
      <w:lang w:val="uk-UA"/>
    </w:rPr>
  </w:style>
  <w:style w:type="paragraph" w:styleId="29">
    <w:name w:val="Основной текст с отступом29"/>
    <w:basedOn w:val="Normal"/>
    <w:qFormat/>
    <w:pPr>
      <w:ind w:firstLine="708"/>
      <w:jc w:val="both"/>
    </w:pPr>
    <w:rPr>
      <w:rFonts w:ascii="Arial" w:hAnsi="Arial" w:eastAsia="Times New Roman" w:cs="Arial"/>
      <w:b/>
      <w:sz w:val="18"/>
      <w:lang w:val="uk-UA"/>
    </w:rPr>
  </w:style>
  <w:style w:type="paragraph" w:styleId="311">
    <w:name w:val="Основной текст с отступом31"/>
    <w:basedOn w:val="Normal"/>
    <w:qFormat/>
    <w:pPr>
      <w:ind w:firstLine="708"/>
      <w:jc w:val="both"/>
    </w:pPr>
    <w:rPr>
      <w:rFonts w:ascii="Arial" w:hAnsi="Arial" w:eastAsia="Times New Roman" w:cs="Arial"/>
      <w:b/>
      <w:sz w:val="18"/>
      <w:lang w:val="uk-UA"/>
    </w:rPr>
  </w:style>
  <w:style w:type="paragraph" w:styleId="321">
    <w:name w:val="Основной текст с отступом32"/>
    <w:basedOn w:val="Normal"/>
    <w:qFormat/>
    <w:pPr>
      <w:ind w:firstLine="708"/>
      <w:jc w:val="both"/>
    </w:pPr>
    <w:rPr>
      <w:rFonts w:ascii="Arial" w:hAnsi="Arial" w:eastAsia="Times New Roman" w:cs="Arial"/>
      <w:b/>
      <w:sz w:val="18"/>
      <w:lang w:val="uk-UA"/>
    </w:rPr>
  </w:style>
  <w:style w:type="paragraph" w:styleId="331">
    <w:name w:val="Основной текст с отступом33"/>
    <w:basedOn w:val="Normal"/>
    <w:qFormat/>
    <w:pPr>
      <w:ind w:firstLine="708"/>
      <w:jc w:val="both"/>
    </w:pPr>
    <w:rPr>
      <w:rFonts w:ascii="Arial" w:hAnsi="Arial" w:eastAsia="Times New Roman" w:cs="Arial"/>
      <w:b/>
      <w:sz w:val="18"/>
      <w:lang w:val="uk-UA"/>
    </w:rPr>
  </w:style>
  <w:style w:type="paragraph" w:styleId="351">
    <w:name w:val="Основной текст с отступом35"/>
    <w:basedOn w:val="Normal"/>
    <w:qFormat/>
    <w:pPr>
      <w:ind w:firstLine="708"/>
      <w:jc w:val="both"/>
    </w:pPr>
    <w:rPr>
      <w:rFonts w:ascii="Arial" w:hAnsi="Arial" w:eastAsia="Times New Roman" w:cs="Arial"/>
      <w:b/>
      <w:sz w:val="18"/>
      <w:lang w:val="uk-UA"/>
    </w:rPr>
  </w:style>
  <w:style w:type="paragraph" w:styleId="341">
    <w:name w:val="Основной текст с отступом34"/>
    <w:basedOn w:val="Normal"/>
    <w:qFormat/>
    <w:pPr>
      <w:ind w:firstLine="708"/>
      <w:jc w:val="both"/>
    </w:pPr>
    <w:rPr>
      <w:rFonts w:ascii="Arial" w:hAnsi="Arial" w:eastAsia="Times New Roman" w:cs="Arial"/>
      <w:b/>
      <w:sz w:val="18"/>
      <w:lang w:val="uk-UA"/>
    </w:rPr>
  </w:style>
  <w:style w:type="paragraph" w:styleId="36">
    <w:name w:val="Основной текст с отступом36"/>
    <w:basedOn w:val="Normal"/>
    <w:qFormat/>
    <w:pPr>
      <w:ind w:firstLine="708"/>
      <w:jc w:val="both"/>
    </w:pPr>
    <w:rPr>
      <w:rFonts w:ascii="Arial" w:hAnsi="Arial" w:eastAsia="Times New Roman" w:cs="Arial"/>
      <w:b/>
      <w:sz w:val="18"/>
      <w:lang w:val="uk-UA"/>
    </w:rPr>
  </w:style>
  <w:style w:type="paragraph" w:styleId="37">
    <w:name w:val="Основной текст с отступом37"/>
    <w:basedOn w:val="Normal"/>
    <w:qFormat/>
    <w:pPr>
      <w:ind w:firstLine="708"/>
      <w:jc w:val="both"/>
    </w:pPr>
    <w:rPr>
      <w:rFonts w:ascii="Arial" w:hAnsi="Arial" w:eastAsia="Times New Roman" w:cs="Arial"/>
      <w:b/>
      <w:sz w:val="18"/>
      <w:lang w:val="uk-UA"/>
    </w:rPr>
  </w:style>
  <w:style w:type="paragraph" w:styleId="Style24">
    <w:name w:val="Текст примечания"/>
    <w:basedOn w:val="Normal"/>
    <w:qFormat/>
    <w:pPr/>
    <w:rPr>
      <w:rFonts w:eastAsia="Times New Roman"/>
      <w:lang w:val="uk-UA"/>
    </w:rPr>
  </w:style>
  <w:style w:type="paragraph" w:styleId="Style25">
    <w:name w:val="Тема примечания"/>
    <w:basedOn w:val="Style24"/>
    <w:next w:val="Style24"/>
    <w:qFormat/>
    <w:pPr/>
    <w:rPr>
      <w:b/>
      <w:bCs/>
    </w:rPr>
  </w:style>
  <w:style w:type="paragraph" w:styleId="Style26">
    <w:name w:val="Рецензия"/>
    <w:qFormat/>
    <w:pPr>
      <w:widowControl/>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eastAsia="Times New Roman" w:cs="Arial"/>
      <w:sz w:val="24"/>
      <w:szCs w:val="24"/>
      <w:lang w:val="uk-UA"/>
    </w:rPr>
  </w:style>
  <w:style w:type="paragraph" w:styleId="38">
    <w:name w:val="Основной текст с отступом38"/>
    <w:basedOn w:val="Normal"/>
    <w:qFormat/>
    <w:pPr>
      <w:ind w:firstLine="708"/>
      <w:jc w:val="both"/>
    </w:pPr>
    <w:rPr>
      <w:rFonts w:ascii="Arial" w:hAnsi="Arial" w:eastAsia="Times New Roman" w:cs="Arial"/>
      <w:b/>
      <w:sz w:val="18"/>
      <w:lang w:val="uk-UA"/>
    </w:rPr>
  </w:style>
  <w:style w:type="paragraph" w:styleId="39">
    <w:name w:val="Основной текст с отступом39"/>
    <w:basedOn w:val="Normal"/>
    <w:qFormat/>
    <w:pPr>
      <w:ind w:firstLine="708"/>
      <w:jc w:val="both"/>
    </w:pPr>
    <w:rPr>
      <w:rFonts w:ascii="Arial" w:hAnsi="Arial" w:eastAsia="Times New Roman" w:cs="Arial"/>
      <w:b/>
      <w:sz w:val="18"/>
      <w:lang w:val="uk-UA"/>
    </w:rPr>
  </w:style>
  <w:style w:type="paragraph" w:styleId="40">
    <w:name w:val="Основной текст с отступом40"/>
    <w:basedOn w:val="Normal"/>
    <w:qFormat/>
    <w:pPr>
      <w:ind w:firstLine="708"/>
      <w:jc w:val="both"/>
    </w:pPr>
    <w:rPr>
      <w:rFonts w:ascii="Arial" w:hAnsi="Arial" w:eastAsia="Times New Roman" w:cs="Arial"/>
      <w:b/>
      <w:sz w:val="18"/>
      <w:lang w:val="uk-UA"/>
    </w:rPr>
  </w:style>
  <w:style w:type="paragraph" w:styleId="412">
    <w:name w:val="Основной текст с отступом41"/>
    <w:basedOn w:val="Normal"/>
    <w:qFormat/>
    <w:pPr>
      <w:ind w:firstLine="708"/>
      <w:jc w:val="both"/>
    </w:pPr>
    <w:rPr>
      <w:rFonts w:ascii="Arial" w:hAnsi="Arial" w:eastAsia="Times New Roman" w:cs="Arial"/>
      <w:b/>
      <w:sz w:val="18"/>
      <w:lang w:val="uk-UA"/>
    </w:rPr>
  </w:style>
  <w:style w:type="paragraph" w:styleId="421">
    <w:name w:val="Основной текст с отступом42"/>
    <w:basedOn w:val="Normal"/>
    <w:qFormat/>
    <w:pPr>
      <w:ind w:firstLine="708"/>
      <w:jc w:val="both"/>
    </w:pPr>
    <w:rPr>
      <w:rFonts w:ascii="Arial" w:hAnsi="Arial" w:eastAsia="Times New Roman" w:cs="Arial"/>
      <w:b/>
      <w:sz w:val="18"/>
      <w:lang w:val="uk-UA"/>
    </w:rPr>
  </w:style>
  <w:style w:type="paragraph" w:styleId="43">
    <w:name w:val="Основной текст с отступом43"/>
    <w:basedOn w:val="Normal"/>
    <w:qFormat/>
    <w:pPr>
      <w:ind w:firstLine="708"/>
      <w:jc w:val="both"/>
    </w:pPr>
    <w:rPr>
      <w:rFonts w:ascii="Arial" w:hAnsi="Arial" w:eastAsia="Times New Roman" w:cs="Arial"/>
      <w:b/>
      <w:sz w:val="18"/>
      <w:lang w:val="uk-UA"/>
    </w:rPr>
  </w:style>
  <w:style w:type="paragraph" w:styleId="44">
    <w:name w:val="Основной текст с отступом44"/>
    <w:basedOn w:val="Normal"/>
    <w:qFormat/>
    <w:pPr>
      <w:ind w:firstLine="708"/>
      <w:jc w:val="both"/>
    </w:pPr>
    <w:rPr>
      <w:rFonts w:ascii="Arial" w:hAnsi="Arial" w:eastAsia="Times New Roman" w:cs="Arial"/>
      <w:b/>
      <w:sz w:val="18"/>
      <w:lang w:val="uk-UA"/>
    </w:rPr>
  </w:style>
  <w:style w:type="paragraph" w:styleId="45">
    <w:name w:val="Основной текст с отступом45"/>
    <w:basedOn w:val="Normal"/>
    <w:qFormat/>
    <w:pPr>
      <w:ind w:firstLine="708"/>
      <w:jc w:val="both"/>
    </w:pPr>
    <w:rPr>
      <w:rFonts w:ascii="Arial" w:hAnsi="Arial" w:eastAsia="Times New Roman" w:cs="Arial"/>
      <w:b/>
      <w:sz w:val="18"/>
      <w:lang w:val="uk-UA"/>
    </w:rPr>
  </w:style>
  <w:style w:type="paragraph" w:styleId="46">
    <w:name w:val="Основной текст с отступом46"/>
    <w:basedOn w:val="Normal"/>
    <w:qFormat/>
    <w:pPr>
      <w:ind w:firstLine="708"/>
      <w:jc w:val="both"/>
    </w:pPr>
    <w:rPr>
      <w:rFonts w:ascii="Arial" w:hAnsi="Arial" w:eastAsia="Times New Roman" w:cs="Arial"/>
      <w:b/>
      <w:sz w:val="18"/>
      <w:lang w:val="uk-UA"/>
    </w:rPr>
  </w:style>
  <w:style w:type="paragraph" w:styleId="47">
    <w:name w:val="Основной текст с отступом47"/>
    <w:basedOn w:val="Normal"/>
    <w:qFormat/>
    <w:pPr>
      <w:ind w:firstLine="708"/>
      <w:jc w:val="both"/>
    </w:pPr>
    <w:rPr>
      <w:rFonts w:ascii="Arial" w:hAnsi="Arial" w:eastAsia="Times New Roman" w:cs="Arial"/>
      <w:b/>
      <w:sz w:val="18"/>
      <w:lang w:val="uk-UA"/>
    </w:rPr>
  </w:style>
  <w:style w:type="paragraph" w:styleId="48">
    <w:name w:val="Основной текст с отступом48"/>
    <w:basedOn w:val="Normal"/>
    <w:qFormat/>
    <w:pPr>
      <w:ind w:firstLine="708"/>
      <w:jc w:val="both"/>
    </w:pPr>
    <w:rPr>
      <w:rFonts w:ascii="Arial" w:hAnsi="Arial" w:eastAsia="Times New Roman" w:cs="Arial"/>
      <w:b/>
      <w:sz w:val="18"/>
      <w:lang w:val="uk-UA"/>
    </w:rPr>
  </w:style>
  <w:style w:type="paragraph" w:styleId="49">
    <w:name w:val="Основной текст с отступом49"/>
    <w:basedOn w:val="Normal"/>
    <w:qFormat/>
    <w:pPr>
      <w:ind w:firstLine="708"/>
      <w:jc w:val="both"/>
    </w:pPr>
    <w:rPr>
      <w:rFonts w:ascii="Arial" w:hAnsi="Arial" w:eastAsia="Times New Roman" w:cs="Arial"/>
      <w:b/>
      <w:sz w:val="18"/>
      <w:lang w:val="uk-UA"/>
    </w:rPr>
  </w:style>
  <w:style w:type="paragraph" w:styleId="50">
    <w:name w:val="Основной текст с отступом50"/>
    <w:basedOn w:val="Normal"/>
    <w:qFormat/>
    <w:pPr>
      <w:ind w:firstLine="708"/>
      <w:jc w:val="both"/>
    </w:pPr>
    <w:rPr>
      <w:rFonts w:ascii="Arial" w:hAnsi="Arial" w:eastAsia="Times New Roman" w:cs="Arial"/>
      <w:b/>
      <w:sz w:val="18"/>
      <w:lang w:val="uk-UA"/>
    </w:rPr>
  </w:style>
  <w:style w:type="paragraph" w:styleId="52">
    <w:name w:val="Основной текст с отступом52"/>
    <w:basedOn w:val="Normal"/>
    <w:qFormat/>
    <w:pPr>
      <w:ind w:firstLine="708"/>
      <w:jc w:val="both"/>
    </w:pPr>
    <w:rPr>
      <w:rFonts w:ascii="Arial" w:hAnsi="Arial" w:eastAsia="Times New Roman" w:cs="Arial"/>
      <w:b/>
      <w:sz w:val="18"/>
      <w:lang w:val="uk-UA"/>
    </w:rPr>
  </w:style>
  <w:style w:type="paragraph" w:styleId="53">
    <w:name w:val="Основной текст с отступом53"/>
    <w:basedOn w:val="Normal"/>
    <w:qFormat/>
    <w:pPr>
      <w:ind w:firstLine="708"/>
      <w:jc w:val="both"/>
    </w:pPr>
    <w:rPr>
      <w:rFonts w:ascii="Arial" w:hAnsi="Arial" w:eastAsia="Times New Roman" w:cs="Arial"/>
      <w:b/>
      <w:sz w:val="18"/>
      <w:lang w:val="uk-UA"/>
    </w:rPr>
  </w:style>
  <w:style w:type="paragraph" w:styleId="54">
    <w:name w:val="Основной текст с отступом54"/>
    <w:basedOn w:val="Normal"/>
    <w:qFormat/>
    <w:pPr>
      <w:ind w:firstLine="708"/>
      <w:jc w:val="both"/>
    </w:pPr>
    <w:rPr>
      <w:rFonts w:ascii="Arial" w:hAnsi="Arial" w:eastAsia="Times New Roman" w:cs="Arial"/>
      <w:b/>
      <w:sz w:val="18"/>
      <w:lang w:val="uk-UA"/>
    </w:rPr>
  </w:style>
  <w:style w:type="paragraph" w:styleId="57">
    <w:name w:val="Основной текст с отступом57"/>
    <w:basedOn w:val="Normal"/>
    <w:qFormat/>
    <w:pPr>
      <w:ind w:firstLine="708"/>
      <w:jc w:val="both"/>
    </w:pPr>
    <w:rPr>
      <w:rFonts w:ascii="Arial" w:hAnsi="Arial" w:eastAsia="Times New Roman" w:cs="Arial"/>
      <w:b/>
      <w:sz w:val="18"/>
      <w:lang w:val="uk-UA"/>
    </w:rPr>
  </w:style>
  <w:style w:type="paragraph" w:styleId="59">
    <w:name w:val="Основной текст с отступом59"/>
    <w:basedOn w:val="Normal"/>
    <w:qFormat/>
    <w:pPr>
      <w:ind w:firstLine="708"/>
      <w:jc w:val="both"/>
    </w:pPr>
    <w:rPr>
      <w:rFonts w:ascii="Arial" w:hAnsi="Arial" w:eastAsia="Times New Roman" w:cs="Arial"/>
      <w:b/>
      <w:sz w:val="18"/>
      <w:lang w:val="uk-UA"/>
    </w:rPr>
  </w:style>
  <w:style w:type="paragraph" w:styleId="60">
    <w:name w:val="Основной текст с отступом60"/>
    <w:basedOn w:val="Normal"/>
    <w:qFormat/>
    <w:pPr>
      <w:ind w:firstLine="708"/>
      <w:jc w:val="both"/>
    </w:pPr>
    <w:rPr>
      <w:rFonts w:ascii="Arial" w:hAnsi="Arial" w:eastAsia="Times New Roman" w:cs="Arial"/>
      <w:b/>
      <w:sz w:val="18"/>
      <w:lang w:val="uk-UA"/>
    </w:rPr>
  </w:style>
  <w:style w:type="paragraph" w:styleId="611">
    <w:name w:val="Основной текст с отступом61"/>
    <w:basedOn w:val="Normal"/>
    <w:qFormat/>
    <w:pPr>
      <w:ind w:firstLine="708"/>
      <w:jc w:val="both"/>
    </w:pPr>
    <w:rPr>
      <w:rFonts w:ascii="Arial" w:hAnsi="Arial" w:eastAsia="Times New Roman" w:cs="Arial"/>
      <w:b/>
      <w:sz w:val="18"/>
      <w:lang w:val="uk-UA"/>
    </w:rPr>
  </w:style>
  <w:style w:type="paragraph" w:styleId="25">
    <w:name w:val="Обычный2"/>
    <w:qFormat/>
    <w:pPr>
      <w:widowControl/>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eastAsia="Times New Roman" w:cs="Arial"/>
      <w:sz w:val="18"/>
    </w:rPr>
  </w:style>
  <w:style w:type="paragraph" w:styleId="222">
    <w:name w:val="Заголовок 22"/>
    <w:basedOn w:val="Normal"/>
    <w:qFormat/>
    <w:pPr/>
    <w:rPr>
      <w:rFonts w:ascii="Arial" w:hAnsi="Arial" w:eastAsia="Times New Roman" w:cs="Arial"/>
      <w:b/>
      <w:caps/>
      <w:sz w:val="16"/>
    </w:rPr>
  </w:style>
  <w:style w:type="paragraph" w:styleId="422">
    <w:name w:val="Заголовок 42"/>
    <w:basedOn w:val="Normal"/>
    <w:qFormat/>
    <w:pPr/>
    <w:rPr>
      <w:rFonts w:ascii="Arial" w:hAnsi="Arial" w:eastAsia="Times New Roman" w:cs="Arial"/>
      <w:b/>
    </w:rPr>
  </w:style>
  <w:style w:type="paragraph" w:styleId="310">
    <w:name w:val="Обычный3"/>
    <w:qFormat/>
    <w:pPr>
      <w:widowControl/>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eastAsia="Times New Roman" w:cs="Arial"/>
      <w:sz w:val="18"/>
    </w:rPr>
  </w:style>
  <w:style w:type="paragraph" w:styleId="232">
    <w:name w:val="Заголовок 23"/>
    <w:basedOn w:val="Normal"/>
    <w:qFormat/>
    <w:pPr/>
    <w:rPr>
      <w:rFonts w:ascii="Arial" w:hAnsi="Arial" w:eastAsia="Times New Roman" w:cs="Arial"/>
      <w:b/>
      <w:caps/>
      <w:sz w:val="16"/>
    </w:rPr>
  </w:style>
  <w:style w:type="paragraph" w:styleId="431">
    <w:name w:val="Заголовок 43"/>
    <w:basedOn w:val="Normal"/>
    <w:qFormat/>
    <w:pPr/>
    <w:rPr>
      <w:rFonts w:ascii="Arial" w:hAnsi="Arial" w:eastAsia="Times New Roman" w:cs="Arial"/>
      <w:b/>
    </w:rPr>
  </w:style>
  <w:style w:type="paragraph" w:styleId="BodyTextIndent">
    <w:name w:val="Body Text Indent"/>
    <w:basedOn w:val="Normal"/>
    <w:qFormat/>
    <w:pPr>
      <w:spacing w:before="120" w:after="120"/>
    </w:pPr>
    <w:rPr>
      <w:rFonts w:ascii="Arial" w:hAnsi="Arial" w:eastAsia="Times New Roman" w:cs="Arial"/>
      <w:sz w:val="18"/>
    </w:rPr>
  </w:style>
  <w:style w:type="paragraph" w:styleId="WWHeading2">
    <w:name w:val="WW-Heading 2"/>
    <w:basedOn w:val="Normal"/>
    <w:qFormat/>
    <w:pPr/>
    <w:rPr>
      <w:rFonts w:ascii="Arial" w:hAnsi="Arial" w:eastAsia="Times New Roman" w:cs="Arial"/>
      <w:b/>
      <w:caps/>
      <w:sz w:val="16"/>
    </w:rPr>
  </w:style>
  <w:style w:type="paragraph" w:styleId="WWHeading4">
    <w:name w:val="WW-Heading 4"/>
    <w:basedOn w:val="Normal"/>
    <w:qFormat/>
    <w:pPr/>
    <w:rPr>
      <w:rFonts w:ascii="Arial" w:hAnsi="Arial" w:eastAsia="Times New Roman" w:cs="Arial"/>
      <w:b/>
    </w:rPr>
  </w:style>
  <w:style w:type="paragraph" w:styleId="62">
    <w:name w:val="Основной текст с отступом62"/>
    <w:basedOn w:val="Normal"/>
    <w:qFormat/>
    <w:pPr>
      <w:ind w:firstLine="708"/>
      <w:jc w:val="both"/>
    </w:pPr>
    <w:rPr>
      <w:rFonts w:ascii="Arial" w:hAnsi="Arial" w:eastAsia="Times New Roman" w:cs="Arial"/>
      <w:b/>
      <w:sz w:val="18"/>
      <w:lang w:val="uk-UA"/>
    </w:rPr>
  </w:style>
  <w:style w:type="paragraph" w:styleId="64">
    <w:name w:val="Основной текст с отступом64"/>
    <w:basedOn w:val="Normal"/>
    <w:qFormat/>
    <w:pPr>
      <w:ind w:firstLine="708"/>
      <w:jc w:val="both"/>
    </w:pPr>
    <w:rPr>
      <w:rFonts w:ascii="Arial" w:hAnsi="Arial" w:eastAsia="Times New Roman" w:cs="Arial"/>
      <w:b/>
      <w:sz w:val="18"/>
      <w:lang w:val="uk-UA"/>
    </w:rPr>
  </w:style>
  <w:style w:type="paragraph" w:styleId="63">
    <w:name w:val="Основной текст с отступом63"/>
    <w:basedOn w:val="Normal"/>
    <w:qFormat/>
    <w:pPr>
      <w:ind w:firstLine="708"/>
      <w:jc w:val="both"/>
    </w:pPr>
    <w:rPr>
      <w:rFonts w:ascii="Arial" w:hAnsi="Arial" w:eastAsia="Times New Roman" w:cs="Arial"/>
      <w:b/>
      <w:sz w:val="18"/>
      <w:lang w:val="uk-UA"/>
    </w:rPr>
  </w:style>
  <w:style w:type="paragraph" w:styleId="65">
    <w:name w:val="Основной текст с отступом65"/>
    <w:basedOn w:val="Normal"/>
    <w:qFormat/>
    <w:pPr>
      <w:ind w:firstLine="708"/>
      <w:jc w:val="both"/>
    </w:pPr>
    <w:rPr>
      <w:rFonts w:ascii="Arial" w:hAnsi="Arial" w:eastAsia="Times New Roman" w:cs="Arial"/>
      <w:b/>
      <w:sz w:val="18"/>
      <w:lang w:val="uk-UA"/>
    </w:rPr>
  </w:style>
  <w:style w:type="paragraph" w:styleId="66">
    <w:name w:val="Основной текст с отступом66"/>
    <w:basedOn w:val="Normal"/>
    <w:qFormat/>
    <w:pPr>
      <w:ind w:firstLine="708"/>
      <w:jc w:val="both"/>
    </w:pPr>
    <w:rPr>
      <w:rFonts w:ascii="Arial" w:hAnsi="Arial" w:eastAsia="Times New Roman" w:cs="Arial"/>
      <w:b/>
      <w:sz w:val="18"/>
      <w:lang w:val="uk-UA"/>
    </w:rPr>
  </w:style>
  <w:style w:type="paragraph" w:styleId="67">
    <w:name w:val="Основной текст с отступом67"/>
    <w:basedOn w:val="Normal"/>
    <w:qFormat/>
    <w:pPr>
      <w:ind w:firstLine="708"/>
      <w:jc w:val="both"/>
    </w:pPr>
    <w:rPr>
      <w:rFonts w:ascii="Arial" w:hAnsi="Arial" w:eastAsia="Times New Roman" w:cs="Arial"/>
      <w:b/>
      <w:sz w:val="18"/>
      <w:lang w:val="uk-UA"/>
    </w:rPr>
  </w:style>
  <w:style w:type="paragraph" w:styleId="68">
    <w:name w:val="Основной текст с отступом68"/>
    <w:basedOn w:val="Normal"/>
    <w:qFormat/>
    <w:pPr>
      <w:ind w:firstLine="708"/>
      <w:jc w:val="both"/>
    </w:pPr>
    <w:rPr>
      <w:rFonts w:ascii="Arial" w:hAnsi="Arial" w:eastAsia="Times New Roman" w:cs="Arial"/>
      <w:b/>
      <w:sz w:val="18"/>
      <w:lang w:val="uk-UA"/>
    </w:rPr>
  </w:style>
  <w:style w:type="paragraph" w:styleId="69">
    <w:name w:val="Основной текст с отступом69"/>
    <w:basedOn w:val="Normal"/>
    <w:qFormat/>
    <w:pPr>
      <w:ind w:firstLine="708"/>
      <w:jc w:val="both"/>
    </w:pPr>
    <w:rPr>
      <w:rFonts w:ascii="Arial" w:hAnsi="Arial" w:eastAsia="Times New Roman" w:cs="Arial"/>
      <w:b/>
      <w:sz w:val="18"/>
      <w:lang w:val="uk-UA"/>
    </w:rPr>
  </w:style>
  <w:style w:type="paragraph" w:styleId="70">
    <w:name w:val="Основной текст с отступом70"/>
    <w:basedOn w:val="Normal"/>
    <w:qFormat/>
    <w:pPr>
      <w:ind w:firstLine="708"/>
      <w:jc w:val="both"/>
    </w:pPr>
    <w:rPr>
      <w:rFonts w:ascii="Arial" w:hAnsi="Arial" w:eastAsia="Times New Roman" w:cs="Arial"/>
      <w:b/>
      <w:sz w:val="18"/>
      <w:lang w:val="uk-UA"/>
    </w:rPr>
  </w:style>
  <w:style w:type="paragraph" w:styleId="71">
    <w:name w:val="Основной текст с отступом71"/>
    <w:basedOn w:val="Normal"/>
    <w:qFormat/>
    <w:pPr>
      <w:ind w:firstLine="708"/>
      <w:jc w:val="both"/>
    </w:pPr>
    <w:rPr>
      <w:rFonts w:ascii="Arial" w:hAnsi="Arial" w:eastAsia="Times New Roman" w:cs="Arial"/>
      <w:b/>
      <w:sz w:val="18"/>
      <w:lang w:val="uk-UA"/>
    </w:rPr>
  </w:style>
  <w:style w:type="paragraph" w:styleId="72">
    <w:name w:val="Основной текст с отступом72"/>
    <w:basedOn w:val="Normal"/>
    <w:qFormat/>
    <w:pPr>
      <w:ind w:firstLine="708"/>
      <w:jc w:val="both"/>
    </w:pPr>
    <w:rPr>
      <w:rFonts w:ascii="Arial" w:hAnsi="Arial" w:eastAsia="Times New Roman" w:cs="Arial"/>
      <w:b/>
      <w:sz w:val="18"/>
      <w:lang w:val="uk-UA"/>
    </w:rPr>
  </w:style>
  <w:style w:type="paragraph" w:styleId="142">
    <w:name w:val="Основной текст (14)"/>
    <w:basedOn w:val="Normal"/>
    <w:qFormat/>
    <w:pPr>
      <w:widowControl w:val="false"/>
      <w:shd w:fill="FFFFFF" w:val="clear"/>
      <w:spacing w:lineRule="exact" w:line="278"/>
      <w:jc w:val="center"/>
    </w:pPr>
    <w:rPr>
      <w:sz w:val="21"/>
      <w:szCs w:val="21"/>
      <w:lang w:val="uk-UA"/>
    </w:rPr>
  </w:style>
  <w:style w:type="paragraph" w:styleId="73">
    <w:name w:val="Основной текст с отступом73"/>
    <w:basedOn w:val="Normal"/>
    <w:qFormat/>
    <w:pPr>
      <w:ind w:firstLine="708"/>
      <w:jc w:val="both"/>
    </w:pPr>
    <w:rPr>
      <w:rFonts w:ascii="Arial" w:hAnsi="Arial" w:eastAsia="Times New Roman" w:cs="Arial"/>
      <w:b/>
      <w:sz w:val="18"/>
      <w:lang w:val="uk-UA"/>
    </w:rPr>
  </w:style>
  <w:style w:type="paragraph" w:styleId="74">
    <w:name w:val="Основной текст с отступом74"/>
    <w:basedOn w:val="Normal"/>
    <w:qFormat/>
    <w:pPr>
      <w:ind w:firstLine="708"/>
      <w:jc w:val="both"/>
    </w:pPr>
    <w:rPr>
      <w:rFonts w:ascii="Arial" w:hAnsi="Arial" w:eastAsia="Times New Roman" w:cs="Arial"/>
      <w:b/>
      <w:sz w:val="18"/>
      <w:lang w:val="uk-UA"/>
    </w:rPr>
  </w:style>
  <w:style w:type="paragraph" w:styleId="75">
    <w:name w:val="Основной текст с отступом75"/>
    <w:basedOn w:val="Normal"/>
    <w:qFormat/>
    <w:pPr>
      <w:ind w:firstLine="708"/>
      <w:jc w:val="both"/>
    </w:pPr>
    <w:rPr>
      <w:rFonts w:ascii="Arial" w:hAnsi="Arial" w:eastAsia="Times New Roman" w:cs="Arial"/>
      <w:b/>
      <w:sz w:val="18"/>
      <w:lang w:val="uk-UA"/>
    </w:rPr>
  </w:style>
  <w:style w:type="paragraph" w:styleId="76">
    <w:name w:val="Основной текст с отступом76"/>
    <w:basedOn w:val="Normal"/>
    <w:qFormat/>
    <w:pPr>
      <w:ind w:firstLine="708"/>
      <w:jc w:val="both"/>
    </w:pPr>
    <w:rPr>
      <w:rFonts w:ascii="Arial" w:hAnsi="Arial" w:eastAsia="Times New Roman" w:cs="Arial"/>
      <w:b/>
      <w:sz w:val="18"/>
      <w:lang w:val="uk-UA"/>
    </w:rPr>
  </w:style>
  <w:style w:type="paragraph" w:styleId="77">
    <w:name w:val="Основной текст с отступом77"/>
    <w:basedOn w:val="Normal"/>
    <w:qFormat/>
    <w:pPr>
      <w:ind w:firstLine="708"/>
      <w:jc w:val="both"/>
    </w:pPr>
    <w:rPr>
      <w:rFonts w:ascii="Arial" w:hAnsi="Arial" w:eastAsia="Times New Roman" w:cs="Arial"/>
      <w:b/>
      <w:sz w:val="18"/>
      <w:lang w:val="uk-UA"/>
    </w:rPr>
  </w:style>
  <w:style w:type="paragraph" w:styleId="78">
    <w:name w:val="Основной текст с отступом78"/>
    <w:basedOn w:val="Normal"/>
    <w:qFormat/>
    <w:pPr>
      <w:ind w:firstLine="708"/>
      <w:jc w:val="both"/>
    </w:pPr>
    <w:rPr>
      <w:rFonts w:ascii="Arial" w:hAnsi="Arial" w:eastAsia="Times New Roman" w:cs="Arial"/>
      <w:b/>
      <w:sz w:val="18"/>
      <w:lang w:val="uk-UA"/>
    </w:rPr>
  </w:style>
  <w:style w:type="paragraph" w:styleId="79">
    <w:name w:val="Основной текст с отступом79"/>
    <w:basedOn w:val="Normal"/>
    <w:qFormat/>
    <w:pPr>
      <w:ind w:firstLine="708"/>
      <w:jc w:val="both"/>
    </w:pPr>
    <w:rPr>
      <w:rFonts w:ascii="Arial" w:hAnsi="Arial" w:eastAsia="Times New Roman" w:cs="Arial"/>
      <w:b/>
      <w:sz w:val="18"/>
      <w:lang w:val="uk-UA"/>
    </w:rPr>
  </w:style>
  <w:style w:type="paragraph" w:styleId="81">
    <w:name w:val="Основной текст с отступом81"/>
    <w:basedOn w:val="Normal"/>
    <w:qFormat/>
    <w:pPr>
      <w:ind w:firstLine="708"/>
      <w:jc w:val="both"/>
    </w:pPr>
    <w:rPr>
      <w:rFonts w:ascii="Arial" w:hAnsi="Arial" w:eastAsia="Times New Roman" w:cs="Arial"/>
      <w:b/>
      <w:sz w:val="18"/>
      <w:lang w:val="uk-UA"/>
    </w:rPr>
  </w:style>
  <w:style w:type="paragraph" w:styleId="82">
    <w:name w:val="Основной текст с отступом82"/>
    <w:basedOn w:val="Normal"/>
    <w:qFormat/>
    <w:pPr>
      <w:ind w:firstLine="708"/>
      <w:jc w:val="both"/>
    </w:pPr>
    <w:rPr>
      <w:rFonts w:ascii="Arial" w:hAnsi="Arial" w:eastAsia="Times New Roman" w:cs="Arial"/>
      <w:b/>
      <w:sz w:val="18"/>
      <w:lang w:val="uk-UA"/>
    </w:rPr>
  </w:style>
  <w:style w:type="paragraph" w:styleId="84">
    <w:name w:val="Основной текст с отступом84"/>
    <w:basedOn w:val="Normal"/>
    <w:qFormat/>
    <w:pPr>
      <w:ind w:firstLine="708"/>
      <w:jc w:val="both"/>
    </w:pPr>
    <w:rPr>
      <w:rFonts w:ascii="Arial" w:hAnsi="Arial" w:eastAsia="Times New Roman" w:cs="Arial"/>
      <w:b/>
      <w:sz w:val="18"/>
      <w:lang w:val="uk-UA"/>
    </w:rPr>
  </w:style>
  <w:style w:type="paragraph" w:styleId="85">
    <w:name w:val="Основной текст с отступом85"/>
    <w:basedOn w:val="Normal"/>
    <w:qFormat/>
    <w:pPr>
      <w:ind w:firstLine="708"/>
      <w:jc w:val="both"/>
    </w:pPr>
    <w:rPr>
      <w:rFonts w:ascii="Arial" w:hAnsi="Arial" w:eastAsia="Times New Roman" w:cs="Arial"/>
      <w:b/>
      <w:sz w:val="18"/>
      <w:lang w:val="uk-UA"/>
    </w:rPr>
  </w:style>
  <w:style w:type="paragraph" w:styleId="86">
    <w:name w:val="Основной текст с отступом86"/>
    <w:basedOn w:val="Normal"/>
    <w:qFormat/>
    <w:pPr>
      <w:ind w:firstLine="708"/>
      <w:jc w:val="both"/>
    </w:pPr>
    <w:rPr>
      <w:rFonts w:ascii="Arial" w:hAnsi="Arial" w:eastAsia="Times New Roman" w:cs="Arial"/>
      <w:b/>
      <w:sz w:val="18"/>
      <w:lang w:val="uk-UA"/>
    </w:rPr>
  </w:style>
  <w:style w:type="paragraph" w:styleId="87">
    <w:name w:val="Основной текст с отступом87"/>
    <w:basedOn w:val="Normal"/>
    <w:qFormat/>
    <w:pPr>
      <w:ind w:firstLine="708"/>
      <w:jc w:val="both"/>
    </w:pPr>
    <w:rPr>
      <w:rFonts w:ascii="Arial" w:hAnsi="Arial" w:eastAsia="Times New Roman" w:cs="Arial"/>
      <w:b/>
      <w:sz w:val="18"/>
      <w:lang w:val="uk-UA"/>
    </w:rPr>
  </w:style>
  <w:style w:type="paragraph" w:styleId="88">
    <w:name w:val="Основной текст с отступом88"/>
    <w:basedOn w:val="Normal"/>
    <w:qFormat/>
    <w:pPr>
      <w:ind w:firstLine="708"/>
      <w:jc w:val="both"/>
    </w:pPr>
    <w:rPr>
      <w:rFonts w:ascii="Arial" w:hAnsi="Arial" w:eastAsia="Times New Roman" w:cs="Arial"/>
      <w:b/>
      <w:sz w:val="18"/>
      <w:lang w:val="uk-UA"/>
    </w:rPr>
  </w:style>
  <w:style w:type="paragraph" w:styleId="89">
    <w:name w:val="Основной текст с отступом89"/>
    <w:basedOn w:val="Normal"/>
    <w:qFormat/>
    <w:pPr>
      <w:ind w:firstLine="708"/>
      <w:jc w:val="both"/>
    </w:pPr>
    <w:rPr>
      <w:rFonts w:ascii="Arial" w:hAnsi="Arial" w:eastAsia="Times New Roman" w:cs="Arial"/>
      <w:b/>
      <w:sz w:val="18"/>
      <w:lang w:val="uk-UA"/>
    </w:rPr>
  </w:style>
  <w:style w:type="paragraph" w:styleId="91">
    <w:name w:val="Основной текст с отступом91"/>
    <w:basedOn w:val="Normal"/>
    <w:qFormat/>
    <w:pPr>
      <w:ind w:firstLine="708"/>
      <w:jc w:val="both"/>
    </w:pPr>
    <w:rPr>
      <w:rFonts w:ascii="Arial" w:hAnsi="Arial" w:eastAsia="Times New Roman" w:cs="Arial"/>
      <w:b/>
      <w:sz w:val="18"/>
      <w:lang w:val="uk-UA"/>
    </w:rPr>
  </w:style>
  <w:style w:type="paragraph" w:styleId="92">
    <w:name w:val="Основной текст с отступом92"/>
    <w:basedOn w:val="Normal"/>
    <w:qFormat/>
    <w:pPr>
      <w:ind w:firstLine="708"/>
      <w:jc w:val="both"/>
    </w:pPr>
    <w:rPr>
      <w:rFonts w:ascii="Arial" w:hAnsi="Arial" w:eastAsia="Times New Roman" w:cs="Arial"/>
      <w:b/>
      <w:sz w:val="18"/>
      <w:lang w:val="uk-UA"/>
    </w:rPr>
  </w:style>
  <w:style w:type="paragraph" w:styleId="93">
    <w:name w:val="Основной текст с отступом93"/>
    <w:basedOn w:val="Normal"/>
    <w:qFormat/>
    <w:pPr>
      <w:ind w:firstLine="708"/>
      <w:jc w:val="both"/>
    </w:pPr>
    <w:rPr>
      <w:rFonts w:ascii="Arial" w:hAnsi="Arial" w:eastAsia="Times New Roman" w:cs="Arial"/>
      <w:b/>
      <w:sz w:val="18"/>
      <w:lang w:val="uk-UA"/>
    </w:rPr>
  </w:style>
  <w:style w:type="paragraph" w:styleId="94">
    <w:name w:val="Основной текст с отступом94"/>
    <w:basedOn w:val="Normal"/>
    <w:qFormat/>
    <w:pPr>
      <w:ind w:firstLine="708"/>
      <w:jc w:val="both"/>
    </w:pPr>
    <w:rPr>
      <w:rFonts w:ascii="Arial" w:hAnsi="Arial" w:eastAsia="Times New Roman" w:cs="Arial"/>
      <w:b/>
      <w:sz w:val="18"/>
      <w:lang w:val="uk-UA"/>
    </w:rPr>
  </w:style>
  <w:style w:type="paragraph" w:styleId="95">
    <w:name w:val="Основной текст с отступом95"/>
    <w:basedOn w:val="Normal"/>
    <w:qFormat/>
    <w:pPr>
      <w:ind w:firstLine="708"/>
      <w:jc w:val="both"/>
    </w:pPr>
    <w:rPr>
      <w:rFonts w:ascii="Arial" w:hAnsi="Arial" w:eastAsia="Times New Roman" w:cs="Arial"/>
      <w:b/>
      <w:sz w:val="18"/>
      <w:lang w:val="uk-UA"/>
    </w:rPr>
  </w:style>
  <w:style w:type="paragraph" w:styleId="97">
    <w:name w:val="Основной текст с отступом97"/>
    <w:basedOn w:val="Normal"/>
    <w:qFormat/>
    <w:pPr>
      <w:ind w:firstLine="708"/>
      <w:jc w:val="both"/>
    </w:pPr>
    <w:rPr>
      <w:rFonts w:ascii="Arial" w:hAnsi="Arial" w:eastAsia="Times New Roman" w:cs="Arial"/>
      <w:b/>
      <w:sz w:val="18"/>
      <w:lang w:val="uk-UA"/>
    </w:rPr>
  </w:style>
  <w:style w:type="paragraph" w:styleId="99">
    <w:name w:val="Основной текст с отступом99"/>
    <w:basedOn w:val="Normal"/>
    <w:qFormat/>
    <w:pPr>
      <w:ind w:firstLine="708"/>
      <w:jc w:val="both"/>
    </w:pPr>
    <w:rPr>
      <w:rFonts w:ascii="Arial" w:hAnsi="Arial" w:eastAsia="Times New Roman" w:cs="Arial"/>
      <w:b/>
      <w:sz w:val="18"/>
      <w:lang w:val="uk-UA"/>
    </w:rPr>
  </w:style>
  <w:style w:type="paragraph" w:styleId="100">
    <w:name w:val="Основной текст с отступом100"/>
    <w:basedOn w:val="Normal"/>
    <w:qFormat/>
    <w:pPr>
      <w:ind w:firstLine="708"/>
      <w:jc w:val="both"/>
    </w:pPr>
    <w:rPr>
      <w:rFonts w:ascii="Arial" w:hAnsi="Arial" w:eastAsia="Times New Roman" w:cs="Arial"/>
      <w:b/>
      <w:sz w:val="18"/>
      <w:lang w:val="uk-UA"/>
    </w:rPr>
  </w:style>
  <w:style w:type="paragraph" w:styleId="101">
    <w:name w:val="Основной текст с отступом101"/>
    <w:basedOn w:val="Normal"/>
    <w:qFormat/>
    <w:pPr>
      <w:ind w:firstLine="708"/>
      <w:jc w:val="both"/>
    </w:pPr>
    <w:rPr>
      <w:rFonts w:ascii="Arial" w:hAnsi="Arial" w:eastAsia="Times New Roman" w:cs="Arial"/>
      <w:b/>
      <w:sz w:val="18"/>
      <w:lang w:val="uk-UA"/>
    </w:rPr>
  </w:style>
  <w:style w:type="paragraph" w:styleId="102">
    <w:name w:val="Основной текст с отступом102"/>
    <w:basedOn w:val="Normal"/>
    <w:qFormat/>
    <w:pPr>
      <w:ind w:firstLine="708"/>
      <w:jc w:val="both"/>
    </w:pPr>
    <w:rPr>
      <w:rFonts w:ascii="Arial" w:hAnsi="Arial" w:eastAsia="Times New Roman" w:cs="Arial"/>
      <w:b/>
      <w:sz w:val="18"/>
      <w:lang w:val="uk-UA"/>
    </w:rPr>
  </w:style>
  <w:style w:type="paragraph" w:styleId="103">
    <w:name w:val="Основной текст с отступом103"/>
    <w:basedOn w:val="Normal"/>
    <w:qFormat/>
    <w:pPr>
      <w:ind w:firstLine="708"/>
      <w:jc w:val="both"/>
    </w:pPr>
    <w:rPr>
      <w:rFonts w:ascii="Arial" w:hAnsi="Arial" w:eastAsia="Times New Roman" w:cs="Arial"/>
      <w:b/>
      <w:sz w:val="18"/>
      <w:lang w:val="uk-UA"/>
    </w:rPr>
  </w:style>
  <w:style w:type="paragraph" w:styleId="104">
    <w:name w:val="Основной текст с отступом104"/>
    <w:basedOn w:val="Normal"/>
    <w:qFormat/>
    <w:pPr>
      <w:ind w:firstLine="708"/>
      <w:jc w:val="both"/>
    </w:pPr>
    <w:rPr>
      <w:rFonts w:ascii="Arial" w:hAnsi="Arial" w:eastAsia="Times New Roman" w:cs="Arial"/>
      <w:b/>
      <w:sz w:val="18"/>
      <w:lang w:val="uk-UA"/>
    </w:rPr>
  </w:style>
  <w:style w:type="paragraph" w:styleId="105">
    <w:name w:val="Основной текст с отступом105"/>
    <w:basedOn w:val="Normal"/>
    <w:qFormat/>
    <w:pPr>
      <w:ind w:firstLine="708"/>
      <w:jc w:val="both"/>
    </w:pPr>
    <w:rPr>
      <w:rFonts w:ascii="Arial" w:hAnsi="Arial" w:eastAsia="Times New Roman" w:cs="Arial"/>
      <w:b/>
      <w:sz w:val="18"/>
      <w:lang w:val="uk-UA"/>
    </w:rPr>
  </w:style>
  <w:style w:type="paragraph" w:styleId="107">
    <w:name w:val="Основной текст с отступом107"/>
    <w:basedOn w:val="Normal"/>
    <w:qFormat/>
    <w:pPr>
      <w:ind w:firstLine="708"/>
      <w:jc w:val="both"/>
    </w:pPr>
    <w:rPr>
      <w:rFonts w:ascii="Arial" w:hAnsi="Arial" w:eastAsia="Times New Roman" w:cs="Arial"/>
      <w:b/>
      <w:sz w:val="18"/>
      <w:lang w:val="uk-UA"/>
    </w:rPr>
  </w:style>
  <w:style w:type="paragraph" w:styleId="109">
    <w:name w:val="Основной текст с отступом109"/>
    <w:basedOn w:val="Normal"/>
    <w:qFormat/>
    <w:pPr>
      <w:ind w:firstLine="708"/>
      <w:jc w:val="both"/>
    </w:pPr>
    <w:rPr>
      <w:rFonts w:ascii="Arial" w:hAnsi="Arial" w:eastAsia="Times New Roman" w:cs="Arial"/>
      <w:b/>
      <w:sz w:val="18"/>
      <w:lang w:val="uk-UA"/>
    </w:rPr>
  </w:style>
  <w:style w:type="paragraph" w:styleId="1111">
    <w:name w:val="Основной текст с отступом111"/>
    <w:basedOn w:val="Normal"/>
    <w:qFormat/>
    <w:pPr>
      <w:ind w:firstLine="708"/>
      <w:jc w:val="both"/>
    </w:pPr>
    <w:rPr>
      <w:rFonts w:ascii="Arial" w:hAnsi="Arial" w:eastAsia="Times New Roman" w:cs="Arial"/>
      <w:b/>
      <w:sz w:val="18"/>
      <w:lang w:val="uk-UA"/>
    </w:rPr>
  </w:style>
  <w:style w:type="paragraph" w:styleId="1121">
    <w:name w:val="Основной текст с отступом112"/>
    <w:basedOn w:val="Normal"/>
    <w:qFormat/>
    <w:pPr>
      <w:ind w:firstLine="708"/>
      <w:jc w:val="both"/>
    </w:pPr>
    <w:rPr>
      <w:rFonts w:ascii="Arial" w:hAnsi="Arial" w:eastAsia="Times New Roman" w:cs="Arial"/>
      <w:b/>
      <w:sz w:val="18"/>
      <w:lang w:val="uk-UA"/>
    </w:rPr>
  </w:style>
  <w:style w:type="paragraph" w:styleId="113">
    <w:name w:val="Основной текст с отступом113"/>
    <w:basedOn w:val="Normal"/>
    <w:qFormat/>
    <w:pPr>
      <w:ind w:firstLine="708"/>
      <w:jc w:val="both"/>
    </w:pPr>
    <w:rPr>
      <w:rFonts w:ascii="Arial" w:hAnsi="Arial" w:eastAsia="Times New Roman" w:cs="Arial"/>
      <w:b/>
      <w:sz w:val="18"/>
      <w:lang w:val="uk-UA"/>
    </w:rPr>
  </w:style>
  <w:style w:type="paragraph" w:styleId="114">
    <w:name w:val="Основной текст с отступом114"/>
    <w:basedOn w:val="Normal"/>
    <w:qFormat/>
    <w:pPr>
      <w:ind w:firstLine="708"/>
      <w:jc w:val="both"/>
    </w:pPr>
    <w:rPr>
      <w:rFonts w:ascii="Arial" w:hAnsi="Arial" w:eastAsia="Times New Roman" w:cs="Arial"/>
      <w:b/>
      <w:sz w:val="18"/>
      <w:lang w:val="uk-UA"/>
    </w:rPr>
  </w:style>
  <w:style w:type="paragraph" w:styleId="115">
    <w:name w:val="Основной текст с отступом115"/>
    <w:basedOn w:val="Normal"/>
    <w:qFormat/>
    <w:pPr>
      <w:ind w:firstLine="708"/>
      <w:jc w:val="both"/>
    </w:pPr>
    <w:rPr>
      <w:rFonts w:ascii="Arial" w:hAnsi="Arial" w:eastAsia="Times New Roman" w:cs="Arial"/>
      <w:b/>
      <w:sz w:val="18"/>
      <w:lang w:val="uk-UA"/>
    </w:rPr>
  </w:style>
  <w:style w:type="paragraph" w:styleId="116">
    <w:name w:val="Основной текст с отступом116"/>
    <w:basedOn w:val="Normal"/>
    <w:qFormat/>
    <w:pPr>
      <w:ind w:firstLine="708"/>
      <w:jc w:val="both"/>
    </w:pPr>
    <w:rPr>
      <w:rFonts w:ascii="Arial" w:hAnsi="Arial" w:eastAsia="Times New Roman" w:cs="Arial"/>
      <w:b/>
      <w:sz w:val="18"/>
      <w:lang w:val="uk-UA"/>
    </w:rPr>
  </w:style>
  <w:style w:type="paragraph" w:styleId="117">
    <w:name w:val="Основной текст с отступом117"/>
    <w:basedOn w:val="Normal"/>
    <w:qFormat/>
    <w:pPr>
      <w:ind w:firstLine="708"/>
      <w:jc w:val="both"/>
    </w:pPr>
    <w:rPr>
      <w:rFonts w:ascii="Arial" w:hAnsi="Arial" w:eastAsia="Times New Roman" w:cs="Arial"/>
      <w:b/>
      <w:sz w:val="18"/>
      <w:lang w:val="uk-UA"/>
    </w:rPr>
  </w:style>
  <w:style w:type="paragraph" w:styleId="118">
    <w:name w:val="Основной текст с отступом118"/>
    <w:basedOn w:val="Normal"/>
    <w:qFormat/>
    <w:pPr>
      <w:ind w:firstLine="708"/>
      <w:jc w:val="both"/>
    </w:pPr>
    <w:rPr>
      <w:rFonts w:ascii="Arial" w:hAnsi="Arial" w:eastAsia="Times New Roman" w:cs="Arial"/>
      <w:b/>
      <w:sz w:val="18"/>
      <w:lang w:val="uk-UA"/>
    </w:rPr>
  </w:style>
  <w:style w:type="paragraph" w:styleId="119">
    <w:name w:val="Основной текст с отступом119"/>
    <w:basedOn w:val="Normal"/>
    <w:qFormat/>
    <w:pPr>
      <w:ind w:firstLine="708"/>
      <w:jc w:val="both"/>
    </w:pPr>
    <w:rPr>
      <w:rFonts w:ascii="Arial" w:hAnsi="Arial" w:eastAsia="Times New Roman" w:cs="Arial"/>
      <w:b/>
      <w:sz w:val="18"/>
      <w:lang w:val="uk-UA"/>
    </w:rPr>
  </w:style>
  <w:style w:type="paragraph" w:styleId="120">
    <w:name w:val="Основной текст с отступом120"/>
    <w:basedOn w:val="Normal"/>
    <w:qFormat/>
    <w:pPr>
      <w:ind w:firstLine="708"/>
      <w:jc w:val="both"/>
    </w:pPr>
    <w:rPr>
      <w:rFonts w:ascii="Arial" w:hAnsi="Arial" w:eastAsia="Times New Roman" w:cs="Arial"/>
      <w:b/>
      <w:sz w:val="18"/>
      <w:lang w:val="uk-UA"/>
    </w:rPr>
  </w:style>
  <w:style w:type="paragraph" w:styleId="1211">
    <w:name w:val="Основной текст с отступом121"/>
    <w:basedOn w:val="Normal"/>
    <w:qFormat/>
    <w:pPr>
      <w:ind w:firstLine="708"/>
      <w:jc w:val="both"/>
    </w:pPr>
    <w:rPr>
      <w:rFonts w:ascii="Arial" w:hAnsi="Arial" w:eastAsia="Times New Roman" w:cs="Arial"/>
      <w:b/>
      <w:sz w:val="18"/>
      <w:lang w:val="uk-UA"/>
    </w:rPr>
  </w:style>
  <w:style w:type="paragraph" w:styleId="122">
    <w:name w:val="Основной текст с отступом122"/>
    <w:basedOn w:val="Normal"/>
    <w:qFormat/>
    <w:pPr>
      <w:ind w:firstLine="708"/>
      <w:jc w:val="both"/>
    </w:pPr>
    <w:rPr>
      <w:rFonts w:ascii="Arial" w:hAnsi="Arial" w:eastAsia="Times New Roman" w:cs="Arial"/>
      <w:b/>
      <w:sz w:val="18"/>
      <w:lang w:val="uk-UA"/>
    </w:rPr>
  </w:style>
  <w:style w:type="paragraph" w:styleId="125">
    <w:name w:val="Основной текст с отступом125"/>
    <w:basedOn w:val="Normal"/>
    <w:qFormat/>
    <w:pPr>
      <w:ind w:firstLine="708"/>
      <w:jc w:val="both"/>
    </w:pPr>
    <w:rPr>
      <w:rFonts w:ascii="Arial" w:hAnsi="Arial" w:eastAsia="Times New Roman" w:cs="Arial"/>
      <w:b/>
      <w:sz w:val="18"/>
      <w:lang w:val="uk-UA"/>
    </w:rPr>
  </w:style>
  <w:style w:type="paragraph" w:styleId="124">
    <w:name w:val="Основной текст с отступом124"/>
    <w:basedOn w:val="Normal"/>
    <w:qFormat/>
    <w:pPr>
      <w:ind w:firstLine="708"/>
      <w:jc w:val="both"/>
    </w:pPr>
    <w:rPr>
      <w:rFonts w:ascii="Arial" w:hAnsi="Arial" w:eastAsia="Times New Roman" w:cs="Arial"/>
      <w:b/>
      <w:sz w:val="18"/>
      <w:lang w:val="uk-UA"/>
    </w:rPr>
  </w:style>
  <w:style w:type="paragraph" w:styleId="126">
    <w:name w:val="Основной текст с отступом126"/>
    <w:basedOn w:val="Normal"/>
    <w:qFormat/>
    <w:pPr>
      <w:ind w:firstLine="708"/>
      <w:jc w:val="both"/>
    </w:pPr>
    <w:rPr>
      <w:rFonts w:ascii="Arial" w:hAnsi="Arial" w:eastAsia="Times New Roman" w:cs="Arial"/>
      <w:b/>
      <w:sz w:val="18"/>
      <w:lang w:val="uk-UA"/>
    </w:rPr>
  </w:style>
  <w:style w:type="paragraph" w:styleId="127">
    <w:name w:val="Основной текст с отступом127"/>
    <w:basedOn w:val="Normal"/>
    <w:qFormat/>
    <w:pPr>
      <w:ind w:firstLine="708"/>
      <w:jc w:val="both"/>
    </w:pPr>
    <w:rPr>
      <w:rFonts w:ascii="Arial" w:hAnsi="Arial" w:eastAsia="Times New Roman" w:cs="Arial"/>
      <w:b/>
      <w:sz w:val="18"/>
      <w:lang w:val="uk-UA"/>
    </w:rPr>
  </w:style>
  <w:style w:type="paragraph" w:styleId="128">
    <w:name w:val="Основной текст с отступом128"/>
    <w:basedOn w:val="Normal"/>
    <w:qFormat/>
    <w:pPr>
      <w:ind w:firstLine="708"/>
      <w:jc w:val="both"/>
    </w:pPr>
    <w:rPr>
      <w:rFonts w:ascii="Arial" w:hAnsi="Arial" w:eastAsia="Times New Roman" w:cs="Arial"/>
      <w:b/>
      <w:sz w:val="18"/>
      <w:lang w:val="uk-UA"/>
    </w:rPr>
  </w:style>
  <w:style w:type="paragraph" w:styleId="129">
    <w:name w:val="Основной текст с отступом129"/>
    <w:basedOn w:val="Normal"/>
    <w:qFormat/>
    <w:pPr>
      <w:ind w:firstLine="708"/>
      <w:jc w:val="both"/>
    </w:pPr>
    <w:rPr>
      <w:rFonts w:ascii="Arial" w:hAnsi="Arial" w:eastAsia="Times New Roman" w:cs="Arial"/>
      <w:b/>
      <w:sz w:val="18"/>
      <w:lang w:val="uk-UA"/>
    </w:rPr>
  </w:style>
  <w:style w:type="paragraph" w:styleId="130">
    <w:name w:val="Основной текст с отступом130"/>
    <w:basedOn w:val="Normal"/>
    <w:qFormat/>
    <w:pPr>
      <w:ind w:firstLine="708"/>
      <w:jc w:val="both"/>
    </w:pPr>
    <w:rPr>
      <w:rFonts w:ascii="Arial" w:hAnsi="Arial" w:eastAsia="Times New Roman" w:cs="Arial"/>
      <w:b/>
      <w:sz w:val="18"/>
      <w:lang w:val="uk-UA"/>
    </w:rPr>
  </w:style>
  <w:style w:type="paragraph" w:styleId="131">
    <w:name w:val="Основной текст с отступом131"/>
    <w:basedOn w:val="Normal"/>
    <w:qFormat/>
    <w:pPr>
      <w:ind w:firstLine="708"/>
      <w:jc w:val="both"/>
    </w:pPr>
    <w:rPr>
      <w:rFonts w:ascii="Arial" w:hAnsi="Arial" w:eastAsia="Times New Roman" w:cs="Arial"/>
      <w:b/>
      <w:sz w:val="18"/>
      <w:lang w:val="uk-UA"/>
    </w:rPr>
  </w:style>
  <w:style w:type="paragraph" w:styleId="133">
    <w:name w:val="Основной текст с отступом133"/>
    <w:basedOn w:val="Normal"/>
    <w:qFormat/>
    <w:pPr>
      <w:ind w:firstLine="708"/>
      <w:jc w:val="both"/>
    </w:pPr>
    <w:rPr>
      <w:rFonts w:ascii="Arial" w:hAnsi="Arial" w:eastAsia="Times New Roman" w:cs="Arial"/>
      <w:b/>
      <w:sz w:val="18"/>
      <w:lang w:val="uk-UA"/>
    </w:rPr>
  </w:style>
  <w:style w:type="paragraph" w:styleId="132">
    <w:name w:val="Основной текст с отступом132"/>
    <w:basedOn w:val="Normal"/>
    <w:qFormat/>
    <w:pPr>
      <w:ind w:firstLine="708"/>
      <w:jc w:val="both"/>
    </w:pPr>
    <w:rPr>
      <w:rFonts w:ascii="Arial" w:hAnsi="Arial" w:eastAsia="Times New Roman" w:cs="Arial"/>
      <w:b/>
      <w:sz w:val="18"/>
      <w:lang w:val="uk-UA"/>
    </w:rPr>
  </w:style>
  <w:style w:type="paragraph" w:styleId="135">
    <w:name w:val="Основной текст с отступом135"/>
    <w:basedOn w:val="Normal"/>
    <w:qFormat/>
    <w:pPr>
      <w:ind w:firstLine="708"/>
      <w:jc w:val="both"/>
    </w:pPr>
    <w:rPr>
      <w:rFonts w:ascii="Arial" w:hAnsi="Arial" w:eastAsia="Times New Roman" w:cs="Arial"/>
      <w:b/>
      <w:sz w:val="18"/>
      <w:lang w:val="uk-UA"/>
    </w:rPr>
  </w:style>
  <w:style w:type="paragraph" w:styleId="136">
    <w:name w:val="Основной текст с отступом136"/>
    <w:basedOn w:val="Normal"/>
    <w:qFormat/>
    <w:pPr>
      <w:ind w:firstLine="708"/>
      <w:jc w:val="both"/>
    </w:pPr>
    <w:rPr>
      <w:rFonts w:ascii="Arial" w:hAnsi="Arial" w:eastAsia="Times New Roman" w:cs="Arial"/>
      <w:b/>
      <w:sz w:val="18"/>
      <w:lang w:val="uk-UA"/>
    </w:rPr>
  </w:style>
  <w:style w:type="paragraph" w:styleId="137">
    <w:name w:val="Основной текст с отступом137"/>
    <w:basedOn w:val="Normal"/>
    <w:qFormat/>
    <w:pPr>
      <w:ind w:firstLine="708"/>
      <w:jc w:val="both"/>
    </w:pPr>
    <w:rPr>
      <w:rFonts w:ascii="Arial" w:hAnsi="Arial" w:eastAsia="Times New Roman" w:cs="Arial"/>
      <w:b/>
      <w:sz w:val="18"/>
      <w:lang w:val="uk-UA"/>
    </w:rPr>
  </w:style>
  <w:style w:type="paragraph" w:styleId="138">
    <w:name w:val="Основной текст с отступом138"/>
    <w:basedOn w:val="Normal"/>
    <w:qFormat/>
    <w:pPr>
      <w:ind w:firstLine="708"/>
      <w:jc w:val="both"/>
    </w:pPr>
    <w:rPr>
      <w:rFonts w:ascii="Arial" w:hAnsi="Arial" w:eastAsia="Times New Roman" w:cs="Arial"/>
      <w:b/>
      <w:sz w:val="18"/>
      <w:lang w:val="uk-UA"/>
    </w:rPr>
  </w:style>
  <w:style w:type="paragraph" w:styleId="139">
    <w:name w:val="Основной текст с отступом139"/>
    <w:basedOn w:val="Normal"/>
    <w:qFormat/>
    <w:pPr>
      <w:ind w:firstLine="708"/>
      <w:jc w:val="both"/>
    </w:pPr>
    <w:rPr>
      <w:rFonts w:ascii="Arial" w:hAnsi="Arial" w:eastAsia="Times New Roman" w:cs="Arial"/>
      <w:b/>
      <w:sz w:val="18"/>
      <w:lang w:val="uk-UA"/>
    </w:rPr>
  </w:style>
  <w:style w:type="paragraph" w:styleId="140">
    <w:name w:val="Основной текст с отступом140"/>
    <w:basedOn w:val="Normal"/>
    <w:qFormat/>
    <w:pPr>
      <w:ind w:firstLine="708"/>
      <w:jc w:val="both"/>
    </w:pPr>
    <w:rPr>
      <w:rFonts w:ascii="Arial" w:hAnsi="Arial" w:eastAsia="Times New Roman" w:cs="Arial"/>
      <w:b/>
      <w:sz w:val="18"/>
      <w:lang w:val="uk-UA"/>
    </w:rPr>
  </w:style>
  <w:style w:type="paragraph" w:styleId="1411">
    <w:name w:val="Основной текст с отступом141"/>
    <w:basedOn w:val="Normal"/>
    <w:qFormat/>
    <w:pPr>
      <w:ind w:firstLine="708"/>
      <w:jc w:val="both"/>
    </w:pPr>
    <w:rPr>
      <w:rFonts w:ascii="Arial" w:hAnsi="Arial" w:eastAsia="Times New Roman" w:cs="Arial"/>
      <w:b/>
      <w:sz w:val="18"/>
      <w:lang w:val="uk-UA"/>
    </w:rPr>
  </w:style>
  <w:style w:type="paragraph" w:styleId="Arial92">
    <w:name w:val="Arial9(без отступов)"/>
    <w:qFormat/>
    <w:pPr>
      <w:widowControl/>
      <w:ind w:left="-113" w:hanging="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left="720" w:hanging="0"/>
      <w:contextualSpacing/>
    </w:pPr>
    <w:rPr>
      <w:rFonts w:ascii="Arial" w:hAnsi="Arial" w:eastAsia="Times New Roman" w:cs="Arial"/>
      <w:sz w:val="28"/>
    </w:rPr>
  </w:style>
  <w:style w:type="paragraph" w:styleId="Arial93">
    <w:name w:val="Arial9(жирн)"/>
    <w:qFormat/>
    <w:pPr>
      <w:keepNext w:val="true"/>
      <w:widowControl/>
      <w:tabs>
        <w:tab w:val="left" w:pos="210" w:leader="none"/>
      </w:tabs>
      <w:autoSpaceDE w:val="false"/>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cs="Arial"/>
      <w:sz w:val="18"/>
      <w:lang w:val="ru-RU"/>
    </w:rPr>
  </w:style>
  <w:style w:type="paragraph" w:styleId="Msonormal">
    <w:name w:val="msonormal"/>
    <w:basedOn w:val="Normal"/>
    <w:qFormat/>
    <w:pPr>
      <w:spacing w:before="280" w:after="280"/>
    </w:pPr>
    <w:rPr>
      <w:sz w:val="24"/>
      <w:szCs w:val="24"/>
      <w:lang w:val="en-US"/>
    </w:rPr>
  </w:style>
  <w:style w:type="paragraph" w:styleId="27">
    <w:name w:val="Основной текст 2"/>
    <w:basedOn w:val="Normal"/>
    <w:qFormat/>
    <w:pPr/>
    <w:rPr>
      <w:sz w:val="24"/>
      <w:szCs w:val="24"/>
      <w:lang w:val="en-US"/>
    </w:rPr>
  </w:style>
  <w:style w:type="paragraph" w:styleId="123">
    <w:name w:val="Название1"/>
    <w:basedOn w:val="Normal"/>
    <w:qFormat/>
    <w:pPr/>
    <w:rPr>
      <w:rFonts w:ascii="Cambria" w:hAnsi="Cambria" w:cs="Cambria"/>
      <w:color w:val="17365D"/>
      <w:spacing w:val="5"/>
      <w:lang w:val="uk-UA"/>
    </w:rPr>
  </w:style>
  <w:style w:type="paragraph" w:styleId="210">
    <w:name w:val="Верхній колонтитул2"/>
    <w:basedOn w:val="Normal"/>
    <w:qFormat/>
    <w:pPr/>
    <w:rPr>
      <w:rFonts w:ascii="Calibri" w:hAnsi="Calibri" w:cs="Calibri"/>
      <w:lang w:val="uk-UA"/>
    </w:rPr>
  </w:style>
  <w:style w:type="paragraph" w:styleId="213">
    <w:name w:val="Нижній колонтитул2"/>
    <w:basedOn w:val="Normal"/>
    <w:qFormat/>
    <w:pPr/>
    <w:rPr>
      <w:rFonts w:ascii="Calibri" w:hAnsi="Calibri" w:cs="Calibri"/>
      <w:lang w:val="uk-UA"/>
    </w:rPr>
  </w:style>
  <w:style w:type="paragraph" w:styleId="214">
    <w:name w:val="Назва2"/>
    <w:basedOn w:val="Normal"/>
    <w:qFormat/>
    <w:pPr/>
    <w:rPr>
      <w:rFonts w:ascii="Calibri Light" w:hAnsi="Calibri Light" w:cs="Calibri Light"/>
      <w:spacing w:val="-10"/>
      <w:lang w:val="uk-UA"/>
    </w:rPr>
  </w:style>
  <w:style w:type="paragraph" w:styleId="223">
    <w:name w:val="Основний текст 22"/>
    <w:basedOn w:val="Normal"/>
    <w:qFormat/>
    <w:pPr/>
    <w:rPr>
      <w:rFonts w:ascii="Calibri" w:hAnsi="Calibri" w:cs="Calibri"/>
      <w:lang w:val="uk-UA"/>
    </w:rPr>
  </w:style>
  <w:style w:type="paragraph" w:styleId="215">
    <w:name w:val="Текст у виносці2"/>
    <w:basedOn w:val="Normal"/>
    <w:qFormat/>
    <w:pPr/>
    <w:rPr>
      <w:rFonts w:ascii="Segoe UI" w:hAnsi="Segoe UI" w:cs="Segoe UI"/>
      <w:lang w:val="uk-UA"/>
    </w:rPr>
  </w:style>
  <w:style w:type="paragraph" w:styleId="143">
    <w:name w:val="Основной текст с отступом143"/>
    <w:basedOn w:val="Normal"/>
    <w:qFormat/>
    <w:pPr>
      <w:ind w:firstLine="708"/>
      <w:jc w:val="both"/>
    </w:pPr>
    <w:rPr>
      <w:rFonts w:ascii="Arial" w:hAnsi="Arial" w:eastAsia="Times New Roman" w:cs="Arial"/>
      <w:b/>
      <w:sz w:val="18"/>
      <w:lang w:val="en-US"/>
    </w:rPr>
  </w:style>
  <w:style w:type="paragraph" w:styleId="144">
    <w:name w:val="Основной текст с отступом144"/>
    <w:basedOn w:val="Normal"/>
    <w:qFormat/>
    <w:pPr>
      <w:ind w:firstLine="708"/>
      <w:jc w:val="both"/>
    </w:pPr>
    <w:rPr>
      <w:rFonts w:ascii="Arial" w:hAnsi="Arial" w:eastAsia="Times New Roman" w:cs="Arial"/>
      <w:b/>
      <w:sz w:val="18"/>
      <w:lang w:val="en-US"/>
    </w:rPr>
  </w:style>
  <w:style w:type="paragraph" w:styleId="145">
    <w:name w:val="Основной текст с отступом145"/>
    <w:basedOn w:val="Normal"/>
    <w:qFormat/>
    <w:pPr>
      <w:ind w:firstLine="708"/>
      <w:jc w:val="both"/>
    </w:pPr>
    <w:rPr>
      <w:rFonts w:ascii="Arial" w:hAnsi="Arial" w:eastAsia="Times New Roman" w:cs="Arial"/>
      <w:b/>
      <w:sz w:val="18"/>
      <w:lang w:val="en-US"/>
    </w:rPr>
  </w:style>
  <w:style w:type="paragraph" w:styleId="147">
    <w:name w:val="Основной текст с отступом147"/>
    <w:basedOn w:val="Normal"/>
    <w:qFormat/>
    <w:pPr>
      <w:ind w:firstLine="708"/>
      <w:jc w:val="both"/>
    </w:pPr>
    <w:rPr>
      <w:rFonts w:ascii="Arial" w:hAnsi="Arial" w:eastAsia="Times New Roman" w:cs="Arial"/>
      <w:b/>
      <w:sz w:val="18"/>
      <w:lang w:val="en-US"/>
    </w:rPr>
  </w:style>
  <w:style w:type="paragraph" w:styleId="148">
    <w:name w:val="Основной текст с отступом148"/>
    <w:basedOn w:val="Normal"/>
    <w:qFormat/>
    <w:pPr>
      <w:ind w:firstLine="708"/>
      <w:jc w:val="both"/>
    </w:pPr>
    <w:rPr>
      <w:rFonts w:ascii="Arial" w:hAnsi="Arial" w:eastAsia="Times New Roman" w:cs="Arial"/>
      <w:b/>
      <w:sz w:val="18"/>
      <w:lang w:val="en-US"/>
    </w:rPr>
  </w:style>
  <w:style w:type="paragraph" w:styleId="149">
    <w:name w:val="Основной текст с отступом149"/>
    <w:basedOn w:val="Normal"/>
    <w:qFormat/>
    <w:pPr>
      <w:ind w:firstLine="708"/>
      <w:jc w:val="both"/>
    </w:pPr>
    <w:rPr>
      <w:rFonts w:ascii="Arial" w:hAnsi="Arial" w:eastAsia="Times New Roman" w:cs="Arial"/>
      <w:b/>
      <w:sz w:val="18"/>
      <w:lang w:val="en-US"/>
    </w:rPr>
  </w:style>
  <w:style w:type="paragraph" w:styleId="Arial94">
    <w:name w:val="Стиль Arial9(жирн) + не полужирный"/>
    <w:basedOn w:val="Normal"/>
    <w:qFormat/>
    <w:pPr>
      <w:keepNext w:val="true"/>
      <w:tabs>
        <w:tab w:val="left" w:pos="210" w:leader="none"/>
      </w:tabs>
      <w:autoSpaceDE w:val="false"/>
      <w:spacing w:before="120" w:after="0"/>
    </w:pPr>
    <w:rPr>
      <w:rFonts w:ascii="Arial" w:hAnsi="Arial" w:cs="Arial"/>
      <w:b/>
      <w:sz w:val="18"/>
      <w:lang w:val="en-US"/>
    </w:rPr>
  </w:style>
  <w:style w:type="paragraph" w:styleId="150">
    <w:name w:val="Основной текст с отступом150"/>
    <w:basedOn w:val="Normal"/>
    <w:qFormat/>
    <w:pPr>
      <w:ind w:firstLine="708"/>
      <w:jc w:val="both"/>
    </w:pPr>
    <w:rPr>
      <w:rFonts w:ascii="Arial" w:hAnsi="Arial" w:eastAsia="Times New Roman" w:cs="Arial"/>
      <w:b/>
      <w:sz w:val="18"/>
      <w:lang w:val="en-US"/>
    </w:rPr>
  </w:style>
  <w:style w:type="paragraph" w:styleId="156">
    <w:name w:val="Основной текст с отступом156"/>
    <w:basedOn w:val="Normal"/>
    <w:qFormat/>
    <w:pPr>
      <w:ind w:firstLine="708"/>
      <w:jc w:val="both"/>
    </w:pPr>
    <w:rPr>
      <w:rFonts w:ascii="Arial" w:hAnsi="Arial" w:eastAsia="Times New Roman" w:cs="Arial"/>
      <w:b/>
      <w:sz w:val="18"/>
      <w:lang w:val="en-US"/>
    </w:rPr>
  </w:style>
  <w:style w:type="paragraph" w:styleId="157">
    <w:name w:val="Основной текст с отступом157"/>
    <w:basedOn w:val="Normal"/>
    <w:qFormat/>
    <w:pPr>
      <w:ind w:firstLine="708"/>
      <w:jc w:val="both"/>
    </w:pPr>
    <w:rPr>
      <w:rFonts w:ascii="Arial" w:hAnsi="Arial" w:eastAsia="Times New Roman" w:cs="Arial"/>
      <w:b/>
      <w:sz w:val="18"/>
      <w:lang w:val="en-US"/>
    </w:rPr>
  </w:style>
  <w:style w:type="paragraph" w:styleId="162">
    <w:name w:val="Основной текст с отступом162"/>
    <w:basedOn w:val="Normal"/>
    <w:qFormat/>
    <w:pPr>
      <w:ind w:firstLine="708"/>
      <w:jc w:val="both"/>
    </w:pPr>
    <w:rPr>
      <w:rFonts w:ascii="Arial" w:hAnsi="Arial" w:eastAsia="Times New Roman" w:cs="Arial"/>
      <w:b/>
      <w:sz w:val="18"/>
      <w:lang w:val="en-US"/>
    </w:rPr>
  </w:style>
  <w:style w:type="paragraph" w:styleId="163">
    <w:name w:val="Основной текст с отступом163"/>
    <w:basedOn w:val="Normal"/>
    <w:qFormat/>
    <w:pPr>
      <w:ind w:firstLine="708"/>
      <w:jc w:val="both"/>
    </w:pPr>
    <w:rPr>
      <w:rFonts w:ascii="Arial" w:hAnsi="Arial" w:eastAsia="Times New Roman" w:cs="Arial"/>
      <w:b/>
      <w:sz w:val="18"/>
      <w:lang w:val="en-US"/>
    </w:rPr>
  </w:style>
  <w:style w:type="paragraph" w:styleId="165">
    <w:name w:val="Основной текст с отступом165"/>
    <w:basedOn w:val="Normal"/>
    <w:qFormat/>
    <w:pPr>
      <w:ind w:firstLine="708"/>
      <w:jc w:val="both"/>
    </w:pPr>
    <w:rPr>
      <w:rFonts w:ascii="Arial" w:hAnsi="Arial" w:eastAsia="Times New Roman" w:cs="Arial"/>
      <w:b/>
      <w:sz w:val="18"/>
      <w:lang w:val="en-US"/>
    </w:rPr>
  </w:style>
  <w:style w:type="paragraph" w:styleId="168">
    <w:name w:val="Основной текст с отступом168"/>
    <w:basedOn w:val="Normal"/>
    <w:qFormat/>
    <w:pPr>
      <w:ind w:firstLine="708"/>
      <w:jc w:val="both"/>
    </w:pPr>
    <w:rPr>
      <w:rFonts w:ascii="Arial" w:hAnsi="Arial" w:eastAsia="Times New Roman" w:cs="Arial"/>
      <w:b/>
      <w:sz w:val="18"/>
      <w:lang w:val="en-US"/>
    </w:rPr>
  </w:style>
  <w:style w:type="paragraph" w:styleId="169">
    <w:name w:val="Основной текст с отступом169"/>
    <w:basedOn w:val="Normal"/>
    <w:qFormat/>
    <w:pPr>
      <w:ind w:firstLine="708"/>
      <w:jc w:val="both"/>
    </w:pPr>
    <w:rPr>
      <w:rFonts w:ascii="Arial" w:hAnsi="Arial" w:eastAsia="Times New Roman" w:cs="Arial"/>
      <w:b/>
      <w:sz w:val="18"/>
      <w:lang w:val="en-US"/>
    </w:rPr>
  </w:style>
  <w:style w:type="paragraph" w:styleId="170">
    <w:name w:val="Основной текст с отступом170"/>
    <w:basedOn w:val="Normal"/>
    <w:qFormat/>
    <w:pPr>
      <w:ind w:firstLine="708"/>
      <w:jc w:val="both"/>
    </w:pPr>
    <w:rPr>
      <w:rFonts w:ascii="Arial" w:hAnsi="Arial" w:eastAsia="Times New Roman" w:cs="Arial"/>
      <w:b/>
      <w:sz w:val="18"/>
      <w:lang w:val="en-US"/>
    </w:rPr>
  </w:style>
  <w:style w:type="paragraph" w:styleId="171">
    <w:name w:val="Основной текст с отступом171"/>
    <w:basedOn w:val="Normal"/>
    <w:qFormat/>
    <w:pPr>
      <w:ind w:firstLine="708"/>
      <w:jc w:val="both"/>
    </w:pPr>
    <w:rPr>
      <w:rFonts w:ascii="Arial" w:hAnsi="Arial" w:eastAsia="Times New Roman" w:cs="Arial"/>
      <w:b/>
      <w:sz w:val="18"/>
      <w:lang w:val="en-US"/>
    </w:rPr>
  </w:style>
  <w:style w:type="paragraph" w:styleId="172">
    <w:name w:val="Основной текст с отступом172"/>
    <w:basedOn w:val="Normal"/>
    <w:qFormat/>
    <w:pPr>
      <w:ind w:firstLine="708"/>
      <w:jc w:val="both"/>
    </w:pPr>
    <w:rPr>
      <w:rFonts w:ascii="Arial" w:hAnsi="Arial" w:eastAsia="Times New Roman" w:cs="Arial"/>
      <w:b/>
      <w:sz w:val="18"/>
      <w:lang w:val="en-US"/>
    </w:rPr>
  </w:style>
  <w:style w:type="paragraph" w:styleId="173">
    <w:name w:val="Основной текст с отступом173"/>
    <w:basedOn w:val="Normal"/>
    <w:qFormat/>
    <w:pPr>
      <w:ind w:firstLine="708"/>
      <w:jc w:val="both"/>
    </w:pPr>
    <w:rPr>
      <w:rFonts w:ascii="Arial" w:hAnsi="Arial" w:eastAsia="Times New Roman" w:cs="Arial"/>
      <w:b/>
      <w:sz w:val="18"/>
      <w:lang w:val="en-US"/>
    </w:rPr>
  </w:style>
  <w:style w:type="paragraph" w:styleId="174">
    <w:name w:val="Основной текст с отступом174"/>
    <w:basedOn w:val="Normal"/>
    <w:qFormat/>
    <w:pPr>
      <w:ind w:firstLine="708"/>
      <w:jc w:val="both"/>
    </w:pPr>
    <w:rPr>
      <w:rFonts w:ascii="Arial" w:hAnsi="Arial" w:eastAsia="Times New Roman" w:cs="Arial"/>
      <w:b/>
      <w:sz w:val="18"/>
      <w:lang w:val="en-US"/>
    </w:rPr>
  </w:style>
  <w:style w:type="paragraph" w:styleId="175">
    <w:name w:val="Основной текст с отступом175"/>
    <w:basedOn w:val="Normal"/>
    <w:qFormat/>
    <w:pPr>
      <w:ind w:firstLine="708"/>
      <w:jc w:val="both"/>
    </w:pPr>
    <w:rPr>
      <w:rFonts w:ascii="Arial" w:hAnsi="Arial" w:eastAsia="Times New Roman" w:cs="Arial"/>
      <w:b/>
      <w:sz w:val="18"/>
      <w:lang w:val="en-US"/>
    </w:rPr>
  </w:style>
  <w:style w:type="paragraph" w:styleId="176">
    <w:name w:val="Основной текст с отступом176"/>
    <w:basedOn w:val="Normal"/>
    <w:qFormat/>
    <w:pPr>
      <w:ind w:firstLine="708"/>
      <w:jc w:val="both"/>
    </w:pPr>
    <w:rPr>
      <w:rFonts w:ascii="Arial" w:hAnsi="Arial" w:eastAsia="Times New Roman" w:cs="Arial"/>
      <w:b/>
      <w:sz w:val="18"/>
      <w:lang w:val="en-US"/>
    </w:rPr>
  </w:style>
  <w:style w:type="paragraph" w:styleId="177">
    <w:name w:val="Основной текст с отступом177"/>
    <w:basedOn w:val="Normal"/>
    <w:qFormat/>
    <w:pPr>
      <w:ind w:firstLine="708"/>
      <w:jc w:val="both"/>
    </w:pPr>
    <w:rPr>
      <w:rFonts w:ascii="Arial" w:hAnsi="Arial" w:eastAsia="Times New Roman" w:cs="Arial"/>
      <w:b/>
      <w:sz w:val="18"/>
      <w:lang w:val="en-US"/>
    </w:rPr>
  </w:style>
  <w:style w:type="paragraph" w:styleId="178">
    <w:name w:val="Основной текст с отступом178"/>
    <w:basedOn w:val="Normal"/>
    <w:qFormat/>
    <w:pPr>
      <w:ind w:firstLine="708"/>
      <w:jc w:val="both"/>
    </w:pPr>
    <w:rPr>
      <w:rFonts w:ascii="Arial" w:hAnsi="Arial" w:eastAsia="Times New Roman" w:cs="Arial"/>
      <w:b/>
      <w:sz w:val="18"/>
      <w:lang w:val="en-US"/>
    </w:rPr>
  </w:style>
  <w:style w:type="paragraph" w:styleId="179">
    <w:name w:val="Основной текст с отступом179"/>
    <w:basedOn w:val="Normal"/>
    <w:qFormat/>
    <w:pPr>
      <w:ind w:firstLine="708"/>
      <w:jc w:val="both"/>
    </w:pPr>
    <w:rPr>
      <w:rFonts w:ascii="Arial" w:hAnsi="Arial" w:eastAsia="Times New Roman" w:cs="Arial"/>
      <w:b/>
      <w:sz w:val="18"/>
      <w:lang w:val="en-US"/>
    </w:rPr>
  </w:style>
  <w:style w:type="paragraph" w:styleId="180">
    <w:name w:val="Основной текст с отступом180"/>
    <w:basedOn w:val="Normal"/>
    <w:qFormat/>
    <w:pPr>
      <w:ind w:firstLine="708"/>
      <w:jc w:val="both"/>
    </w:pPr>
    <w:rPr>
      <w:rFonts w:ascii="Arial" w:hAnsi="Arial" w:eastAsia="Times New Roman" w:cs="Arial"/>
      <w:b/>
      <w:sz w:val="18"/>
      <w:lang w:val="en-US"/>
    </w:rPr>
  </w:style>
  <w:style w:type="paragraph" w:styleId="181">
    <w:name w:val="Основной текст с отступом181"/>
    <w:basedOn w:val="Normal"/>
    <w:qFormat/>
    <w:pPr>
      <w:ind w:firstLine="708"/>
      <w:jc w:val="both"/>
    </w:pPr>
    <w:rPr>
      <w:rFonts w:ascii="Arial" w:hAnsi="Arial" w:eastAsia="Times New Roman" w:cs="Arial"/>
      <w:b/>
      <w:sz w:val="18"/>
      <w:lang w:val="en-US"/>
    </w:rPr>
  </w:style>
  <w:style w:type="paragraph" w:styleId="182">
    <w:name w:val="Основной текст с отступом182"/>
    <w:basedOn w:val="Normal"/>
    <w:qFormat/>
    <w:pPr>
      <w:ind w:firstLine="708"/>
      <w:jc w:val="both"/>
    </w:pPr>
    <w:rPr>
      <w:rFonts w:ascii="Arial" w:hAnsi="Arial" w:eastAsia="Times New Roman" w:cs="Arial"/>
      <w:b/>
      <w:sz w:val="18"/>
      <w:lang w:val="en-US"/>
    </w:rPr>
  </w:style>
  <w:style w:type="paragraph" w:styleId="134">
    <w:name w:val="Верхній колонтитул1"/>
    <w:basedOn w:val="Normal"/>
    <w:qFormat/>
    <w:pPr/>
    <w:rPr>
      <w:rFonts w:ascii="Calibri" w:hAnsi="Calibri" w:cs="Calibri"/>
      <w:lang w:val="en-US"/>
    </w:rPr>
  </w:style>
  <w:style w:type="paragraph" w:styleId="146">
    <w:name w:val="Нижній колонтитул1"/>
    <w:basedOn w:val="Normal"/>
    <w:qFormat/>
    <w:pPr/>
    <w:rPr>
      <w:rFonts w:ascii="Calibri" w:hAnsi="Calibri" w:cs="Calibri"/>
      <w:lang w:val="en-US"/>
    </w:rPr>
  </w:style>
  <w:style w:type="paragraph" w:styleId="151">
    <w:name w:val="Назва1"/>
    <w:basedOn w:val="Normal"/>
    <w:qFormat/>
    <w:pPr/>
    <w:rPr>
      <w:rFonts w:ascii="Calibri Light" w:hAnsi="Calibri Light" w:cs="Calibri Light"/>
      <w:spacing w:val="-10"/>
      <w:lang w:val="en-US"/>
    </w:rPr>
  </w:style>
  <w:style w:type="paragraph" w:styleId="216">
    <w:name w:val="Основний текст 21"/>
    <w:basedOn w:val="Normal"/>
    <w:qFormat/>
    <w:pPr/>
    <w:rPr>
      <w:rFonts w:ascii="Calibri" w:hAnsi="Calibri" w:cs="Calibri"/>
      <w:lang w:val="en-US"/>
    </w:rPr>
  </w:style>
  <w:style w:type="paragraph" w:styleId="152">
    <w:name w:val="Текст у виносці1"/>
    <w:basedOn w:val="Normal"/>
    <w:qFormat/>
    <w:pPr/>
    <w:rPr>
      <w:rFonts w:ascii="Segoe UI" w:hAnsi="Segoe UI" w:cs="Segoe UI"/>
      <w:lang w:val="en-US"/>
    </w:rPr>
  </w:style>
  <w:style w:type="paragraph" w:styleId="164">
    <w:name w:val="Основной текст с отступом164"/>
    <w:basedOn w:val="Normal"/>
    <w:qFormat/>
    <w:pPr>
      <w:ind w:firstLine="708"/>
      <w:jc w:val="both"/>
    </w:pPr>
    <w:rPr>
      <w:rFonts w:ascii="Arial" w:hAnsi="Arial" w:eastAsia="Times New Roman" w:cs="Arial"/>
      <w:b/>
      <w:sz w:val="18"/>
      <w:lang w:val="en-US"/>
    </w:rPr>
  </w:style>
  <w:style w:type="paragraph" w:styleId="Arial95">
    <w:name w:val="arial9(жирнбез интерв)"/>
    <w:basedOn w:val="Normal"/>
    <w:qFormat/>
    <w:pPr/>
    <w:rPr>
      <w:rFonts w:ascii="Arial" w:hAnsi="Arial" w:cs="Arial"/>
      <w:b/>
      <w:sz w:val="18"/>
    </w:rPr>
  </w:style>
  <w:style w:type="paragraph" w:styleId="203">
    <w:name w:val="Основной текст с отступом203"/>
    <w:basedOn w:val="Normal"/>
    <w:qFormat/>
    <w:pPr>
      <w:ind w:firstLine="708"/>
      <w:jc w:val="both"/>
    </w:pPr>
    <w:rPr>
      <w:rFonts w:ascii="Arial" w:hAnsi="Arial" w:eastAsia="Times New Roman" w:cs="Arial"/>
      <w:b/>
      <w:sz w:val="18"/>
      <w:lang w:val="en-US"/>
    </w:rPr>
  </w:style>
  <w:style w:type="paragraph" w:styleId="204">
    <w:name w:val="Основной текст с отступом204"/>
    <w:basedOn w:val="Normal"/>
    <w:qFormat/>
    <w:pPr>
      <w:ind w:firstLine="708"/>
      <w:jc w:val="both"/>
    </w:pPr>
    <w:rPr>
      <w:rFonts w:ascii="Arial" w:hAnsi="Arial" w:eastAsia="Times New Roman" w:cs="Arial"/>
      <w:b/>
      <w:sz w:val="18"/>
      <w:lang w:val="en-US"/>
    </w:rPr>
  </w:style>
  <w:style w:type="paragraph" w:styleId="217">
    <w:name w:val="Основний текст з відступом2"/>
    <w:basedOn w:val="Normal"/>
    <w:qFormat/>
    <w:pPr>
      <w:ind w:firstLine="708"/>
      <w:jc w:val="both"/>
    </w:pPr>
    <w:rPr>
      <w:rFonts w:ascii="Arial" w:hAnsi="Arial" w:eastAsia="Times New Roman" w:cs="Arial"/>
      <w:b/>
      <w:sz w:val="18"/>
      <w:lang w:val="en-US"/>
    </w:rPr>
  </w:style>
  <w:style w:type="paragraph" w:styleId="153">
    <w:name w:val="Основний текст з відступом1"/>
    <w:basedOn w:val="Normal"/>
    <w:qFormat/>
    <w:pPr>
      <w:ind w:firstLine="708"/>
      <w:jc w:val="both"/>
    </w:pPr>
    <w:rPr>
      <w:rFonts w:ascii="Arial" w:hAnsi="Arial" w:eastAsia="Times New Roman" w:cs="Arial"/>
      <w:b/>
      <w:sz w:val="18"/>
      <w:lang w:val="en-US"/>
    </w:rPr>
  </w:style>
  <w:style w:type="paragraph" w:styleId="207">
    <w:name w:val="Основной текст с отступом207"/>
    <w:basedOn w:val="Normal"/>
    <w:qFormat/>
    <w:pPr>
      <w:ind w:firstLine="708"/>
      <w:jc w:val="both"/>
    </w:pPr>
    <w:rPr>
      <w:rFonts w:ascii="Arial" w:hAnsi="Arial" w:eastAsia="Times New Roman" w:cs="Arial"/>
      <w:b/>
      <w:sz w:val="18"/>
      <w:lang w:val="en-US"/>
    </w:rPr>
  </w:style>
  <w:style w:type="paragraph" w:styleId="2101">
    <w:name w:val="Основной текст с отступом210"/>
    <w:basedOn w:val="Normal"/>
    <w:qFormat/>
    <w:pPr>
      <w:ind w:firstLine="708"/>
      <w:jc w:val="both"/>
    </w:pPr>
    <w:rPr>
      <w:rFonts w:ascii="Arial" w:hAnsi="Arial" w:eastAsia="Times New Roman" w:cs="Arial"/>
      <w:b/>
      <w:sz w:val="18"/>
      <w:lang w:val="en-US"/>
    </w:rPr>
  </w:style>
  <w:style w:type="paragraph" w:styleId="312">
    <w:name w:val="Основний текст з відступом3"/>
    <w:basedOn w:val="Normal"/>
    <w:qFormat/>
    <w:pPr>
      <w:ind w:firstLine="708"/>
      <w:jc w:val="both"/>
    </w:pPr>
    <w:rPr>
      <w:rFonts w:ascii="Arial" w:hAnsi="Arial" w:eastAsia="Times New Roman" w:cs="Arial"/>
      <w:b/>
      <w:sz w:val="18"/>
      <w:lang w:val="en-US"/>
    </w:rPr>
  </w:style>
  <w:style w:type="paragraph" w:styleId="2171">
    <w:name w:val="Основной текст с отступом217"/>
    <w:basedOn w:val="Normal"/>
    <w:qFormat/>
    <w:pPr>
      <w:ind w:firstLine="708"/>
      <w:jc w:val="both"/>
    </w:pPr>
    <w:rPr>
      <w:rFonts w:ascii="Arial" w:hAnsi="Arial" w:eastAsia="Times New Roman" w:cs="Arial"/>
      <w:b/>
      <w:sz w:val="18"/>
      <w:lang w:val="en-US"/>
    </w:rPr>
  </w:style>
  <w:style w:type="paragraph" w:styleId="218">
    <w:name w:val="Основной текст с отступом218"/>
    <w:basedOn w:val="Normal"/>
    <w:qFormat/>
    <w:pPr>
      <w:ind w:firstLine="708"/>
      <w:jc w:val="both"/>
    </w:pPr>
    <w:rPr>
      <w:rFonts w:ascii="Arial" w:hAnsi="Arial" w:eastAsia="Times New Roman" w:cs="Arial"/>
      <w:b/>
      <w:sz w:val="18"/>
      <w:lang w:val="en-US"/>
    </w:rPr>
  </w:style>
  <w:style w:type="paragraph" w:styleId="219">
    <w:name w:val="Основной текст с отступом219"/>
    <w:basedOn w:val="Normal"/>
    <w:qFormat/>
    <w:pPr>
      <w:ind w:firstLine="708"/>
      <w:jc w:val="both"/>
    </w:pPr>
    <w:rPr>
      <w:rFonts w:ascii="Arial" w:hAnsi="Arial" w:eastAsia="Times New Roman" w:cs="Arial"/>
      <w:b/>
      <w:sz w:val="18"/>
      <w:lang w:val="en-US"/>
    </w:rPr>
  </w:style>
  <w:style w:type="paragraph" w:styleId="220">
    <w:name w:val="Основной текст с отступом220"/>
    <w:basedOn w:val="Normal"/>
    <w:qFormat/>
    <w:pPr>
      <w:ind w:firstLine="708"/>
      <w:jc w:val="both"/>
    </w:pPr>
    <w:rPr>
      <w:rFonts w:ascii="Arial" w:hAnsi="Arial" w:eastAsia="Times New Roman" w:cs="Arial"/>
      <w:b/>
      <w:sz w:val="18"/>
      <w:lang w:val="en-US"/>
    </w:rPr>
  </w:style>
  <w:style w:type="paragraph" w:styleId="Style28">
    <w:name w:val="Без интервала"/>
    <w:qFormat/>
    <w:pPr>
      <w:widowControl/>
    </w:pPr>
    <w:rPr>
      <w:rFonts w:ascii="Times New Roman" w:hAnsi="Times New Roman" w:eastAsia="Times New Roman" w:cs="Times New Roman"/>
      <w:color w:val="auto"/>
      <w:sz w:val="24"/>
      <w:szCs w:val="24"/>
      <w:lang w:val="ru-RU" w:bidi="ar-SA" w:eastAsia="zh-CN"/>
    </w:rPr>
  </w:style>
  <w:style w:type="paragraph" w:styleId="2211">
    <w:name w:val="Основной текст с отступом221"/>
    <w:basedOn w:val="Normal"/>
    <w:qFormat/>
    <w:pPr>
      <w:ind w:firstLine="708"/>
      <w:jc w:val="both"/>
    </w:pPr>
    <w:rPr>
      <w:rFonts w:ascii="Arial" w:hAnsi="Arial" w:eastAsia="Times New Roman" w:cs="Arial"/>
      <w:b/>
      <w:sz w:val="18"/>
      <w:lang w:val="en-US"/>
    </w:rPr>
  </w:style>
  <w:style w:type="paragraph" w:styleId="2231">
    <w:name w:val="Основной текст с отступом223"/>
    <w:basedOn w:val="Normal"/>
    <w:qFormat/>
    <w:pPr>
      <w:ind w:firstLine="708"/>
      <w:jc w:val="both"/>
    </w:pPr>
    <w:rPr>
      <w:rFonts w:ascii="Arial" w:hAnsi="Arial" w:eastAsia="Times New Roman" w:cs="Arial"/>
      <w:b/>
      <w:sz w:val="18"/>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https://www.whocc.no/atc_ddd_index/" TargetMode="External"/><Relationship Id="rId8" Type="http://schemas.openxmlformats.org/officeDocument/2006/relationships/hyperlink" Target="https://www.whocc.no/atc_ddd_index/" TargetMode="External"/><Relationship Id="rId9" Type="http://schemas.openxmlformats.org/officeDocument/2006/relationships/hyperlink" Target="https://www.whocc.no/atc_ddd_index/" TargetMode="Externa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28</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2026-10-14T09:43:00Z</dcterms:created>
  <dc:creator>Valentina</dc:creator>
  <dc:description/>
  <dc:language>ru-RU</dc:language>
  <cp:lastModifiedBy>Сайчук Світлана Анатоліївна</cp:lastModifiedBy>
  <cp:lastPrinted>2024-04-04T11:09:00Z</cp:lastPrinted>
  <dcterms:modified xsi:type="dcterms:W3CDTF">2026-10-14T10:10:00Z</dcterms:modified>
  <cp:revision>3</cp:revision>
  <dc:subject/>
  <dc:title/>
</cp:coreProperties>
</file>