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footer10.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header2.xml" ContentType="application/vnd.openxmlformats-officedocument.wordprocessingml.header+xml"/>
  <Override PartName="/word/_rels/document.xml.rels" ContentType="application/vnd.openxmlformats-package.relationships+xml"/>
  <Override PartName="/word/footer2.xml" ContentType="application/vnd.openxmlformats-officedocument.wordprocessingml.footer+xml"/>
  <Override PartName="/word/header1.xml" ContentType="application/vnd.openxmlformats-officedocument.wordprocessingml.header+xml"/>
  <Override PartName="/word/media/image1.png" ContentType="image/png"/>
  <Override PartName="/word/styles.xml" ContentType="application/vnd.openxmlformats-officedocument.wordprocessingml.styles+xml"/>
  <Override PartName="/word/footer7.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10.xml" ContentType="application/vnd.openxmlformats-officedocument.wordprocessingml.header+xml"/>
  <Override PartName="/word/document.xml" ContentType="application/vnd.openxmlformats-officedocument.wordprocessingml.document.main+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120"/>
        <w:jc w:val="center"/>
        <w:rPr>
          <w:rFonts w:ascii="Times New Roman CYR" w:hAnsi="Times New Roman CYR" w:cs="Times New Roman CYR"/>
          <w:lang w:val="uk-UA"/>
        </w:rPr>
      </w:pPr>
      <w:r>
        <w:rPr>
          <w:rFonts w:cs="Times New Roman CYR" w:ascii="Times New Roman CYR" w:hAnsi="Times New Roman CYR"/>
          <w:lang w:val="uk-UA" w:eastAsia="ru-RU"/>
        </w:rPr>
        <w:drawing>
          <wp:inline distT="0" distB="0" distL="0" distR="0">
            <wp:extent cx="403225" cy="564515"/>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rcRect l="-89" t="-64" r="-89" b="-64"/>
                    <a:stretch>
                      <a:fillRect/>
                    </a:stretch>
                  </pic:blipFill>
                  <pic:spPr bwMode="auto">
                    <a:xfrm>
                      <a:off x="0" y="0"/>
                      <a:ext cx="403225" cy="564515"/>
                    </a:xfrm>
                    <a:prstGeom prst="rect">
                      <a:avLst/>
                    </a:prstGeom>
                  </pic:spPr>
                </pic:pic>
              </a:graphicData>
            </a:graphic>
          </wp:inline>
        </w:drawing>
      </w:r>
    </w:p>
    <w:p>
      <w:pPr>
        <w:pStyle w:val="Normal"/>
        <w:numPr>
          <w:ilvl w:val="0"/>
          <w:numId w:val="0"/>
        </w:numPr>
        <w:jc w:val="center"/>
        <w:outlineLvl w:val="0"/>
        <w:rPr>
          <w:b/>
          <w:b/>
          <w:sz w:val="32"/>
          <w:szCs w:val="32"/>
          <w:lang w:val="uk-UA"/>
        </w:rPr>
      </w:pPr>
      <w:r>
        <w:rPr>
          <w:b/>
          <w:sz w:val="32"/>
          <w:szCs w:val="32"/>
          <w:lang w:val="uk-UA"/>
        </w:rPr>
        <w:t>МІНІСТЕРСТВО ОХОРОНИ ЗДОРОВ’Я УКРАЇНИ</w:t>
      </w:r>
    </w:p>
    <w:p>
      <w:pPr>
        <w:pStyle w:val="Normal"/>
        <w:rPr>
          <w:b/>
          <w:b/>
          <w:sz w:val="32"/>
          <w:szCs w:val="32"/>
          <w:lang w:val="uk-UA"/>
        </w:rPr>
      </w:pPr>
      <w:r>
        <w:rPr>
          <w:b/>
          <w:sz w:val="32"/>
          <w:szCs w:val="32"/>
          <w:lang w:val="uk-UA"/>
        </w:rPr>
      </w:r>
    </w:p>
    <w:p>
      <w:pPr>
        <w:pStyle w:val="Normal"/>
        <w:numPr>
          <w:ilvl w:val="0"/>
          <w:numId w:val="0"/>
        </w:numPr>
        <w:jc w:val="center"/>
        <w:outlineLvl w:val="0"/>
        <w:rPr>
          <w:b/>
          <w:b/>
          <w:spacing w:val="60"/>
          <w:sz w:val="30"/>
          <w:szCs w:val="30"/>
          <w:lang w:val="uk-UA"/>
        </w:rPr>
      </w:pPr>
      <w:r>
        <w:rPr>
          <w:b/>
          <w:spacing w:val="60"/>
          <w:sz w:val="30"/>
          <w:szCs w:val="30"/>
          <w:lang w:val="uk-UA"/>
        </w:rPr>
        <w:t>НАКАЗ</w:t>
      </w:r>
    </w:p>
    <w:p>
      <w:pPr>
        <w:pStyle w:val="Normal"/>
        <w:rPr>
          <w:b/>
          <w:b/>
          <w:spacing w:val="60"/>
          <w:sz w:val="30"/>
          <w:szCs w:val="30"/>
          <w:lang w:val="uk-UA"/>
        </w:rPr>
      </w:pPr>
      <w:r>
        <w:rPr>
          <w:b/>
          <w:spacing w:val="60"/>
          <w:sz w:val="30"/>
          <w:szCs w:val="30"/>
          <w:lang w:val="uk-UA"/>
        </w:rPr>
      </w:r>
    </w:p>
    <w:tbl>
      <w:tblPr>
        <w:tblW w:w="10183" w:type="dxa"/>
        <w:jc w:val="left"/>
        <w:tblInd w:w="-72" w:type="dxa"/>
        <w:tblBorders/>
        <w:tblCellMar>
          <w:top w:w="0" w:type="dxa"/>
          <w:left w:w="108" w:type="dxa"/>
          <w:bottom w:w="0" w:type="dxa"/>
          <w:right w:w="108" w:type="dxa"/>
        </w:tblCellMar>
      </w:tblPr>
      <w:tblGrid>
        <w:gridCol w:w="3271"/>
        <w:gridCol w:w="2129"/>
        <w:gridCol w:w="4783"/>
      </w:tblGrid>
      <w:tr>
        <w:trPr/>
        <w:tc>
          <w:tcPr>
            <w:tcW w:w="3271" w:type="dxa"/>
            <w:tcBorders/>
            <w:shd w:fill="auto" w:val="clear"/>
          </w:tcPr>
          <w:p>
            <w:pPr>
              <w:pStyle w:val="Normal"/>
              <w:snapToGrid w:val="false"/>
              <w:rPr>
                <w:sz w:val="28"/>
                <w:szCs w:val="28"/>
                <w:lang w:val="uk-UA"/>
              </w:rPr>
            </w:pPr>
            <w:r>
              <w:rPr>
                <w:sz w:val="28"/>
                <w:szCs w:val="28"/>
                <w:lang w:val="uk-UA"/>
              </w:rPr>
            </w:r>
          </w:p>
          <w:p>
            <w:pPr>
              <w:pStyle w:val="Normal"/>
              <w:rPr>
                <w:sz w:val="28"/>
                <w:szCs w:val="28"/>
                <w:lang w:val="uk-UA"/>
              </w:rPr>
            </w:pPr>
            <w:r>
              <w:rPr>
                <w:sz w:val="28"/>
                <w:szCs w:val="28"/>
                <w:highlight w:val="yellow"/>
                <w:lang w:val="uk-UA"/>
              </w:rPr>
              <w:t>30</w:t>
            </w:r>
            <w:r>
              <w:rPr>
                <w:sz w:val="28"/>
                <w:szCs w:val="28"/>
                <w:lang w:val="uk-UA"/>
              </w:rPr>
              <w:t xml:space="preserve"> вересня 2026 року</w:t>
            </w:r>
          </w:p>
        </w:tc>
        <w:tc>
          <w:tcPr>
            <w:tcW w:w="2129" w:type="dxa"/>
            <w:tcBorders/>
            <w:shd w:fill="auto" w:val="clear"/>
          </w:tcPr>
          <w:p>
            <w:pPr>
              <w:pStyle w:val="Normal"/>
              <w:jc w:val="center"/>
              <w:rPr/>
            </w:pPr>
            <w:r>
              <w:rPr>
                <w:rFonts w:eastAsia="Times New Roman"/>
                <w:sz w:val="24"/>
                <w:szCs w:val="24"/>
                <w:lang w:val="uk-UA"/>
              </w:rPr>
              <w:t xml:space="preserve">                    </w:t>
            </w:r>
            <w:r>
              <w:rPr>
                <w:sz w:val="24"/>
                <w:szCs w:val="24"/>
                <w:lang w:val="uk-UA"/>
              </w:rPr>
              <w:t>Київ</w:t>
            </w:r>
          </w:p>
        </w:tc>
        <w:tc>
          <w:tcPr>
            <w:tcW w:w="4783" w:type="dxa"/>
            <w:tcBorders/>
            <w:shd w:fill="auto" w:val="clear"/>
          </w:tcPr>
          <w:p>
            <w:pPr>
              <w:pStyle w:val="Normal"/>
              <w:snapToGrid w:val="false"/>
              <w:ind w:firstLine="72"/>
              <w:jc w:val="center"/>
              <w:rPr>
                <w:sz w:val="28"/>
                <w:szCs w:val="28"/>
                <w:lang w:val="uk-UA"/>
              </w:rPr>
            </w:pPr>
            <w:r>
              <w:rPr>
                <w:sz w:val="28"/>
                <w:szCs w:val="28"/>
                <w:lang w:val="uk-UA"/>
              </w:rPr>
            </w:r>
          </w:p>
          <w:p>
            <w:pPr>
              <w:pStyle w:val="Normal"/>
              <w:ind w:firstLine="72"/>
              <w:jc w:val="center"/>
              <w:rPr>
                <w:sz w:val="28"/>
                <w:szCs w:val="28"/>
                <w:lang w:val="uk-UA"/>
              </w:rPr>
            </w:pPr>
            <w:r>
              <w:rPr>
                <w:rFonts w:eastAsia="Times New Roman"/>
                <w:sz w:val="28"/>
                <w:szCs w:val="28"/>
                <w:lang w:val="uk-UA"/>
              </w:rPr>
              <w:t xml:space="preserve">                                           </w:t>
            </w:r>
            <w:r>
              <w:rPr>
                <w:sz w:val="28"/>
                <w:szCs w:val="28"/>
                <w:lang w:val="uk-UA"/>
              </w:rPr>
              <w:t>№</w:t>
            </w:r>
            <w:r>
              <w:rPr>
                <w:rFonts w:eastAsia="Times New Roman"/>
                <w:sz w:val="28"/>
                <w:szCs w:val="28"/>
                <w:lang w:val="uk-UA"/>
              </w:rPr>
              <w:t xml:space="preserve"> </w:t>
            </w:r>
            <w:r>
              <w:rPr>
                <w:sz w:val="28"/>
                <w:szCs w:val="28"/>
                <w:lang w:val="uk-UA"/>
              </w:rPr>
              <w:t>1454</w:t>
            </w:r>
          </w:p>
        </w:tc>
      </w:tr>
    </w:tbl>
    <w:p>
      <w:pPr>
        <w:pStyle w:val="Normal"/>
        <w:jc w:val="both"/>
        <w:rPr>
          <w:b/>
          <w:b/>
          <w:sz w:val="28"/>
          <w:szCs w:val="28"/>
          <w:lang w:val="uk-UA"/>
        </w:rPr>
      </w:pPr>
      <w:r>
        <w:rPr>
          <w:b/>
          <w:sz w:val="28"/>
          <w:szCs w:val="28"/>
          <w:lang w:val="uk-UA"/>
        </w:rPr>
      </w:r>
    </w:p>
    <w:p>
      <w:pPr>
        <w:pStyle w:val="Normal"/>
        <w:jc w:val="both"/>
        <w:rPr>
          <w:b/>
          <w:b/>
          <w:sz w:val="28"/>
          <w:szCs w:val="28"/>
          <w:lang w:val="uk-UA"/>
        </w:rPr>
      </w:pPr>
      <w:r>
        <w:rPr>
          <w:b/>
          <w:sz w:val="28"/>
          <w:szCs w:val="28"/>
          <w:lang w:val="uk-UA"/>
        </w:rPr>
      </w:r>
    </w:p>
    <w:p>
      <w:pPr>
        <w:pStyle w:val="Normal"/>
        <w:jc w:val="both"/>
        <w:rPr>
          <w:b/>
          <w:b/>
          <w:sz w:val="28"/>
          <w:szCs w:val="28"/>
          <w:lang w:val="uk-UA"/>
        </w:rPr>
      </w:pPr>
      <w:r>
        <w:rPr>
          <w:b/>
          <w:sz w:val="28"/>
          <w:szCs w:val="28"/>
          <w:lang w:val="uk-UA"/>
        </w:rPr>
      </w:r>
    </w:p>
    <w:p>
      <w:pPr>
        <w:pStyle w:val="Normal"/>
        <w:jc w:val="both"/>
        <w:rPr>
          <w:b/>
          <w:b/>
          <w:sz w:val="28"/>
          <w:szCs w:val="28"/>
          <w:lang w:val="uk-UA"/>
        </w:rPr>
      </w:pPr>
      <w:r>
        <w:rPr>
          <w:b/>
          <w:sz w:val="28"/>
          <w:szCs w:val="28"/>
          <w:lang w:val="uk-UA"/>
        </w:rPr>
        <w:t>Про державну реєстрацію (перереєстрацію) лікарських засобів (медичних імунобіологічних препаратів) та внесення змін до реєстраційних матеріалів</w:t>
      </w:r>
    </w:p>
    <w:p>
      <w:pPr>
        <w:pStyle w:val="Normal"/>
        <w:ind w:firstLine="720"/>
        <w:jc w:val="both"/>
        <w:rPr>
          <w:b/>
          <w:b/>
          <w:sz w:val="16"/>
          <w:szCs w:val="16"/>
          <w:lang w:val="uk-UA"/>
        </w:rPr>
      </w:pPr>
      <w:r>
        <w:rPr>
          <w:b/>
          <w:sz w:val="16"/>
          <w:szCs w:val="16"/>
          <w:lang w:val="uk-UA"/>
        </w:rPr>
      </w:r>
    </w:p>
    <w:p>
      <w:pPr>
        <w:pStyle w:val="Normal"/>
        <w:ind w:firstLine="720"/>
        <w:jc w:val="both"/>
        <w:rPr>
          <w:sz w:val="16"/>
          <w:szCs w:val="16"/>
          <w:lang w:val="uk-UA"/>
        </w:rPr>
      </w:pPr>
      <w:r>
        <w:rPr>
          <w:sz w:val="16"/>
          <w:szCs w:val="16"/>
          <w:lang w:val="uk-UA"/>
        </w:rPr>
      </w:r>
    </w:p>
    <w:p>
      <w:pPr>
        <w:pStyle w:val="Normal"/>
        <w:ind w:firstLine="720"/>
        <w:jc w:val="both"/>
        <w:rPr>
          <w:sz w:val="16"/>
          <w:szCs w:val="16"/>
          <w:lang w:val="uk-UA"/>
        </w:rPr>
      </w:pPr>
      <w:r>
        <w:rPr>
          <w:sz w:val="16"/>
          <w:szCs w:val="16"/>
          <w:lang w:val="uk-UA"/>
        </w:rPr>
      </w:r>
    </w:p>
    <w:p>
      <w:pPr>
        <w:pStyle w:val="Normal"/>
        <w:ind w:firstLine="720"/>
        <w:jc w:val="both"/>
        <w:rPr>
          <w:sz w:val="16"/>
          <w:szCs w:val="16"/>
          <w:lang w:val="uk-UA"/>
        </w:rPr>
      </w:pPr>
      <w:r>
        <w:rPr>
          <w:sz w:val="16"/>
          <w:szCs w:val="16"/>
          <w:lang w:val="uk-UA"/>
        </w:rPr>
      </w:r>
    </w:p>
    <w:p>
      <w:pPr>
        <w:pStyle w:val="Normal"/>
        <w:ind w:firstLine="720"/>
        <w:jc w:val="both"/>
        <w:rPr>
          <w:sz w:val="16"/>
          <w:szCs w:val="16"/>
          <w:lang w:val="uk-UA"/>
        </w:rPr>
      </w:pPr>
      <w:r>
        <w:rPr>
          <w:sz w:val="16"/>
          <w:szCs w:val="16"/>
          <w:lang w:val="uk-UA"/>
        </w:rPr>
      </w:r>
    </w:p>
    <w:p>
      <w:pPr>
        <w:pStyle w:val="Normal"/>
        <w:ind w:firstLine="720"/>
        <w:jc w:val="both"/>
        <w:rPr>
          <w:sz w:val="16"/>
          <w:szCs w:val="16"/>
          <w:lang w:val="uk-UA"/>
        </w:rPr>
      </w:pPr>
      <w:r>
        <w:rPr>
          <w:sz w:val="16"/>
          <w:szCs w:val="16"/>
          <w:lang w:val="uk-UA"/>
        </w:rPr>
      </w:r>
    </w:p>
    <w:p>
      <w:pPr>
        <w:pStyle w:val="HTML1"/>
        <w:ind w:firstLine="720"/>
        <w:jc w:val="both"/>
        <w:rPr>
          <w:rFonts w:ascii="Times New Roman" w:hAnsi="Times New Roman" w:cs="Times New Roman"/>
          <w:sz w:val="28"/>
          <w:szCs w:val="28"/>
          <w:lang w:val="uk-UA"/>
        </w:rPr>
      </w:pPr>
      <w:r>
        <w:rPr>
          <w:rFonts w:cs="Times New Roman" w:ascii="Times New Roman" w:hAnsi="Times New Roman"/>
          <w:sz w:val="28"/>
          <w:szCs w:val="28"/>
          <w:lang w:val="uk-UA"/>
        </w:rPr>
        <w:t>Відповідно до статті 9 Закону України «Про лікарські засоби», пунктів 3, 26, 30, 49 Порядку державної реєстрації (перереєстрації) лікарських засобів, затвердженого постановою Кабінету Міністрів України від 26 травня 2005 року № 376 (в редакції постанови Кабінету Міністрів України від 26 квітня 2024 року № 529), абзацу двадцять п’ятого підпункту 12 пункту 4 Положення про Міністерство охорони здоров’я України, затвердженого постановою Кабінету Міністрів України від 25 березня 2015 року № 267 (в редакції постанови Кабінету Міністрів України від 24 січня 2020 року № 90), на підставі результатів експертиз реєстраційних матеріалів лікарських засобів (медичних імунобіологічних препаратів), що подані на державну реєстрацію (перереєстрацію) та внесення змін до реєстраційних матеріалів, проведених державним підприємством «Державний експертний центр Міністерства охорони здоров’я України», висновків щодо ефективності, безпечності та якості, щодо експертної оцінки співвідношення користь/ризик лікарського засобу, що пропонується до державної реєстрації (перереєстрації), щодо внесення змін до реєстраційних матеріалів та рекомендації лікарського засобу до державної реєстрації (перереєстрації) або внесення змін до реєстраційних матеріалів, що надійшли до Міністерства охорони здоров’я України листом державного підприємства «Державний експертний центр Міністерства охорони здоров’я України» від 21 вересня 2026 року № 4016/22.2-26,</w:t>
      </w:r>
    </w:p>
    <w:p>
      <w:pPr>
        <w:pStyle w:val="HTML1"/>
        <w:ind w:firstLine="720"/>
        <w:jc w:val="both"/>
        <w:rPr>
          <w:rFonts w:ascii="Times New Roman" w:hAnsi="Times New Roman" w:cs="Times New Roman"/>
          <w:b/>
          <w:b/>
          <w:bCs/>
          <w:sz w:val="28"/>
          <w:szCs w:val="28"/>
          <w:lang w:val="uk-UA"/>
        </w:rPr>
      </w:pPr>
      <w:r>
        <w:rPr>
          <w:rFonts w:cs="Times New Roman" w:ascii="Times New Roman" w:hAnsi="Times New Roman"/>
          <w:b/>
          <w:bCs/>
          <w:sz w:val="28"/>
          <w:szCs w:val="28"/>
          <w:lang w:val="uk-UA"/>
        </w:rPr>
      </w:r>
    </w:p>
    <w:p>
      <w:pPr>
        <w:pStyle w:val="33"/>
        <w:ind w:left="0" w:hanging="0"/>
        <w:rPr>
          <w:b/>
          <w:b/>
          <w:bCs/>
          <w:sz w:val="28"/>
          <w:szCs w:val="28"/>
          <w:lang w:val="uk-UA"/>
        </w:rPr>
      </w:pPr>
      <w:r>
        <w:rPr>
          <w:b/>
          <w:bCs/>
          <w:sz w:val="28"/>
          <w:szCs w:val="28"/>
          <w:lang w:val="uk-UA"/>
        </w:rPr>
        <w:t>НАКАЗУЮ:</w:t>
      </w:r>
    </w:p>
    <w:p>
      <w:pPr>
        <w:pStyle w:val="33"/>
        <w:ind w:left="0" w:hanging="0"/>
        <w:rPr>
          <w:b/>
          <w:b/>
          <w:bCs/>
          <w:sz w:val="28"/>
          <w:szCs w:val="28"/>
          <w:lang w:val="uk-UA"/>
        </w:rPr>
      </w:pPr>
      <w:r>
        <w:rPr>
          <w:b/>
          <w:bCs/>
          <w:sz w:val="28"/>
          <w:szCs w:val="28"/>
          <w:lang w:val="uk-UA"/>
        </w:rPr>
      </w:r>
    </w:p>
    <w:p>
      <w:pPr>
        <w:pStyle w:val="Normal"/>
        <w:tabs>
          <w:tab w:val="left" w:pos="1080" w:leader="none"/>
        </w:tabs>
        <w:ind w:firstLine="720"/>
        <w:jc w:val="both"/>
        <w:rPr/>
      </w:pPr>
      <w:r>
        <w:rPr>
          <w:sz w:val="28"/>
          <w:szCs w:val="28"/>
          <w:lang w:val="uk-UA"/>
        </w:rPr>
        <w:t xml:space="preserve">1. Зареєструвати </w:t>
      </w:r>
      <w:r>
        <w:rPr>
          <w:sz w:val="28"/>
          <w:szCs w:val="28"/>
          <w:lang w:val="uk-UA" w:eastAsia="ru-RU"/>
        </w:rPr>
        <w:t>лікарські засоби</w:t>
      </w:r>
      <w:r>
        <w:rPr>
          <w:sz w:val="28"/>
          <w:szCs w:val="28"/>
          <w:lang w:val="uk-UA"/>
        </w:rPr>
        <w:t xml:space="preserve"> (медичні імунобіологічні препарати) та внести до Державного реєстру лікарських засобів згідно з додатком 1.</w:t>
      </w:r>
    </w:p>
    <w:p>
      <w:pPr>
        <w:pStyle w:val="Normal"/>
        <w:tabs>
          <w:tab w:val="left" w:pos="1080" w:leader="none"/>
        </w:tabs>
        <w:ind w:firstLine="720"/>
        <w:jc w:val="both"/>
        <w:rPr>
          <w:sz w:val="28"/>
          <w:szCs w:val="28"/>
          <w:lang w:val="uk-UA"/>
        </w:rPr>
      </w:pPr>
      <w:r>
        <w:rPr>
          <w:sz w:val="28"/>
          <w:szCs w:val="28"/>
          <w:lang w:val="uk-UA"/>
        </w:rPr>
      </w:r>
    </w:p>
    <w:p>
      <w:pPr>
        <w:pStyle w:val="Normal"/>
        <w:tabs>
          <w:tab w:val="left" w:pos="1080" w:leader="none"/>
        </w:tabs>
        <w:ind w:firstLine="720"/>
        <w:jc w:val="both"/>
        <w:rPr/>
      </w:pPr>
      <w:r>
        <w:rPr>
          <w:sz w:val="28"/>
          <w:szCs w:val="28"/>
          <w:lang w:val="uk-UA"/>
        </w:rPr>
        <w:t xml:space="preserve">2. Перереєструвати </w:t>
      </w:r>
      <w:r>
        <w:rPr>
          <w:sz w:val="28"/>
          <w:szCs w:val="28"/>
          <w:lang w:val="uk-UA" w:eastAsia="ru-RU"/>
        </w:rPr>
        <w:t>лікарські засоби</w:t>
      </w:r>
      <w:r>
        <w:rPr>
          <w:sz w:val="28"/>
          <w:szCs w:val="28"/>
          <w:lang w:val="uk-UA"/>
        </w:rPr>
        <w:t xml:space="preserve"> (медичні імунобіологічні препарати) та внести до Державного реєстру лікарських засобів згідно з додатком 2.</w:t>
      </w:r>
    </w:p>
    <w:p>
      <w:pPr>
        <w:pStyle w:val="Normal"/>
        <w:tabs>
          <w:tab w:val="left" w:pos="1080" w:leader="none"/>
        </w:tabs>
        <w:ind w:firstLine="720"/>
        <w:jc w:val="both"/>
        <w:rPr>
          <w:sz w:val="16"/>
          <w:szCs w:val="16"/>
          <w:lang w:val="uk-UA"/>
        </w:rPr>
      </w:pPr>
      <w:r>
        <w:rPr>
          <w:sz w:val="16"/>
          <w:szCs w:val="16"/>
          <w:lang w:val="uk-UA"/>
        </w:rPr>
      </w:r>
    </w:p>
    <w:p>
      <w:pPr>
        <w:pStyle w:val="Normal"/>
        <w:tabs>
          <w:tab w:val="left" w:pos="1080" w:leader="none"/>
        </w:tabs>
        <w:ind w:firstLine="720"/>
        <w:jc w:val="both"/>
        <w:rPr>
          <w:sz w:val="28"/>
          <w:szCs w:val="28"/>
          <w:lang w:val="uk-UA"/>
        </w:rPr>
      </w:pPr>
      <w:r>
        <w:rPr>
          <w:sz w:val="28"/>
          <w:szCs w:val="28"/>
          <w:lang w:val="uk-UA"/>
        </w:rPr>
        <w:t xml:space="preserve">3. Внести зміни до реєстраційних матеріалів на </w:t>
      </w:r>
      <w:r>
        <w:rPr>
          <w:sz w:val="28"/>
          <w:szCs w:val="28"/>
          <w:lang w:val="uk-UA" w:eastAsia="ru-RU"/>
        </w:rPr>
        <w:t>лікарські засоби</w:t>
      </w:r>
      <w:r>
        <w:rPr>
          <w:sz w:val="28"/>
          <w:szCs w:val="28"/>
          <w:lang w:val="uk-UA"/>
        </w:rPr>
        <w:t xml:space="preserve"> (медичні імунобіологічні препарати) та Державного реєстру лікарських засобів згідно з додатком 3.</w:t>
      </w:r>
    </w:p>
    <w:p>
      <w:pPr>
        <w:pStyle w:val="Normal"/>
        <w:tabs>
          <w:tab w:val="left" w:pos="1080" w:leader="none"/>
        </w:tabs>
        <w:ind w:firstLine="720"/>
        <w:jc w:val="both"/>
        <w:rPr>
          <w:sz w:val="28"/>
          <w:szCs w:val="28"/>
          <w:lang w:val="uk-UA"/>
        </w:rPr>
      </w:pPr>
      <w:r>
        <w:rPr>
          <w:rFonts w:eastAsia="Times New Roman"/>
          <w:sz w:val="28"/>
          <w:szCs w:val="28"/>
          <w:lang w:val="uk-UA"/>
        </w:rPr>
        <w:t xml:space="preserve"> </w:t>
      </w:r>
    </w:p>
    <w:p>
      <w:pPr>
        <w:pStyle w:val="Normal"/>
        <w:tabs>
          <w:tab w:val="left" w:pos="1080" w:leader="none"/>
        </w:tabs>
        <w:ind w:firstLine="720"/>
        <w:jc w:val="both"/>
        <w:rPr>
          <w:sz w:val="28"/>
          <w:szCs w:val="28"/>
          <w:lang w:val="uk-UA"/>
        </w:rPr>
      </w:pPr>
      <w:r>
        <w:rPr>
          <w:sz w:val="28"/>
          <w:szCs w:val="28"/>
          <w:lang w:val="uk-UA"/>
        </w:rPr>
        <w:t>4. Відмовити у державній реєстрації/перереєстрації лікарських засобів (медичних імунобіологічних препаратів) та внесенні змін до реєстраційних матеріалів та Державного реєстру лікарських засобів згідно з додатком 4.</w:t>
      </w:r>
    </w:p>
    <w:p>
      <w:pPr>
        <w:pStyle w:val="Normal"/>
        <w:tabs>
          <w:tab w:val="left" w:pos="1080" w:leader="none"/>
        </w:tabs>
        <w:ind w:firstLine="720"/>
        <w:jc w:val="both"/>
        <w:rPr>
          <w:sz w:val="28"/>
          <w:szCs w:val="28"/>
          <w:lang w:val="uk-UA"/>
        </w:rPr>
      </w:pPr>
      <w:r>
        <w:rPr>
          <w:sz w:val="28"/>
          <w:szCs w:val="28"/>
          <w:lang w:val="uk-UA"/>
        </w:rPr>
      </w:r>
    </w:p>
    <w:p>
      <w:pPr>
        <w:pStyle w:val="Normal"/>
        <w:tabs>
          <w:tab w:val="left" w:pos="720" w:leader="none"/>
          <w:tab w:val="left" w:pos="993" w:leader="none"/>
        </w:tabs>
        <w:ind w:firstLine="720"/>
        <w:jc w:val="both"/>
        <w:rPr>
          <w:sz w:val="28"/>
          <w:szCs w:val="28"/>
          <w:lang w:val="uk-UA"/>
        </w:rPr>
      </w:pPr>
      <w:r>
        <w:rPr>
          <w:sz w:val="28"/>
          <w:szCs w:val="28"/>
          <w:lang w:val="uk-UA"/>
        </w:rPr>
        <w:t>5. Фармацевтичному управлінню (Олександру Гріценку) забезпечити оприлюднення цього наказу на офіційному вебсайті Міністерства охорони здоров’я України.</w:t>
      </w:r>
    </w:p>
    <w:p>
      <w:pPr>
        <w:pStyle w:val="Normal"/>
        <w:tabs>
          <w:tab w:val="left" w:pos="1080" w:leader="none"/>
        </w:tabs>
        <w:ind w:firstLine="720"/>
        <w:jc w:val="both"/>
        <w:rPr>
          <w:sz w:val="28"/>
          <w:szCs w:val="28"/>
          <w:lang w:val="uk-UA"/>
        </w:rPr>
      </w:pPr>
      <w:r>
        <w:rPr>
          <w:sz w:val="28"/>
          <w:szCs w:val="28"/>
          <w:lang w:val="uk-UA"/>
        </w:rPr>
      </w:r>
    </w:p>
    <w:p>
      <w:pPr>
        <w:pStyle w:val="Normal"/>
        <w:tabs>
          <w:tab w:val="left" w:pos="720" w:leader="none"/>
          <w:tab w:val="left" w:pos="1080" w:leader="none"/>
        </w:tabs>
        <w:ind w:firstLine="720"/>
        <w:jc w:val="both"/>
        <w:rPr>
          <w:sz w:val="28"/>
          <w:szCs w:val="28"/>
          <w:lang w:val="uk-UA"/>
        </w:rPr>
      </w:pPr>
      <w:r>
        <w:rPr>
          <w:sz w:val="28"/>
          <w:szCs w:val="28"/>
          <w:lang w:val="uk-UA"/>
        </w:rPr>
        <w:t>6. Контроль за виконанням цього наказу покласти на заступника Міністра Євгенія Гончара.</w:t>
      </w:r>
    </w:p>
    <w:p>
      <w:pPr>
        <w:pStyle w:val="33"/>
        <w:spacing w:before="0" w:after="0"/>
        <w:rPr>
          <w:sz w:val="28"/>
          <w:szCs w:val="28"/>
          <w:lang w:val="uk-UA"/>
        </w:rPr>
      </w:pPr>
      <w:r>
        <w:rPr>
          <w:sz w:val="28"/>
          <w:szCs w:val="28"/>
          <w:lang w:val="uk-UA"/>
        </w:rPr>
      </w:r>
    </w:p>
    <w:p>
      <w:pPr>
        <w:pStyle w:val="33"/>
        <w:spacing w:before="0" w:after="0"/>
        <w:rPr>
          <w:sz w:val="28"/>
          <w:szCs w:val="28"/>
          <w:lang w:val="uk-UA"/>
        </w:rPr>
      </w:pPr>
      <w:r>
        <w:rPr>
          <w:sz w:val="28"/>
          <w:szCs w:val="28"/>
          <w:lang w:val="uk-UA"/>
        </w:rPr>
      </w:r>
    </w:p>
    <w:p>
      <w:pPr>
        <w:sectPr>
          <w:headerReference w:type="default" r:id="rId3"/>
          <w:headerReference w:type="first" r:id="rId4"/>
          <w:footerReference w:type="default" r:id="rId5"/>
          <w:footerReference w:type="first" r:id="rId6"/>
          <w:type w:val="nextPage"/>
          <w:pgSz w:w="11906" w:h="16838"/>
          <w:pgMar w:left="1701" w:right="567" w:header="709" w:top="899" w:footer="709" w:bottom="1418" w:gutter="0"/>
          <w:pgNumType w:fmt="decimal"/>
          <w:formProt w:val="false"/>
          <w:titlePg/>
          <w:textDirection w:val="lrTb"/>
          <w:docGrid w:type="default" w:linePitch="360" w:charSpace="0"/>
        </w:sectPr>
        <w:pStyle w:val="33"/>
        <w:spacing w:before="0" w:after="0"/>
        <w:ind w:left="0" w:hanging="0"/>
        <w:rPr>
          <w:lang w:val="uk-UA"/>
        </w:rPr>
      </w:pPr>
      <w:r>
        <w:rPr>
          <w:b/>
          <w:sz w:val="28"/>
          <w:szCs w:val="28"/>
          <w:lang w:val="uk-UA"/>
        </w:rPr>
        <w:t>Міністр                                                                                            Віктор ЛЯШКО</w:t>
      </w:r>
    </w:p>
    <w:tbl>
      <w:tblPr>
        <w:tblW w:w="3825" w:type="dxa"/>
        <w:jc w:val="left"/>
        <w:tblInd w:w="11448" w:type="dxa"/>
        <w:tblBorders/>
        <w:tblCellMar>
          <w:top w:w="0" w:type="dxa"/>
          <w:left w:w="108" w:type="dxa"/>
          <w:bottom w:w="0" w:type="dxa"/>
          <w:right w:w="108" w:type="dxa"/>
        </w:tblCellMar>
      </w:tblPr>
      <w:tblGrid>
        <w:gridCol w:w="3825"/>
      </w:tblGrid>
      <w:tr>
        <w:trPr>
          <w:trHeight w:val="711" w:hRule="atLeast"/>
        </w:trPr>
        <w:tc>
          <w:tcPr>
            <w:tcW w:w="3825" w:type="dxa"/>
            <w:tcBorders/>
            <w:shd w:fill="auto" w:val="clear"/>
          </w:tcPr>
          <w:p>
            <w:pPr>
              <w:pStyle w:val="Heading4"/>
              <w:numPr>
                <w:ilvl w:val="3"/>
                <w:numId w:val="1"/>
              </w:numPr>
              <w:tabs>
                <w:tab w:val="left" w:pos="12600" w:leader="none"/>
              </w:tabs>
              <w:spacing w:before="0" w:after="0"/>
              <w:rPr>
                <w:sz w:val="18"/>
                <w:szCs w:val="18"/>
              </w:rPr>
            </w:pPr>
            <w:r>
              <w:rPr>
                <w:sz w:val="18"/>
                <w:szCs w:val="18"/>
              </w:rPr>
              <w:t>Додаток 1</w:t>
            </w:r>
          </w:p>
          <w:p>
            <w:pPr>
              <w:pStyle w:val="Heading4"/>
              <w:numPr>
                <w:ilvl w:val="3"/>
                <w:numId w:val="1"/>
              </w:numPr>
              <w:tabs>
                <w:tab w:val="left" w:pos="12600" w:leader="none"/>
              </w:tabs>
              <w:spacing w:before="0" w:after="0"/>
              <w:rPr>
                <w:sz w:val="18"/>
                <w:szCs w:val="18"/>
              </w:rPr>
            </w:pPr>
            <w:r>
              <w:rPr>
                <w:sz w:val="18"/>
                <w:szCs w:val="18"/>
              </w:rPr>
              <w:t>до наказу Міністерства охорони</w:t>
            </w:r>
          </w:p>
          <w:p>
            <w:pPr>
              <w:pStyle w:val="Heading4"/>
              <w:numPr>
                <w:ilvl w:val="3"/>
                <w:numId w:val="1"/>
              </w:numPr>
              <w:tabs>
                <w:tab w:val="left" w:pos="12600" w:leader="none"/>
              </w:tabs>
              <w:spacing w:before="0" w:after="0"/>
              <w:rPr>
                <w:sz w:val="18"/>
                <w:szCs w:val="18"/>
              </w:rPr>
            </w:pPr>
            <w:r>
              <w:rPr>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pPr>
              <w:pStyle w:val="Heading4"/>
              <w:numPr>
                <w:ilvl w:val="3"/>
                <w:numId w:val="1"/>
              </w:numPr>
              <w:tabs>
                <w:tab w:val="left" w:pos="12600" w:leader="none"/>
              </w:tabs>
              <w:spacing w:before="0" w:after="0"/>
              <w:rPr>
                <w:rFonts w:cs="Arial"/>
              </w:rPr>
            </w:pPr>
            <w:r>
              <w:rPr>
                <w:bCs w:val="false"/>
                <w:iCs/>
                <w:sz w:val="18"/>
                <w:szCs w:val="18"/>
                <w:u w:val="single"/>
              </w:rPr>
              <w:t>від_30 вересня 2026 року  № 1454</w:t>
            </w:r>
          </w:p>
        </w:tc>
      </w:tr>
    </w:tbl>
    <w:p>
      <w:pPr>
        <w:pStyle w:val="Normal"/>
        <w:keepNext w:val="true"/>
        <w:numPr>
          <w:ilvl w:val="0"/>
          <w:numId w:val="0"/>
        </w:numPr>
        <w:tabs>
          <w:tab w:val="left" w:pos="12600" w:leader="none"/>
        </w:tabs>
        <w:jc w:val="center"/>
        <w:outlineLvl w:val="1"/>
        <w:rPr>
          <w:rFonts w:ascii="Arial" w:hAnsi="Arial" w:cs="Arial"/>
          <w:b/>
          <w:b/>
          <w:caps/>
          <w:sz w:val="16"/>
          <w:szCs w:val="16"/>
        </w:rPr>
      </w:pPr>
      <w:r>
        <w:rPr>
          <w:rFonts w:cs="Arial" w:ascii="Arial" w:hAnsi="Arial"/>
          <w:b/>
          <w:caps/>
          <w:sz w:val="16"/>
          <w:szCs w:val="16"/>
        </w:rPr>
      </w:r>
    </w:p>
    <w:p>
      <w:pPr>
        <w:pStyle w:val="Normal"/>
        <w:keepNext w:val="true"/>
        <w:numPr>
          <w:ilvl w:val="0"/>
          <w:numId w:val="0"/>
        </w:numPr>
        <w:tabs>
          <w:tab w:val="left" w:pos="12600" w:leader="none"/>
        </w:tabs>
        <w:jc w:val="center"/>
        <w:outlineLvl w:val="1"/>
        <w:rPr>
          <w:rFonts w:ascii="Arial" w:hAnsi="Arial" w:cs="Arial"/>
          <w:b/>
          <w:b/>
          <w:caps/>
          <w:sz w:val="16"/>
          <w:szCs w:val="16"/>
        </w:rPr>
      </w:pPr>
      <w:r>
        <w:rPr>
          <w:rFonts w:cs="Arial" w:ascii="Arial" w:hAnsi="Arial"/>
          <w:b/>
          <w:caps/>
          <w:sz w:val="16"/>
          <w:szCs w:val="16"/>
        </w:rPr>
      </w:r>
    </w:p>
    <w:p>
      <w:pPr>
        <w:pStyle w:val="Normal"/>
        <w:keepNext w:val="true"/>
        <w:numPr>
          <w:ilvl w:val="0"/>
          <w:numId w:val="0"/>
        </w:numPr>
        <w:tabs>
          <w:tab w:val="left" w:pos="12600" w:leader="none"/>
        </w:tabs>
        <w:jc w:val="center"/>
        <w:outlineLvl w:val="1"/>
        <w:rPr>
          <w:b/>
          <w:b/>
          <w:sz w:val="28"/>
          <w:szCs w:val="28"/>
        </w:rPr>
      </w:pPr>
      <w:r>
        <w:rPr>
          <w:b/>
          <w:caps/>
          <w:sz w:val="28"/>
          <w:szCs w:val="28"/>
        </w:rPr>
        <w:t>ПЕРЕЛІК</w:t>
      </w:r>
    </w:p>
    <w:p>
      <w:pPr>
        <w:pStyle w:val="Normal"/>
        <w:keepNext w:val="true"/>
        <w:numPr>
          <w:ilvl w:val="0"/>
          <w:numId w:val="0"/>
        </w:numPr>
        <w:jc w:val="center"/>
        <w:outlineLvl w:val="3"/>
        <w:rPr>
          <w:rFonts w:ascii="Arial" w:hAnsi="Arial" w:cs="Arial"/>
          <w:b/>
          <w:b/>
          <w:caps/>
        </w:rPr>
      </w:pPr>
      <w:r>
        <w:rPr>
          <w:b/>
          <w:caps/>
          <w:sz w:val="28"/>
          <w:szCs w:val="28"/>
        </w:rPr>
        <w:t>ЗАРЕЄСТРОВАНИХ ЛІКАРСЬКИХ ЗАСОБІВ (МЕДИЧНИХ ІМУНОБІОЛОГІЧНИХ ПРЕПАРАТІВ), ЯКІ ВНОСЯТЬСЯ ДО ДЕРЖАВНОГО РЕЄСТРУ ЛІКАРСЬКИХ ЗАСОБІВ</w:t>
      </w:r>
    </w:p>
    <w:p>
      <w:pPr>
        <w:pStyle w:val="Normal"/>
        <w:keepNext w:val="true"/>
        <w:numPr>
          <w:ilvl w:val="0"/>
          <w:numId w:val="0"/>
        </w:numPr>
        <w:jc w:val="center"/>
        <w:outlineLvl w:val="3"/>
        <w:rPr>
          <w:rFonts w:ascii="Arial" w:hAnsi="Arial" w:cs="Arial"/>
          <w:b/>
          <w:b/>
          <w:caps/>
        </w:rPr>
      </w:pPr>
      <w:r>
        <w:rPr>
          <w:rFonts w:cs="Arial" w:ascii="Arial" w:hAnsi="Arial"/>
          <w:b/>
          <w:caps/>
        </w:rPr>
      </w:r>
    </w:p>
    <w:tbl>
      <w:tblPr>
        <w:tblW w:w="16029" w:type="dxa"/>
        <w:jc w:val="left"/>
        <w:tblInd w:w="-464"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7"/>
        <w:gridCol w:w="1276"/>
        <w:gridCol w:w="992"/>
        <w:gridCol w:w="851"/>
        <w:gridCol w:w="709"/>
        <w:gridCol w:w="1701"/>
        <w:gridCol w:w="992"/>
        <w:gridCol w:w="992"/>
        <w:gridCol w:w="1985"/>
        <w:gridCol w:w="850"/>
        <w:gridCol w:w="1418"/>
        <w:gridCol w:w="1134"/>
        <w:gridCol w:w="993"/>
        <w:gridCol w:w="1569"/>
      </w:tblGrid>
      <w:tr>
        <w:trPr>
          <w:tblHeader w:val="true"/>
        </w:trPr>
        <w:tc>
          <w:tcPr>
            <w:tcW w:w="567"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276"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85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709"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70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заявника</w:t>
            </w:r>
          </w:p>
        </w:tc>
        <w:tc>
          <w:tcPr>
            <w:tcW w:w="1985"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85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виробника</w:t>
            </w:r>
          </w:p>
        </w:tc>
        <w:tc>
          <w:tcPr>
            <w:tcW w:w="1418"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993"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Рекламування</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4"/>
              </w:numPr>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АДЕЛЬ® Д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tamsulosin and dutasteride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дутастерид, тамсулозину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G04CA52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капсули тверді, 0,5 мг/0,4 мг; по 30 капсул у флаконі, по 1 флакону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виробництво інтермедіату (дутастериду м’які желатинові капсули), виробництво лікарського засобу; первинне та вторинне пакування, контроль (хімічний/фізичний) і випуск серії: </w:t>
              <w:br/>
              <w:t>ЛАБОРАТОРІОС ЛЕОН ФАРМА С.А., Іспанiя;</w:t>
              <w:br/>
              <w:t>виробництво інтермедіату (пелети модифікованого вивільнення тамсулозину):</w:t>
              <w:br/>
              <w:t>ЗЕНТІВА С.А., Румунiя;</w:t>
              <w:br/>
              <w:t>виробництво інтермедіату (пелети модифікованого вивільнення тамсулозину), первинне та вторинне пакування лікарського засобу:</w:t>
              <w:br/>
              <w:t>ЛАБОРАТОРІОС ЛІКОНСА С.А., Іспанiя;</w:t>
              <w:br/>
              <w:t>мікробіологічний контроль:</w:t>
              <w:br/>
              <w:t>ЛАБОРАТОРІО ЕЧЕВАРНЕ, С.А., Іспанiя;</w:t>
              <w:br/>
              <w:t>хімічний / фізичний контроль:</w:t>
              <w:br/>
              <w:t>ФУНДАСЬОН ТЕКНАЛІЯ РІСЕРЧ ЕНД ІННОВЕЙШН, Іспанiя;</w:t>
              <w:br/>
              <w:t>хімічний / фізичний та мікробіологічний контроль:</w:t>
              <w:br/>
              <w:t>НЕТФАРМАЛАБ КОНСАЛТІНГ СЕРВІСЕЗ, Іспанiя;</w:t>
              <w:br/>
              <w:t xml:space="preserve">вторинне пакування: </w:t>
              <w:br/>
              <w:t>АТДІС ФАРМА, С.Л., Іспанiя;</w:t>
              <w:br/>
              <w:t>вторинне пакування:</w:t>
              <w:br/>
              <w:t>МАНАНТІАЛЬ ІНТЕГРА С.Л., Іспанiя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Іспанія/</w:t>
            </w:r>
          </w:p>
          <w:p>
            <w:pPr>
              <w:pStyle w:val="Normal"/>
              <w:tabs>
                <w:tab w:val="left" w:pos="12600" w:leader="none"/>
              </w:tabs>
              <w:jc w:val="center"/>
              <w:rPr>
                <w:rFonts w:ascii="Arial" w:hAnsi="Arial" w:cs="Arial"/>
                <w:sz w:val="16"/>
                <w:szCs w:val="16"/>
              </w:rPr>
            </w:pPr>
            <w:r>
              <w:rPr>
                <w:rFonts w:cs="Arial" w:ascii="Arial" w:hAnsi="Arial"/>
                <w:sz w:val="16"/>
                <w:szCs w:val="16"/>
              </w:rPr>
              <w:t>Румунія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реєстрація на 5 років</w:t>
              <w:br/>
              <w:br/>
              <w:t>Інструкція для медичного застосування лікарського засобу (eCTD версія 0006 ) Текст маркування упаковки лікарського засобу (eCTD версія 0006) Методи контролю якості лікарського засобу (eCTD версія 0011) Звіт згідно з Додатком 29 до Порядку (eCTD верcія 0007) Звіт згідно з Додатком 30 до Порядку (eCTD верcія 0007) План управління ризиками версія 3 погоджена (eCTD послідовність № 0003).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UA/21460/01/0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КЕТОРОЛАКУ ТРОМЕТАМОЛ (КЕТОРОЛАКУ ТРОМЕТАМІН)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ketorolac</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кеторолаку трометамол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кристалічний порошок (субстанція) у подвійних поліетиленових мішках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ВАСУДХА ФАРМА ЧЕМ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реєстрація на 5 років</w:t>
              <w:br/>
              <w:br/>
              <w:t>Проєкт МКЯ (версія документа 0002)</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UA/21461/01/0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МЕПЕНАМ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meropenem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меропенем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розчину для ін'єкцій та інфузій по 0,5 г у флаконі; in bulk: по 190 флаконів у коробці; in bulk: по 176 флаконів у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ПАТ "Київмедпрепарат"</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стерильної суміші, контроль якості:</w:t>
              <w:br/>
              <w:t>ЕйСіЕс ДОБФАР С.П.А., Італія;</w:t>
              <w:br/>
              <w:t>первинне пакування, контроль якості та випуск серії:</w:t>
              <w:br/>
              <w:t>ЕйСіЕс ДОБФАР С.П.А., Італія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Італія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реєстрація на 5 років</w:t>
              <w:br/>
              <w:br/>
              <w:t xml:space="preserve">Резюме плану управління ризиками версія 0.2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UA/21462/01/0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МЕПЕНАМ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meropenem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меропенем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розчину для ін'єкцій та інфузій по 1,0 г у флаконі; in bulk: по 190 флаконів у коробці; in bulk: по 176 флаконів у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ПАТ "Київмедпрепарат"</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стерильної суміші, контроль якості:</w:t>
              <w:br/>
              <w:t>ЕйСіЕс ДОБФАР С.П.А., Італія;</w:t>
              <w:br/>
              <w:t>первинне пакування, контроль якості та випуск серії:</w:t>
              <w:br/>
              <w:t>ЕйСіЕс ДОБФАР С.П.А., Італія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Італія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реєстрація на 5 років</w:t>
              <w:br/>
              <w:br/>
              <w:t xml:space="preserve">Резюме плану управління ризиками версія 0.2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UA/21462/01/0</w:t>
            </w:r>
            <w:r>
              <w:rPr>
                <w:rFonts w:cs="Arial" w:ascii="Arial" w:hAnsi="Arial"/>
                <w:sz w:val="16"/>
                <w:szCs w:val="16"/>
                <w:lang w:val="en-US"/>
              </w:rPr>
              <w:t>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МЕПЕНАМ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meropenem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меропенем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J01DH02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розчину для ін’єкцій та інфузій по 0,5 г у флаконі; по 1 або по 10 флаконів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ПАТ "Київмедпрепарат"</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ПАТ "Київмедпрепарат"</w:t>
              <w:br/>
              <w:t>(Виробництво з продукції in bulk фірми-виробника ЕйСіЕс ДОБФАР С.П.А., Італія: вторинне пакування, контроль якості, випуск серії)</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реєстрація на 5років</w:t>
            </w:r>
          </w:p>
          <w:p>
            <w:pPr>
              <w:pStyle w:val="Normal"/>
              <w:tabs>
                <w:tab w:val="left" w:pos="12600" w:leader="none"/>
              </w:tabs>
              <w:jc w:val="center"/>
              <w:rPr>
                <w:rFonts w:ascii="Arial" w:hAnsi="Arial" w:cs="Arial"/>
                <w:sz w:val="16"/>
                <w:szCs w:val="16"/>
              </w:rPr>
            </w:pPr>
            <w:r>
              <w:rPr>
                <w:rFonts w:cs="Arial" w:ascii="Arial" w:hAnsi="Arial"/>
                <w:sz w:val="16"/>
                <w:szCs w:val="16"/>
              </w:rPr>
              <w:br/>
              <w:t>Резюме ПУР версія 0.2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UA/21463/01/0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МЕПЕНАМ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sz w:val="16"/>
                <w:szCs w:val="16"/>
              </w:rPr>
              <w:t>meropenem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меропенем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J01DH02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розчину для ін’єкцій та інфузій по 1,0 г у флаконі; по 1 або по 10 флаконів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ПАТ "Київмедпрепарат"</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ПАТ "Київмедпрепарат"</w:t>
              <w:br/>
              <w:t>(Виробництво з продукції in bulk фірми-виробника ЕйСіЕс ДОБФАР С.П.А., Італія: вторинне пакування, контроль якості, випуск серії)</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реєстрація на 5років</w:t>
            </w:r>
          </w:p>
          <w:p>
            <w:pPr>
              <w:pStyle w:val="Normal"/>
              <w:tabs>
                <w:tab w:val="left" w:pos="12600" w:leader="none"/>
              </w:tabs>
              <w:jc w:val="center"/>
              <w:rPr>
                <w:rFonts w:ascii="Arial" w:hAnsi="Arial" w:cs="Arial"/>
                <w:sz w:val="16"/>
                <w:szCs w:val="16"/>
              </w:rPr>
            </w:pPr>
            <w:r>
              <w:rPr>
                <w:rFonts w:cs="Arial" w:ascii="Arial" w:hAnsi="Arial"/>
                <w:sz w:val="16"/>
                <w:szCs w:val="16"/>
              </w:rPr>
              <w:br/>
              <w:t>Резюме ПУР версія 0.2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UA/21463/01/0</w:t>
            </w:r>
            <w:r>
              <w:rPr>
                <w:rFonts w:cs="Arial" w:ascii="Arial" w:hAnsi="Arial"/>
                <w:sz w:val="16"/>
                <w:szCs w:val="16"/>
                <w:lang w:val="en-US"/>
              </w:rPr>
              <w:t>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НІФУРОКСАЗИД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nifuroxazide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ніфуроксазид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A07AX03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200 мг, по 10 таблеток у блістері; по 1 блістеру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"Тернофарм"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"Тернофарм"</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реєстрація на 5 років</w:t>
              <w:br/>
              <w:br/>
              <w:t xml:space="preserve">Резюме плану управління ризиками версія 0.2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UA/21464/01/0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ПІКРЕЙ</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alpelisib</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алпелісіб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L01EM03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150 мг; 28 таблеток: по 14 таблеток у блістер-карті, по 2 блістер-карти у коробці; 56 таблеток: по 14 таблеток у блістер-карті, по 4 блістер-карти у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Новартіс Фарма АГ</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контроль якості:</w:t>
              <w:br/>
              <w:t>Новартіс Фарма Штейн АГ, Швейцарія;</w:t>
              <w:br/>
              <w:t>Первинне та вторинне пакування, випуск серії:</w:t>
              <w:br/>
              <w:t>Новартіс Фармасьютикал Мануфактурінг ЛЛС, Словенія;</w:t>
              <w:br/>
              <w:t>Контроль якості:</w:t>
              <w:br/>
              <w:t>Новартіс Фармасьютикалс С.Р.Л., Румунія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Швейцарія/</w:t>
            </w:r>
          </w:p>
          <w:p>
            <w:pPr>
              <w:pStyle w:val="Normal"/>
              <w:tabs>
                <w:tab w:val="left" w:pos="12600" w:leader="none"/>
              </w:tabs>
              <w:jc w:val="center"/>
              <w:rPr>
                <w:rFonts w:ascii="Arial" w:hAnsi="Arial" w:cs="Arial"/>
                <w:sz w:val="16"/>
                <w:szCs w:val="16"/>
              </w:rPr>
            </w:pPr>
            <w:r>
              <w:rPr>
                <w:rFonts w:cs="Arial" w:ascii="Arial" w:hAnsi="Arial"/>
                <w:sz w:val="16"/>
                <w:szCs w:val="16"/>
              </w:rPr>
              <w:t>Словенія/</w:t>
            </w:r>
          </w:p>
          <w:p>
            <w:pPr>
              <w:pStyle w:val="Normal"/>
              <w:tabs>
                <w:tab w:val="left" w:pos="12600" w:leader="none"/>
              </w:tabs>
              <w:jc w:val="center"/>
              <w:rPr>
                <w:rFonts w:ascii="Arial" w:hAnsi="Arial" w:cs="Arial"/>
                <w:sz w:val="16"/>
                <w:szCs w:val="16"/>
              </w:rPr>
            </w:pPr>
            <w:r>
              <w:rPr>
                <w:rFonts w:cs="Arial" w:ascii="Arial" w:hAnsi="Arial"/>
                <w:sz w:val="16"/>
                <w:szCs w:val="16"/>
              </w:rPr>
              <w:t>Румунія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реєстрація на 5 років</w:t>
              <w:br/>
              <w:br/>
              <w:t>Резюме плану управління ризиками версія 9.0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UA/21465/01/0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ПІКРЕЙ</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alpelisib</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алпелісіб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L01EM03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таблетки, вкриті плівковою оболонкою, по 200 мг; 14 таблеток: по 14 таблеток у блістер-карті, по 1 блістер-карті у коробці; </w:t>
              <w:br/>
              <w:t>28 таблеток: по 14 таблеток у блістер-карті, по 2 блістер-карти у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Новартіс Фарма АГ</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контроль якості:</w:t>
              <w:br/>
              <w:t>Новартіс Фарма Штейн АГ, Швейцарія;</w:t>
              <w:br/>
              <w:t>Первинне та вторинне пакування, випуск серії:</w:t>
              <w:br/>
              <w:t>Новартіс Фармасьютикал Мануфактурінг ЛЛС, Словенія;</w:t>
              <w:br/>
              <w:t>Контроль якості:</w:t>
              <w:br/>
              <w:t>Новартіс Фармасьютикалс С.Р.Л., Румунія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Швейцарія/</w:t>
            </w:r>
          </w:p>
          <w:p>
            <w:pPr>
              <w:pStyle w:val="Normal"/>
              <w:tabs>
                <w:tab w:val="left" w:pos="12600" w:leader="none"/>
              </w:tabs>
              <w:jc w:val="center"/>
              <w:rPr>
                <w:rFonts w:ascii="Arial" w:hAnsi="Arial" w:cs="Arial"/>
                <w:sz w:val="16"/>
                <w:szCs w:val="16"/>
              </w:rPr>
            </w:pPr>
            <w:r>
              <w:rPr>
                <w:rFonts w:cs="Arial" w:ascii="Arial" w:hAnsi="Arial"/>
                <w:sz w:val="16"/>
                <w:szCs w:val="16"/>
              </w:rPr>
              <w:t>Словенія/</w:t>
            </w:r>
          </w:p>
          <w:p>
            <w:pPr>
              <w:pStyle w:val="Normal"/>
              <w:tabs>
                <w:tab w:val="left" w:pos="12600" w:leader="none"/>
              </w:tabs>
              <w:jc w:val="center"/>
              <w:rPr>
                <w:rFonts w:ascii="Arial" w:hAnsi="Arial" w:cs="Arial"/>
                <w:sz w:val="16"/>
                <w:szCs w:val="16"/>
              </w:rPr>
            </w:pPr>
            <w:r>
              <w:rPr>
                <w:rFonts w:cs="Arial" w:ascii="Arial" w:hAnsi="Arial"/>
                <w:sz w:val="16"/>
                <w:szCs w:val="16"/>
              </w:rPr>
              <w:t>Румунія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реєстрація на 5 років</w:t>
              <w:br/>
              <w:br/>
              <w:t>Резюме плану управління ризиками версія 9.0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UA/21465/01/0</w:t>
            </w:r>
            <w:r>
              <w:rPr>
                <w:rFonts w:cs="Arial" w:ascii="Arial" w:hAnsi="Arial"/>
                <w:sz w:val="16"/>
                <w:szCs w:val="16"/>
                <w:lang w:val="en-US"/>
              </w:rPr>
              <w:t>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ПІКРЕЙ</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alpelisib</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алпелісіб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L01EM03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200 мг та по 50 мг; 28 таблеток (14 таблеток по 50 мг та 14 таблеток по 200 мг): по 7 таблеток дозуванням 50 мг та по 7 таблеток дозуванням 200 мг у блістер-карті, по 2 блістер-карти у коробці; 56 таблеток (28 таблеток по 50 мг та 28 таблеток по 200 мг): по 7 таблеток дозуванням 50 мг та по 7 таблеток дозуванням 200 мг у блістер-карті, по 4 блістер-карти у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Новартіс Фарма АГ</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контроль якості:</w:t>
              <w:br/>
              <w:t>Новартіс Фарма Штейн АГ, Швейцарія;</w:t>
              <w:br/>
              <w:t>Первинне та вторинне пакування, випуск серії:</w:t>
              <w:br/>
              <w:t>Новартіс Фармасьютикал Мануфактурінг ЛЛС, Словенія;</w:t>
              <w:br/>
              <w:t>Контроль якості:</w:t>
              <w:br/>
              <w:t>Новартіс Фармасьютикалс С.Р.Л., Румунія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Швейцарія/</w:t>
            </w:r>
          </w:p>
          <w:p>
            <w:pPr>
              <w:pStyle w:val="Normal"/>
              <w:tabs>
                <w:tab w:val="left" w:pos="12600" w:leader="none"/>
              </w:tabs>
              <w:jc w:val="center"/>
              <w:rPr>
                <w:rFonts w:ascii="Arial" w:hAnsi="Arial" w:cs="Arial"/>
                <w:sz w:val="16"/>
                <w:szCs w:val="16"/>
              </w:rPr>
            </w:pPr>
            <w:r>
              <w:rPr>
                <w:rFonts w:cs="Arial" w:ascii="Arial" w:hAnsi="Arial"/>
                <w:sz w:val="16"/>
                <w:szCs w:val="16"/>
              </w:rPr>
              <w:t>Словенія/</w:t>
            </w:r>
          </w:p>
          <w:p>
            <w:pPr>
              <w:pStyle w:val="Normal"/>
              <w:tabs>
                <w:tab w:val="left" w:pos="12600" w:leader="none"/>
              </w:tabs>
              <w:jc w:val="center"/>
              <w:rPr>
                <w:rFonts w:ascii="Arial" w:hAnsi="Arial" w:cs="Arial"/>
                <w:sz w:val="16"/>
                <w:szCs w:val="16"/>
              </w:rPr>
            </w:pPr>
            <w:r>
              <w:rPr>
                <w:rFonts w:cs="Arial" w:ascii="Arial" w:hAnsi="Arial"/>
                <w:sz w:val="16"/>
                <w:szCs w:val="16"/>
              </w:rPr>
              <w:t>Румунія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реєстрація на 5 років</w:t>
              <w:br/>
              <w:br/>
              <w:t>Резюме плану управління ризиками версія 9.0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UA/21466/01/0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ФІБГАЛ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fenofibrate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фенофібрат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C10AB05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145 мг, по 10 таблеток у блістері, по 10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Ауробіндо Фарма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Ауробіндо Фарма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реєстрація на 5 років</w:t>
              <w:br/>
              <w:br/>
              <w:t>Резюме плану управління ризиками версія 1.1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UA/21467/01/0</w:t>
            </w:r>
            <w:r>
              <w:rPr>
                <w:rFonts w:cs="Arial" w:ascii="Arial" w:hAnsi="Arial"/>
                <w:sz w:val="16"/>
                <w:szCs w:val="16"/>
                <w:lang w:val="en-US"/>
              </w:rPr>
              <w:t>1</w:t>
            </w:r>
          </w:p>
        </w:tc>
      </w:tr>
    </w:tbl>
    <w:p>
      <w:pPr>
        <w:pStyle w:val="Normal"/>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7">
        <w:r>
          <w:rPr>
            <w:rStyle w:val="InternetLink"/>
            <w:i/>
            <w:color w:val="000000"/>
            <w:szCs w:val="16"/>
          </w:rPr>
          <w:t>https://www.whocc.no/atc_ddd_index/</w:t>
        </w:r>
      </w:hyperlink>
      <w:r>
        <w:rPr>
          <w:rStyle w:val="InternetLink"/>
          <w:i/>
          <w:color w:val="000000"/>
          <w:szCs w:val="16"/>
        </w:rPr>
        <w:t>)</w:t>
      </w:r>
    </w:p>
    <w:p>
      <w:pPr>
        <w:pStyle w:val="Normal"/>
        <w:rPr>
          <w:rStyle w:val="InternetLink"/>
          <w:i/>
          <w:i/>
          <w:color w:val="000000"/>
          <w:szCs w:val="16"/>
        </w:rPr>
      </w:pPr>
      <w:r>
        <w:rPr/>
      </w:r>
    </w:p>
    <w:p>
      <w:pPr>
        <w:pStyle w:val="Normal"/>
        <w:rPr/>
      </w:pPr>
      <w:r>
        <w:rPr>
          <w:rStyle w:val="InternetLink"/>
          <w:rFonts w:cs="Times New Roman"/>
          <w:b/>
          <w:bCs/>
          <w:iCs/>
          <w:color w:val="000000"/>
          <w:sz w:val="28"/>
          <w:szCs w:val="28"/>
          <w:u w:val="none"/>
        </w:rPr>
        <w:t>Начальник</w:t>
      </w:r>
    </w:p>
    <w:p>
      <w:pPr>
        <w:pStyle w:val="Normal"/>
        <w:rPr>
          <w:b/>
          <w:b/>
          <w:bCs/>
          <w:iCs/>
          <w:sz w:val="28"/>
          <w:szCs w:val="28"/>
        </w:rPr>
      </w:pPr>
      <w:r>
        <w:rPr>
          <w:rStyle w:val="InternetLink"/>
          <w:rFonts w:cs="Times New Roman"/>
          <w:b/>
          <w:bCs/>
          <w:iCs/>
          <w:color w:val="000000"/>
          <w:sz w:val="28"/>
          <w:szCs w:val="28"/>
          <w:u w:val="none"/>
        </w:rPr>
        <w:t>Фармацевтичного управління                                                                                                               Олександр ГРІЦЕНКО</w:t>
      </w:r>
    </w:p>
    <w:p>
      <w:pPr>
        <w:sectPr>
          <w:headerReference w:type="default" r:id="rId8"/>
          <w:headerReference w:type="first" r:id="rId9"/>
          <w:footerReference w:type="default" r:id="rId10"/>
          <w:footerReference w:type="first" r:id="rId11"/>
          <w:type w:val="nextPage"/>
          <w:pgSz w:orient="landscape" w:w="16838" w:h="11906"/>
          <w:pgMar w:left="1077" w:right="1134" w:header="709" w:top="907" w:footer="709" w:bottom="907" w:gutter="0"/>
          <w:pgNumType w:fmt="decimal"/>
          <w:formProt w:val="false"/>
          <w:titlePg/>
          <w:textDirection w:val="lrTb"/>
          <w:docGrid w:type="default" w:linePitch="360" w:charSpace="0"/>
        </w:sectPr>
        <w:pStyle w:val="11"/>
        <w:rPr>
          <w:rStyle w:val="Cs7864ebcf1"/>
          <w:color w:val="000000"/>
          <w:sz w:val="16"/>
          <w:szCs w:val="16"/>
        </w:rPr>
      </w:pPr>
      <w:r>
        <w:rPr>
          <w:b/>
          <w:bCs/>
          <w:iCs/>
          <w:sz w:val="28"/>
          <w:szCs w:val="28"/>
        </w:rPr>
      </w:r>
    </w:p>
    <w:p>
      <w:pPr>
        <w:pStyle w:val="Normal"/>
        <w:rPr>
          <w:rStyle w:val="Cs7864ebcf1"/>
          <w:rFonts w:ascii="Arial" w:hAnsi="Arial" w:cs="Arial"/>
          <w:b/>
          <w:b/>
          <w:color w:val="000000"/>
          <w:sz w:val="16"/>
          <w:szCs w:val="16"/>
          <w:lang w:val="uk-UA"/>
        </w:rPr>
      </w:pPr>
      <w:r>
        <w:rPr/>
      </w:r>
    </w:p>
    <w:tbl>
      <w:tblPr>
        <w:tblW w:w="3825" w:type="dxa"/>
        <w:jc w:val="left"/>
        <w:tblInd w:w="11448" w:type="dxa"/>
        <w:tblBorders/>
        <w:tblCellMar>
          <w:top w:w="0" w:type="dxa"/>
          <w:left w:w="108" w:type="dxa"/>
          <w:bottom w:w="0" w:type="dxa"/>
          <w:right w:w="108" w:type="dxa"/>
        </w:tblCellMar>
      </w:tblPr>
      <w:tblGrid>
        <w:gridCol w:w="3825"/>
      </w:tblGrid>
      <w:tr>
        <w:trPr/>
        <w:tc>
          <w:tcPr>
            <w:tcW w:w="3825" w:type="dxa"/>
            <w:tcBorders/>
            <w:shd w:fill="auto" w:val="clear"/>
          </w:tcPr>
          <w:p>
            <w:pPr>
              <w:pStyle w:val="Heading4"/>
              <w:numPr>
                <w:ilvl w:val="3"/>
                <w:numId w:val="1"/>
              </w:numPr>
              <w:tabs>
                <w:tab w:val="left" w:pos="12600" w:leader="none"/>
              </w:tabs>
              <w:spacing w:before="0" w:after="0"/>
              <w:rPr>
                <w:bCs w:val="false"/>
                <w:iCs/>
                <w:sz w:val="18"/>
                <w:szCs w:val="18"/>
              </w:rPr>
            </w:pPr>
            <w:r>
              <w:rPr>
                <w:bCs w:val="false"/>
                <w:iCs/>
                <w:sz w:val="18"/>
                <w:szCs w:val="18"/>
              </w:rPr>
              <w:t>Додаток 2</w:t>
            </w:r>
          </w:p>
          <w:p>
            <w:pPr>
              <w:pStyle w:val="Heading4"/>
              <w:numPr>
                <w:ilvl w:val="3"/>
                <w:numId w:val="1"/>
              </w:numPr>
              <w:tabs>
                <w:tab w:val="left" w:pos="12600" w:leader="none"/>
              </w:tabs>
              <w:spacing w:before="0" w:after="0"/>
              <w:rPr>
                <w:bCs w:val="false"/>
                <w:iCs/>
                <w:sz w:val="18"/>
                <w:szCs w:val="18"/>
              </w:rPr>
            </w:pPr>
            <w:r>
              <w:rPr>
                <w:bCs w:val="false"/>
                <w:iCs/>
                <w:sz w:val="18"/>
                <w:szCs w:val="18"/>
              </w:rPr>
              <w:t>до наказу Міністерства охорони</w:t>
            </w:r>
          </w:p>
          <w:p>
            <w:pPr>
              <w:pStyle w:val="Heading4"/>
              <w:numPr>
                <w:ilvl w:val="3"/>
                <w:numId w:val="1"/>
              </w:numPr>
              <w:tabs>
                <w:tab w:val="left" w:pos="12600" w:leader="none"/>
              </w:tabs>
              <w:spacing w:before="0" w:after="0"/>
              <w:rPr/>
            </w:pPr>
            <w:r>
              <w:rPr>
                <w:bCs w:val="false"/>
                <w:iCs/>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pPr>
              <w:pStyle w:val="11"/>
              <w:rPr>
                <w:rFonts w:ascii="Arial" w:hAnsi="Arial" w:cs="Arial"/>
                <w:sz w:val="20"/>
                <w:szCs w:val="20"/>
              </w:rPr>
            </w:pPr>
            <w:r>
              <w:rPr>
                <w:b/>
                <w:bCs/>
                <w:iCs/>
                <w:sz w:val="18"/>
                <w:szCs w:val="18"/>
                <w:u w:val="single"/>
              </w:rPr>
              <w:t>від_30 вересня 2026 року  № 1454</w:t>
            </w:r>
          </w:p>
        </w:tc>
      </w:tr>
    </w:tbl>
    <w:p>
      <w:pPr>
        <w:pStyle w:val="Normal"/>
        <w:keepNext w:val="true"/>
        <w:numPr>
          <w:ilvl w:val="0"/>
          <w:numId w:val="0"/>
        </w:numPr>
        <w:tabs>
          <w:tab w:val="left" w:pos="12600" w:leader="none"/>
        </w:tabs>
        <w:jc w:val="center"/>
        <w:outlineLvl w:val="1"/>
        <w:rPr>
          <w:rFonts w:ascii="Arial" w:hAnsi="Arial" w:cs="Arial"/>
          <w:b/>
          <w:b/>
          <w:caps/>
          <w:sz w:val="16"/>
          <w:szCs w:val="16"/>
        </w:rPr>
      </w:pPr>
      <w:r>
        <w:rPr>
          <w:rFonts w:cs="Arial" w:ascii="Arial" w:hAnsi="Arial"/>
          <w:b/>
          <w:caps/>
          <w:sz w:val="16"/>
          <w:szCs w:val="16"/>
        </w:rPr>
      </w:r>
    </w:p>
    <w:p>
      <w:pPr>
        <w:pStyle w:val="Normal"/>
        <w:keepNext w:val="true"/>
        <w:numPr>
          <w:ilvl w:val="0"/>
          <w:numId w:val="0"/>
        </w:numPr>
        <w:tabs>
          <w:tab w:val="left" w:pos="12600" w:leader="none"/>
        </w:tabs>
        <w:jc w:val="center"/>
        <w:outlineLvl w:val="1"/>
        <w:rPr>
          <w:b/>
          <w:b/>
          <w:caps/>
          <w:sz w:val="28"/>
          <w:szCs w:val="28"/>
        </w:rPr>
      </w:pPr>
      <w:r>
        <w:rPr>
          <w:b/>
          <w:caps/>
          <w:sz w:val="28"/>
          <w:szCs w:val="28"/>
        </w:rPr>
        <w:t>ПЕРЕЛІК</w:t>
      </w:r>
    </w:p>
    <w:p>
      <w:pPr>
        <w:pStyle w:val="Normal"/>
        <w:keepNext w:val="true"/>
        <w:numPr>
          <w:ilvl w:val="0"/>
          <w:numId w:val="0"/>
        </w:numPr>
        <w:tabs>
          <w:tab w:val="left" w:pos="12600" w:leader="none"/>
        </w:tabs>
        <w:jc w:val="center"/>
        <w:outlineLvl w:val="3"/>
        <w:rPr>
          <w:b/>
          <w:b/>
          <w:caps/>
          <w:sz w:val="28"/>
          <w:szCs w:val="28"/>
        </w:rPr>
      </w:pPr>
      <w:r>
        <w:rPr>
          <w:b/>
          <w:caps/>
          <w:sz w:val="28"/>
          <w:szCs w:val="28"/>
        </w:rPr>
        <w:t>ПЕРЕРЕЄСТРОВАНИХ ЛІКАРСЬКИХ ЗАСОБІВ (МЕДИЧНИХ ІМУНОБІОЛОГІЧНИХ ПРЕПАРАТІВ), ЯКІ ВНОСЯТЬСЯ ДО ДЕРЖАВНОГО РЕЄСТРУ ЛІКАРСЬКИХ ЗАСОБІВ УКРАЇНИ</w:t>
      </w:r>
    </w:p>
    <w:p>
      <w:pPr>
        <w:pStyle w:val="Normal"/>
        <w:keepNext w:val="true"/>
        <w:numPr>
          <w:ilvl w:val="0"/>
          <w:numId w:val="0"/>
        </w:numPr>
        <w:tabs>
          <w:tab w:val="left" w:pos="12600" w:leader="none"/>
        </w:tabs>
        <w:jc w:val="center"/>
        <w:outlineLvl w:val="3"/>
        <w:rPr>
          <w:rFonts w:ascii="Arial" w:hAnsi="Arial" w:cs="Arial"/>
          <w:b/>
          <w:b/>
          <w:caps/>
          <w:sz w:val="28"/>
          <w:szCs w:val="28"/>
        </w:rPr>
      </w:pPr>
      <w:r>
        <w:rPr>
          <w:rFonts w:cs="Arial" w:ascii="Arial" w:hAnsi="Arial"/>
          <w:b/>
          <w:caps/>
          <w:sz w:val="28"/>
          <w:szCs w:val="28"/>
        </w:rPr>
      </w:r>
    </w:p>
    <w:tbl>
      <w:tblPr>
        <w:tblW w:w="16028" w:type="dxa"/>
        <w:jc w:val="left"/>
        <w:tblInd w:w="-464"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7"/>
        <w:gridCol w:w="1276"/>
        <w:gridCol w:w="851"/>
        <w:gridCol w:w="850"/>
        <w:gridCol w:w="567"/>
        <w:gridCol w:w="1559"/>
        <w:gridCol w:w="993"/>
        <w:gridCol w:w="850"/>
        <w:gridCol w:w="1418"/>
        <w:gridCol w:w="850"/>
        <w:gridCol w:w="2835"/>
        <w:gridCol w:w="992"/>
        <w:gridCol w:w="993"/>
        <w:gridCol w:w="1427"/>
      </w:tblGrid>
      <w:tr>
        <w:trPr>
          <w:tblHeader w:val="true"/>
        </w:trPr>
        <w:tc>
          <w:tcPr>
            <w:tcW w:w="567"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276"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85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85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567"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559"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993"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85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заявника</w:t>
            </w:r>
          </w:p>
        </w:tc>
        <w:tc>
          <w:tcPr>
            <w:tcW w:w="1418"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85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виробника</w:t>
            </w:r>
          </w:p>
        </w:tc>
        <w:tc>
          <w:tcPr>
            <w:tcW w:w="2835"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993"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Рекламування</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5"/>
              </w:numPr>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АНГЕЛОН®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adenosine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аденозин-5’-трифосфатогістидинато-магнію(ІІ) трикалієву сіль октагідрат</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C01EB10</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20 мг; по 10 таблеток у блістері; по 3 або 4 блістери в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"Фармацевтична компанія "ФарКоС"</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ТОВ "Фармацевтична компанія "ФарКоС"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перереєстрація на необмежений термін</w:t>
            </w:r>
          </w:p>
          <w:p>
            <w:pPr>
              <w:pStyle w:val="Normal"/>
              <w:tabs>
                <w:tab w:val="left" w:pos="12600" w:leader="none"/>
              </w:tabs>
              <w:jc w:val="center"/>
              <w:rPr>
                <w:rFonts w:ascii="Arial" w:hAnsi="Arial" w:cs="Arial"/>
                <w:sz w:val="16"/>
                <w:szCs w:val="16"/>
              </w:rPr>
            </w:pPr>
            <w:r>
              <w:rPr>
                <w:rFonts w:cs="Arial" w:ascii="Arial" w:hAnsi="Arial"/>
                <w:sz w:val="16"/>
                <w:szCs w:val="16"/>
              </w:rPr>
              <w:br/>
              <w:t>Оновлено інформацію в інструкції для медичного застосування лікарського засобу у розділах "Фармакотерапевтична група. Код ATX" (уточнення назви згідно міжнародного класифікатора ВООЗ без зміни коду АТХ),"Побічні реакції" відповідно до матеріалів реєстраційного досьє.</w:t>
              <w:br/>
              <w:br/>
              <w:t>Резюме плану управління ризиками версія 2.1 додається.</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UA/18594/01/01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АНГЕЛОН®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adenosine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аденозин-5’-трифосфатогістидинато-магнію(ІІ) трикалієву сіль октагідрат</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C01EB10</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зі смаком ментолу по 20 мг; по 10 таблеток у блістері; по 3 або 4 блістери в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"Фармацевтична компанія "ФарКоС"</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ТОВ "Фармацевтична компанія "ФарКоС"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Перереєстрація на необмежений термін.</w:t>
            </w:r>
          </w:p>
          <w:p>
            <w:pPr>
              <w:pStyle w:val="Normal"/>
              <w:tabs>
                <w:tab w:val="left" w:pos="12600" w:leader="none"/>
              </w:tabs>
              <w:jc w:val="center"/>
              <w:rPr>
                <w:rFonts w:ascii="Arial" w:hAnsi="Arial" w:cs="Arial"/>
                <w:sz w:val="16"/>
                <w:szCs w:val="16"/>
              </w:rPr>
            </w:pPr>
            <w:r>
              <w:rPr>
                <w:rFonts w:cs="Arial" w:ascii="Arial" w:hAnsi="Arial"/>
                <w:sz w:val="16"/>
                <w:szCs w:val="16"/>
              </w:rPr>
              <w:br/>
              <w:t>Оновлено інформацію в інструкції для медичного застосування лікарського засобу у розділах "Фармакотерапевтична група. Код ATX" (уточнення назви згідно міжнародного класифікатора ВООЗ без зміни коду АТХ),"Побічні реакції" відповідно до матеріалів реєстраційного досьє.</w:t>
              <w:br/>
              <w:br/>
              <w:t>Резюме плану управління ризиками версія 2.1 додається.</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UA/19051/01/02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БІОТЕБАЛ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biotin</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біотин</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A11HA05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10 мг; по 15 таблеток у блістері; по 2, 4 або 6 блістерів у картонній коробці; по 20 таблеток у блістері; по 6 блістерів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Фармацевтичний завод “ПОЛЬФАРМА”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Фармацевтичний завод “ПОЛЬФАРМА”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Польща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Перереєстрація на необмежений термін</w:t>
            </w:r>
          </w:p>
          <w:p>
            <w:pPr>
              <w:pStyle w:val="Normal"/>
              <w:tabs>
                <w:tab w:val="left" w:pos="12600" w:leader="none"/>
              </w:tabs>
              <w:jc w:val="center"/>
              <w:rPr>
                <w:rFonts w:ascii="Arial" w:hAnsi="Arial" w:cs="Arial"/>
                <w:sz w:val="16"/>
                <w:szCs w:val="16"/>
              </w:rPr>
            </w:pPr>
            <w:r>
              <w:rPr>
                <w:rFonts w:cs="Arial" w:ascii="Arial" w:hAnsi="Arial"/>
                <w:sz w:val="16"/>
                <w:szCs w:val="16"/>
              </w:rPr>
              <w:br/>
              <w:t>Оновлено інформацію в інструкції для медичного застосування лікарського засобу у розділах "Фармакологічні властивості", "Спосіб застосування та дози", "Побічні реакції" відповідно до матеріалів реєстраційного досьє.</w:t>
              <w:br/>
              <w:br/>
              <w:t>Резюме плану управління ризиками версія 1.1 додається.</w:t>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UA/18951/01/02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ГЕПАМЕТІОН®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ademetionine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S-аденозил-L-метіоніну 1,4 бутандисульфонат (у перерахуванні на адеметіоніну катіон)</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A16AA02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ліофілізат для розчину для ін'єкцій по 500 мг, по 5 флаконів з ліофілізатом у комплекті з 5 ампулами розчинника по 5 мл в контурній чарунковій упаковці; по 1 контурній чарунковій упаковці в пачці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"АРТЕРІУМ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розчинника:</w:t>
              <w:br/>
              <w:t>ПАТ "Галичфарм"</w:t>
              <w:br/>
              <w:t>Україна;</w:t>
              <w:br/>
              <w:t>виробництво ліофілізату, випуск серії готового лікарського засобу:</w:t>
              <w:br/>
              <w:t>ПАТ "Київмедпрепарат",</w:t>
              <w:br/>
              <w:t>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Перереєстрація на необмежений термін. </w:t>
              <w:br/>
              <w:br/>
              <w:t>Резюме плану управління ризиками версія 1.2 додається.</w:t>
              <w:br/>
              <w:t xml:space="preserve">Періодичність подання регулярно оновлюваного звіту з безпеки, відповідно до Порядку здійснення фармаконагляду, затверджений наказом МОЗ України від 27.12.2006 № 898 (зі змінами), становить: згідно зі строками, зазначеними у періодичності подання регулярних звітів з безпеки.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UA/18995/01/01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ІКЗИМ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cefixime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цефіксиму тригідрат</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J01DD08</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400 мг; по 10 таблеток у блістері, по 1 блістеру в картонній упаковці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Скай Фарма ВЗ-ТОВ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Об'єднанi Арабськi Емiрати</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Сенс Лабораторіс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Перереєстрація на необмежений термін.</w:t>
            </w:r>
          </w:p>
          <w:p>
            <w:pPr>
              <w:pStyle w:val="Normal"/>
              <w:tabs>
                <w:tab w:val="left" w:pos="12600" w:leader="none"/>
              </w:tabs>
              <w:jc w:val="center"/>
              <w:rPr>
                <w:rFonts w:ascii="Arial" w:hAnsi="Arial" w:cs="Arial"/>
                <w:sz w:val="16"/>
                <w:szCs w:val="16"/>
              </w:rPr>
            </w:pPr>
            <w:r>
              <w:rPr>
                <w:rFonts w:cs="Arial" w:ascii="Arial" w:hAnsi="Arial"/>
                <w:sz w:val="16"/>
                <w:szCs w:val="16"/>
              </w:rPr>
              <w:br/>
              <w:t>Оновлено інформацію в інструкції для медичного застосування лікарського засобу в розділах: "Фармакотерапевтична група. Код АТХ" (уточнено назву фармакотерапевтичної групи без зміни коду АТХ), "Особливості застосування", "Спосіб застосування та дози", "Передозування", "Побічні реакції" відповідно до оновленої інформації з безпеки застосування діючої речовини, а також в розділ "Побічні реакції" щодо важливості звітування про підозрювані побічні реакції.</w:t>
              <w:br/>
              <w:br/>
              <w:t>Резюме плану управління ризиками версія 1.2 додається.</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UA/19050/01/01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МІНОКСИДИЛ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minoxidil</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міноксидил</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(субстанція) в поліетиленових пакетах для фармацевтичного застосування</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ПП "МЕДЕО"</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ВПЛ Кемікалз Пвт. Лтд.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Перереєстрація на необмежений термін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UA/18568/01/01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ПАНТЕНОЛ-ЗДОРОВ'Я АЕРОЗОЛЬ</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dexpanthenol</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декспантенол</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D03AX03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піна нашкірна, 50 мг/г; по 58,5 г або по 117,0 г у балоні з клапаном-насосом, насадкою-розпилювачем та захисним ковпачком; по 1 балону у коробці з картону </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ТОВАРИСТВО З ОБМЕЖЕНОЮ ВІДПОВІДАЛЬНІСТЮ «КОРПОРАЦІЯ «ЗДОРОВ’Я»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ТОВАРИСТВО З ОБМЕЖЕНОЮ ВІДПОВІДАЛЬНІСТЮ «КОРПОРАЦІЯ «ЗДОРОВ’Я»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Перереєстрація на необмежений термін</w:t>
            </w:r>
          </w:p>
          <w:p>
            <w:pPr>
              <w:pStyle w:val="Normal"/>
              <w:tabs>
                <w:tab w:val="left" w:pos="12600" w:leader="none"/>
              </w:tabs>
              <w:jc w:val="center"/>
              <w:rPr>
                <w:rFonts w:ascii="Arial" w:hAnsi="Arial" w:cs="Arial"/>
                <w:sz w:val="16"/>
                <w:szCs w:val="16"/>
              </w:rPr>
            </w:pPr>
            <w:r>
              <w:rPr>
                <w:rFonts w:cs="Arial" w:ascii="Arial" w:hAnsi="Arial"/>
                <w:sz w:val="16"/>
                <w:szCs w:val="16"/>
              </w:rPr>
              <w:br/>
              <w:t>Оновлено інформацію в інструкції для медичного застосування лікарського засобу у розділі "Побічні реакції" щодо важливості звітування про побічні реакції.</w:t>
              <w:br/>
              <w:br/>
              <w:t>Резюме плану управління ризиками версія 1.1 додається.</w:t>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UA/19009/02/01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САНЦЕД - 1000</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ceftazidime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цефтазидиму пентагідрат</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J01DD02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розчину для ін'єкцій по 1000 мг, по 1 флакону з порошком у картонній упаковці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Cенс Лабораторіc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Cенс Лабораторіc Пвт. Лтд.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Перереєстрація на необмежений термін. </w:t>
            </w:r>
          </w:p>
          <w:p>
            <w:pPr>
              <w:pStyle w:val="Normal"/>
              <w:tabs>
                <w:tab w:val="left" w:pos="12600" w:leader="none"/>
              </w:tabs>
              <w:jc w:val="center"/>
              <w:rPr>
                <w:rFonts w:ascii="Arial" w:hAnsi="Arial" w:cs="Arial"/>
                <w:sz w:val="16"/>
                <w:szCs w:val="16"/>
              </w:rPr>
            </w:pPr>
            <w:r>
              <w:rPr>
                <w:rFonts w:cs="Arial" w:ascii="Arial" w:hAnsi="Arial"/>
                <w:sz w:val="16"/>
                <w:szCs w:val="16"/>
              </w:rPr>
              <w:br/>
              <w:t xml:space="preserve">Оновлено інформацію в інструкції для медичного застосування лікарського засобу у розділах "Фармакотерапевтична група. Код АТХ" щодо назви без зміни коду АТХ, "Показання" (редагування), "Особливості застосування", "Спосіб застосування та дози", "Побічні реакції" відповідно до інформації референтного лікарського засобу (FORTUM®, powder for solution for injection 1 g), а також у розділі "Побічні реакції" щодо звітування про побічні реакції, уточнено інформацію в розділі "Упаковка" згідно реєстраційного посвідчення лікарського засобу. </w:t>
              <w:br/>
              <w:t>Резюме плану управління ризиками версія 2.1 додається.</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(зі змінами), становить: згідно зі строками, зазначеними у періодичності подання регулярних звітів з безпеки.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UA/19070/01/01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СКАЙПІМ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cefepime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цефепіму гідрохлорид</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J01DE01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розчину для ін'єкцій по 1000 мг, по 1 флакону у картонній упаковці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Сенс Лабораторіс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Сенс Лабораторіс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перереєстрація на необмежений термін</w:t>
            </w:r>
          </w:p>
          <w:p>
            <w:pPr>
              <w:pStyle w:val="Normal"/>
              <w:tabs>
                <w:tab w:val="left" w:pos="12600" w:leader="none"/>
              </w:tabs>
              <w:jc w:val="center"/>
              <w:rPr>
                <w:rFonts w:ascii="Arial" w:hAnsi="Arial" w:cs="Arial"/>
                <w:sz w:val="16"/>
                <w:szCs w:val="16"/>
              </w:rPr>
            </w:pPr>
            <w:r>
              <w:rPr>
                <w:rFonts w:cs="Arial" w:ascii="Arial" w:hAnsi="Arial"/>
                <w:sz w:val="16"/>
                <w:szCs w:val="16"/>
              </w:rPr>
              <w:br/>
              <w:t xml:space="preserve">Оновлено інформацію в інструкції для медичного застосування лікарського засобу у розділах "Фармакотерапевтична група. Код АТХ" (редакційні правки без зміни коду АТХ), "Фармакологічні властивості",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"Побічні реакції" відповідно до безпеки застосування лікарського засобу, а також у розділі "Побічні реакції" щодо важливості звітування про побічні реакції. </w:t>
              <w:br/>
              <w:t>Резюме плану управління ризиками версія 2.1 додається.</w:t>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UA/19031/01/01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ТАЛІПРЕС® АСІНО</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chlortalidone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хлорталідон</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C03BA04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25 мг, по 10 таблеток у блістері; по 1 або по 3 блістери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ТОВ "АСІНО УКРАЇНА"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ТОВ "Фарма Старт"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Перереєстрація на необмежений термін</w:t>
            </w:r>
          </w:p>
          <w:p>
            <w:pPr>
              <w:pStyle w:val="Normal"/>
              <w:tabs>
                <w:tab w:val="left" w:pos="12600" w:leader="none"/>
              </w:tabs>
              <w:jc w:val="center"/>
              <w:rPr>
                <w:rFonts w:ascii="Arial" w:hAnsi="Arial" w:cs="Arial"/>
                <w:sz w:val="16"/>
                <w:szCs w:val="16"/>
              </w:rPr>
            </w:pPr>
            <w:r>
              <w:rPr>
                <w:rFonts w:cs="Arial" w:ascii="Arial" w:hAnsi="Arial"/>
                <w:sz w:val="16"/>
                <w:szCs w:val="16"/>
              </w:rPr>
              <w:br/>
              <w:t xml:space="preserve">Оновлено інформацію у розділах "Склад" (редакційні правки), "Особливості застосування", "Побічні реакції" (щодо звітування про побічні реакції) інструкції для медичного застосування щодо до безпеки застосування лікарського засобу та тексту маркування упаковки (версія еСТД 0009) </w:t>
              <w:br/>
              <w:br/>
              <w:t>План управління ризиками версія 2.0 погоджена (eCTD послідовність № 0006).</w:t>
              <w:br/>
              <w:t xml:space="preserve">Періодичність подання регулярно оновлюваного звіту з безпеки, відповідно до Порядку здійснення фармаконагляду, затверджений наказом МОЗ України від 27.12.2006 № 898 (зі змінами), становить: згідно зі строками, зазначеними у періодичності подання регулярних звітів з безпеки.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UA/19326/01/01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ТАЛІПРЕС® АСІНО</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chlortalidone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хлорталідон</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C03BA04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50 мг, по 10 таблеток у блістері; по 1 або по 3 блістери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ТОВ "АСІНО УКРАЇНА"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ТОВ "Фарма Старт"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Перереєстрація на необмежений термін</w:t>
            </w:r>
          </w:p>
          <w:p>
            <w:pPr>
              <w:pStyle w:val="Normal"/>
              <w:tabs>
                <w:tab w:val="left" w:pos="12600" w:leader="none"/>
              </w:tabs>
              <w:jc w:val="center"/>
              <w:rPr>
                <w:rFonts w:ascii="Arial" w:hAnsi="Arial" w:cs="Arial"/>
                <w:sz w:val="16"/>
                <w:szCs w:val="16"/>
              </w:rPr>
            </w:pPr>
            <w:r>
              <w:rPr>
                <w:rFonts w:cs="Arial" w:ascii="Arial" w:hAnsi="Arial"/>
                <w:sz w:val="16"/>
                <w:szCs w:val="16"/>
              </w:rPr>
              <w:br/>
              <w:t xml:space="preserve">Оновлено інформацію у розділах "Склад" (редакційні правки), "Особливості застосування", "Побічні реакції" (щодо звітування про побічні реакції) інструкції для медичного застосування щодо до безпеки застосування лікарського засобу та тексту маркування упаковки (версія еСТД 0009) </w:t>
              <w:br/>
              <w:br/>
              <w:t>План управління ризиками версія 2.0 погоджена (eCTD послідовність № 0006).</w:t>
              <w:br/>
              <w:t xml:space="preserve">Періодичність подання регулярно оновлюваного звіту з безпеки, відповідно до Порядку здійснення фармаконагляду, затверджений наказом МОЗ України від 27.12.2006 № 898 (зі змінами), становить: згідно зі строками, зазначеними у періодичності подання регулярних звітів з безпеки.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UA/19326/01/02</w:t>
            </w:r>
          </w:p>
        </w:tc>
      </w:tr>
    </w:tbl>
    <w:p>
      <w:pPr>
        <w:pStyle w:val="Normal"/>
        <w:rPr>
          <w:rFonts w:ascii="Arial" w:hAnsi="Arial" w:cs="Arial"/>
        </w:rPr>
      </w:pPr>
      <w:r>
        <w:rPr>
          <w:rFonts w:cs="Arial" w:ascii="Arial" w:hAnsi="Arial"/>
        </w:rPr>
      </w:r>
    </w:p>
    <w:p>
      <w:pPr>
        <w:pStyle w:val="Normal"/>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12">
        <w:r>
          <w:rPr>
            <w:rStyle w:val="InternetLink"/>
            <w:i/>
            <w:color w:val="000000"/>
            <w:szCs w:val="16"/>
          </w:rPr>
          <w:t>https://www.whocc.no/atc_ddd_index/</w:t>
        </w:r>
      </w:hyperlink>
      <w:r>
        <w:rPr>
          <w:rStyle w:val="InternetLink"/>
          <w:i/>
          <w:color w:val="000000"/>
          <w:szCs w:val="16"/>
        </w:rPr>
        <w:t>)</w:t>
      </w:r>
    </w:p>
    <w:p>
      <w:pPr>
        <w:pStyle w:val="Normal"/>
        <w:rPr>
          <w:rStyle w:val="InternetLink"/>
          <w:i/>
          <w:i/>
          <w:color w:val="000000"/>
          <w:szCs w:val="16"/>
        </w:rPr>
      </w:pPr>
      <w:r>
        <w:rPr/>
      </w:r>
    </w:p>
    <w:p>
      <w:pPr>
        <w:pStyle w:val="Normal"/>
        <w:rPr>
          <w:rStyle w:val="InternetLink"/>
          <w:rFonts w:ascii="Arial" w:hAnsi="Arial" w:cs="Arial"/>
          <w:i/>
          <w:i/>
          <w:color w:val="000000"/>
          <w:szCs w:val="16"/>
        </w:rPr>
      </w:pPr>
      <w:r>
        <w:rPr/>
      </w:r>
    </w:p>
    <w:p>
      <w:pPr>
        <w:pStyle w:val="11"/>
        <w:rPr/>
      </w:pPr>
      <w:r>
        <w:rPr>
          <w:rStyle w:val="Cs7864ebcf1"/>
          <w:color w:val="000000"/>
          <w:sz w:val="28"/>
          <w:szCs w:val="28"/>
        </w:rPr>
        <w:t>Начальник</w:t>
      </w:r>
    </w:p>
    <w:p>
      <w:pPr>
        <w:sectPr>
          <w:headerReference w:type="default" r:id="rId13"/>
          <w:headerReference w:type="first" r:id="rId14"/>
          <w:footerReference w:type="default" r:id="rId15"/>
          <w:footerReference w:type="first" r:id="rId16"/>
          <w:type w:val="nextPage"/>
          <w:pgSz w:orient="landscape" w:w="16838" w:h="11906"/>
          <w:pgMar w:left="1077" w:right="1134" w:header="709" w:top="907" w:footer="709" w:bottom="907" w:gutter="0"/>
          <w:pgNumType w:fmt="decimal"/>
          <w:formProt w:val="false"/>
          <w:titlePg/>
          <w:textDirection w:val="lrTb"/>
          <w:docGrid w:type="default" w:linePitch="360" w:charSpace="0"/>
        </w:sectPr>
        <w:pStyle w:val="11"/>
        <w:rPr/>
      </w:pPr>
      <w:r>
        <w:rPr>
          <w:rStyle w:val="Cs7864ebcf1"/>
          <w:color w:val="000000"/>
          <w:sz w:val="28"/>
          <w:szCs w:val="28"/>
        </w:rPr>
        <w:t>Фармацевтичного управління                                                                                                               Олександр ГРІЦЕНКО</w:t>
      </w:r>
    </w:p>
    <w:tbl>
      <w:tblPr>
        <w:tblW w:w="3828" w:type="dxa"/>
        <w:jc w:val="left"/>
        <w:tblInd w:w="11448" w:type="dxa"/>
        <w:tblBorders/>
        <w:tblCellMar>
          <w:top w:w="0" w:type="dxa"/>
          <w:left w:w="108" w:type="dxa"/>
          <w:bottom w:w="0" w:type="dxa"/>
          <w:right w:w="108" w:type="dxa"/>
        </w:tblCellMar>
      </w:tblPr>
      <w:tblGrid>
        <w:gridCol w:w="3828"/>
      </w:tblGrid>
      <w:tr>
        <w:trPr/>
        <w:tc>
          <w:tcPr>
            <w:tcW w:w="3828" w:type="dxa"/>
            <w:tcBorders/>
            <w:shd w:fill="auto" w:val="clear"/>
          </w:tcPr>
          <w:p>
            <w:pPr>
              <w:pStyle w:val="Normal"/>
              <w:keepNext w:val="true"/>
              <w:numPr>
                <w:ilvl w:val="0"/>
                <w:numId w:val="0"/>
              </w:numPr>
              <w:tabs>
                <w:tab w:val="left" w:pos="12600" w:leader="none"/>
              </w:tabs>
              <w:outlineLvl w:val="3"/>
              <w:rPr>
                <w:b/>
                <w:b/>
                <w:iCs/>
                <w:sz w:val="18"/>
                <w:szCs w:val="18"/>
              </w:rPr>
            </w:pPr>
            <w:r>
              <w:rPr>
                <w:b/>
                <w:iCs/>
                <w:sz w:val="18"/>
                <w:szCs w:val="18"/>
              </w:rPr>
              <w:t>Додаток 3</w:t>
            </w:r>
          </w:p>
          <w:p>
            <w:pPr>
              <w:pStyle w:val="Heading4"/>
              <w:numPr>
                <w:ilvl w:val="3"/>
                <w:numId w:val="1"/>
              </w:numPr>
              <w:tabs>
                <w:tab w:val="left" w:pos="12600" w:leader="none"/>
              </w:tabs>
              <w:spacing w:before="0" w:after="0"/>
              <w:rPr>
                <w:iCs/>
                <w:sz w:val="18"/>
                <w:szCs w:val="18"/>
              </w:rPr>
            </w:pPr>
            <w:r>
              <w:rPr>
                <w:iCs/>
                <w:sz w:val="18"/>
                <w:szCs w:val="18"/>
              </w:rPr>
              <w:t>до наказу Міністерства охорони</w:t>
            </w:r>
          </w:p>
          <w:p>
            <w:pPr>
              <w:pStyle w:val="Heading4"/>
              <w:numPr>
                <w:ilvl w:val="3"/>
                <w:numId w:val="1"/>
              </w:numPr>
              <w:tabs>
                <w:tab w:val="left" w:pos="12600" w:leader="none"/>
              </w:tabs>
              <w:spacing w:before="0" w:after="0"/>
              <w:rPr/>
            </w:pPr>
            <w:r>
              <w:rPr>
                <w:iCs/>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pPr>
              <w:pStyle w:val="Normal"/>
              <w:tabs>
                <w:tab w:val="left" w:pos="12600" w:leader="none"/>
              </w:tabs>
              <w:rPr>
                <w:rFonts w:ascii="Arial" w:hAnsi="Arial" w:cs="Arial"/>
                <w:b/>
                <w:b/>
                <w:u w:val="single"/>
              </w:rPr>
            </w:pPr>
            <w:r>
              <w:rPr>
                <w:b/>
                <w:sz w:val="18"/>
                <w:szCs w:val="18"/>
                <w:u w:val="single"/>
              </w:rPr>
              <w:t>від_30 вересня 2026 року  № 1454</w:t>
            </w:r>
          </w:p>
        </w:tc>
      </w:tr>
    </w:tbl>
    <w:p>
      <w:pPr>
        <w:pStyle w:val="Normal"/>
        <w:tabs>
          <w:tab w:val="left" w:pos="12600" w:leader="none"/>
        </w:tabs>
        <w:jc w:val="center"/>
        <w:rPr>
          <w:rFonts w:ascii="Arial" w:hAnsi="Arial" w:cs="Arial"/>
          <w:sz w:val="16"/>
          <w:szCs w:val="16"/>
          <w:u w:val="single"/>
        </w:rPr>
      </w:pPr>
      <w:r>
        <w:rPr>
          <w:rFonts w:cs="Arial" w:ascii="Arial" w:hAnsi="Arial"/>
          <w:sz w:val="16"/>
          <w:szCs w:val="16"/>
          <w:u w:val="single"/>
        </w:rPr>
      </w:r>
    </w:p>
    <w:p>
      <w:pPr>
        <w:pStyle w:val="Normal"/>
        <w:keepNext w:val="true"/>
        <w:numPr>
          <w:ilvl w:val="0"/>
          <w:numId w:val="0"/>
        </w:numPr>
        <w:jc w:val="center"/>
        <w:outlineLvl w:val="1"/>
        <w:rPr>
          <w:rFonts w:ascii="Arial" w:hAnsi="Arial" w:cs="Arial"/>
          <w:b/>
          <w:b/>
          <w:caps/>
          <w:sz w:val="16"/>
          <w:szCs w:val="16"/>
          <w:u w:val="single"/>
        </w:rPr>
      </w:pPr>
      <w:r>
        <w:rPr>
          <w:rFonts w:cs="Arial" w:ascii="Arial" w:hAnsi="Arial"/>
          <w:b/>
          <w:caps/>
          <w:sz w:val="16"/>
          <w:szCs w:val="16"/>
          <w:u w:val="single"/>
        </w:rPr>
      </w:r>
    </w:p>
    <w:p>
      <w:pPr>
        <w:pStyle w:val="310"/>
        <w:jc w:val="center"/>
        <w:rPr>
          <w:b/>
          <w:b/>
          <w:caps/>
          <w:sz w:val="28"/>
          <w:szCs w:val="28"/>
          <w:lang w:eastAsia="uk-UA"/>
        </w:rPr>
      </w:pPr>
      <w:r>
        <w:rPr>
          <w:b/>
          <w:caps/>
          <w:sz w:val="28"/>
          <w:szCs w:val="28"/>
          <w:lang w:eastAsia="uk-UA"/>
        </w:rPr>
        <w:t>ПЕРЕЛІК</w:t>
      </w:r>
    </w:p>
    <w:p>
      <w:pPr>
        <w:pStyle w:val="11"/>
        <w:jc w:val="center"/>
        <w:rPr>
          <w:b/>
          <w:b/>
          <w:caps/>
          <w:sz w:val="28"/>
          <w:szCs w:val="28"/>
        </w:rPr>
      </w:pPr>
      <w:r>
        <w:rPr>
          <w:b/>
          <w:caps/>
          <w:sz w:val="28"/>
          <w:szCs w:val="28"/>
        </w:rPr>
        <w:t xml:space="preserve">ЛІКАРСЬКИХ ЗАСОБІВ (МЕДИЧНИХ ІМУНОБІОЛОГІЧНИХ ПРЕПАРАТІВ), ЩОДО ЯКИХ БУЛИ ВНЕСЕНІ ЗМІНИ ДО реєстраційних матеріалів, ЯКІ ВНОСЯТЬСЯ ДО ДЕРЖАВНОГО РЕЄСТРУ ЛІКАРСЬКИХ ЗАСОБІВ </w:t>
      </w:r>
    </w:p>
    <w:p>
      <w:pPr>
        <w:pStyle w:val="11"/>
        <w:jc w:val="center"/>
        <w:rPr>
          <w:rFonts w:ascii="Arial" w:hAnsi="Arial" w:cs="Arial"/>
        </w:rPr>
      </w:pPr>
      <w:r>
        <w:rPr>
          <w:rFonts w:cs="Arial" w:ascii="Arial" w:hAnsi="Arial"/>
        </w:rPr>
      </w:r>
    </w:p>
    <w:tbl>
      <w:tblPr>
        <w:tblW w:w="16171" w:type="dxa"/>
        <w:jc w:val="left"/>
        <w:tblInd w:w="-606"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6"/>
        <w:gridCol w:w="1277"/>
        <w:gridCol w:w="992"/>
        <w:gridCol w:w="851"/>
        <w:gridCol w:w="709"/>
        <w:gridCol w:w="1559"/>
        <w:gridCol w:w="992"/>
        <w:gridCol w:w="851"/>
        <w:gridCol w:w="1701"/>
        <w:gridCol w:w="709"/>
        <w:gridCol w:w="2835"/>
        <w:gridCol w:w="992"/>
        <w:gridCol w:w="709"/>
        <w:gridCol w:w="1428"/>
      </w:tblGrid>
      <w:tr>
        <w:trPr>
          <w:tblHeader w:val="true"/>
        </w:trPr>
        <w:tc>
          <w:tcPr>
            <w:tcW w:w="566"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277"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85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709"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559"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85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заявника</w:t>
            </w:r>
          </w:p>
        </w:tc>
        <w:tc>
          <w:tcPr>
            <w:tcW w:w="170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709"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виробника</w:t>
            </w:r>
          </w:p>
        </w:tc>
        <w:tc>
          <w:tcPr>
            <w:tcW w:w="2835"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709"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Рекламування**</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i/>
                <w:i/>
                <w:sz w:val="16"/>
                <w:szCs w:val="16"/>
              </w:rPr>
            </w:pPr>
            <w:r>
              <w:rPr>
                <w:rFonts w:cs="Arial" w:ascii="Arial" w:hAnsi="Arial"/>
                <w:b/>
                <w:i/>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АВАСТИН®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bevacizumab</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бевацизумаб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L01FG01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концентрат для розчину для інфузій, 100 мг/4 мл; по 4 мл (100 мг) або 16 мл (400 мг) у флаконі;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«Рош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нерозфасованої продукції, первинне пакування, вторинне пакування, випробування контролю якості та випуск серії:</w:t>
              <w:br/>
              <w:t>Рош Діагностикс ГмбХ, Німеччина;</w:t>
              <w:br/>
              <w:t>Виробництво нерозфасованої продукції, первинне пакування, вторинне пакування, випробування контролю якості та випуск серії:</w:t>
              <w:br/>
              <w:t>Ф.Хоффманн-Ля Рош Лтд, Швейцарія;</w:t>
              <w:br/>
              <w:t>Виробництво нерозфасованої продукції, первинне пакування: Дженентек Інк., США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 Швейцарія/ США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досьє)(нова дільниця для зберігання Головного банку клітин та/або Робочих банків клітин) - Заміна дільниці з Lonza Manufacturing LLC, USA (1000 New Horizones Way, Vacaville, California, USA) на Genentech Inc., USA (1 Antibody Way, Oceanside, CA 92056, USA), як місце відповідальне за зберігання основних банків клітин (MCB) та робочих банків клітин (WCB). Також вносяться редекцйні правки до розділу 3.2.S.2.1 Виробник(и), а саме включення зареєстрованого місця приготування та первинного зберігання MCB та WCB - Genentech, 1 DNA Way, South San Francisco, California, USA. Введення змін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UA/16665/01/01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АЙВІАЛ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tibolone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тиболон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G03CX01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2,5 мг; по 28 таблеток у блістері; по 1 або 3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Айкор Лайф Сайєнсіз Б.В.</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Нідерланди</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Ценексі</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Францiя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дана зміна впроваджується в зв’язку з необхідністю приведення у відповідність Специфікації затверджених в Україні МКЯ до Специфікації виробника, що надавались у складі досьє, при реєстрації лікарського засобу. Затверджена Специфікація містить ряд технічних помилок та невідповідностей, що були виявлені під час аналізу затвердженої документації. Відповідні уточнення вносяться для показників: Мікробіологічна чистота, додається трактування щодо частоти контролю та розшифрування TAMC, TYMC; у Специфікації на термін придатності – уточнення даних до показника Кількісне визначення тиболону, відповідно до матеріалів виробника. Графу Специфікації «Методи контролю» доповнено посиланням на «Внутрішній метод виробника» та ряд орфографічних уточнень по тексту.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UA/20730/01/01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АМОКСИКЛАВ® 2X</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lang w:val="en-US"/>
              </w:rPr>
            </w:pPr>
            <w:r>
              <w:rPr>
                <w:rFonts w:cs="Arial" w:ascii="Arial" w:hAnsi="Arial"/>
                <w:sz w:val="16"/>
                <w:szCs w:val="16"/>
                <w:lang w:val="en-US"/>
              </w:rPr>
              <w:t>Amoxicillin and beta-lactamase inhibitor</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амоксицилін у формі тригідрату та кислота клавуланова у формі калієвої солі</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J01CR02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875 мг/125 мг, по 7 таблеток у блістері; по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Сандоз Фармасьютікалз д.д.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Словенія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Сандоз ГмбХ - Виробнича дільниця Антиінфекційні ГЛЗ та Хімічні Операції Кундль (АІХО ГЛЗ Кундль), Австрія</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Австрія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II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надано оновлений План управління ризиками версія 3.2 Зміни внесено до частин: I «Загальна інформація» , VI «Резюме плану управління ризиками» на основі приведення у відповідність до ПУР референтного лікарського засобу Аугментин. Резюме Плану управління ризиками версія 3.2 додається.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UA/7064/01/02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АЦЦ® 200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acetylcysteine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ацетилцистеїн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R05CB01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шипучі по 200 мг; по 20 таблеток у тубі; по 1 тубі у картонній коробці; по 1 таблетці у саше; по 20 саше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Сандоз Фармасьютікалз д.д.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Словенія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Випуск серії: </w:t>
              <w:br/>
              <w:t xml:space="preserve">Салютас Фарма ГмбХ, Німеччина; </w:t>
              <w:br/>
              <w:br/>
              <w:t xml:space="preserve">Виробник in bulk, пакування, випуск серії: </w:t>
              <w:br/>
              <w:t xml:space="preserve">Хермес Фарма Гес.м.б.Х., Австрія; </w:t>
              <w:br/>
              <w:br/>
              <w:t>Альтернативний виробник in bulk, пакування, випуск серії:</w:t>
              <w:br/>
              <w:t>Хермес Фарма ГмбХ, Німеччина</w:t>
              <w:b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 Австрія /</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w:t>
              <w:br/>
              <w:t>Зміни внесено до інструкції для медичного застосування лікарського засобу у розділи "Взаємодія з іншими лікарськими засобами та інші види взаємодій", "Особливості застосування", "Передозування" відповідно до оновленої інформації щодо безпеки застосування лікарського засобу. Термін введення змін - протягом 6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Введення додаткового (альтернативного) виробника відповідального за випуск серії Hermes Pharma GmbH, Germany. Як наслідок, внесення змін в інструкцію для медичного застосування до розділу "Виробник", "Місцезнаходження виробника та адреса місця провадження його діяльності" та до пункту 11 тексту маркування вторинної упаковки. Термін введення змін - протягом 6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Введення додаткового (альтернативного) виробника відповідального за випуск серії Hermes Pharma Ges.m.b.H., Austria. Як наслідок, внесення змін в інструкцію для медичного застосування до розділу "Виробник", "Місцезнаходження виробника та адреса місця провадження його діяльності" та до пункту 11 тексту маркування вторинної упаковки. Термін введення змін - протягом 6 місяців після затвердження. Зміни І типу - Зміни щодо безпеки/ефективності та фармаконагляду (інші зміни) Зміни внесено до тексту маркування первинної (пункти: 2, 3, 4, 6) та вторинної (пункти: 8, 11, 14, 16, 17) упаковки лікарського засобу. Термін введення змін -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UA/8272/01/02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БАРБОВАЛ®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lang w:val="en-US"/>
              </w:rPr>
            </w:pPr>
            <w:r>
              <w:rPr>
                <w:rFonts w:cs="Arial" w:ascii="Arial" w:hAnsi="Arial"/>
                <w:sz w:val="16"/>
                <w:szCs w:val="16"/>
                <w:lang w:val="en-US"/>
              </w:rPr>
              <w:t>Barbiturates in combination with other drugs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lang w:val="en-US"/>
              </w:rPr>
            </w:pPr>
            <w:r>
              <w:rPr>
                <w:rFonts w:cs="Arial" w:ascii="Arial" w:hAnsi="Arial"/>
                <w:sz w:val="16"/>
                <w:szCs w:val="16"/>
              </w:rPr>
              <w:t>етиловий</w:t>
            </w:r>
            <w:r>
              <w:rPr>
                <w:rFonts w:cs="Arial" w:ascii="Arial" w:hAnsi="Arial"/>
                <w:sz w:val="16"/>
                <w:szCs w:val="16"/>
                <w:lang w:val="en-US"/>
              </w:rPr>
              <w:t xml:space="preserve"> </w:t>
            </w:r>
            <w:r>
              <w:rPr>
                <w:rFonts w:cs="Arial" w:ascii="Arial" w:hAnsi="Arial"/>
                <w:sz w:val="16"/>
                <w:szCs w:val="16"/>
              </w:rPr>
              <w:t>ефір</w:t>
            </w:r>
            <w:r>
              <w:rPr>
                <w:rFonts w:cs="Arial" w:ascii="Arial" w:hAnsi="Arial"/>
                <w:sz w:val="16"/>
                <w:szCs w:val="16"/>
                <w:lang w:val="en-US"/>
              </w:rPr>
              <w:t xml:space="preserve"> </w:t>
            </w:r>
            <w:r>
              <w:rPr>
                <w:rFonts w:cs="Arial" w:ascii="Arial" w:hAnsi="Arial"/>
                <w:sz w:val="16"/>
                <w:szCs w:val="16"/>
              </w:rPr>
              <w:t>α</w:t>
            </w:r>
            <w:r>
              <w:rPr>
                <w:rFonts w:cs="Arial" w:ascii="Arial" w:hAnsi="Arial"/>
                <w:sz w:val="16"/>
                <w:szCs w:val="16"/>
                <w:lang w:val="en-US"/>
              </w:rPr>
              <w:t>-</w:t>
            </w:r>
            <w:r>
              <w:rPr>
                <w:rFonts w:cs="Arial" w:ascii="Arial" w:hAnsi="Arial"/>
                <w:sz w:val="16"/>
                <w:szCs w:val="16"/>
              </w:rPr>
              <w:t>бромізовалеріанової</w:t>
            </w:r>
            <w:r>
              <w:rPr>
                <w:rFonts w:cs="Arial" w:ascii="Arial" w:hAnsi="Arial"/>
                <w:sz w:val="16"/>
                <w:szCs w:val="16"/>
                <w:lang w:val="en-US"/>
              </w:rPr>
              <w:t xml:space="preserve"> </w:t>
            </w:r>
            <w:r>
              <w:rPr>
                <w:rFonts w:cs="Arial" w:ascii="Arial" w:hAnsi="Arial"/>
                <w:sz w:val="16"/>
                <w:szCs w:val="16"/>
              </w:rPr>
              <w:t>кислоти</w:t>
            </w:r>
            <w:r>
              <w:rPr>
                <w:rFonts w:cs="Arial" w:ascii="Arial" w:hAnsi="Arial"/>
                <w:sz w:val="16"/>
                <w:szCs w:val="16"/>
                <w:lang w:val="en-US"/>
              </w:rPr>
              <w:t xml:space="preserve">, </w:t>
            </w:r>
            <w:r>
              <w:rPr>
                <w:rFonts w:cs="Arial" w:ascii="Arial" w:hAnsi="Arial"/>
                <w:sz w:val="16"/>
                <w:szCs w:val="16"/>
              </w:rPr>
              <w:t>розчин</w:t>
            </w:r>
            <w:r>
              <w:rPr>
                <w:rFonts w:cs="Arial" w:ascii="Arial" w:hAnsi="Arial"/>
                <w:sz w:val="16"/>
                <w:szCs w:val="16"/>
                <w:lang w:val="en-US"/>
              </w:rPr>
              <w:t xml:space="preserve"> </w:t>
            </w:r>
            <w:r>
              <w:rPr>
                <w:rFonts w:cs="Arial" w:ascii="Arial" w:hAnsi="Arial"/>
                <w:sz w:val="16"/>
                <w:szCs w:val="16"/>
              </w:rPr>
              <w:t>ментолу</w:t>
            </w:r>
            <w:r>
              <w:rPr>
                <w:rFonts w:cs="Arial" w:ascii="Arial" w:hAnsi="Arial"/>
                <w:sz w:val="16"/>
                <w:szCs w:val="16"/>
                <w:lang w:val="en-US"/>
              </w:rPr>
              <w:t xml:space="preserve"> </w:t>
            </w:r>
            <w:r>
              <w:rPr>
                <w:rFonts w:cs="Arial" w:ascii="Arial" w:hAnsi="Arial"/>
                <w:sz w:val="16"/>
                <w:szCs w:val="16"/>
              </w:rPr>
              <w:t>в</w:t>
            </w:r>
            <w:r>
              <w:rPr>
                <w:rFonts w:cs="Arial" w:ascii="Arial" w:hAnsi="Arial"/>
                <w:sz w:val="16"/>
                <w:szCs w:val="16"/>
                <w:lang w:val="en-US"/>
              </w:rPr>
              <w:t xml:space="preserve"> </w:t>
            </w:r>
            <w:r>
              <w:rPr>
                <w:rFonts w:cs="Arial" w:ascii="Arial" w:hAnsi="Arial"/>
                <w:sz w:val="16"/>
                <w:szCs w:val="16"/>
              </w:rPr>
              <w:t>ментиловому</w:t>
            </w:r>
            <w:r>
              <w:rPr>
                <w:rFonts w:cs="Arial" w:ascii="Arial" w:hAnsi="Arial"/>
                <w:sz w:val="16"/>
                <w:szCs w:val="16"/>
                <w:lang w:val="en-US"/>
              </w:rPr>
              <w:t xml:space="preserve"> </w:t>
            </w:r>
            <w:r>
              <w:rPr>
                <w:rFonts w:cs="Arial" w:ascii="Arial" w:hAnsi="Arial"/>
                <w:sz w:val="16"/>
                <w:szCs w:val="16"/>
              </w:rPr>
              <w:t>ефірі</w:t>
            </w:r>
            <w:r>
              <w:rPr>
                <w:rFonts w:cs="Arial" w:ascii="Arial" w:hAnsi="Arial"/>
                <w:sz w:val="16"/>
                <w:szCs w:val="16"/>
                <w:lang w:val="en-US"/>
              </w:rPr>
              <w:t xml:space="preserve"> </w:t>
            </w:r>
            <w:r>
              <w:rPr>
                <w:rFonts w:cs="Arial" w:ascii="Arial" w:hAnsi="Arial"/>
                <w:sz w:val="16"/>
                <w:szCs w:val="16"/>
              </w:rPr>
              <w:t>кислоти</w:t>
            </w:r>
            <w:r>
              <w:rPr>
                <w:rFonts w:cs="Arial" w:ascii="Arial" w:hAnsi="Arial"/>
                <w:sz w:val="16"/>
                <w:szCs w:val="16"/>
                <w:lang w:val="en-US"/>
              </w:rPr>
              <w:t xml:space="preserve"> </w:t>
            </w:r>
            <w:r>
              <w:rPr>
                <w:rFonts w:cs="Arial" w:ascii="Arial" w:hAnsi="Arial"/>
                <w:sz w:val="16"/>
                <w:szCs w:val="16"/>
              </w:rPr>
              <w:t>ізовалеріанової</w:t>
            </w:r>
            <w:r>
              <w:rPr>
                <w:rFonts w:cs="Arial" w:ascii="Arial" w:hAnsi="Arial"/>
                <w:sz w:val="16"/>
                <w:szCs w:val="16"/>
                <w:lang w:val="en-US"/>
              </w:rPr>
              <w:t xml:space="preserve">, </w:t>
            </w:r>
            <w:r>
              <w:rPr>
                <w:rFonts w:cs="Arial" w:ascii="Arial" w:hAnsi="Arial"/>
                <w:sz w:val="16"/>
                <w:szCs w:val="16"/>
              </w:rPr>
              <w:t>фенобарбітал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N05CB02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капсули тверді, по 10 капсул у блістері; по 1 або 3 блістери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АТ "Фармак"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br/>
              <w:t>внесення зміни до специфікації вхідного контролю для діючої речовини Фенобарбітал виробників «ALKALOIDA Chemical Company Zrt.», Угорщина та «Harman Finochem Limited», Індія за показником «Мікробіологічна чистота» у зв'язку із вилученням примітки стосовно періодичності контролю *мікробіологічний контроль проводять вибірково: першу та кожну п'яту наступну серії» для впровадження рутинного контролю.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внесення зміни до специфікації та методів вхідного контролю для діючої речовини Фенобарбітал виробників «ALKALOIDA Chemical Company Zrt.», Угорщина та «Harman Finochem Limited», Індія, зокрема вилучено показник «Розчинність», так як даний показник має рекомендаційний характер, та не є обов’язковим.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вилучено посилання на якість стандартних зразків в методах вхідного контролю для діючої речовини Фенобарбітал виробників «ALKALOIDA Chemical Company Zrt.», Угорщина та «Harman Finochem Limited», Індія для показника «Ідентифікація». Інформація щодо якості стандартних зразків, що використовуються при випробуванні наведена в розділі 3.2.S.5 Стандартні зразки або препарати реєстраційного досьє. Доповнено посилання на ЄФ.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внесення зміни до методів вхідного контролю для діючої речовини Фенобарбітал виробників «ALKALOIDA Chemical Company Zrt.», Угорщина та «Harman Finochem Limited», Індія за показниками «Прозорість розчину», «Кольоровість розчину», «Втрата в масі при висушуванні», «Сульфатна зола» - доповнено посиланням на ЄФ.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внесення зміни до методів вхідного контролю для діючої речовини Фенобарбітал виробників «ALKALOIDA Chemical Company Zrt.», Угорщина та «Harman Finochem Limited», Індія за показником «Супровідні домішки» - вилучено посилання на якість стандартних зразків. Інформація щодо якості стандартних зразків, що використовуються при випробуванні наведена в розділі 3.2.S.5 Стандартні зразки або препарати реєстраційного досьє.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внесення зміни до методів вхідного контролю для діючої речовини Фенобарбітал виробників «ALKALOIDA Chemical Company Zrt.», Угорщина та «Harman Finochem Limited», Індія за показником «Залишкові кількості органічних розчинників», додано посилання на ЄФ.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внесення зміни до методів вхідного контролю для діючої речовини Фенобарбітал виробників «ALKALOIDA Chemical Company Zrt.», Угорщина та «Harman Finochem Limited», Індія за показником «Кількісне визначення» -приведено у відповідність до вимог монографії ЄФ з додаванням посилання на ЄФ, вилучено формулу розрахунку. Зміни І типу - Зміни з якості. АФІ. Контроль АФІ (інші зміни) внесення зміни до методів вхідного контролю для діючої речовини Фенобарбітал виробників «ALKALOIDA Chemical Company Zrt.», Угорщина та «Harman Finochem Limited», Індія за показником «Мікробіологічна чистота» - вилучення повного опису проведення методики; доповнення відповідним посиланням на діючу редакцію ДФУ, ЄФ 2.6.12, 2.6.13, 5.1.4.</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UA/1196/02/01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БАРБОВАЛ®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lang w:val="en-US"/>
              </w:rPr>
            </w:pPr>
            <w:r>
              <w:rPr>
                <w:rFonts w:cs="Arial" w:ascii="Arial" w:hAnsi="Arial"/>
                <w:sz w:val="16"/>
                <w:szCs w:val="16"/>
                <w:lang w:val="en-US"/>
              </w:rPr>
              <w:t>Barbiturates in combination with other drugs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lang w:val="en-US"/>
              </w:rPr>
            </w:pPr>
            <w:r>
              <w:rPr>
                <w:rFonts w:cs="Arial" w:ascii="Arial" w:hAnsi="Arial"/>
                <w:sz w:val="16"/>
                <w:szCs w:val="16"/>
              </w:rPr>
              <w:t>етиловий</w:t>
            </w:r>
            <w:r>
              <w:rPr>
                <w:rFonts w:cs="Arial" w:ascii="Arial" w:hAnsi="Arial"/>
                <w:sz w:val="16"/>
                <w:szCs w:val="16"/>
                <w:lang w:val="en-US"/>
              </w:rPr>
              <w:t xml:space="preserve"> </w:t>
            </w:r>
            <w:r>
              <w:rPr>
                <w:rFonts w:cs="Arial" w:ascii="Arial" w:hAnsi="Arial"/>
                <w:sz w:val="16"/>
                <w:szCs w:val="16"/>
              </w:rPr>
              <w:t>ефір</w:t>
            </w:r>
            <w:r>
              <w:rPr>
                <w:rFonts w:cs="Arial" w:ascii="Arial" w:hAnsi="Arial"/>
                <w:sz w:val="16"/>
                <w:szCs w:val="16"/>
                <w:lang w:val="en-US"/>
              </w:rPr>
              <w:t xml:space="preserve"> </w:t>
            </w:r>
            <w:r>
              <w:rPr>
                <w:rFonts w:cs="Arial" w:ascii="Arial" w:hAnsi="Arial"/>
                <w:sz w:val="16"/>
                <w:szCs w:val="16"/>
              </w:rPr>
              <w:t>α</w:t>
            </w:r>
            <w:r>
              <w:rPr>
                <w:rFonts w:cs="Arial" w:ascii="Arial" w:hAnsi="Arial"/>
                <w:sz w:val="16"/>
                <w:szCs w:val="16"/>
                <w:lang w:val="en-US"/>
              </w:rPr>
              <w:t>-</w:t>
            </w:r>
            <w:r>
              <w:rPr>
                <w:rFonts w:cs="Arial" w:ascii="Arial" w:hAnsi="Arial"/>
                <w:sz w:val="16"/>
                <w:szCs w:val="16"/>
              </w:rPr>
              <w:t>бромізовалеріанової</w:t>
            </w:r>
            <w:r>
              <w:rPr>
                <w:rFonts w:cs="Arial" w:ascii="Arial" w:hAnsi="Arial"/>
                <w:sz w:val="16"/>
                <w:szCs w:val="16"/>
                <w:lang w:val="en-US"/>
              </w:rPr>
              <w:t xml:space="preserve"> </w:t>
            </w:r>
            <w:r>
              <w:rPr>
                <w:rFonts w:cs="Arial" w:ascii="Arial" w:hAnsi="Arial"/>
                <w:sz w:val="16"/>
                <w:szCs w:val="16"/>
              </w:rPr>
              <w:t>кислоти</w:t>
            </w:r>
            <w:r>
              <w:rPr>
                <w:rFonts w:cs="Arial" w:ascii="Arial" w:hAnsi="Arial"/>
                <w:sz w:val="16"/>
                <w:szCs w:val="16"/>
                <w:lang w:val="en-US"/>
              </w:rPr>
              <w:t xml:space="preserve">, </w:t>
            </w:r>
            <w:r>
              <w:rPr>
                <w:rFonts w:cs="Arial" w:ascii="Arial" w:hAnsi="Arial"/>
                <w:sz w:val="16"/>
                <w:szCs w:val="16"/>
              </w:rPr>
              <w:t>розчин</w:t>
            </w:r>
            <w:r>
              <w:rPr>
                <w:rFonts w:cs="Arial" w:ascii="Arial" w:hAnsi="Arial"/>
                <w:sz w:val="16"/>
                <w:szCs w:val="16"/>
                <w:lang w:val="en-US"/>
              </w:rPr>
              <w:t xml:space="preserve"> </w:t>
            </w:r>
            <w:r>
              <w:rPr>
                <w:rFonts w:cs="Arial" w:ascii="Arial" w:hAnsi="Arial"/>
                <w:sz w:val="16"/>
                <w:szCs w:val="16"/>
              </w:rPr>
              <w:t>ментолу</w:t>
            </w:r>
            <w:r>
              <w:rPr>
                <w:rFonts w:cs="Arial" w:ascii="Arial" w:hAnsi="Arial"/>
                <w:sz w:val="16"/>
                <w:szCs w:val="16"/>
                <w:lang w:val="en-US"/>
              </w:rPr>
              <w:t xml:space="preserve"> </w:t>
            </w:r>
            <w:r>
              <w:rPr>
                <w:rFonts w:cs="Arial" w:ascii="Arial" w:hAnsi="Arial"/>
                <w:sz w:val="16"/>
                <w:szCs w:val="16"/>
              </w:rPr>
              <w:t>в</w:t>
            </w:r>
            <w:r>
              <w:rPr>
                <w:rFonts w:cs="Arial" w:ascii="Arial" w:hAnsi="Arial"/>
                <w:sz w:val="16"/>
                <w:szCs w:val="16"/>
                <w:lang w:val="en-US"/>
              </w:rPr>
              <w:t xml:space="preserve"> </w:t>
            </w:r>
            <w:r>
              <w:rPr>
                <w:rFonts w:cs="Arial" w:ascii="Arial" w:hAnsi="Arial"/>
                <w:sz w:val="16"/>
                <w:szCs w:val="16"/>
              </w:rPr>
              <w:t>ментиловому</w:t>
            </w:r>
            <w:r>
              <w:rPr>
                <w:rFonts w:cs="Arial" w:ascii="Arial" w:hAnsi="Arial"/>
                <w:sz w:val="16"/>
                <w:szCs w:val="16"/>
                <w:lang w:val="en-US"/>
              </w:rPr>
              <w:t xml:space="preserve"> </w:t>
            </w:r>
            <w:r>
              <w:rPr>
                <w:rFonts w:cs="Arial" w:ascii="Arial" w:hAnsi="Arial"/>
                <w:sz w:val="16"/>
                <w:szCs w:val="16"/>
              </w:rPr>
              <w:t>ефірі</w:t>
            </w:r>
            <w:r>
              <w:rPr>
                <w:rFonts w:cs="Arial" w:ascii="Arial" w:hAnsi="Arial"/>
                <w:sz w:val="16"/>
                <w:szCs w:val="16"/>
                <w:lang w:val="en-US"/>
              </w:rPr>
              <w:t xml:space="preserve"> </w:t>
            </w:r>
            <w:r>
              <w:rPr>
                <w:rFonts w:cs="Arial" w:ascii="Arial" w:hAnsi="Arial"/>
                <w:sz w:val="16"/>
                <w:szCs w:val="16"/>
              </w:rPr>
              <w:t>кислоти</w:t>
            </w:r>
            <w:r>
              <w:rPr>
                <w:rFonts w:cs="Arial" w:ascii="Arial" w:hAnsi="Arial"/>
                <w:sz w:val="16"/>
                <w:szCs w:val="16"/>
                <w:lang w:val="en-US"/>
              </w:rPr>
              <w:t xml:space="preserve"> </w:t>
            </w:r>
            <w:r>
              <w:rPr>
                <w:rFonts w:cs="Arial" w:ascii="Arial" w:hAnsi="Arial"/>
                <w:sz w:val="16"/>
                <w:szCs w:val="16"/>
              </w:rPr>
              <w:t>ізовалеріанової</w:t>
            </w:r>
            <w:r>
              <w:rPr>
                <w:rFonts w:cs="Arial" w:ascii="Arial" w:hAnsi="Arial"/>
                <w:sz w:val="16"/>
                <w:szCs w:val="16"/>
                <w:lang w:val="en-US"/>
              </w:rPr>
              <w:t xml:space="preserve"> (</w:t>
            </w:r>
            <w:r>
              <w:rPr>
                <w:rFonts w:cs="Arial" w:ascii="Arial" w:hAnsi="Arial"/>
                <w:sz w:val="16"/>
                <w:szCs w:val="16"/>
              </w:rPr>
              <w:t>валідол</w:t>
            </w:r>
            <w:r>
              <w:rPr>
                <w:rFonts w:cs="Arial" w:ascii="Arial" w:hAnsi="Arial"/>
                <w:sz w:val="16"/>
                <w:szCs w:val="16"/>
                <w:lang w:val="en-US"/>
              </w:rPr>
              <w:t xml:space="preserve">), </w:t>
            </w:r>
            <w:r>
              <w:rPr>
                <w:rFonts w:cs="Arial" w:ascii="Arial" w:hAnsi="Arial"/>
                <w:sz w:val="16"/>
                <w:szCs w:val="16"/>
              </w:rPr>
              <w:t>фенобарбітал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N05CB02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краплі оральні по 25 мл у флаконі з пробкою-крапельницею; по 1 флакону в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АТ "Фармак"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br/>
              <w:t>внесення зміни до специфікації вхідного контролю для діючої речовини Фенобарбітал виробників «ALKALOIDA Chemical Company Zrt.», Угорщина та «Harman Finochem Limited», Індія за показником «Мікробіологічна чистота» у зв'язку із вилученням примітки стосовно періодичності контролю *мікробіологічний контроль проводять вибірково: першу та кожну п'яту наступну серії» для впровадження рутинного контролю.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внесення зміни до специфікації та методів вхідного контролю для діючої речовини Фенобарбітал виробників «ALKALOIDA Chemical Company Zrt.», Угорщина та «Harman Finochem Limited», Індія, зокрема вилучено показник «Розчинність», так як даний показник має рекомендаційний характер, та не є обов’язковим.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вилучено посилання на якість стандартних зразків в методах вхідного контролю для діючої речовини Фенобарбітал виробників «ALKALOIDA Chemical Company Zrt.», Угорщина та «Harman Finochem Limited», Індія для показника «Ідентифікація». Інформація щодо якості стандартних зразків, що використовуються при випробуванні наведена в розділі 3.2.S.5 Стандартні зразки або препарати реєстраційного досьє. Доповнено посилання на ЄФ.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внесення зміни до методів вхідного контролю для діючої речовини Фенобарбітал виробників «ALKALOIDA Chemical Company Zrt.», Угорщина та «Harman Finochem Limited», Індія за показниками «Прозорість розчину», «Кольоровість розчину», «Втрата в масі при висушуванні», «Сульфатна зола» - доповнено посиланням на ЄФ.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внесення зміни до методів вхідного контролю для діючої речовини Фенобарбітал виробників «ALKALOIDA Chemical Company Zrt.», Угорщина та «Harman Finochem Limited», Індія за показником «Супровідні домішки» - вилучено посилання на якість стандартних зразків. Інформація щодо якості стандартних зразків, що використовуються при випробуванні наведена в розділі 3.2.S.5 Стандартні зразки або препарати реєстраційного досьє.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внесення зміни до методів вхідного контролю для діючої речовини Фенобарбітал виробників «ALKALOIDA Chemical Company Zrt.», Угорщина та «Harman Finochem Limited», Індія за показником «Залишкові кількості органічних розчинників», додано посилання на ЄФ.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внесення зміни до методів вхідного контролю для діючої речовини Фенобарбітал виробників «ALKALOIDA Chemical Company Zrt.», Угорщина та «Harman Finochem Limited», Індія за показником «Кількісне визначення» -приведено у відповідність до вимог монографії ЄФ з додаванням посилання на ЄФ, вилучено формулу розрахунку. Зміни І типу - Зміни з якості. АФІ. Контроль АФІ (інші зміни) внесення зміни до методів вхідного контролю для діючої речовини Фенобарбітал виробників «ALKALOIDA Chemical Company Zrt.», Угорщина та «Harman Finochem Limited», Індія за показником «Мікробіологічна чистота» - вилучення повного опису проведення методики; доповнення відповідним посиланням на діючу редакцію ДФУ, ЄФ 2.6.12, 2.6.13, 5.1.4.</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UA/1196/01/01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БАРБОВАЛ®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lang w:val="en-US"/>
              </w:rPr>
            </w:pPr>
            <w:r>
              <w:rPr>
                <w:rFonts w:cs="Arial" w:ascii="Arial" w:hAnsi="Arial"/>
                <w:sz w:val="16"/>
                <w:szCs w:val="16"/>
                <w:lang w:val="en-US"/>
              </w:rPr>
              <w:t>Barbiturates in combination with other drugs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lang w:val="en-US"/>
              </w:rPr>
            </w:pPr>
            <w:r>
              <w:rPr>
                <w:rFonts w:cs="Arial" w:ascii="Arial" w:hAnsi="Arial"/>
                <w:sz w:val="16"/>
                <w:szCs w:val="16"/>
              </w:rPr>
              <w:t>етиловий</w:t>
            </w:r>
            <w:r>
              <w:rPr>
                <w:rFonts w:cs="Arial" w:ascii="Arial" w:hAnsi="Arial"/>
                <w:sz w:val="16"/>
                <w:szCs w:val="16"/>
                <w:lang w:val="en-US"/>
              </w:rPr>
              <w:t xml:space="preserve"> </w:t>
            </w:r>
            <w:r>
              <w:rPr>
                <w:rFonts w:cs="Arial" w:ascii="Arial" w:hAnsi="Arial"/>
                <w:sz w:val="16"/>
                <w:szCs w:val="16"/>
              </w:rPr>
              <w:t>ефір</w:t>
            </w:r>
            <w:r>
              <w:rPr>
                <w:rFonts w:cs="Arial" w:ascii="Arial" w:hAnsi="Arial"/>
                <w:sz w:val="16"/>
                <w:szCs w:val="16"/>
                <w:lang w:val="en-US"/>
              </w:rPr>
              <w:t xml:space="preserve"> </w:t>
            </w:r>
            <w:r>
              <w:rPr>
                <w:rFonts w:cs="Arial" w:ascii="Arial" w:hAnsi="Arial"/>
                <w:sz w:val="16"/>
                <w:szCs w:val="16"/>
              </w:rPr>
              <w:t>α</w:t>
            </w:r>
            <w:r>
              <w:rPr>
                <w:rFonts w:cs="Arial" w:ascii="Arial" w:hAnsi="Arial"/>
                <w:sz w:val="16"/>
                <w:szCs w:val="16"/>
                <w:lang w:val="en-US"/>
              </w:rPr>
              <w:t>-</w:t>
            </w:r>
            <w:r>
              <w:rPr>
                <w:rFonts w:cs="Arial" w:ascii="Arial" w:hAnsi="Arial"/>
                <w:sz w:val="16"/>
                <w:szCs w:val="16"/>
              </w:rPr>
              <w:t>бромізовалеріанової</w:t>
            </w:r>
            <w:r>
              <w:rPr>
                <w:rFonts w:cs="Arial" w:ascii="Arial" w:hAnsi="Arial"/>
                <w:sz w:val="16"/>
                <w:szCs w:val="16"/>
                <w:lang w:val="en-US"/>
              </w:rPr>
              <w:t xml:space="preserve"> </w:t>
            </w:r>
            <w:r>
              <w:rPr>
                <w:rFonts w:cs="Arial" w:ascii="Arial" w:hAnsi="Arial"/>
                <w:sz w:val="16"/>
                <w:szCs w:val="16"/>
              </w:rPr>
              <w:t>кислоти</w:t>
            </w:r>
            <w:r>
              <w:rPr>
                <w:rFonts w:cs="Arial" w:ascii="Arial" w:hAnsi="Arial"/>
                <w:sz w:val="16"/>
                <w:szCs w:val="16"/>
                <w:lang w:val="en-US"/>
              </w:rPr>
              <w:t xml:space="preserve">, </w:t>
            </w:r>
            <w:r>
              <w:rPr>
                <w:rFonts w:cs="Arial" w:ascii="Arial" w:hAnsi="Arial"/>
                <w:sz w:val="16"/>
                <w:szCs w:val="16"/>
              </w:rPr>
              <w:t>розчин</w:t>
            </w:r>
            <w:r>
              <w:rPr>
                <w:rFonts w:cs="Arial" w:ascii="Arial" w:hAnsi="Arial"/>
                <w:sz w:val="16"/>
                <w:szCs w:val="16"/>
                <w:lang w:val="en-US"/>
              </w:rPr>
              <w:t xml:space="preserve"> </w:t>
            </w:r>
            <w:r>
              <w:rPr>
                <w:rFonts w:cs="Arial" w:ascii="Arial" w:hAnsi="Arial"/>
                <w:sz w:val="16"/>
                <w:szCs w:val="16"/>
              </w:rPr>
              <w:t>ментолу</w:t>
            </w:r>
            <w:r>
              <w:rPr>
                <w:rFonts w:cs="Arial" w:ascii="Arial" w:hAnsi="Arial"/>
                <w:sz w:val="16"/>
                <w:szCs w:val="16"/>
                <w:lang w:val="en-US"/>
              </w:rPr>
              <w:t xml:space="preserve"> </w:t>
            </w:r>
            <w:r>
              <w:rPr>
                <w:rFonts w:cs="Arial" w:ascii="Arial" w:hAnsi="Arial"/>
                <w:sz w:val="16"/>
                <w:szCs w:val="16"/>
              </w:rPr>
              <w:t>в</w:t>
            </w:r>
            <w:r>
              <w:rPr>
                <w:rFonts w:cs="Arial" w:ascii="Arial" w:hAnsi="Arial"/>
                <w:sz w:val="16"/>
                <w:szCs w:val="16"/>
                <w:lang w:val="en-US"/>
              </w:rPr>
              <w:t xml:space="preserve"> </w:t>
            </w:r>
            <w:r>
              <w:rPr>
                <w:rFonts w:cs="Arial" w:ascii="Arial" w:hAnsi="Arial"/>
                <w:sz w:val="16"/>
                <w:szCs w:val="16"/>
              </w:rPr>
              <w:t>ментиловому</w:t>
            </w:r>
            <w:r>
              <w:rPr>
                <w:rFonts w:cs="Arial" w:ascii="Arial" w:hAnsi="Arial"/>
                <w:sz w:val="16"/>
                <w:szCs w:val="16"/>
                <w:lang w:val="en-US"/>
              </w:rPr>
              <w:t xml:space="preserve"> </w:t>
            </w:r>
            <w:r>
              <w:rPr>
                <w:rFonts w:cs="Arial" w:ascii="Arial" w:hAnsi="Arial"/>
                <w:sz w:val="16"/>
                <w:szCs w:val="16"/>
              </w:rPr>
              <w:t>ефірі</w:t>
            </w:r>
            <w:r>
              <w:rPr>
                <w:rFonts w:cs="Arial" w:ascii="Arial" w:hAnsi="Arial"/>
                <w:sz w:val="16"/>
                <w:szCs w:val="16"/>
                <w:lang w:val="en-US"/>
              </w:rPr>
              <w:t xml:space="preserve"> </w:t>
            </w:r>
            <w:r>
              <w:rPr>
                <w:rFonts w:cs="Arial" w:ascii="Arial" w:hAnsi="Arial"/>
                <w:sz w:val="16"/>
                <w:szCs w:val="16"/>
              </w:rPr>
              <w:t>кислоти</w:t>
            </w:r>
            <w:r>
              <w:rPr>
                <w:rFonts w:cs="Arial" w:ascii="Arial" w:hAnsi="Arial"/>
                <w:sz w:val="16"/>
                <w:szCs w:val="16"/>
                <w:lang w:val="en-US"/>
              </w:rPr>
              <w:t xml:space="preserve"> </w:t>
            </w:r>
            <w:r>
              <w:rPr>
                <w:rFonts w:cs="Arial" w:ascii="Arial" w:hAnsi="Arial"/>
                <w:sz w:val="16"/>
                <w:szCs w:val="16"/>
              </w:rPr>
              <w:t>ізовалеріанової</w:t>
            </w:r>
            <w:r>
              <w:rPr>
                <w:rFonts w:cs="Arial" w:ascii="Arial" w:hAnsi="Arial"/>
                <w:sz w:val="16"/>
                <w:szCs w:val="16"/>
                <w:lang w:val="en-US"/>
              </w:rPr>
              <w:t xml:space="preserve"> (</w:t>
            </w:r>
            <w:r>
              <w:rPr>
                <w:rFonts w:cs="Arial" w:ascii="Arial" w:hAnsi="Arial"/>
                <w:sz w:val="16"/>
                <w:szCs w:val="16"/>
              </w:rPr>
              <w:t>валідол</w:t>
            </w:r>
            <w:r>
              <w:rPr>
                <w:rFonts w:cs="Arial" w:ascii="Arial" w:hAnsi="Arial"/>
                <w:sz w:val="16"/>
                <w:szCs w:val="16"/>
                <w:lang w:val="en-US"/>
              </w:rPr>
              <w:t xml:space="preserve">), </w:t>
            </w:r>
            <w:r>
              <w:rPr>
                <w:rFonts w:cs="Arial" w:ascii="Arial" w:hAnsi="Arial"/>
                <w:sz w:val="16"/>
                <w:szCs w:val="16"/>
              </w:rPr>
              <w:t>фенобарбітал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N05CB02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краплі оральні; по 25 мл у флаконі з пробкою-крапельницею; по 1 флакону в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АТ "Фармак"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в інструкцію для медичного застосування лікарського засобу до розділу "Взаємодія з іншими лікарськими засобами та інші види взаємодій" відповідно до оновленої інформації щодо безпеки застосування діючої речовини згідно з рекомендацією PRAC. Введення змін протягом 6 місяців після затвердження. Зміни І типу - Зміни щодо безпеки/ефективності та фармаконагляду (інші зміни) - Зміни внесено в інструкцію для медичного застосування лікарського засобу до розділу "Побічні реакції" щодо повідомлень про підозрювані побічні реакції. Введення змін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UA/1196/01/01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БАРБОВАЛ®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lang w:val="en-US"/>
              </w:rPr>
            </w:pPr>
            <w:r>
              <w:rPr>
                <w:rFonts w:cs="Arial" w:ascii="Arial" w:hAnsi="Arial"/>
                <w:sz w:val="16"/>
                <w:szCs w:val="16"/>
                <w:lang w:val="en-US"/>
              </w:rPr>
              <w:t>Barbiturates in combination with other drugs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lang w:val="en-US"/>
              </w:rPr>
            </w:pPr>
            <w:r>
              <w:rPr>
                <w:rFonts w:cs="Arial" w:ascii="Arial" w:hAnsi="Arial"/>
                <w:sz w:val="16"/>
                <w:szCs w:val="16"/>
              </w:rPr>
              <w:t>етиловий</w:t>
            </w:r>
            <w:r>
              <w:rPr>
                <w:rFonts w:cs="Arial" w:ascii="Arial" w:hAnsi="Arial"/>
                <w:sz w:val="16"/>
                <w:szCs w:val="16"/>
                <w:lang w:val="en-US"/>
              </w:rPr>
              <w:t xml:space="preserve"> </w:t>
            </w:r>
            <w:r>
              <w:rPr>
                <w:rFonts w:cs="Arial" w:ascii="Arial" w:hAnsi="Arial"/>
                <w:sz w:val="16"/>
                <w:szCs w:val="16"/>
              </w:rPr>
              <w:t>ефір</w:t>
            </w:r>
            <w:r>
              <w:rPr>
                <w:rFonts w:cs="Arial" w:ascii="Arial" w:hAnsi="Arial"/>
                <w:sz w:val="16"/>
                <w:szCs w:val="16"/>
                <w:lang w:val="en-US"/>
              </w:rPr>
              <w:t xml:space="preserve"> </w:t>
            </w:r>
            <w:r>
              <w:rPr>
                <w:rFonts w:cs="Arial" w:ascii="Arial" w:hAnsi="Arial"/>
                <w:sz w:val="16"/>
                <w:szCs w:val="16"/>
              </w:rPr>
              <w:t>α</w:t>
            </w:r>
            <w:r>
              <w:rPr>
                <w:rFonts w:cs="Arial" w:ascii="Arial" w:hAnsi="Arial"/>
                <w:sz w:val="16"/>
                <w:szCs w:val="16"/>
                <w:lang w:val="en-US"/>
              </w:rPr>
              <w:t>-</w:t>
            </w:r>
            <w:r>
              <w:rPr>
                <w:rFonts w:cs="Arial" w:ascii="Arial" w:hAnsi="Arial"/>
                <w:sz w:val="16"/>
                <w:szCs w:val="16"/>
              </w:rPr>
              <w:t>бромізовалеріанової</w:t>
            </w:r>
            <w:r>
              <w:rPr>
                <w:rFonts w:cs="Arial" w:ascii="Arial" w:hAnsi="Arial"/>
                <w:sz w:val="16"/>
                <w:szCs w:val="16"/>
                <w:lang w:val="en-US"/>
              </w:rPr>
              <w:t xml:space="preserve"> </w:t>
            </w:r>
            <w:r>
              <w:rPr>
                <w:rFonts w:cs="Arial" w:ascii="Arial" w:hAnsi="Arial"/>
                <w:sz w:val="16"/>
                <w:szCs w:val="16"/>
              </w:rPr>
              <w:t>кислоти</w:t>
            </w:r>
            <w:r>
              <w:rPr>
                <w:rFonts w:cs="Arial" w:ascii="Arial" w:hAnsi="Arial"/>
                <w:sz w:val="16"/>
                <w:szCs w:val="16"/>
                <w:lang w:val="en-US"/>
              </w:rPr>
              <w:t xml:space="preserve">, </w:t>
            </w:r>
            <w:r>
              <w:rPr>
                <w:rFonts w:cs="Arial" w:ascii="Arial" w:hAnsi="Arial"/>
                <w:sz w:val="16"/>
                <w:szCs w:val="16"/>
              </w:rPr>
              <w:t>розчин</w:t>
            </w:r>
            <w:r>
              <w:rPr>
                <w:rFonts w:cs="Arial" w:ascii="Arial" w:hAnsi="Arial"/>
                <w:sz w:val="16"/>
                <w:szCs w:val="16"/>
                <w:lang w:val="en-US"/>
              </w:rPr>
              <w:t xml:space="preserve"> </w:t>
            </w:r>
            <w:r>
              <w:rPr>
                <w:rFonts w:cs="Arial" w:ascii="Arial" w:hAnsi="Arial"/>
                <w:sz w:val="16"/>
                <w:szCs w:val="16"/>
              </w:rPr>
              <w:t>ментолу</w:t>
            </w:r>
            <w:r>
              <w:rPr>
                <w:rFonts w:cs="Arial" w:ascii="Arial" w:hAnsi="Arial"/>
                <w:sz w:val="16"/>
                <w:szCs w:val="16"/>
                <w:lang w:val="en-US"/>
              </w:rPr>
              <w:t xml:space="preserve"> </w:t>
            </w:r>
            <w:r>
              <w:rPr>
                <w:rFonts w:cs="Arial" w:ascii="Arial" w:hAnsi="Arial"/>
                <w:sz w:val="16"/>
                <w:szCs w:val="16"/>
              </w:rPr>
              <w:t>в</w:t>
            </w:r>
            <w:r>
              <w:rPr>
                <w:rFonts w:cs="Arial" w:ascii="Arial" w:hAnsi="Arial"/>
                <w:sz w:val="16"/>
                <w:szCs w:val="16"/>
                <w:lang w:val="en-US"/>
              </w:rPr>
              <w:t xml:space="preserve"> </w:t>
            </w:r>
            <w:r>
              <w:rPr>
                <w:rFonts w:cs="Arial" w:ascii="Arial" w:hAnsi="Arial"/>
                <w:sz w:val="16"/>
                <w:szCs w:val="16"/>
              </w:rPr>
              <w:t>ментиловому</w:t>
            </w:r>
            <w:r>
              <w:rPr>
                <w:rFonts w:cs="Arial" w:ascii="Arial" w:hAnsi="Arial"/>
                <w:sz w:val="16"/>
                <w:szCs w:val="16"/>
                <w:lang w:val="en-US"/>
              </w:rPr>
              <w:t xml:space="preserve"> </w:t>
            </w:r>
            <w:r>
              <w:rPr>
                <w:rFonts w:cs="Arial" w:ascii="Arial" w:hAnsi="Arial"/>
                <w:sz w:val="16"/>
                <w:szCs w:val="16"/>
              </w:rPr>
              <w:t>ефірі</w:t>
            </w:r>
            <w:r>
              <w:rPr>
                <w:rFonts w:cs="Arial" w:ascii="Arial" w:hAnsi="Arial"/>
                <w:sz w:val="16"/>
                <w:szCs w:val="16"/>
                <w:lang w:val="en-US"/>
              </w:rPr>
              <w:t xml:space="preserve"> </w:t>
            </w:r>
            <w:r>
              <w:rPr>
                <w:rFonts w:cs="Arial" w:ascii="Arial" w:hAnsi="Arial"/>
                <w:sz w:val="16"/>
                <w:szCs w:val="16"/>
              </w:rPr>
              <w:t>кислоти</w:t>
            </w:r>
            <w:r>
              <w:rPr>
                <w:rFonts w:cs="Arial" w:ascii="Arial" w:hAnsi="Arial"/>
                <w:sz w:val="16"/>
                <w:szCs w:val="16"/>
                <w:lang w:val="en-US"/>
              </w:rPr>
              <w:t xml:space="preserve"> </w:t>
            </w:r>
            <w:r>
              <w:rPr>
                <w:rFonts w:cs="Arial" w:ascii="Arial" w:hAnsi="Arial"/>
                <w:sz w:val="16"/>
                <w:szCs w:val="16"/>
              </w:rPr>
              <w:t>ізовалеріанової</w:t>
            </w:r>
            <w:r>
              <w:rPr>
                <w:rFonts w:cs="Arial" w:ascii="Arial" w:hAnsi="Arial"/>
                <w:sz w:val="16"/>
                <w:szCs w:val="16"/>
                <w:lang w:val="en-US"/>
              </w:rPr>
              <w:t xml:space="preserve">, </w:t>
            </w:r>
            <w:r>
              <w:rPr>
                <w:rFonts w:cs="Arial" w:ascii="Arial" w:hAnsi="Arial"/>
                <w:sz w:val="16"/>
                <w:szCs w:val="16"/>
              </w:rPr>
              <w:t>фенобарбітал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sz w:val="16"/>
                <w:szCs w:val="16"/>
              </w:rPr>
              <w:t>N05CB02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капсули тверді; по 10 капсул у блістері; по 1 або 3 блістери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АТ "Фармак"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в інструкцію для медичного застосування лікарського засобу до розділу "Взаємодія з іншими лікарськими засобами та інші види взаємодій" відповідно до оновленої інформації щодо безпеки застосування діючої речовини згідно з рекомендацією PRAC. Введення змін протягом 6-ти місяців після затвердження. Зміни І типу - Зміни щодо безпеки/ефективності та фармаконагляду (інші зміни) - Зміни внесено в інструкцію для медичного застосування лікарського засобу до розділу "Побічні реакції" щодо повідомлень про підозрювані побічні реакції.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UA/1196/02/01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БОМ-БЕНГЕ МАЗЬ</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левоментол, метилсаліцилат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M02AC</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мазь, по 25 г у контейнерах пластмасових; по 20 г у тубах алюмінієвих; по 20 г у тубі алюмінієвій; по 1 тубі у пачці з картону; по 20 г або по 25 г, або по 30 г у тубах ламінатних; по 20 г або по 25 г, або по 30 г у тубі ламінатній; по 1 тубі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ПрАТ Фармацевтична фабрика "Віола"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ПрАТ Фармацевтична фабрика "Віола"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w:t>
              <w:br/>
              <w:t>подання нового сертифіката відповідності Європейській фармакопеї № R1-CEP 2012-390 - Rev 01 для діючої речовини ментолу від нового альтернативного виробника БАСФ СЕ, Німеччина/ BASF SE, Germany.</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UA/7622/01/01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ВЕРМОКС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mebendazole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мебендазол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P02CA01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100 мг; по 6 таблеток у блістері; по 1 блістеру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Гедеон Ріхтер Румунія А.Т., Румунія;</w:t>
              <w:br/>
              <w:t>додатковий виробник, відповідальний за випуск серії, оформлення сертифікату якості: ВАТ "Гедеон Ріхтер", Угорщина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Румунія/ 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розділів "Особливості застосування", "Передозування", "Побічні реакції".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UA/7363/01/01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ВОЛЬТАРЕН®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diclofenac</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диклофенак натрію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M01AB05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гастрорезистентні по 25 мг; по 10 таблеток у блістері; по 3 блістери в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Новартіс Фарма АГ</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Швейцарія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Новартіс Саглік, Гіда ве Тарім Урунлері Сан. Ве Тік. А.С.</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Туреччина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адреси затвердженої дільниці виробництва та контролю якості АФІ диклофенаку натрію, Hetero Drugs Limited, India, у зв’язку зі зміною назви адміністративного району з «Visakhapatnam» на «Anakapalli». Зміни І типу - Зміни з якості. Готовий лікарський засіб. Опис та склад. Зміна у складі (допоміжних речовинах) готового лікарського засобу (смакові добавки або барвники) - Додавання, вилучення або заміна - Оновлення складу (допоміжних речовин) готового лікарського засобу шляхом відображення прямого використання «Pigment suspension, yellow», «Pigment suspension, white», «Pigment suspension, red»; відображення розчинників (етанол зневоднений, ізопропіловий спирт, вода очищена) як окремих компонентів суспензій, а також оновлення відображення допоміжної речовини силіконова протипінна емульсія, які застосовуються у виробництві лікарського засобу ВОЛЬТАРЕН®, таблетки гастрорезистентні по 50 мг. Кінцевий склад покриття та якісно-кількісний склад допоміжних речовин залишаються без змін. Зміни внесено в інструкцію для медичного застосування лікарського засобу у розділ "Склад". Введення змін протягом 6-ти місяців після затвердження. Зміни І типу - Зміни з якості. Готовий лікарський засіб. Контроль допоміжних речовин. Зміна у методах випробування допоміжної речовини (інші зміни у методах випробування (включаючи заміну або додавання)) - Заміна затвердженого методу випробування за показником «Identification by IR spectrum» з IR Spectroscopy на FT-IR Spectroscopy (liquid) у специфікації допоміжної речовини силіконова протипінна емульсія (Silicon antifoam emulsion). Введення змін протягом 6-ти місяців після затвердження. Зміни І типу - Зміни з якості. Готовий лікарський засіб. Контроль допоміжних речовин. Зміна у методах випробування допоміжної речовини (незначні зміни у затверджених методах випробувань) - Зміни до затвердженого методу випробування за показником «Content of Dimethylpolysiloxane» у специфікації допоміжної речовини силіконова протипінна емульсія (Silicon antifoam emulsion) (уточнення опису методики; заміна розчинника у тестовому та порівняльному розчинах; зміна фази для приготування тестового розчину). Введення змін протягом 6-ти місяців після затвердження.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адреси виробника вихідної сировини 2,6-дихлордифеніламіну, Hetero Labs Limited, India, що використовується у виробництві діючої речовини АФІ диклофенак натрію у зв’язку зі зміною назви адміністративного району з «Visakhapatnam» на «Anakapalli».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адреси виробника вихідної сировини 2,6-дихлордифеніламіну, Hetero Labs Limited, India, що використовується у виробництві діючої речовини АФІ диклофенак натрію, а саме оновлено кадастрові (survey) номери виробничої дільниці та додано назву села Nallamattipalem до адреси підприємства.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назви виробника вихідної сировини хлорацетилхлориду, що використовується у виробництві діючої речовини АФІ диклофенак натрію.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UA/9383/02/01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ВОЛЬТАРЕН®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diclofenac</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диклофенак натрію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M01AB05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гастрорезистентні по 50 мг; по 10 таблеток у блістері; по 2 блістери в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Новартіс Фарма АГ</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Швейцарія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Новартіс Саглік, Гіда ве Тарім Урунлері Сан. Ве Тік. А.С. </w:t>
              <w:b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Туреччина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адреси затвердженої дільниці виробництва та контролю якості АФІ диклофенаку натрію, Hetero Drugs Limited, India, у зв’язку зі зміною назви адміністративного району з «Visakhapatnam» на «Anakapalli».Зміни І типу - Зміни з якості. Готовий лікарський засіб. Опис та склад. Зміна у складі (допоміжних речовинах) готового лікарського засобу (смакові добавки або барвники) - Додавання, вилучення або заміна - Оновлення складу (допоміжних речовин) готового лікарського засобу шляхом відображення прямого використання «Pigment suspension, yellow», «Pigment suspension, white», «Pigment suspension, red»; відображення розчинників (етанол зневоднений, ізопропіловий спирт, вода очищена) як окремих компонентів суспензій, а також оновлення відображення допоміжної речовини силіконова протипінна емульсія, які застосовуються у виробництві лікарського засобу ВОЛЬТАРЕН®, таблетки гастрорезистентні по 50 мг. Кінцевий склад покриття та якісно-кількісний склад допоміжних речовин залишаються без змін. Зміни внесено в інструкцію для медичного застосування лікарського засобу у розділ "Склад".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 Незначна зміна у розділі 3.2.P.3.2.Batch Formula для розміру серії 339,473 кг (1 578 945 таблеток) лікарського засобу ВОЛЬТАРЕН®, таблетки гастрорезистентні по 50 мг, відповідно до оновленої інформації у розділі 3.2.P.1.Description and Composition of the Drug Product, а саме виправлення відмінностей у кількостях деяких компонентів (на третьому десятковому знаку) між розрахованою рецептурою серії та рецептурою наведеною в затвердженому розділі 3.2.Р.3.2. Batch Formula. Виявлені розбіжності зумовлені переважно округленням числових значень.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Незначна зміна у процесі виробництва готового лікарського засобу, ВОЛЬТАРЕН®, таблетки гастрорезистентні по 50 мг, а саме додано альтернативний спосіб приготування суспензій субпокриття та кольорового покриття. Введення змін протягом 6-ти місяців після затвердження.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 Зміна розміру серії для дозування 50 мг (затверджено: 339.473 kg (1,578,945 tablets); запропоновано: 339.473 kg (1,578,945 tablets) та 709.500 kg (3,300,000 tablets)). Введення змін протягом 6-ти місяців після затвердження.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(вилучення зі специфікації незначного показника (наприклад застарілого показника)) - З специфікації на допоміжну речовину силіконова протипінна емульсія (Silicon antifoam emulsion), яка використовується як піногасник у кишковорозчинному покритті лікарського засобу ВОЛЬТАРЕН®, таблетки гастрорезистентні по 50 мг, вилучено показник «Water content». Введення змін протягом 6-ти місяців після затвердження.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(інші зміни) - Зміна допустимих меж за показником «рН» у специфікації на допоміжну речовину силіконова протипінна емульсія (Silicon antifoam emulsion), яка використовується як піногасник у кишковорозчинному покритті лікарського засобу ВОЛЬТАРЕН®, таблетки гастрорезистентні по 50 мг, (затверджено: 4.0 – 5.0; запропоновано: 3.0 – 5.0). Введення змін протягом 6-ти місяців після затвердження.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(звуження допустимих меж) - У специфікації на допоміжну речовину силіконова протипінна емульсія (Silicon antifoam emulsion), яка використовується як піногасник у кишковорозчинному покритті лікарського засобу ВОЛЬТАРЕН®, таблетки гастрорезистентні по 50 мг, звужено допустимі межі за показником «Content of Dimethylpolysiloxane» (затверджено: 17,0 – 22,0 %; запропоновано: 17,0 – 19,5 %). Введення змін протягом 6-ти місяців після затвердження.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(доповнення специфікації новим показником з відповідним методом випробування) - Специфікацію на допоміжну речовину силіконова протипінна емульсія (Silicon antifoam emulsion), яка використовується як піногасник у кишковорозчинному покритті лікарського засобу ВОЛЬТАРЕН®, таблетки гастрорезистентні по 50 мг, доповнено показником «Viscosity», з відповідним методом випробування та допустимими межами 6000–30000 mPa·s. Введення змін протягом 6-ти місяців після затвердження.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(інші зміни) - Приведення критеріїв прийнятності та відповідних методів контролю мікробіологічної чистоти за показником «Microbiological purity» у відповідність до загальних статей з мікробіології Ph. Eur., USP та JP у специфікації та методів контролю на допоміжну речовину силіконова протипінна емульсія (Silicon antifoam emulsion), яка використовується як піногасник у кишковорозчинному покритті лікарського засобу ВОЛЬТАРЕН®, таблетки гастрорезистентні по 50 мг. Введення змін протягом 6-ти місяців після затвердження.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(інші зміни) - Оновлено розділ 3.2.P.4 «Контроль допоміжних речовин», а саме додано специфікацію для пігментної суміші «Pigment suspension, white», яка застосовується на стадії покриття під час виробництва лікарського засобу ВОЛЬТАРЕН®, таблетки гастрорезистентні по 50 мг. Введення змін протягом 6-ти місяців після затвердження.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(інші зміни) - Оновлено розділ 3.2.P.4 «Контроль допоміжних речовин», а саме додано специфікацію для пігментної суміші «Pigment suspension, yellow» яка застосовується на стадії покриття під час виробництва лікарського засобу ВОЛЬТАРЕН®, таблетки гастрорезистентні по 50 мг. Введення змін протягом 6-ти місяців після затвердження.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(інші зміни) - Оновлено розділ 3.2.P.4 «Контроль допоміжних речовин», а саме додано специфікацію для пігментної суміші «Pigment suspension, red» яка застосовується на стадії покриття під час виробництва лікарського засобу ВОЛЬТАРЕН®, таблетки гастрорезистентні по 50 мг. Введення змін протягом 6-ти місяців після затвердження. Зміни І типу - Зміни з якості. Готовий лікарський засіб. Контроль допоміжних речовин. Зміна у методах випробування допоміжної речовини (інші зміни у методах випробування (включаючи заміну або додавання)) - Заміна затвердженого методу випробування за показником «Identification by IR spectrum» з IR Spectroscopy на FT-IR Spectroscopy (liquid) у специфікації допоміжної речовини силіконова протипінна емульсія (Silicon antifoam emulsion). Введення змін протягом 6-ти місяців після затвердження. Зміни І типу - Зміни з якості. Готовий лікарський засіб. Контроль допоміжних речовин. Зміна у методах випробування допоміжної речовини (незначні зміни у затверджених методах випробувань) - Зміни до затвердженого методу випробування за показником «Content of Dimethylpolysiloxane» у специфікації допоміжної речовини силіконова протипінна емульсія (Silicon antifoam emulsion) (уточнення опису методики; заміна розчинника у тестовому та порівняльному розчинах; зміна фази для приготування тестового розчину). Введення змін протягом 6-ти місяців після затвердження.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адреси виробника вихідної сировини 2,6-дихлордифеніламіну, Hetero Labs Limited, India, що використовується у виробництві діючої речовини АФІ диклофенак натрію у зв’язку зі зміною назви адміністративного району з «Visakhapatnam» на «Anakapalli».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адреси виробника вихідної сировини 2,6-дихлордифеніламіну, Hetero Labs Limited, India, що використовується у виробництві діючої речовини АФІ диклофенак натрію, а саме оновлено кадастрові (survey) номери виробничої дільниці та додано назву села Nallamattipalem до адреси підприємства.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назви виробника вихідної сировини хлорацетилхлориду, що використовується у виробництві діючої речовини АФІ диклофенак натрію.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(вилучення зі специфікації незначного показника (наприклад застарілого показника)) - З специфікації на допоміжну речовину силіконова протипінна емульсія (Silicon antifoam emulsion), яка використовується як піногасник у кишковорозчинному покритті лікарського засобу ВОЛЬТАРЕН®, таблетки гастрорезистентні по 50 мг, вилучено показник «Content of Silica». Введення змін протягом 6-ти місяців після затвердження.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(вилучення зі специфікації незначного показника (наприклад застарілого показника)) - З специфікації на допоміжну речовину силіконова протипінна емульсія (Silicon antifoam emulsion), яка використовується як піногасник у кишковорозчинному покритті лікарського засобу ВОЛЬТАРЕН®, таблетки гастрорезистентні по 50 мг, вилучено показник «Odour». Введення змін протягом 6-ти місяців після затвердження.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(вилучення зі специфікації незначного показника (наприклад застарілого показника)) - З специфікації на допоміжну речовину силіконова протипінна емульсія (Silicon antifoam emulsion), яка використовується як піногасник у кишковорозчинному покритті лікарського засобу ВОЛЬТАРЕН®, таблетки гастрорезистентні по 50 мг, вилучено показник «Heavy metals as lead (Sulfide precipitation)». Введення змін протягом 6-ти місяців після затвердження.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(вилучення зі специфікації незначного показника (наприклад застарілого показника)) - З специфікації на допоміжну речовину силіконова протипінна емульсія (Silicon antifoam emulsion), яка використовується як піногасник у кишковорозчинному покритті лікарського засобу ВОЛЬТАРЕН®, таблетки гастрорезистентні по 50 мг, вилучено показник «Total lead and copper (X-ray fluorescence)».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UA/9383/02/02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ВОРИКОНАЗОЛ АККОРД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voriconazole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вориконазол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sz w:val="16"/>
                <w:szCs w:val="16"/>
              </w:rPr>
              <w:t>J02AC03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200 мг; по 14 таблеток у блістері; по 1 або по 2 блістери в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Аккорд Хелскеа С.Л.У.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Іспанiя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лікарського засобу, первинне та вторинне пакування, контроль якості серії: ІНТАС ФАРМАСЬЮТІКАЛС ЛІМІТЕД, Індія;</w:t>
              <w:br/>
              <w:t>дільниця з контролю якості: АСТРОН РЕСЬОРЧ ЛІМІТЕД, Велика Британія;</w:t>
              <w:br/>
              <w:t>дільниця з контролю якості: Фармадокс Хелскеа Лтд., Мальта;</w:t>
              <w:br/>
              <w:t>додаткова дільниця з первинного та вторинного пакування: АККОРД ХЕЛСКЕА ЛІМІТЕД, Велика Британiя;</w:t>
              <w:br/>
              <w:t xml:space="preserve">додаткова дільниця з вторинного пакування: АККОРД-ЮКЕЙ ЛІМІТЕД, Велика Британія; </w:t>
              <w:br/>
              <w:t>додаткова дільниця з вторинного пакування: ДЧЛ САПЛІ ЧЕЙН (Італія) СПА, Італiя;</w:t>
              <w:br/>
              <w:t>відповідальний за випуск серії: АККОРД ХЕЛСКЕА ЛІМІТЕД, Велика Британія;</w:t>
              <w:br/>
              <w:t>Аккорд Хелскеа Полска Сп. з o.o., Польща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p>
            <w:pPr>
              <w:pStyle w:val="Normal"/>
              <w:tabs>
                <w:tab w:val="left" w:pos="12600" w:leader="none"/>
              </w:tabs>
              <w:jc w:val="center"/>
              <w:rPr>
                <w:rFonts w:ascii="Arial" w:hAnsi="Arial" w:cs="Arial"/>
                <w:sz w:val="16"/>
                <w:szCs w:val="16"/>
              </w:rPr>
            </w:pPr>
            <w:r>
              <w:rPr>
                <w:rFonts w:cs="Arial" w:ascii="Arial" w:hAnsi="Arial"/>
                <w:sz w:val="16"/>
                <w:szCs w:val="16"/>
              </w:rPr>
              <w:t>Велика Британія/</w:t>
            </w:r>
          </w:p>
          <w:p>
            <w:pPr>
              <w:pStyle w:val="Normal"/>
              <w:tabs>
                <w:tab w:val="left" w:pos="12600" w:leader="none"/>
              </w:tabs>
              <w:jc w:val="center"/>
              <w:rPr>
                <w:rFonts w:ascii="Arial" w:hAnsi="Arial" w:cs="Arial"/>
                <w:sz w:val="16"/>
                <w:szCs w:val="16"/>
              </w:rPr>
            </w:pPr>
            <w:r>
              <w:rPr>
                <w:rFonts w:cs="Arial" w:ascii="Arial" w:hAnsi="Arial"/>
                <w:sz w:val="16"/>
                <w:szCs w:val="16"/>
              </w:rPr>
              <w:t>Мальта/</w:t>
            </w:r>
          </w:p>
          <w:p>
            <w:pPr>
              <w:pStyle w:val="Normal"/>
              <w:tabs>
                <w:tab w:val="left" w:pos="12600" w:leader="none"/>
              </w:tabs>
              <w:jc w:val="center"/>
              <w:rPr>
                <w:rFonts w:ascii="Arial" w:hAnsi="Arial" w:cs="Arial"/>
                <w:sz w:val="16"/>
                <w:szCs w:val="16"/>
              </w:rPr>
            </w:pPr>
            <w:r>
              <w:rPr>
                <w:rFonts w:cs="Arial" w:ascii="Arial" w:hAnsi="Arial"/>
                <w:sz w:val="16"/>
                <w:szCs w:val="16"/>
              </w:rPr>
              <w:t>Італія/</w:t>
            </w:r>
          </w:p>
          <w:p>
            <w:pPr>
              <w:pStyle w:val="Normal"/>
              <w:tabs>
                <w:tab w:val="left" w:pos="12600" w:leader="none"/>
              </w:tabs>
              <w:jc w:val="center"/>
              <w:rPr>
                <w:rFonts w:ascii="Arial" w:hAnsi="Arial" w:cs="Arial"/>
                <w:sz w:val="16"/>
                <w:szCs w:val="16"/>
              </w:rPr>
            </w:pPr>
            <w:r>
              <w:rPr>
                <w:rFonts w:cs="Arial" w:ascii="Arial" w:hAnsi="Arial"/>
                <w:sz w:val="16"/>
                <w:szCs w:val="16"/>
              </w:rPr>
              <w:t>Польща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w:t>
              <w:br/>
              <w:t>Діюча редакція: Арлетта Веринська / Arletta Werynska. Пропонована редакція: Агата Гейсевич / Agata Gesiewicz. Зміна контактних даних уповноваженої особи, відповідальної за фармаконагляд.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UA/20312/01/01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ВОРИТАБ®-200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voriconazole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вориконазол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J02AC03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таблетки, вкриті плівковою оболонкою, по 200 мг; по 10 таблеток у блістері; по 1 блістеру у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ОАЕ</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Евертоджен Лайф Саєнсиз  Лімітед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UA/10647/01/01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ВОРИТАБ®-50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voriconazole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вориконазол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J02AC03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таблетки, вкриті плівковою оболонкою, по 50 мг; по 10 таблеток у блістері; по 1 блістеру у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ОАЕ</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Евертоджен Лайф Саєнсиз  Лімітед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UA/10647/01/02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ГЕРЦЕПТИН®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trastuzumab</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трастузумаб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L01FD01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ліофілізат для концентрату для розчину для інфузій по 440 мг; ліофілізат для концентрату для розчину для iнфузiй у флаконі, разом з 20 мл розчинника (розчинник: бактеріостатична вода для ін'єкцій 20 мл, що містить 1,1% бензилового спирту та воду для ін'єкцій) у флаконі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ТОВ «Рош Україна»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нерозфасованої продукції, первинне пакування, випробування контролю якості (тільки стерильність та механічні включення): Дженентек Інк., США; Дженентек Інк., США; Виробництво нерозфасованої продукції, первинне пакування, випробування контролю якості: Рош Діагностикс ГмбХ, Німеччина; Вторинне пакування, випробування контролю якості, випуск серії: Ф.Хоффманн-Ля Рош Лтд, Швейцарія; Розчинник: Виробництво нерозфасованої продукції, первинне пакування, вторинне пакування, випробування контролю якості, випуск серії: Ф.Хоффманн-Ля Рош Лтд, Швейцарія; Виробництво нерозфасованої продукції, первинне пакування, випробування контролю якості: Зігфрід Гамельн ГмбХ, Німеччина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США/ Німеччина/ Швейцарія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II типу - Зміни з якості. АФІ. Проектний простір та післяреєстраційний протокол управління змінами. Внесення змін у післяреєстраційний протокол управління змінами для АФІ. Впровадження протоколу управління змінами після затвердження (PACMP) з метою додавання альтернативного методу ідентифікації під час випробувань на випуск – пептидного картування з використанням Lys-C та мас-спектрометричного (МС) детектування для активного фармацевтичного інгредієнта та проміжних антитіл. Зміни II типу - Зміни з якості. Готовий лікарський засіб. Проектний простір та післяреєстраційний протокол управління змінами. Внесення змін після затвердження протоколу управління змінами для готового лікарського засобу . Впровадження протоколу управління змінами після затвердження (PACMP) з метою додавання альтернативного методу ідентифікації готової продукції при її випуску – пептидного картування Lys-C з МС-детектуванням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UA/13007/01/02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ГЕРЦЕПТИН®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trastuzumab</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трастузумаб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L01FD01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ліофілізат для концентрату для розчину для інфузій по 150 мг, ліофілізат для концентрату для розчину для iнфузiй у флаконі,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ТОВ «Рош Україна»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нерозфасованої продукції, первинне пакування: Дженентек Інк., США; Виробництво нерозфасованої продукції, первинне пакування, вторинне пакування, випробування контролю якості, випуск серії: Рош Діагностикс ГмбХ, Німеччина; Вторинне пакування, випробування контролю якості, випуск серії: Ф.Хоффманн-Ля Рош Лтд, Швейцарія</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США/ Німеччина/ Швейцарія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II типу - Зміни з якості. АФІ. Проектний простір та післяреєстраційний протокол управління змінами. Внесення змін у післяреєстраційний протокол управління змінами для АФІ. Впровадження протоколу управління змінами після затвердження (PACMP) з метою додавання альтернативного методу ідентифікації під час випробувань на випуск – пептидного картування з використанням Lys-C та мас-спектрометричного (МС) детектування для активного фармацевтичного інгредієнта та проміжних антитіл. Зміни II типу - Зміни з якості. Готовий лікарський засіб. Проектний простір та післяреєстраційний протокол управління змінами. Внесення змін після затвердження протоколу управління змінами для готового лікарського засобу . Впровадження протоколу управління змінами після затвердження (PACMP) з метою додавання альтернативного методу ідентифікації готової продукції при її випуску – пептидного картування Lys-C з МС-детектуванням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UA/13007/01/01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ГІДРАСЕК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racecadotril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рацекадотрил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A07XA04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гранули для оральної суспензії по 10 мг, по 16 саше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Абботт Лабораторіз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Софартекс</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Францiя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II типу - Зміни щодо безпеки/ефективності та фармаконагляду (інші зміни) - Зміни внесено в інструкцію для медичного застосування лікарського засобу до розділів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(додано підрозділ "Фертильність") та "Передозування" відповідно до оновленої інформації щодо безпеки застосування лікарського засобу.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UA/13273/01/01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ГІДРАСЕК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racecadotril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рацекадотрил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A07XA04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гранули для оральної суспензії по 30 мг, по 16 саше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Абботт Лабораторіз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Софартекс</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Францiя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II типу - Зміни щодо безпеки/ефективності та фармаконагляду (інші зміни) - Зміни внесено в інструкцію для медичного застосування лікарського засобу до розділів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(додано підрозділ "Фертильність") та "Передозування" відповідно до оновленої інформації щодо безпеки застосування лікарського засобу.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UA/13273/01/02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ГІДРАСЕК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racecadotril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рацекадотрил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sz w:val="16"/>
                <w:szCs w:val="16"/>
              </w:rPr>
              <w:t>A07XA04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капсули тверді по 100 мг; по 10 капсул у блістері; по 1 блістеру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Абботт Лабораторіз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Софартекс</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Францiя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II типу - Зміни щодо безпеки/ефективності та фармаконагляду (інші зміни) - Зміни внесено в інструкцію для медичного застосування лікарського засобу до розділів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(додано підрозділ "Фертильність") та "Передозування" відповідно до оновленої інформації щодо безпеки застосування лікарського засобу. </w:t>
              <w:br/>
              <w:t>Введення змін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UA/13273/02/01 </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ГІДРОКСИКАРБАМІД-ВІСТА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sz w:val="16"/>
                <w:szCs w:val="16"/>
              </w:rPr>
              <w:t>hydroxycarbamide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гідроксикарбамід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L01XX05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капсули по 500 мг; по 10 капсул у блістері; по 10 блістерів у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Містрал Кепітал Менеджмент Лімітед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Англія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Дева Холдінг А.Ш.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Туреччина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виправлення технічної помилки згідно п. 2.4 розділу VI наказу МОЗ України від 26.08.2005р. № 426 (у редакції наказу МОЗ України від 23.07.2015 р № 460), що пов’язано із некоректним перенесенням інформації із оригінальних матеріалів виробника в методиці кількісного визначення гідроксикарбаміду, а саме не було зазначено рухому фазу в МКЯ ЛЗ. Зазначене виправлення відповідає матеріалам реєстраційного досьє (розділ 3.2.Р.5.2. Аналітичні методики).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UA/18217/01/01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ГІНЕКИТ®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1 таблетка містить: азитроміцину дигідрат; 1 таблетка містить: секнідазол; 1 таблетка містить: флуконазол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1 г + таблетки, вкриті плівковою оболонкою, по 1 г + таблетки по 150 мг; in bulk: по 5000 таблеток азитроміцину, 5000 таблеток секнідазолу, 5000 таблеток флуконазолу в пакеті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ОАЕ</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Евертоджен Лайф Саєнсиз  Лімітед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UA/8793/01/01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ГІНЕКИТ®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1 таблетка містить: азитроміцину дигідрат; 1 таблетка містить: секнідазол; 1 таблетка містить: флуконазол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G01A</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1 г + таблетки, вкриті плівковою оболонкою, по 1 г + таблетки по 150 мг; комбі-упаковка № 1: по 1 таблетці азитроміцину, 2 таблетки секнідазолу, 1 таблетці флуконазолу у блістері; по 1 блістеру в картонній пачці; комбі-упаковка № 5: по 1 таблетці азитроміцину, 2 таблетки секнідазолу, 1 таблетці флуконазолу у блістері; по 1 блістеру в картонній пачці; по 5 пачок у пачці; комбі-упаковка № 1: по 1 таблетці азитроміцину, 2 таблетки секнідазолу, 1 таблетці флуконазолу у стрипі; по 1 стрипу в картонній пачці; комбі-упаковка № 5: по 1 таблетці азитроміцину, 2 таблетки секнідазолу, 1 таблетці флуконазолу у стрипі; по 1 стрипу в картонній пачці; по 5 пачок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ОАЕ</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Евертоджен Лайф Саєнсиз  Лімітед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UA/8792/01/01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ГЛАУТАН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travoprost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травопрост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S01EE04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краплі очні, 0,04 мг/мл, по 2,5 мл у флаконі; по 1 флакону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АТ "Фармак"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додавання нового показника «Бензол» на АФІ Травопрост до специфікації та аналітичної методики.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внесення змін до методів контролю за показником «Залишкові органічні розчинники» та додаванням посилання на ЄФ* та розділ 2.2.46 у специфікацію на АФІ Травопрост.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зміна заявлена у зв’язку з внесенням змін до методів контролю АФІ Травопрост за показником «Ідентифікація».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зміна заявлена у зв’язку з внесенням змін до методів контролю АФІ Травопрост за показником «Кількісне визначення».</w:t>
              <w:br/>
              <w:t>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зміна заявлена у зв’язку з внесенням змін до методів контролю АФІ Травопрост за показником «Супровідні домішки». Зміни II типу - Зміни з якості. АФІ. (інші зміни) надання оновленої версії DMF, date 2025/03/21 виробником Industriale Chimica, s.r.l., Italy на АФІ Травопрост. Діюча редакція - DMF, date 2014/02/03. Пропонована редакція - DMF, date 2025/03/21.</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UA/14725/01/01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ГЛІВЕК®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imatinib</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іматинібу мезилат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L01EA01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100 мг, по 10 таблеток у блістері; по 6 блістерів в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Новартіс Фарма АГ</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Швейцарія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контроль якості (частковий):</w:t>
              <w:br/>
              <w:t>Новартіс Фарма Штейн АГ, Швейцарія;</w:t>
              <w:br/>
              <w:t>виробництво за повним циклом:</w:t>
              <w:br/>
              <w:t>Новартіс Фарма Продакшн ГмбХ, Німеччина;</w:t>
              <w:br/>
              <w:t>первинне, вторинне пакування, випуск серії:</w:t>
              <w:br/>
              <w:t>Лек Фармасьютикалс д.д., виробнича дільниця Лендава, Словенія;</w:t>
              <w:br/>
              <w:t>виробництво, первинне та вторинне пакування, контроль якості (частковий), випуск серії:</w:t>
              <w:br/>
              <w:t>Новартіс Фармасьютикал Мануфактурінг ЛЛС, Словенія;</w:t>
              <w:br/>
              <w:t>контроль якості (частковий):</w:t>
              <w:br/>
              <w:t>Лек Фармасьютикалс д.д., Словенія</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Швейцарія/ Німеччина/ Словенія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в інструкцію для медичного застосування лікарського засобу до розділу "Взаємодія з іншими лікарськими засобами та інші види взаємодій", а також редаговано розділ "Склад" (зазначено назву діючої речовини українською мовою). Введення змін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UA/9469/01/01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ГЛІВЕК®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imatinib</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іматинібу мезилат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L01EA01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400 мг, по 10 таблеток у блістері; по 3 блістери в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Новартіс Фарма АГ</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Швейцарія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контроль якості (частковий):</w:t>
              <w:br/>
              <w:t>Новартіс Фарма Штейн АГ, Швейцарія;</w:t>
              <w:br/>
              <w:t>виробництво за повним циклом:</w:t>
              <w:br/>
              <w:t>Новартіс Фарма Продакшн ГмбХ, Німеччина;</w:t>
              <w:br/>
              <w:t>первинне, вторинне пакування, випуск серії:</w:t>
              <w:br/>
              <w:t>Лек Фармасьютикалс д.д., виробнича дільниця Лендава, Словенія;</w:t>
              <w:br/>
              <w:t>виробництво, первинне та вторинне пакування, контроль якості (частковий), випуск серії:</w:t>
              <w:br/>
              <w:t>Новартіс Фармасьютикал Мануфактурінг ЛЛС, Словенія;</w:t>
              <w:br/>
              <w:t>контроль якості (частковий):</w:t>
              <w:br/>
              <w:t>Лек Фармасьютикалс д.д., Словенія</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Швейцарія/ Німеччина/ Словенія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в інструкцію для медичного застосування лікарського засобу до розділу "Взаємодія з іншими лікарськими засобами та інші види взаємодій", а також редаговано розділ "Склад" (зазначено назву діючої речовини українською мовою). Введення змін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UA/9469/01/02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ДАКАРБАЗИН МЕДАК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dacarbazine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дакарбазину цитрат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L01AX04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приготування розчину для ін’єкцій або інфузій по 200 мг, 10 флаконів з порошком у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Медак Гезельшафт фюр клініше Шпеціальпрепарате 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Вторинне пакування, маркування, контроль та випуск серії: Медак Гезельшафт фюр клініше Шпеціальпрепарате мбХ, Німеччина; Виробництво "in bulk", первинне та вторинне пакування, маркування та контроль серії: Онкомед меньюфекчерінг а.с., Чеська Республiка; Виробництво "in bulk", первинне пакування та контроль серії: Онкотек Фарма Продакшн ГмбХ, Німеччина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p>
            <w:pPr>
              <w:pStyle w:val="Normal"/>
              <w:tabs>
                <w:tab w:val="left" w:pos="12600" w:leader="none"/>
              </w:tabs>
              <w:jc w:val="center"/>
              <w:rPr>
                <w:rFonts w:ascii="Arial" w:hAnsi="Arial" w:cs="Arial"/>
                <w:sz w:val="16"/>
                <w:szCs w:val="16"/>
              </w:rPr>
            </w:pPr>
            <w:r>
              <w:rPr>
                <w:rFonts w:cs="Arial" w:ascii="Arial" w:hAnsi="Arial"/>
                <w:sz w:val="16"/>
                <w:szCs w:val="16"/>
              </w:rPr>
              <w:t>Чеська Республіка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 </w:t>
              <w:br/>
              <w:t>Діюча редакція: Агапов Владислав Олегович. Пропонована редакція: Дорошенко Анна Ігорівна. Зміна контактних даних контактної особи заявника, відповідальної за фармаконагляд в Україні.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UA/6987/01/02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ДАКАРБАЗИН МЕДАК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dacarbazine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дакарбазину цитрат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L01AX04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приготування розчину для інфузій по 500 мг, 1 флакон з порошком у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Медак Гезельшафт фюр клініше Шпеціальпрепарате 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Вторинне пакування, маркування, контроль та випуск серії: Медак Гезельшафт фюр клініше Шпеціальпрепарате мбХ, Німеччина; Виробництво "in bulk", первинне та вторинне пакування, маркування та контроль серії: Онкомед меньюфекчерінг а.с., Чеська Республiка; Виробництво "in bulk", первинне пакування та контроль серії: Онкотек Фарма Продакшн ГмбХ, Німеччина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p>
            <w:pPr>
              <w:pStyle w:val="Normal"/>
              <w:tabs>
                <w:tab w:val="left" w:pos="12600" w:leader="none"/>
              </w:tabs>
              <w:jc w:val="center"/>
              <w:rPr>
                <w:rFonts w:ascii="Arial" w:hAnsi="Arial" w:cs="Arial"/>
                <w:sz w:val="16"/>
                <w:szCs w:val="16"/>
              </w:rPr>
            </w:pPr>
            <w:r>
              <w:rPr>
                <w:rFonts w:cs="Arial" w:ascii="Arial" w:hAnsi="Arial"/>
                <w:sz w:val="16"/>
                <w:szCs w:val="16"/>
              </w:rPr>
              <w:t>Чеська Республіка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 </w:t>
              <w:br/>
              <w:t>Діюча редакція: Агапов Владислав Олегович. Пропонована редакція: Дорошенко Анна Ігорівна. Зміна контактних даних контактної особи заявника, відповідальної за фармаконагляд в Україні.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UA/6987/01/03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ДАКАРБАЗИН МЕДАК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dacarbazine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дакарбазину цитрат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L01AX04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приготування розчину для інфузій по 1000 мг, 1 флакон з порошком у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Медак Гезельшафт фюр клініше Шпеціальпрепарате 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Вторинне пакування, маркування, контроль та випуск серії: Медак Гезельшафт фюр клініше Шпеціальпрепарате мбХ, Німеччина; Виробництво "in bulk", первинне та вторинне пакування, маркування та контроль серії: Онкомед меньюфекчерінг а.с., Чеська Республiка; Виробництво "in bulk", первинне пакування та контроль серії: Онкотек Фарма Продакшн ГмбХ, Німеччина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p>
            <w:pPr>
              <w:pStyle w:val="Normal"/>
              <w:tabs>
                <w:tab w:val="left" w:pos="12600" w:leader="none"/>
              </w:tabs>
              <w:jc w:val="center"/>
              <w:rPr>
                <w:rFonts w:ascii="Arial" w:hAnsi="Arial" w:cs="Arial"/>
                <w:sz w:val="16"/>
                <w:szCs w:val="16"/>
              </w:rPr>
            </w:pPr>
            <w:r>
              <w:rPr>
                <w:rFonts w:cs="Arial" w:ascii="Arial" w:hAnsi="Arial"/>
                <w:sz w:val="16"/>
                <w:szCs w:val="16"/>
              </w:rPr>
              <w:t>Чеська Республіка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 </w:t>
              <w:br/>
              <w:t>Діюча редакція: Агапов Владислав Олегович. Пропонована редакція: Дорошенко Анна Ігорівна. Зміна контактних даних контактної особи заявника, відповідальної за фармаконагляд в Україні.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UA/6987/01/04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ДАКАРБАЗИН МЕДАК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dacarbazine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дакарбазину цитрат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L01AX04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приготування розчину для ін’єкцій або інфузій по 100 мг, 10 флаконів з порошком у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Медак Гезельшафт фюр клініше Шпеціальпрепарате 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Вторинне пакування, маркування, контроль та випуск серії: Медак Гезельшафт фюр клініше Шпеціальпрепарате мбХ, Німеччина; Виробництво "in bulk", первинне та вторинне пакування, маркування та контроль серії: Онкомед меньюфекчерінг а.с., Чеська Республiка; Виробництво "in bulk", первинне пакування та контроль серії: Онкотек Фарма Продакшн ГмбХ, Німеччина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p>
            <w:pPr>
              <w:pStyle w:val="Normal"/>
              <w:tabs>
                <w:tab w:val="left" w:pos="12600" w:leader="none"/>
              </w:tabs>
              <w:jc w:val="center"/>
              <w:rPr>
                <w:rFonts w:ascii="Arial" w:hAnsi="Arial" w:cs="Arial"/>
                <w:sz w:val="16"/>
                <w:szCs w:val="16"/>
              </w:rPr>
            </w:pPr>
            <w:r>
              <w:rPr>
                <w:rFonts w:cs="Arial" w:ascii="Arial" w:hAnsi="Arial"/>
                <w:sz w:val="16"/>
                <w:szCs w:val="16"/>
              </w:rPr>
              <w:t>Чеська Республіка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 </w:t>
              <w:br/>
              <w:t>Діюча редакція: Агапов Владислав Олегович. Пропонована редакція: Дорошенко Анна Ігорівна. Зміна контактних даних контактної особи заявника, відповідальної за фармаконагляд в Україні.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UA/6987/01/01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ДАЛАЦИН Ц</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clindamycin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кліндаміцину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J01FF01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капсули по 300 мг; по 8 капсул у блістері; по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Пфайзер Інк.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США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Фарева Амбуаз</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Францiя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розділів "Фармакологічні властивості" (редакційна правка), "Діти" (редакційна правка), "Побічні реакції" (щодо додавання шкірного васкуліту до переліку побічних реакцій). Введення змін протягом 9-ти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w:t>
              <w:br/>
              <w:t>Зміни внесено до інструкції для медичного застосування лікарського засобу до розділу "Побічні реакції" щодо додавання симетричної інтертригінозної та згинальної екзантеми, пов'язаної з лікарськими засобами до переліку побічних реакцій.Введення змін протягом 9-ти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UA/1903/02/02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ДАЛАЦИН Ц</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clindamycin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кліндаміцину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J01FF01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капсули по 150 мг; по 8 капсул у блістері; по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Пфайзер Інк.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США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Фарева Амбуаз</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Францiя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розділів "Фармакологічні властивості" (редакційна правка), "Діти" (редакційна правка), "Побічні реакції" (щодо додавання шкірного васкуліту до переліку побічних реакцій). Введення змін протягом 9-ти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w:t>
              <w:br/>
              <w:t>Зміни внесено до інструкції для медичного застосування лікарського засобу до розділу "Побічні реакції" щодо додавання симетричної інтертригінозної та згинальної екзантеми, пов'язаної з лікарськими засобами до переліку побічних реакцій.Введення змін протягом 9-ти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UA/1903/02/01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ДЕЙЛІПОРТ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tacrolimus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такролімус у вигляді такролімусу моногідрату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L04AD02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капсули пролонгованої дії по 1 мг, по 10 капсул у блістері; по 5 блістерів у алюмінієвому пакеті; по 1 алюмінієвому пакету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"Сандоз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первинне та вторинне пакування, випуск серій: Лек Фармацевтична компанія д.д., Словенія; контроль серій (тільки мікробіологічний):</w:t>
              <w:br/>
              <w:t>Лек Фармацевтична компанія д.д., Словенія; виробництво «in bulk», контроль серій (крім мікробіологічного): Новартіс Фармасьютікал Мануфактуринг ЛЛС, Словенія; контроль серій (альтернативна ділянка для проведення ГХ аналізу): Новартіс Фармасьютікал Мануфактуринг ЛЛС, Словенія</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Словенія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 Зміни внесено до інструкції для медичного застосування лікарського засобу у розділи "Застосування у період вагітності або годування груддю", "Побічні реакції" згідно з інформацією щодо медичного застосування референтного лікарського засобу (АДВАГРАФ®).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UA/20954/01/02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ДЕЙЛІПОРТ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tacrolimus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такролімус у вигляді такролімусу моногідрату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L04AD02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капсули пролонгованої дії по 5 мг; по 10 капсул у блістері; по 5 блістерів у алюмінієвому пакеті; по 1 алюмінієвому пакету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"Сандоз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первинне та вторинне пакування, випуск серій: Лек Фармацевтична компанія д.д., Словенія; контроль серій (тільки мікробіологічний):</w:t>
              <w:br/>
              <w:t>Лек Фармацевтична компанія д.д., Словенія; виробництво «in bulk», контроль серій (крім мікробіологічного): Новартіс Фармасьютікал Мануфактуринг ЛЛС, Словенія; контроль серій (альтернативна ділянка для проведення ГХ аналізу): Новартіс Фармасьютікал Мануфактуринг ЛЛС, Словенія</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Словенія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 Зміни внесено до інструкції для медичного застосування лікарського засобу у розділи "Застосування у період вагітності або годування груддю", "Побічні реакції" згідно з інформацією щодо медичного застосування референтного лікарського засобу (АДВАГРАФ®).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UA/20954/01/04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ДЕЙЛІПОРТ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tacrolimus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такролімус у вигляді такролімусу моногідрату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L04AD02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капсули пролонгованої дії по 3 мг; по 10 капсул у блістері; по 5 блістерів у алюмінієвому пакеті; по 1 алюмінієвому пакету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"Сандоз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первинне та вторинне пакування, випуск серій: Лек Фармацевтична компанія д.д., Словенія; контроль серій (тільки мікробіологічний):</w:t>
              <w:br/>
              <w:t>Лек Фармацевтична компанія д.д., Словенія; виробництво «in bulk», контроль серій (крім мікробіологічного): Новартіс Фармасьютікал Мануфактуринг ЛЛС, Словенія; контроль серій (альтернативна ділянка для проведення ГХ аналізу): Новартіс Фармасьютікал Мануфактуринг ЛЛС, Словенія</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Словенія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 Зміни внесено до інструкції для медичного застосування лікарського засобу у розділи "Застосування у період вагітності або годування груддю", "Побічні реакції" згідно з інформацією щодо медичного застосування референтного лікарського засобу (АДВАГРАФ®).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UA/20954/01/03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ДЕЙЛІПОРТ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tacrolimus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такролімус у вигляді такролімусу моногідрату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L04AD02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капсули пролонгованої дії по 0,5 мг, по 10 капсул у блістері; по 5 блістерів у алюмінієвому пакеті; по 1 алюмінієвому пакету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"Сандоз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первинне та вторинне пакування, випуск серій: Лек Фармацевтична компанія д.д., Словенія; контроль серій (тільки мікробіологічний):</w:t>
              <w:br/>
              <w:t>Лек Фармацевтична компанія д.д., Словенія; виробництво «in bulk», контроль серій (крім мікробіологічного): Новартіс Фармасьютікал Мануфактуринг ЛЛС, Словенія; контроль серій (альтернативна ділянка для проведення ГХ аналізу): Новартіс Фармасьютікал Мануфактуринг ЛЛС, Словенія</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Словенія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 Зміни внесено до інструкції для медичного застосування лікарського засобу у розділи "Застосування у період вагітності або годування груддю", "Побічні реакції" згідно з інформацією щодо медичного застосування референтного лікарського засобу (АДВАГРАФ®).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UA/20954/01/01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ДЕНІЗИД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ceftazidime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цефтазидиму пентагідрат (у складі стерильної суміші з натрію карбонатом безводним)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J01DD02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розчину для ін’єкцій по 1 г, 1 флакон з порошком у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Ананта Медікеар Лтд.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Велика Британiя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Ананта Медікеар Лімітед </w:t>
              <w:b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ГЛЗ. Діюча редакція: </w:t>
              <w:br/>
              <w:t>Термін придатності: 2 роки. Пропонована редакція: Термін придатності: 3 роки. Зміни внесено в інструкцію для медичного застосування лікарського засобу у розділ "Термін придатності". Введення змін протягом 3-х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UA/15338/01/01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ДЕНІПІМ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cefepime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цефепіму гідрохлорид (у вигляді стерильної суміші цефепіму гідрохлориду та L-аргініну)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J01DE01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розчину для ін'єкцій по 1000 мг; 1 флакон з порошком у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Ананта Медікеар Лтд.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Велика Британiя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Ананта Медікеар Лімітед</w:t>
              <w:b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ГЛЗ. Діюча редакція: </w:t>
              <w:br/>
              <w:t>Термін придатності: 2 роки Пропонована редакція: Термін придатності: 3 роки. Зміни внесено в інструкцію для медичного застосування лікарського засобу у розділ "Термін придатності". Введення змін протягом 3-х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UA/15339/01/01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ДЕПАКІН®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valproic acid</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вальпроат натрію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N03AG01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сироп, 57,64 мг/мл; № 1: по 150 мл у флаконі; по 1 флакону з дозуючим пристроєм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"Санофі-Авентіс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нерозфасованого продукту, первинне пакування, вторинне пакування, контроль/випробування серії, включаючи випуск серії: Юнітер Ліквід Мануфекчурінг, Франція; виробництво нерозфасованого продукту, первинне пакування, вторинне пакування:</w:t>
              <w:br/>
              <w:t>Санофі Іляч Санаї Ве Тіджарет Анонім Шіркеті, Туреччина; Контроль/випробування серії, включаючи випуск серії: Санофі Вінтроп Індастріа, Франція</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Франція/ Туреччина/ Франція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розділів "Фармакологічні властивості", "Особливості застосування", "Застосування у період вагітності або годування груддю". </w:t>
              <w:br/>
              <w:t>Введення змін протягом 6 місяців після затвердження. Зміни II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змін(и), які(а) вимагають(є) подальшого обґрунтування новими додатковим даними, що мають надаватися компетентним органом, оскільки вимагається суттєва оцінка компетентним органом) - Заявником ТОВ "Санофі-Авентіс Україна" оновлено план управління ризиками (далі – ПУР) до версії 10.1 лікарського засобу Депакін® сироп, 57,64 мг/мл, № 1: по 150 мл у флаконі; по 1 флакону з дозуючим пристроєм в картонній коробці з метою включення нових додаткових даних з безпеки лікарського засобу, отриманих у ході постмаркетингового спостереження та клінічних досліджень. Зміни внесено до частин: І «Загальна інформація», II «Специфікація з безпеки», III «План з фармаконагляду», V «Заходи з мінімізації ризиків», VI «Резюме плану управління ризиками», VII «Додатки». Резюме ПУР версія 10.1 додається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UA/3817/01/01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ДОБУТАМІН АДМЕДА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dobutamine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добутаміну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C01CA07</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розчин для інфузій, 250 мг/50 мл; по 50 мл (250 мг) у флаконі;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Адмеда Арцнайміттель ГмбХ</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Солюфарм Фармацойтіше Ерцойгніссе ГмбХ</w:t>
              <w:b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(власника реєстраційного посвідчення). Зміни внесені в інструкцію для медичного застосування лікарського засобу у розділ «Місцезнаходження заявника» (eCTD 0000), відповідні зміни внесені в текст маркування упаковки лікарського засобу (eCTD 0004) . Термін введення змін -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UA/5714/01/01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ДУАКЛІР® ДЖЕНУЕЙР®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Formoterol and aclidinium bromide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аклідинію бромід та формотеролу фумарату дигідрат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R03AL05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інгаляцій, 340 мкг/12 мкг; по 60 доз порошку для інгаляцій в інгаляторі; по 1 або по 3 інгалятори в алюмінієвому ламінованому пакеті кожен, разом із пакетиком з осушувачем в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БЕРЛІН-ХЕМІ АГ</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Індастріас Фармасеутікас Алмірал С.А.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Іспанiя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з якості. АФІ. Контроль АФІ (інші зміни). Внесення змін до розділу 3.2.S.5. а саме: Оновлення опису еталонного стандарту 3-(R)- Quinuclidinol Glycolate з «Твердий порошок від рожевого до коричневого кольору» на «Твердий порошок, від білого до рожевого кольору», а також виправлення незначної друкарської помилки.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показника якості «Важкі метали» зі специфікацій діючої речовини Аклідинію броміду.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Приведення специфікації діючої речовини "Формотеролу фумарату дигідрат" у відповідність до вимог чинної версії монографії № 1724 "Formoterol fumarate dihydrate" ЄФ.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Додавання виробничої дільниці відповідальної за контроль якості та дослідження стабільності (фізико-хімічні) діючої речовини формотеролу фумарату дигідрату, а саме: Lusochimica S.p.A (Via Giotto, 9, 23871 Lomagna, Italy).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Подання нового сертифікату відповідності Європейській фармакопеї CEP 2011-262 Rev 02 для АФІ формотеролу фумарату дигідрату від нового виробника Lusochimica S.p.A., Italy.</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UA/17698/01/01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ЕГІЛОК®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metoprolol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метопрололу тартрат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C07AB02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таблетки по 25 мг, 60 таблеток у флаконі; по 1 флакону в картонній упаковці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Фармацевтичний завод ЕГІС</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Виробник відповідальний за повний цикл виробництва, включаючи випуск серії:</w:t>
              <w:br/>
              <w:t>ЗАТ Фармацевтичний завод ЕГІС, Угорщина;</w:t>
              <w:br/>
              <w:t>Виробник відповідальний за вторинне та первинне пакування контроль серії та випуск серії:</w:t>
              <w:br/>
              <w:t>ЗАТ Фармацевтичний завод ЕГІС, Угорщина</w:t>
              <w:b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Зміни щодо безпеки/ефективності та фармаконагляду (інші зміни) </w:t>
              <w:br/>
              <w:t>Зміни внесені до інструкції для медичного застосування у розділи: "Побічні реакції" (додано інформацію щодо звітування про побічні реакції), "Несумісність (вилучення розділу), "Виробник" (вилучення дублювання інформації англійською мовою) та "Місцезнаходження виробника та адреса місця провадження його діяльності" (вилучення дублювання інформації англійською мовою).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у розділи "Фармакологічні властивості" ,"Показання",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"Передозування", "Побічні реакції" до інструкції для медичного застосування відповідно до інформації референтного лікарського засобу (Betaloc).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внесені до інструкції для медичного застосування у розділи "Взаємодія з іншими лікарськими засобами та інші види взаємодій", "Особливості застосування" щодо безпеки застосування діючої речовини.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UA/9635/01/01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ЕГІЛОК®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metoprolol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метопрололу тартрат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C07AB02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таблетки по 50 мг, 60 таблеток у флаконі; по 1 флакону в картонній упаковці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Фармацевтичний завод ЕГІС</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Виробник відповідальний за повний цикл виробництва, включаючи випуск серії:</w:t>
              <w:br/>
              <w:t>ЗАТ Фармацевтичний завод ЕГІС, Угорщина;</w:t>
              <w:br/>
              <w:t>Виробник відповідальний за вторинне та первинне пакування контроль серії та випуск серії:</w:t>
              <w:br/>
              <w:t>ЗАТ Фармацевтичний завод ЕГІС, Угорщина</w:t>
              <w:b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Зміни щодо безпеки/ефективності та фармаконагляду (інші зміни) </w:t>
              <w:br/>
              <w:t>Зміни внесені до інструкції для медичного застосування у розділи: "Побічні реакції" (додано інформацію щодо звітування про побічні реакції), "Несумісність (вилучення розділу), "Виробник" (вилучення дублювання інформації англійською мовою) та "Місцезнаходження виробника та адреса місця провадження його діяльності" (вилучення дублювання інформації англійською мовою).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у розділи "Фармакологічні властивості" ,"Показання",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"Передозування", "Побічні реакції" до інструкції для медичного застосування відповідно до інформації референтного лікарського засобу (Betaloc).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внесені до інструкції для медичного застосування у розділи "Взаємодія з іншими лікарськими засобами та інші види взаємодій", "Особливості застосування" щодо безпеки застосування діючої речовини.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UA/9635/01/02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ЕГІЛОК®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metoprolol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метопрололу тартрат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C07AB02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таблетки по 100 мг, по 30 або 60 таблеток у флаконі; по 1 флакону в картонній упаковці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Фармацевтичний завод ЕГІС</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Виробник відповідальний за повний цикл виробництва, включаючи випуск серії:</w:t>
              <w:br/>
              <w:t>ЗАТ Фармацевтичний завод ЕГІС, Угорщина;</w:t>
              <w:br/>
              <w:t>Виробник відповідальний за вторинне та первинне пакування контроль серії та випуск серії:</w:t>
              <w:br/>
              <w:t>ЗАТ Фармацевтичний завод ЕГІС, Угорщина</w:t>
              <w:b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Зміни щодо безпеки/ефективності та фармаконагляду (інші зміни) </w:t>
              <w:br/>
              <w:t>Зміни внесені до інструкції для медичного застосування у розділи: "Побічні реакції" (додано інформацію щодо звітування про побічні реакції), "Несумісність (вилучення розділу), "Виробник" (вилучення дублювання інформації англійською мовою) та "Місцезнаходження виробника та адреса місця провадження його діяльності" (вилучення дублювання інформації англійською мовою).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у розділи "Фармакологічні властивості" ,"Показання",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"Передозування", "Побічні реакції" до інструкції для медичного застосування відповідно до інформації референтного лікарського засобу (Betaloc).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внесені до інструкції для медичного застосування у розділи "Взаємодія з іншими лікарськими засобами та інші види взаємодій", "Особливості застосування" щодо безпеки застосування діючої речовини.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UA/9635/01/03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ЕЗОПРОТЕКТ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esomeprazole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езомепразол натрію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A02BC05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ліофілізат для розчину для ін'єкцій та інфузій по 40 мг,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Містрал Кепітал Менеджмент Лімітед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Англія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ВЕМ Ілач Сан. ве Тік. А.С.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Туреччина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змін до методики випробування за показником "Кількісне визначення натрію едетату" в МКЯ ЛЗ, а саме внесені коригування до методу випробування та уточнено розрахункову формулу, у відповідності до оригінальних документів виробника.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UA/19210/01/01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ЕНХЕРТУ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sz w:val="16"/>
                <w:szCs w:val="16"/>
              </w:rPr>
              <w:t>Trastuzumab deruxtecan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трастузумабу дерукстекан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L01FD04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концентрату для розчину для інфузій, 100 мг; стерильний ліофілізований порошок для концентрату для розчину для інфузій для одноразового використання у скляному флаконі, закупореному гумовою пробкою з обжимною кришкою "flip-off crimp cap";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АСТРАЗЕНЕКА ЮК ЛІМІТЕД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Велика Британiя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випробування контролю якості при випуску:</w:t>
              <w:br/>
              <w:t>Бакстер Онколоджі ГмбХ, Німеччина;</w:t>
              <w:br/>
              <w:t xml:space="preserve">випробування контролю якості при випуску </w:t>
              <w:br/>
              <w:t>(тільки пригнічення росту клітин):</w:t>
              <w:br/>
              <w:t>Чарльз Рівер Лабораторіз Джормані ГмбХ, Німеччина;</w:t>
              <w:br/>
              <w:br/>
              <w:t>вторинне пакування, маркування та випуск серії (сертифікація) готового лікарського засобу:</w:t>
              <w:br/>
              <w:t>Даічі Санкіо Юроп ГмбХ, Німеччина</w:t>
              <w:b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Внесення незначної зміни до виробничого процесу проміжного продукту DS-8201a лікарського засобу шляхом додавання опціонального етапу повторного розморожування. Компанія AstraZeneca планує запровадити опціональний етап на початковій стадії виробничого процесу, що передбачає можливість повторного заморожування DS-8201a після їх первинного розморожування. Така можливість розглядається якщо пакети з лікарською речовиною потребують повторного замороження на виробничій дільниці готового лікарського засобу Baxter Oncology GmbH, Німеччина. Зміни І типу - Зміни з якості. АФІ. Виробництво. Зміни в процесі виробництва АФІ (незначна зміна у процесі виробництва АФІ). Внесення незначної зміни до розділу «3.2.S.2.2 Опис виробничого процесу та контролю процесу», що стосується коригування процесу обсягу промивання фільтра. Введення додаткового модуля будівлі O, який буде використовуватися для виробництва діючої речовини трастузумаб дерукстекан. Модуль O є новою будівлею на території затвердженої виробничої дільниці Lonza AG, (Lonzastrasse, Visp, Switzerland). Виробничий процес у модулі O ідентичний до того, що застосований на даний момент для Lonza Visp, за винятком зміни обсягу промивання фільтра. Додатковий етап промивання для відновлення було вперше введено у модулі O, щоб врахувати збільшення об’єму затримки на альтернативній мембрані TFF. Надалі цей підхід буде використовуватися на всій виробничій дільниці Lonza AG. Зміни І типу - Зміни з якості. АФІ. (інші зміни) </w:t>
              <w:br/>
              <w:t>Переміщення лабораторії контролю якості за тією ж адресою для виробничої дільниці діючої речовин Lonza AG. Планується об’єднання лабораторій контролю якості хроматографії та електрофорезу біологічних лікарських засобів в будівлі І11, яка розташована на тій же виробничій дільниці Lonza AG у місті Вісп. Зміни II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 якості/випробування серії для біологічного/імунологічного лікарського засобу, та будь-якої дільниці, на якій застосовується біологічний/імунологічний метод випробування). Введення додаткової виробничої дільниці Baxter Oncology GmbH, що відповідає за випробування контролю якості при випуску готового лікарського засобу, додатково до виробничої дільниці Charles River Laboratories Germany GmbH (випробування контролю якості при випуску (тільки пригнічення росту клітин)).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UA/20895/01/01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ЕПОБІОКРИН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erythropoietin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рекомбінантний еритропоетин людини</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B03XA01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розчин для ін'єкцій по 1000 МО; по 1 мл в попередньо наповненому шприцу; по 5 попередньо наповнених шприців у блістері; по 1 блістеру у пачці; по 1 мл в ампулі; по 5 ампул у блістері; по 1 блістеру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"ФЗ "СТАДА"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"ФЗ "СТАДА"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 Введення контрактної лабораторії для контролю показника «Ідентифікація.п.2.1» ЄФ. 1316 та «Кількісне визначення. Біологічна</w:t>
            </w:r>
            <w:r>
              <w:rPr>
                <w:rFonts w:cs="Arial" w:ascii="Arial" w:hAnsi="Arial"/>
                <w:sz w:val="16"/>
                <w:szCs w:val="16"/>
                <w:lang w:val="en-US"/>
              </w:rPr>
              <w:t xml:space="preserve"> </w:t>
            </w:r>
            <w:r>
              <w:rPr>
                <w:rFonts w:cs="Arial" w:ascii="Arial" w:hAnsi="Arial"/>
                <w:sz w:val="16"/>
                <w:szCs w:val="16"/>
              </w:rPr>
              <w:t>активність</w:t>
            </w:r>
            <w:r>
              <w:rPr>
                <w:rFonts w:cs="Arial" w:ascii="Arial" w:hAnsi="Arial"/>
                <w:sz w:val="16"/>
                <w:szCs w:val="16"/>
                <w:lang w:val="en-US"/>
              </w:rPr>
              <w:t xml:space="preserve"> in vivo» ZELLTEK S.A. (National Route N0 168 W/N, E1 Pozo place (Zip Code 3000), Santa Fe, Argentine Republic</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UA/17088/01/01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ЕПОБІОКРИН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erythropoietin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рекомбінантний еритропоетин людини</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B03XA01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розчин для ін'єкцій по 2000 МО; по 1 мл в попередньо наповненому шприцу; по 5 попередньо наповнених шприців у блістері; по 1 блістеру у пачці; по 1 мл в ампулі; по 5 ампул у блістері; по 1 блістеру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"ФЗ "СТАДА"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"ФЗ "СТАДА"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 Введення контрактної лабораторії для контролю показника «Ідентифікація.п.2.1» ЄФ. 1316 та «Кількісне визначення. Біологічна</w:t>
            </w:r>
            <w:r>
              <w:rPr>
                <w:rFonts w:cs="Arial" w:ascii="Arial" w:hAnsi="Arial"/>
                <w:sz w:val="16"/>
                <w:szCs w:val="16"/>
                <w:lang w:val="en-US"/>
              </w:rPr>
              <w:t xml:space="preserve"> </w:t>
            </w:r>
            <w:r>
              <w:rPr>
                <w:rFonts w:cs="Arial" w:ascii="Arial" w:hAnsi="Arial"/>
                <w:sz w:val="16"/>
                <w:szCs w:val="16"/>
              </w:rPr>
              <w:t>активність</w:t>
            </w:r>
            <w:r>
              <w:rPr>
                <w:rFonts w:cs="Arial" w:ascii="Arial" w:hAnsi="Arial"/>
                <w:sz w:val="16"/>
                <w:szCs w:val="16"/>
                <w:lang w:val="en-US"/>
              </w:rPr>
              <w:t xml:space="preserve"> in vivo» ZELLTEK S.A. (National Route N0 168 W/N, E1 Pozo place (Zip Code 3000), Santa Fe, Argentine Republic</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UA/17088/01/02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ЕПОБІОКРИН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erythropoietin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рекомбінантний еритропоетин людини</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B03XA01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розчин для ін'єкцій по 4000 МО; по 1 мл в попередньо наповненому шприцу; по 5 попередньо наповнених шприців у блістері; по 1 блістеру у пачці; по 1 мл в ампулі; по 5 ампул у блістері; по 1 блістеру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"ФЗ "СТАДА"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"ФЗ "СТАДА"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 Введення контрактної лабораторії для контролю показника «Ідентифікація.п.2.1» ЄФ. 1316 та «Кількісне визначення. Біологічна</w:t>
            </w:r>
            <w:r>
              <w:rPr>
                <w:rFonts w:cs="Arial" w:ascii="Arial" w:hAnsi="Arial"/>
                <w:sz w:val="16"/>
                <w:szCs w:val="16"/>
                <w:lang w:val="en-US"/>
              </w:rPr>
              <w:t xml:space="preserve"> </w:t>
            </w:r>
            <w:r>
              <w:rPr>
                <w:rFonts w:cs="Arial" w:ascii="Arial" w:hAnsi="Arial"/>
                <w:sz w:val="16"/>
                <w:szCs w:val="16"/>
              </w:rPr>
              <w:t>активність</w:t>
            </w:r>
            <w:r>
              <w:rPr>
                <w:rFonts w:cs="Arial" w:ascii="Arial" w:hAnsi="Arial"/>
                <w:sz w:val="16"/>
                <w:szCs w:val="16"/>
                <w:lang w:val="en-US"/>
              </w:rPr>
              <w:t xml:space="preserve"> in vivo» ZELLTEK S.A. (National Route N0 168 W/N, E1 Pozo place (Zip Code 3000), Santa Fe, Argentine Republic</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UA/17088/01/03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ЕПОБІОКРИН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erythropoietin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рекомбінантний еритропоетин людини</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B03XA01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розчин для ін'єкцій по 10 000 МО; по 1 мл в попередньо наповненому шприцу; по 5 попередньо наповнених шприців у блістері; по 1 блістеру у пачці; по 1 мл в ампулі; по 5 ампул у блістері; по 1 блістеру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"ФЗ "СТАДА"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"ФЗ "СТАДА"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 Введення контрактної лабораторії для контролю показника «Ідентифікація.п.2.1» ЄФ. 1316 та «Кількісне визначення. Біологічна</w:t>
            </w:r>
            <w:r>
              <w:rPr>
                <w:rFonts w:cs="Arial" w:ascii="Arial" w:hAnsi="Arial"/>
                <w:sz w:val="16"/>
                <w:szCs w:val="16"/>
                <w:lang w:val="en-US"/>
              </w:rPr>
              <w:t xml:space="preserve"> </w:t>
            </w:r>
            <w:r>
              <w:rPr>
                <w:rFonts w:cs="Arial" w:ascii="Arial" w:hAnsi="Arial"/>
                <w:sz w:val="16"/>
                <w:szCs w:val="16"/>
              </w:rPr>
              <w:t>активність</w:t>
            </w:r>
            <w:r>
              <w:rPr>
                <w:rFonts w:cs="Arial" w:ascii="Arial" w:hAnsi="Arial"/>
                <w:sz w:val="16"/>
                <w:szCs w:val="16"/>
                <w:lang w:val="en-US"/>
              </w:rPr>
              <w:t xml:space="preserve"> in vivo» ZELLTEK S.A. (National Route N0 168 W/N, E1 Pozo place (Zip Code 3000), Santa Fe, Argentine Republic</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UA/17088/01/04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ЕРБІТУКС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cetuximab</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цетуксимаб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L01FE01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розчин для інфузій, 5 мг/мл; по 20 мл або по 100 мл у скляному флаконі; по 1 флакону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Мерк Юроп Б.В.</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Нідерланди</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готового лікарського засобу, первинне та вторинне пакування, маркування, контроль якості та випуск серій:</w:t>
              <w:br/>
              <w:t>Мерк Хелскеа КГаА, Німеччина;</w:t>
              <w:br/>
              <w:br/>
              <w:t xml:space="preserve">виробництво готового лікарського засобу, первинне та вторинне пакування, контроль якості та випуск серій: </w:t>
              <w:br/>
              <w:t>Мерк Сероно С.А., відділення у м. Обонн, Швейцарія;</w:t>
              <w:br/>
              <w:br/>
              <w:t>контроль якості:</w:t>
              <w:br/>
              <w:t>Мерк Сероно С.п.А., Італія</w:t>
              <w:b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 Швейцарія/ Італія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II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для лікарського засобу біологічного/імунологічного походження та один з методів аналізу, що застосовується на дільниці, є біологічним/імунологічним/імунохімічним методом - додавання альтернативної виробничої дільниці Мерк Сероно С.А., відділення у м. Обонн, Швейцарія, як альтернативної дільниці, відповідальної за контроль якості готового лікарського засобу та випуск серій готового лікарського засобу (Мерк Сероно С.А., відділення у м. Обонн, Зон Індустрієль де Л’Урьєтаз, 1170 Обонн, Швейцарія / Merck Serono S.A., Succursale d’Aubonne, Zone Industrielle de l’Ouriettaz, 1170 Aubonne, Switzerland). Зміни (додавання виробника) внесені в розділи «Виробник» та «Місцезнаходження виробника та адреса місця провадження його діяльності» інструкції для медичного застосування лікарського засобу. Як наслідок затвердження тексту маркування упаковки лікарського засобу для доданого виробника. Введення змін протягом 6 місяців після затвердження. Зміни II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додавання альтернативної виробничої дільниці Мерк Сероно С.А., відділення у м. Обонн, Швейцарія, відповідальної за виробництво, первинне та вторинне пакування готового лікарського засобу із супутніми змінами у виробничому процесі, видах контролю у процесі виробництва та розмірі серії ( Мерк Сероно С.А., відділення у м. Обонн, Зон Індустрієль де Л’Урьєтаз, 1170 Обонн, Швейцарія / Merck Serono S.A., Succursale d’Aubonne, Zone Industrielle de l’Ouriettaz, 1170 Aubonne, Switzerland). </w:t>
              <w:br/>
              <w:t xml:space="preserve">Введення змін протягом 6 місяців після затвердження. Зміни II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Стерильні лікарські засоби та лікарські засоби біологічного/імунологічного походження - зміни до первинної упаковки готового лікарського засобу для виробничої дільниці Мерк Сероно С.А., відділення у м. Обонн, Швейцарія, а саме введення альтернативного постачальника скляних флаконів, введення альтернативної (бромбутильової) пробки та гармонізації форми для всіх флаконів та пробок. Введення змін протягом 6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UA/13055/01/01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ЕТАМБУТОЛ ДТ 100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Ethambutol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етамбутолу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J04AK02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що диспергуються по 100 мг; по 10 таблеток у блістері, по 10 блістерів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Маклеодс Фармасьютикалс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Оксаліс Лабс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заявника, відповідальної за здійснення фармаконагляду. Зміна місця здійснення основної діяльності з фармаконагляду. Зміна місцезнаходження мастер-файла системи фармаконагляду та його номера.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UA/20918/01/01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ЕФМЕРИН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ceftriaxone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цефтриаксон натрію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J01DD04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розчину для ін’єкцій по 1 г; 1 флакон з порошком в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Ананта Медікеар Лтд.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Велика Британiя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Ананта Медікеар Лімітед</w:t>
              <w:b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ГЛЗ. Діюча редакція: Термін придатності: 2 роки; Пропонована редакція: Термін придатності: 3 роки. Зміни внесено в інструкцію для медичного застосування лікарського засобу у розділ "Термін придатності". Введення змін протягом 3-х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UA/16125/01/01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ЕФМЕРИН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ceftriaxone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цефтриаксон натрію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sz w:val="16"/>
                <w:szCs w:val="16"/>
              </w:rPr>
              <w:t>J01DD04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розчину для ін’єкцій по 2 г; 1 флакон з порошком в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Ананта Медікеар Лтд.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Велика Британiя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Ананта Медікеар Лімітед</w:t>
              <w:b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ГЛЗ. Діюча редакція: Термін придатності: 2 роки; Пропонована редакція: Термін придатності: 3 роки. Зміни внесено в інструкцію для медичного застосування лікарського засобу у розділ "Термін придатності". Введення змін протягом 3-х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UA/16125/01/02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ІЗІКАРД® 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Telmisartan and diuretics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телміcартан та гідрохлоротіазид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C09DA07</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40 мг/12,5 мг; по 7 таблеток в алюмінієвому блістері, по 2 блістери у картонній коробці; по 7 таблеток в алюмінієвому блістері, по 4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ОАЕ</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Евертоджен Лайф Саєнсиз  Лімітед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UA/16929/01/01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ІЗІКАРД® 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Telmisartan and diuretics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телміcартан та гідрохлоротіазид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C09DA07</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80 мг/12,5 мг; по 7 таблеток в алюмінієвому блістері, по 2 блістери у картонній коробці; по 7 таблеток в алюмінієвому блістері, по 4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ОАЕ</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Евертоджен Лайф Саєнсиз  Лімітед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UA/16929/01/02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ІЗІКАРД® 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sz w:val="16"/>
                <w:szCs w:val="16"/>
              </w:rPr>
              <w:t>Telmisartan and diuretics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телміcартан та гідрохлоротіазид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C09DA07</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80 мг/25 мг; по 7 таблеток в алюмінієвому блістері, по 2 блістери у картонній коробці; по 7 таблеток в алюмінієвому блістері, по 4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ОАЕ</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Евертоджен Лайф Саєнсиз  Лімітед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UA/16929/01/03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КАНДІД-Б</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Imidazoles/triazoles in combination with corticosteroids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клотримазол, беклометазону дипропіонат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D01AC20</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крем, по 15 г у тубі; по 1 тубі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 xml:space="preserve">внесення змін до реєстраційних матеріалів: </w:t>
            </w:r>
            <w:r>
              <w:rPr>
                <w:rFonts w:cs="Arial" w:ascii="Arial" w:hAnsi="Arial"/>
                <w:b/>
                <w:color w:val="000000"/>
                <w:sz w:val="16"/>
                <w:szCs w:val="16"/>
              </w:rPr>
              <w:t>уточнення реєстраційної процедури в наказі МОЗ України № 971 від 15.07.2026</w:t>
            </w:r>
            <w:r>
              <w:rPr>
                <w:rFonts w:cs="Arial" w:ascii="Arial" w:hAnsi="Arial"/>
                <w:color w:val="000000"/>
                <w:sz w:val="16"/>
                <w:szCs w:val="16"/>
              </w:rPr>
              <w:t xml:space="preserve"> -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(вилучення зі специфікації незначного показника (наприклад застарілого показника)) - видалення із специфікації допоміжної речовини Sodium Dihydrogen Phosphate Dihydrate тесту на миш’як відповідно до вимого монографії ВР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UA/8210/01/01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КЕЙДЕКС ІН'ЄКТ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dexketoprofen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декскетопрофену трометамол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M01AE17</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розчин для ін'єкцій, 25 мг/мл, по 2 мл в ампулі, по 5 ампул у блістері, по 1 блістеру в пачці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Приватне акціонерне товариство "Лекхім-Харків"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Приватне акціонерне товариство "Лекхім-Харків"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 xml:space="preserve">внесення змін до реєстраційних матеріалів: </w:t>
            </w:r>
            <w:r>
              <w:rPr>
                <w:rFonts w:cs="Arial" w:ascii="Arial" w:hAnsi="Arial"/>
                <w:b/>
                <w:sz w:val="16"/>
                <w:szCs w:val="16"/>
              </w:rPr>
              <w:t>уточнення реєстраційної процедури в наказі МОЗ України № 1122 від 13.08.2026 в процесі перереєстрації</w:t>
            </w:r>
            <w:r>
              <w:rPr>
                <w:rFonts w:cs="Arial" w:ascii="Arial" w:hAnsi="Arial"/>
                <w:sz w:val="16"/>
                <w:szCs w:val="16"/>
              </w:rPr>
              <w:t xml:space="preserve"> (версії ПУР) - </w:t>
              <w:br/>
              <w:t>Перереєстрація на необмежений термін.</w:t>
              <w:br/>
              <w:t>Оновлено інформацію в інструкції для медичного застосування лікарського засобу у розділах "Особливості застосування", "Спосіб застосування та дози", "Побічні реакції" відповідно до інформації щодо медичного застосування референтного лікарського засобу (Дексалгін Ін’єкт, 25 мг/ мл, розчин для ін’єкцій), а також у розділі "Побічні реакції" щодо важливості звітування про побічні реакції.</w:t>
              <w:br/>
              <w:br/>
            </w:r>
            <w:r>
              <w:rPr>
                <w:rFonts w:cs="Arial" w:ascii="Arial" w:hAnsi="Arial"/>
                <w:b/>
                <w:sz w:val="16"/>
                <w:szCs w:val="16"/>
              </w:rPr>
              <w:t>Резюме плану управління ризиками версія 1.2 додається.</w:t>
            </w:r>
            <w:r>
              <w:rPr>
                <w:rFonts w:cs="Arial" w:ascii="Arial" w:hAnsi="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(зі змінами), становить: згідно зі строками, зазначеними у періодичності подання регулярних звітів з безпеки.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UA/19022/01/01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КЕТАНІКС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ketorolac</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кеторолаку трометамін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M01AB15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розчин для ін’єкцій, 30 мг/мл; по 1 мл в ампулі; по 10 ампул у пачці; по 1 мл в ампулі; по 100 ампул у пачці; по 1 мл в ампулі; по 5 ампул в блістері; по 2 блістери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Приватне акціонерне товариство "Лекхім - Харків"</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Приватне акціонерне товариство "Лекхім - Харків"</w:t>
              <w:b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Зміни щодо безпеки/ефективності та фармаконагляду (інші зміни) Оновлено текст маркування первинної та вторинної упаковки лікарського засобу, а саме: вилучено інформацію, зазначену російською мовою, внесено зміни у текст маркування первинної (п. 2, 6) та вторинної (п. 2, 4, 11, 17) упаковки, а також зроблено незначні редакційні правки. Введення змін протягом 6-ти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UA/3314/02/01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КЕТОДЕКСА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dexketoprofen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декскетопрофену трометамол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M01AE17</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25 мг; по 10 таблеток у блістері; по 1 або по 3 блістери у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«Представництво БАУМ ФАРМ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виробництво за повним циклом: ТОВ «АСТРАФАРМ», Україна; сертифікація серії та видача дозволу на реалізацію </w:t>
              <w:br/>
              <w:t>(випуск серії: ТОВ "Представництво БАУМ ФАРМ ГМБХ", Україна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виробника АФІ з SAURAV CHEMICALS LIMITED, INDIA на "SCL Lifesciences Limited", Індія. Місцезнаходження виробничої дільниці не змінилось.</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UA/16020/01/01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КЕТОТИФЕН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ketotifen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кетотифен (у вигляді кетотифену гідрофумарату)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0,001 г; іn bulk: по 3000 таблеток у контейнерах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Приватне акціонерне товариство "Лекхім-Харків"</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Приватне акціонерне товариство "Лекхім-Харків"</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(інші зміни) Зміни у тексті маркування форми in bulk, у зв'язку з вилученням тексту маркування російською мовою, а також внесення редакційних змін та уточнення інформації в маркуванні форми in bulk за п.п. 2, 4, 11, 17.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UA/0207/01/01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КЕТОТИФЕН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ketotifen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кетотифен (у вигляді кетотифену гідрофумарату)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R06AX17</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0,001 г; по 10 таблеток у блістері; по 1 або 3 блістери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Приватне акціонерне товариство "Лекхім-Харків"</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Приватне акціонерне товариство "Лекхім-Харків"</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(інші зміни) Оновлено текст маркування первинної та вторинної упаковки лікарського засобу, а саме: вилучено інформацію, зазначену російською мовою, із тексту маркування вторинної упаковки, внесено зміни у текст маркування первинної (п. 2, 6) та вторинної (п. 2, 4, 11, 16, 17) упаковки, а також зроблено незначні редакційні правки.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UA/3317/01/01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КЛАТІНОЛ®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Lansoprazole, clarithromycin and tinidazole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1 таблетка містить кларитроміцин;</w:t>
              <w:br/>
              <w:t>1 таблетка містить тинідазол;</w:t>
              <w:br/>
              <w:t>1 капсула містить пелети лансопразолу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A02BD09</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оболонкою, по 500 мг + таблетки, вкриті оболонкою, по 250 мг + капсули по 30 мг; комбінований набір для перорального застосування №42: 2 таблетки жовтого кольору круглої форми (тинідазолу) + 2 таблетки жовтого кольору довгастої форми (кларитроміцину) + 2 капсули (лансопразолу) - у стрипі, по 7 стрипів у картонній пачці; комбінований набір для перорального застосування №42: 2 таблетки жовтого кольору круглої форми (тинідазолу) + 2 таблетки жовтого кольору довгастої форми (кларитроміцину) + 2 капсули (лансопразолу) - у блістері, по 7 блістерів у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ОАЕ</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Евертоджен Лайф Саєнсиз  Лімітед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UA/5974/01/01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КЛОПІКСОЛ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zuclopenthixol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зуклопентиксолу дигідрохлорид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N05AF05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10 мг; по 100 таблеток у пластиковому контейнері; по 1 пластиковому контейнеру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Лундбек Експорт А/С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Данiя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нерозфасованого продукту, первинне та вторинне пакування, випуск серій: Х. Лундбек А/С, Данія;</w:t>
              <w:br/>
              <w:t>випробування за показником "мікробіологічна чистота": Еурофінс Біофарма Продакт Тестінг Денмарк А/С, Данія</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Данія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II типу - Зміни щодо безпеки/ефективності та фармаконагляду (інші зміни) - Зміни внесено до інструкції для медичного застосування лікарського засобу у розділи "Особливості застосування" та "Побічні реакції". Введення змін протягом 6-ти місяців після затвердження. Зміни II типу - Зміни щодо безпеки/ефективності та фармаконагляду (інші зміни) - Зміни внесено до інструкції для медичного застосування лікарського засобу у розділи "Особливості застосування", "Побічні реакції", а також розділ "Побічні реакції" доповнено інформацією щодо звітування про побічні реакції.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UA/2205/01/02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КЛОПІКСОЛ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zuclopenthixol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зуклопентиксолу дигідрохлорид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N05AF05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2 мг; по 100 таблеток у пластиковому контейнері; по 1 пластиковому контейнеру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Лундбек Експорт А/С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Данiя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нерозфасованого продукту, первинне та вторинне пакування, випуск серій: Х. Лундбек А/С, Данія;</w:t>
              <w:br/>
              <w:t>випробування за показником "мікробіологічна чистота": Еурофінс Біофарма Продакт Тестінг Денмарк А/С, Данія</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Данія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II типу - Зміни щодо безпеки/ефективності та фармаконагляду (інші зміни) - Зміни внесено до інструкції для медичного застосування лікарського засобу у розділи "Особливості застосування" та "Побічні реакції". Введення змін протягом 6-ти місяців після затвердження. Зміни II типу - Зміни щодо безпеки/ефективності та фармаконагляду (інші зміни) - Зміни внесено до інструкції для медичного застосування лікарського засобу у розділи "Особливості застосування", "Побічні реакції", а також розділ "Побічні реакції" доповнено інформацією щодо звітування про побічні реакції.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UA/2205/01/01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КЛОТРИМАЗОЛ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clotrimazole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клотримазол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G01AF02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вагінальні по 100 мг; по 6 таблеток у стрипі; по 1 стрипу з аплікатором у картонній пачці; по 6 таблеток у блістері; по 1 блістеру з аплікатором у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ОАЕ</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Евертоджен Лайф Саєнсиз  Лімітед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UA/8794/02/01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КОКОМІД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bicalutamide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бікалутамід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L02BB03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50 мг, по 10 таблеток у блістері; по 3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Містрал Кепітал Менеджмент Лімітед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Англія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Сінтон Хіспанія, С.Л. </w:t>
              <w:b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Іспанія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Адміністративні зміни. Зміна назви лікарського засобу </w:t>
              <w:br/>
              <w:t>Зміна назви лікарського засобу. Затверджено: ВІСТАМІД (VISTAMID). Запропоновано: КОКОМІД (COCOMID)</w:t>
              <w:br/>
              <w:t>Термін введення змін -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UA/18657/01/01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КОКОМІД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bicalutamide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бікалутамід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L02BB03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150 мг, по 10 таблеток у блістері; по 3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Містрал Кепітал Менеджмент Лімітед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Англія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Сінтон Хіспанія, С.Л. </w:t>
              <w:b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Іспанія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Адміністративні зміни. Зміна назви лікарського засобу </w:t>
              <w:br/>
              <w:t>Зміна назви лікарського засобу. Затверджено: ВІСТАМІД (VISTAMID). Запропоновано: КОКОМІД (COCOMID)</w:t>
              <w:br/>
              <w:t>Термін введення змін -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UA/18657/01/02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КОМБІГРИП ХОТ СІП®</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Paracetamol, combinations excl. psycholeptics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парацетамол, цетиризину гідрохлорид, фенілефрину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N02BE51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орального розчину з лимонним смаком; по 5 г порошку в саше; по 10 саше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ОАЕ</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Евертоджен Лайф Саєнсиз Лімітед, Індія; Сага Лайфсаєнсиз Лімітед, Індія</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UA/11503/01/01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КОМБІГРИП ХОТ СІП®</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Paracetamol, combinations excl. psycholeptics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парацетамол, цетиризину гідрохлорид, фенілефрину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N02BE51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орального розчину з малиновим смаком; по 5 г порошку в саше; по 10 саше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ОАЕ</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Евертоджен Лайф Саєнсиз Лімітед, Індія; Сага Лайфсаєнсиз Лімітед, Індія</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UA/11504/01/01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КОМБІГРИП®</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Paracetamol, combinations excl. psycholeptics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парацетамол, кофеїн, фенілефрину гідрохлорид, хлорфеніраміну малеат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N02BE51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8 таблеток у блістері з фольги алюмінієвої і плівки полівінілхлоридної або по 8 таблеток у блістері із фольги алюмінієвої; по 1 блістеру у пачці з картону; по 8 таблеток у блістері з фольги алюмінієвої і плівки полівінілхлоридної або по 8 таблеток у блістері із фольги алюмінієвої; по 1 блістеру у пачці з картону; по 10 пачок у груповій пачці з картону; по 4 таблетки у блістері з фольги алюмінієвої; по 1 блістеру у паперовому конверті; по 20 паперових конвертів у груповій пачці з картону; по 4 таблетки у блістері з фольги алюмінієвої; по 1 блістеру у пачці з картону; по 20 пачок у груповій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ОАЕ</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Евертоджен Лайф Саєнсиз  Лімітед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UA/2913/01/01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КОМБІГРИП®</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Paracetamol, combinations excl. psycholeptics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парацетамол, кофеїн, фенілефрину гідрохлорид, хлорфеніраміну малеат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in bulk: по 5000 таблеток у пакетах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ОАЕ</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Евертоджен Лайф Саєнсиз  Лімітед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UA/2914/01/01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КРЕОН® 10000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Multienzymes (lipase, protease etc.)</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панкреатин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A09AA02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капсули тверді з гастрорезистентними гранулами по 150 мг; по 20 або 50, або 100 капсул у флаконі; по 1 флакону в картонній коробці; по 10 капсул у блістері; по 1 або 2, або 3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Абботт Лабораторіз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Абботт Лабораторіз ГмбХ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Зміна частоти та терміну подання регулярно оновлюваного звіту з безпеки (РОЗБ) лікарського засобу: Діюча редакція: Частота подання РОЗБ - 13 років; Кінцева дата для включення даних до РОЗБ - 16.10.2025; дата подання РОЗБ - 14.01.2026 Пропонована редакція: Частота подання РОЗБ - 9 років; Кінцева дата для включення даних до РОЗБ - 02.04.2028; дата подання РОЗБ - 01.07.2028 Рекомендовано до затвердження відповідно до періодичності подання регулярно оновлюваних звітів з безпеки лікарських засобів у Європейському Союзі.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UA/9842/01/01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КРЕОН® 25000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Multienzymes (lipase, protease etc.)</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панкреатин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A09AA02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капсули тверді з гастрорезистентними гранулами по 300 мг; по 20 або 50, або 100 капсул у флаконі; по 1 флакону в картонній коробці; по 10 капсул у блістері; по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Абботт Лабораторіз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Абботт Лабораторіз ГмбХ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Зміна частоти та терміну подання регулярно оновлюваного звіту з безпеки (РОЗБ) лікарського засобу: Діюча редакція: Частота подання РОЗБ - 13 років; Кінцева дата для включення даних до РОЗБ - 16.10.2025; дата подання РОЗБ - 14.01.2026 Пропонована редакція: Частота подання РОЗБ - 9 років; Кінцева дата для включення даних до РОЗБ - 02.04.2028; дата подання РОЗБ - 01.07.2028 Рекомендовано до затвердження відповідно до періодичності подання регулярно оновлюваних звітів з безпеки лікарських засобів у Європейському Союзі.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UA/9842/01/02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КРЕОН® 40000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Multienzymes (lipase, protease etc.)</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панкреатин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A09AA02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капсули тверді з гастрорезистентними гранулами по 400 мг; по 20 або 50, або 100 капсул у флаконі; по 1 флакону в картонній коробці; по 10 капсул у блістері; по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Абботт Лабораторіз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Абботт Лабораторіз ГмбХ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Зміна частоти та терміну подання регулярно оновлюваного звіту з безпеки (РОЗБ) лікарського засобу: Діюча редакція: Частота подання РОЗБ - 13 років; Кінцева дата для включення даних до РОЗБ - 16.10.2025; дата подання РОЗБ - 14.01.2026 Пропонована редакція: Частота подання РОЗБ - 9 років; Кінцева дата для включення даних до РОЗБ - 02.04.2028; дата подання РОЗБ - 01.07.2028 Рекомендовано до затвердження відповідно до періодичності подання регулярно оновлюваних звітів з безпеки лікарських засобів у Європейському Союзі.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UA/9842/01/03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КРЕОН®ЧИК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Multienzymes (lipase, protease etc.)</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панкреатин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A09AA02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гастрорезистентні гранули, по 60,12 мг/100 мг; по 20 г гранул у скляній пляшці; 1 пляшка з мірною ложкою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Абботт Лабораторіз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Абботт Лабораторіз ГмбХ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Зміна частоти та терміну подання регулярно оновлюваного звіту з безпеки (РОЗБ) лікарського засобу: Діюча редакція: Частота подання РОЗБ - 13 років; Кінцева дата для включення даних до РОЗБ - 16.10.2025; дата подання РОЗБ - 14.01.2026 Пропонована редакція: Частота подання РОЗБ - 9 років; Кінцева дата для включення даних до РОЗБ - 02.04.2028; дата подання РОЗБ - 01.07.2028 Рекомендовано до затвердження відповідно до періодичності подання регулярно оновлюваних звітів з безпеки лікарських засобів у Європейському Союзі.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UA/15046/01/01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КСОЛАР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omalizumab</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омалізумаб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R03DX05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порошок для розчину для ін’єкцій по 150 мг; 1 флакон з порошком у комплекті з розчинником (вода для ін’єкцій) по 2 мл в ампулах №1 в упаковкці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Новартіс Фарма АГ</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Швейцарія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Новартіс Фарма Штейн АГ, Швейцарія; Вторинне пакування, випуск серії: Лек Фармасьютикалс д.д., Словенія; Виробництво, контроль якості, первинне пакування розчинника: ДЕЛЬФАРМ ДІЖОН, Франція</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Швейцарія/ Словенія/ Франція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найменування виробника вихідної речовини сахарози, що застосовується у виробництві АФІ та оновлення переліку країн походження обвуглених бичачих кісток, що використовується у виробництві сахарози (додано Бразилію) (затверджено: з Ferro Pfanstiehl; запропоновано: Pfanstiehl). Зміни І типу - Зміни з якості. АФІ. Виробництво. Зміни в процесі виробництва АФІ (інші зміни). Зміни у виробничому процесі активної речовини, а саме уточнення інформації у описі виробничого процесу відповідних розділів досьє згідно з оновленими даними валідації та фактичним виробничим процесом. Зміни І типу - Зміни з якості. АФІ. Виробництво. Зміни випробувань або допустимих меж у процесі виробництва АФІ, що встановлені у специфікаціях (інші зміни). Зміни випробувань у процесі виробництва, а саме уточнення в описі тесту Bioburden на етапі Purifications steps, тобто тест біонавантаження пулу білка А проводиться на кондиційованому пулі білка А (до 3M сечовини) перед етапом SP Sepharose (замість пулу білка А). Це фактична та реальна практика, яка не була відображена в досьє. Зміни І типу - Зміни з якості. АФІ. Виробництво. Зміни випробувань або допустимих меж у процесі виробництва АФІ, що встановлені у специфікаціях (інші зміни). Зміни випробувань у процесі виробництва, а саме уточнення до реєстраційного досьє, що тест на бактеріальні ендотоксини (BET) проводиться як внутрішньопроцесний тест на етапі SP Sepharose (межа дії &gt; 0,5 EU/мл). Це фактична та реальна практика, яка не була відображена в досьє.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Зміни у специфікації на вихідну речовину сечовину, яка використовується у виробництві АФІ, а саме специфікацію та in-house методи контролю на вихідну речовину сечовину приведено до вимог монографії USP.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Уточнення інформації у розділі 3.2.S.2.3.Контроль матеріалів щодо сировини тригідрату ацетату натрію, а саме додано тригідрат ацетату натрію до списку сировини, для узгодження між розділами 3.2.S.2.2.Опис виробничого процесу та його контролю та 3.2.S.2.3.Контроль матеріалів. Специфікація на тригідрат ацетат натрію відповідає вимогам монографії USP/NF та Ph.Eur.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Зміни до специфікації на стиснене повітря, а саме уточнення технічних характеристик стисненого повітря, щоб відповідати внутрішнім вихідним документам на виробничому майданчику.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Зміна значення сили дії референтного стандарту після перекваліфікації (затверджено: 1.06 х 10</w:t>
            </w:r>
            <w:r>
              <w:rPr>
                <w:rFonts w:cs="Arial" w:ascii="Arial" w:hAnsi="Arial"/>
                <w:sz w:val="16"/>
                <w:szCs w:val="16"/>
                <w:vertAlign w:val="superscript"/>
              </w:rPr>
              <w:t>4</w:t>
            </w:r>
            <w:r>
              <w:rPr>
                <w:rFonts w:cs="Arial" w:ascii="Arial" w:hAnsi="Arial"/>
                <w:sz w:val="16"/>
                <w:szCs w:val="16"/>
              </w:rPr>
              <w:t xml:space="preserve"> U/mg; запропоновано: 0.99 х 10</w:t>
            </w:r>
            <w:r>
              <w:rPr>
                <w:rFonts w:cs="Arial" w:ascii="Arial" w:hAnsi="Arial"/>
                <w:sz w:val="16"/>
                <w:szCs w:val="16"/>
                <w:vertAlign w:val="superscript"/>
              </w:rPr>
              <w:t>4</w:t>
            </w:r>
            <w:r>
              <w:rPr>
                <w:rFonts w:cs="Arial" w:ascii="Arial" w:hAnsi="Arial"/>
                <w:sz w:val="16"/>
                <w:szCs w:val="16"/>
              </w:rPr>
              <w:t xml:space="preserve"> U/mg). Зміни І типу - Зміни з якості. АФІ. Система контейнер/закупорювальний засіб. Зміна у безпосередній упаковці АФІ (інші зміни). Зміна в безпосередній упаковці АФІ, а саме у розділі 3.2.S.6.Container Closure System уточнено опис та кваліфікацію системи контейнер/закупорювальний засіб для діючої речовини омалізумабу, а також доповнено кваліфікацією транспортування та поводження з кріоконтейнерами (затверджено: для зберігання омалізумабу 4% використовують кріоконтейнери з нержавіючої сталі об’ємом 120 л; запропоновано: для зберігання омалізумабу 4% використовують кріоконтейнери з нержавіючої сталі або кріоконтейнери з хастеллою об’ємом 148 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UA/9055/01/02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КСОЛАР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omalizumab</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омалізумаб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R03DX05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порошок для розчину для ін`єкцій по 75 мг; 1 флакон з порошком у комплекті з розчинником (вода для ін`єкцій) </w:t>
              <w:br/>
              <w:t>по 2 мл в ампулах № 1 в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Новартіс Фарма АГ</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Швейцарія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Новартіс Фарма Штейн АГ, Швейцарія; Виробництво, контроль якості, первинне пакування розчинника: ДЕЛЬФАРМ ДІЖОН, Франція</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Швейцарія/ Франція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найменування виробника вихідної речовини сахарози, що застосовується у виробництві АФІ та оновлення переліку країн походження обвуглених бичачих кісток, що використовується у виробництві сахарози (додано Бразилію) (затверджено: з Ferro Pfanstiehl; запропоновано: Pfanstiehl). Зміни І типу - Зміни з якості. АФІ. Виробництво. Зміни в процесі виробництва АФІ (інші зміни). Зміни у виробничому процесі активної речовини, а саме уточнення інформації у описі виробничого процесу відповідних розділів досьє згідно з оновленими даними валідації та фактичним виробничим процесом. Зміни І типу - Зміни з якості. АФІ. Виробництво. Зміни випробувань або допустимих меж у процесі виробництва АФІ, що встановлені у специфікаціях (інші зміни). Зміни випробувань у процесі виробництва, а саме уточнення в описі тесту Bioburden на етапі Purifications steps, тобто тест біонавантаження пулу білка А проводиться на кондиційованому пулі білка А (до 3M сечовини) перед етапом SP Sepharose (замість пулу білка А). Це фактична та реальна практика, яка не була відображена в досьє. Зміни І типу - Зміни з якості. АФІ. Виробництво. Зміни випробувань або допустимих меж у процесі виробництва АФІ, що встановлені у специфікаціях (інші зміни). Зміни випробувань у процесі виробництва, а саме уточнення до реєстраційного досьє, що тест на бактеріальні ендотоксини (BET) проводиться як внутрішньопроцесний тест на етапі SP Sepharose (межа дії &gt; 0,5 EU/мл). Це фактична та реальна практика, яка не була відображена в досьє.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Зміни у специфікації на вихідну речовину сечовину, яка використовується у виробництві АФІ, а саме специфікацію та in-house методи контролю на вихідну речовину сечовину приведено до вимог монографії USP.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Уточнення інформації у розділі 3.2.S.2.3.Контроль матеріалів щодо сировини тригідрату ацетату натрію, а саме додано тригідрат ацетату натрію до списку сировини, для узгодження між розділами 3.2.S.2.2.Опис виробничого процесу та його контролю та 3.2.S.2.3.Контроль матеріалів. Специфікація на тригідрат ацетат натрію відповідає вимогам монографії USP/NF та Ph.Eur.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Зміни до специфікації на стиснене повітря, а саме уточнення технічних характеристик стисненого повітря, щоб відповідати внутрішнім вихідним документам на виробничому майданчику.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Зміна значення сили дії референтного стандарту після перекваліфікації (затверджено: 1.06 х 10</w:t>
            </w:r>
            <w:r>
              <w:rPr>
                <w:rFonts w:cs="Arial" w:ascii="Arial" w:hAnsi="Arial"/>
                <w:sz w:val="16"/>
                <w:szCs w:val="16"/>
                <w:vertAlign w:val="superscript"/>
              </w:rPr>
              <w:t>4</w:t>
            </w:r>
            <w:r>
              <w:rPr>
                <w:rFonts w:cs="Arial" w:ascii="Arial" w:hAnsi="Arial"/>
                <w:sz w:val="16"/>
                <w:szCs w:val="16"/>
              </w:rPr>
              <w:t xml:space="preserve"> U/mg; запропоновано: 0.99 х 10</w:t>
            </w:r>
            <w:r>
              <w:rPr>
                <w:rFonts w:cs="Arial" w:ascii="Arial" w:hAnsi="Arial"/>
                <w:sz w:val="16"/>
                <w:szCs w:val="16"/>
                <w:vertAlign w:val="superscript"/>
              </w:rPr>
              <w:t>4</w:t>
            </w:r>
            <w:r>
              <w:rPr>
                <w:rFonts w:cs="Arial" w:ascii="Arial" w:hAnsi="Arial"/>
                <w:sz w:val="16"/>
                <w:szCs w:val="16"/>
              </w:rPr>
              <w:t xml:space="preserve"> U/mg). Зміни І типу - Зміни з якості. АФІ. Система контейнер/закупорювальний засіб. Зміна у безпосередній упаковці АФІ (інші зміни). Зміна в безпосередній упаковці АФІ, а саме у розділі 3.2.S.6.Container Closure System уточнено опис та кваліфікацію системи контейнер/закупорювальний засіб для діючої речовини омалізумабу, а також доповнено кваліфікацією транспортування та поводження з кріоконтейнерами (затверджено: для зберігання омалізумабу 4% використовують кріоконтейнери з нержавіючої сталі об’ємом 120 л; запропоновано: для зберігання омалізумабу 4% використовують кріоконтейнери з нержавіючої сталі або кріоконтейнери з хастеллою об’ємом 148 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UA/9055/01/01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ЛАГЕВРІО/LAGEVRIO™</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Molnupiravir</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молнупіравір</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капсули по 200 мг; по 40 капсул у пляшці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Мерк Шарп і Доум ІДЕА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Швейцарія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МСД Інтернешнл ГмбХ (Філія Пуерто-Ріко) ТОВ, Cполучені Штати Америки; Патеон Інк., Канада; Патеон Інк., Канада; Шарп Пекеджінг Сервісес, ЛЛС, Cполучені Штати Америки; Патеон Фармасьютікалз Інк., Cполучені Штати Америки; Мерк Шарп і Доум ЛЛС, Сполучені Штати Америки; Мерк Шарп і Доум ЛЛС, Сполучені Штати Америки; Мерк Шарп і Доум ЛЛС, Сполучені Штати Америки</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Cполучені Штати Америки</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та адреси виробника діючої речовини (молнупіравір). Виробнича дільниця та усі виробничі операції залишаються незмінними. Діюча редакція: Olon Ricerca Bioscience, LLC 7528 Auburn Road Painesville, OH 44077 USA Пропонована редакція: Olon USA LLC 7528 Auburn Road Concord Township, OH 44077 USA. Зміни II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періоду повторного випробування на основі екстраполяції результатів дослідження стабільності, проведених не у відповідності настанови СТ-Н МОЗУ 42-3.3:2004 або Керівних принципів ЄМА щодо випробування стабільності. Продовження періоду повторного тестування діючої речовини (молнупіравір) з 24 місяців до 48 місяців на основі екстраполяції дослідження стабільності.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Лікарський засіб було зареєстровано під зобов’язання для екстреного медичного застосування відповідно до Постанови КМУ від 29.12.2021 № 1446 "Деякі питання державної реєстрації лікарських засобів, вакцин або інших медичних імунобіологічних препаратів для лікування та/або специфічної профілактики гострої респіраторної хвороби COVID-19, спричиненої коронавірусом SARS-CoV-2, під зобов’язання для екстреного медичного застосування". Інформаційний листок для медичних працівників: дозвіл на екстрене застосування препарату та Інформаційний листок для пацієнтів та осіб, які здійснюють догляд за ними були затверджені Наказом МОЗ України від 26.01.2022 № 160 "Про державну реєстрацію лікарського засобу (медичного імунобіологічного препарату) для екстреного медичного застосування". Зміни В.І.4, ІІ Оновлення інформації до тексту зазначеного в документі ІНФОРМАЦІЙНИЙ ЛИСТОК ДЛЯ МЕДИЧНИХ ПРАЦІВНИКІВ: ДОЗВІЛ НА ЕКСТРЕНЕ ЗАСТОСУВАННЯ ПРЕПАРАТУ ЛАГЕВРІО (молнупіравір), КАПСУЛИ в розділі "ОСТАННІ ЗНАЧНІ ЗМІНИ" розділ "2 СПОСІБ ЗАСТОСУВАННЯ ТА ДОЗИ" п. 2.3 доповнено затверджений текст інформацією щодо підготовки та введення лікарського засобу ЛАГЕВРІО через гастростомічний (Г) зонд розміром 12F або більше, або через гастроєюностомічний (ГЄ) зонд розміром 14F або більшета; розділ "8 ЗАСТОСУВАННЯ У ОСОБЛИВИХ ГРУП ПАЦІЄНТІВ" п. 8.3 Жінки та чоловіки репродуктивного віку; розділ "12 КЛІНІЧНА ФАРМАКОЛОГІЯ" п. 12.3 Фармакокінетика редагування тексту (застосування молнупіравіру через назогастральний або орогастральний зонд); розділ "13 ДОКЛІНІЧНА ТОКСИКОЛОГІЯ" п.13.1 Канцерогенез, мутагенез, порушення фертильності; розділ "17 ІНФОРМАЦІЯ ДЛЯ КОНСУЛЬТУВАННЯ ПАЦІЄНТІВ"; розділ "18 ІНФОРМАЦІЯ ПРО ВИРОБНИКА" відповідні зміни до Інформаційного листка для пацієнтів та осіб, які здійснюють догляд за ними (деталізація інформації "Для осіб, які ведуть активне статеве життя з партнерами, які можуть завагітніти", доповнення затвердженого тексту "Як приймати ЛАГЕВРІО" (через гастростомічний (Г) або гастроєюностомічний (ГЄ) зонд для годування) відповідно до затвердженої оновленої інформації в FDA (згідно з положеннями дозволу EUA). Внесено оновлену інформацію до реєстраційних матеріалів - Інформаційного листка для медичних працівників: дозвіл на екстрене застосування препарату та тексту Інформаційного листка для пацієнтів та осіб, які здійснюють догляд за ними, які були затверджені Наказом МОЗ України від 26.01.2022 № 160 "Про державну реєстрацію лікарського засобу (медичного імунобіологічного препарату) для екстреного медичного застосування". Базуючись на погодженні FDA щодо внесення до Fact Sheet інформації щодо застосування капсул ЛЗ ЛАГЕВРІО (молнупіравір) шляхом введення через гастростомічні (Г) та гастроєюностомічний (ГЄ) зонди для ентерального харчування в рамках процедури EUA, був оновлений розділ 3.2.Р.2.2 Лікарський засіб.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UA/19184/01/01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ЛАМОТРИН 100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lamotrigine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ламотриджин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N03AX09</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100 мг, по 10 таблеток у блістері; по 1, 3 або 6 блістерів в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"АСІНО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ТОВ "Фарма Старт"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зміни у затверджених методах випробування готового лікарського засобу за показниками «Супровідні домішки», «Домішка Е» та «Кількісне визначення», саме: зміна кількості випробовуваних розчинів для тестів «Кількісне визначення» та «Супровідні домішки», зміна підходу до усереднення результатів, виправлення технічної помилки.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2009-162 - Rev 03 (затверджено: R1-CEP 2009-162 - Rev 02) для АФІ ламотриджин від затвердженого виробника Джубілант Фармова Лімітед, Індія, який змінив назву на Джубілант Біосіс Лімітед, Індія.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UA/2112/01/02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ЛАМОТРИН 25</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lamotrigine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ламотриджин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N03AX09</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25 мг, по 10 таблеток у блістері; по 1, 3 або 6 блістерів в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"АСІНО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ТОВ "Фарма Старт"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зміни у затверджених методах випробування готового лікарського засобу за показниками «Супровідні домішки», «Домішка Е» та «Кількісне визначення», саме: зміна кількості випробовуваних розчинів для тестів «Кількісне визначення» та «Супровідні домішки», зміна підходу до усереднення результатів, виправлення технічної помилки.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2009-162 - Rev 03 (затверджено: R1-CEP 2009-162 - Rev 02) для АФІ ламотриджин від затвердженого виробника Джубілант Фармова Лімітед, Індія, який змінив назву на Джубілант Біосіс Лімітед, Індія.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UA/2112/01/03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ЛАМОТРИН 50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lamotrigine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ламотриджин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N03AX09</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50 мг, по 10 таблеток у блістері; по 1, 3 або 6 блістерів в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"АСІНО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ТОВ "Фарма Старт"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зміни у затверджених методах випробування готового лікарського засобу за показниками «Супровідні домішки», «Домішка Е» та «Кількісне визначення», саме: зміна кількості випробовуваних розчинів для тестів «Кількісне визначення» та «Супровідні домішки», зміна підходу до усереднення результатів, виправлення технічної помилки.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2009-162 - Rev 03 (затверджено: R1-CEP 2009-162 - Rev 02) для АФІ ламотриджин від затвердженого виробника Джубілант Фармова Лімітед, Індія, який змінив назву на Джубілант Біосіс Лімітед, Індія.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UA/2112/01/01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ЛАПРОНЕКСТ КОМБІ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timolol, combinations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латанопрост, тимололу малеат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S01ED51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краплі очні, розчин, (50 мкг+5 мг)/мл; по 2,5 мл у флаконі-крапельниці; по 1 флакону-крапельниці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БІОСАЙНС ГРУП ЛАБОРАТОРІЗ с.р.о.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Словацька Республіка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РАФАРМ СА</w:t>
              <w:b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Греція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center"/>
              <w:rPr>
                <w:rFonts w:ascii="Arial" w:hAnsi="Arial" w:cs="Arial"/>
                <w:sz w:val="16"/>
                <w:szCs w:val="16"/>
              </w:rPr>
            </w:pPr>
            <w:r>
              <w:rPr>
                <w:rFonts w:cs="Arial" w:ascii="Arial" w:hAnsi="Arial"/>
                <w:sz w:val="16"/>
                <w:szCs w:val="16"/>
              </w:rPr>
              <w:t>внесення змін до реєстраційних матеріалів: Зміна заявника ЛЗ (МІБП) (власника реєстраційного посвідчення) (згідно наказу МОЗ від 23.07.2015 № 460). Зміни внесено в текст маркування упаковок лікарського засобу щодо найменування та місцезнаходження заявника.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UA/17840/01/01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ЛЕВОФЛОКСАЦИН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levofloxacin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левофлоксацин (у вигляді левофлоксацину гемігідрату)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J01MA12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оболонкою, по 500 мг; по 5 або по 10 таблеток у блістері; по 1 блістеру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Сімпекс Фарма Пвт. Лтд.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Сімпекс Фарма Пвт. Лтд. </w:t>
              <w:b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Адміністративні зміни. Зміна назви лікарського засобу - Зміни внесено щодо назви лікарського засобу. Затверджено: РЕМЕДІЯ (REMEDIA). Запропоновано: ЛЕВОФЛОКСАЦИН (LEVOFLOXACIN).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UA/13896/01/02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ЛЕВОФЛОКСАЦИН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levofloxacin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левофлоксацин (у вигляді левофлоксацину гемігідрату)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оболонкою, по 250 мг, in bulk: по 5 таблеток у блістері по 100 або по 200 блістерів у коробках; in bulk: по 10 таблеток у блістері по 50 або по 100 блістерів у коробках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Сімпекс Фарма Пвт. Лтд.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Сімпекс Фарма Пвт. Лтд.</w:t>
              <w:b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Адміністративні зміни. Зміна назви лікарського засобу - Зміни внесено щодо назви лікарського засобу. Затверджено: РЕМЕДІЯ (REMEDIA). Запропоновано: ЛЕВОФЛОКСАЦИН (LEVOFLOXACIN).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UA/13897/01/01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ЛЕВОФЛОКСАЦИН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levofloxacin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левофлоксацин (у вигляді левофлоксацину гемігідрату)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оболонкою, по 500 мг; in bulk: по 5 таблеток у блістері по 100 або по 200 блістерів у коробках; in bulk: по 10 таблеток у блістері по 50 або по 100 блістерів у коробках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Сімпекс Фарма Пвт. Лтд.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Сімпекс Фарма Пвт. Лтд. </w:t>
              <w:b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Адміністративні зміни. Зміна назви лікарського засобу - Зміни внесено щодо назви лікарського засобу. Затверджено: РЕМЕДІЯ (REMEDIA). Запропоновано: ЛЕВОФЛОКСАЦИН (LEVOFLOXACIN).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UA/13897/01/02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ЛЕВОФЛОКСАЦИН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levofloxacin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левофлоксацин (у вигляді левофлоксацину гемігідрату)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J01MA12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оболонкою, по 250 мг; по 5 або по 10 таблеток у блістері; по 1 блістеру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Сімпекс Фарма Пвт.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Сімпекс Фарма Пвт. Лтд.</w:t>
              <w:b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Адміністративні зміни. Зміна назви лікарського засобу - Зміни внесено щодо назви лікарського засобу. Затверджено: РЕМЕДІЯ (REMEDIA). Запропоновано: ЛЕВОФЛОКСАЦИН (LEVOFLOXACIN).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UA/13896/01/01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ЛЕТРАМ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levetiracetam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леветирацетам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N03AX14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концентрат для розчину для інфузій, 100 мг/мл; по 5 мл (500 мг) у флаконі, по 1 або по 10 флаконів у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Аспіро Фарма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Аспіро Фарма Лімітед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II типу - Зміни з якості. АФІ. Виробництво (інші зміни) - Подання оновленої версії мастер-файлу на АФІ Леветирацитам [ЕМ] Version: 16-December-2021 (попередня версія [ЕМ] Version: 31 March 2017) від затвердженого виробника Hetero Labs Limited, India.</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UA/17233/01/01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ЛІДОКАЇНУ ГІДРОХЛОРИДУ МОНОГІДРАТ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lidocaine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лідокаїну гідрохлориду моногідрат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кристалічний порошок (субстанція) у подвійних поліетиленових пакетах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ТОВАРИСТВО З ОБМЕЖЕНОЮ ВІДПОВІДАЛЬНІСТЮ "КОРПОРАЦІЯ "ЗДОРОВ`Я"</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ГУФІК БІОСАЙЄНСІЗ ЛТД.</w:t>
              <w:b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Зміна заявника ЛЗ (МІБП) (власника реєстраційного посвідчення) (згідно наказу МОЗ від 23.07.2015 № 460)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UA/14598/01/01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ЛУЦЕТАМ®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Piracetam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пірацетам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N06BX03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800 мг, по 30 таблеток у скляних флаконах; по 15 таблеток у блістері; по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Фармацевтичний завод ЕГІС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Фармацевтичний завод ЕГІС</w:t>
              <w:b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(зменшення терміну придатності готового лікарського засобу) - Для торгової упаковки - Зменшення терміну придатності ГЛЗ. Діюча редакція: Термін придатності. 5 років. Пропонована редакція: </w:t>
              <w:br/>
              <w:t xml:space="preserve">Термін придатності. 3 роки. Зміни внесено в розділ "Термін придатності" в інструкцію для медичного застосування лікарського засобу.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UA/8165/01/02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ЛУЦЕТАМ®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Piracetam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пірацетам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N06BX03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1200 мг; по 20 таблеток у скляних флаконах; по 10 таблеток у блістері; по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Фармацевтичний завод ЕГІС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Фармацевтичний завод ЕГІС</w:t>
              <w:b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(зменшення терміну придатності готового лікарського засобу) - Для торгової упаковки - Зменшення терміну придатності ГЛЗ. Діюча редакція: Термін придатності. 5 років. Пропонована редакція: </w:t>
              <w:br/>
              <w:t xml:space="preserve">Термін придатності. 3 роки. Зміни внесено в розділ "Термін придатності" в інструкцію для медичного застосування лікарського засобу.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UA/8165/01/03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ЛУЦЕТАМ®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Piracetam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пірацетам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N06BX03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400 мг по 60 таблеток у скляному флаконі; по 1 флакону у картонній коробці; по 15 таблеток у блістері; по 4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Фармацевтичний завод ЕГІС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Фармацевтичний завод ЕГІС</w:t>
              <w:b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(зменшення терміну придатності готового лікарського засобу) - Для торгової упаковки - Зменшення терміну придатності ГЛЗ. Діюча редакція: Термін придатності. 5 років. Пропонована редакція: </w:t>
              <w:br/>
              <w:t xml:space="preserve">Термін придатності. 3 роки. Зміни внесено в розділ "Термін придатності" в інструкцію для медичного застосування лікарського засобу.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UA/8165/01/01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ЛУЦЕТАМ®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Piracetam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пірацетам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N06BX03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400 мг; по 60 таблеток у скляному флаконі; по 1 флакону у картонній коробці;</w:t>
              <w:br/>
              <w:t>по 15 таблеток у блістері; по 4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Фармацевтичний завод ЕГІС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ЗАТ Фармацевтичний завод ЕГІС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вилучення несуттєвого випробування в процесі виробництва, а саме: видалення контролю розміру часток подрібненого пірацетаму.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UA/8165/01/01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ЛУЦЕТАМ®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Piracetam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пірацетам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N06BX03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800 мг по 30 таблеток у скляних флаконах; по 15 таблеток у блістері; по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Фармацевтичний завод ЕГІС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ЗАТ Фармацевтичний завод ЕГІС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вилучення несуттєвого випробування в процесі виробництва, а саме: видалення контролю розміру часток подрібненого пірацетаму.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UA/8165/01/02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ЛУЦЕТАМ®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Piracetam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пірацетам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N06BX03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1200 мг по 20 таблеток у скляних флаконах; по 10 таблеток у блістері; по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Фармацевтичний завод ЕГІС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ЗАТ Фармацевтичний завод ЕГІС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вилучення несуттєвого випробування в процесі виробництва, а саме: видалення контролю розміру часток подрібненого пірацетаму.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UA/8165/01/03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ЛУЦЕТАМ®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Piracetam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пірацетам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N06BX03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800 мг, по 30 таблеток у скляних флаконах; по 15 таблеток у блістері; по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Фармацевтичний завод ЕГІС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ЗАТ Фармацевтичний завод ЕГІС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до специфікації / методів випробування ГЛЗ для показника «Опис».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до специфікації / методів випробування ГЛЗ для показника «Розміри».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зі специфікації ГЛЗ незначного показника «Розмір: - висота».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до специфікації / методів випробування ГЛЗ для показника «Ідентифікація діючої речовини 1. (ТШХ)».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зі специфікації ГЛЗ незначного показника «Ідентифікація барвника оболонки таблеток – титану діоксиду (кольорова реакція)».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w:t>
              <w:br/>
              <w:t xml:space="preserve">внесення незначних змін до специфікації / методів випробування ГЛЗ для показників «Ідентифікація діючої речовини 2. (ВЕРХ)» та «Кількісне визначення діючої речовини (ВЕРХ)».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до специфікації / методів випробування ГЛЗ для показника «Супровідні домішки (ВЕРХ)».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до специфікації / методів випробування ГЛЗ для показника «Розчинення (ВЕРХ)».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до специфікації / методів випробування ГЛЗ для показників «Середня маса» та «Однорідність маси».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зі специфікації ГЛЗ незначного показника «Розпадання». </w:t>
              <w:br/>
              <w:t>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зі специфікації ГЛЗ незначного показника «Стійкість до роздавлювання» лише для ЛУЦЕТАМ®, таблетки вкриті плівковою оболонкою, по 800 мг.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доповнення специфікації ГЛЗ новим показником «Розділення таблеток» з відповідним методом випробування для ЛУЦЕТАМ®, таблетки вкриті плівковою оболонкою, по 800 мг.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до специфікації / методів випробування ГЛЗ для показника «Втрата в масі при висушуванні».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до специфікації / методів випробування ГЛЗ для показника «Однорідність дозованих одиниць».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внесення незначних змін до специфікації / методів випробування ГЛЗ для показника «Мікробіологічна чистота» та зміна періодичності випробування - "випробування проводять для першої виробничої серії в році, а потім для кожної десятої серії".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внесення змін до Специфікації ГЛЗ за показником "Опис", зокрема: зміна у формулюванні опису таблетки шляхом заміни "з гравіюванням" на "з стилізованим символом" та вилучення інформації щодо наявності фаски на таблетці. Зміни внесено в інструкцію для медичного застосування лікарського засобу у розділ «Лікарська форма» (основні фізико-хімічні властивості).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UA/8165/01/02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ЛУЦЕТАМ®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Piracetam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пірацетам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N06BX03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1200 мг, по 20 таблеток у скляних флаконах; по 10 таблеток у блістері; по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Фармацевтичний завод ЕГІС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ЗАТ Фармацевтичний завод ЕГІС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до специфікації / методів випробування ГЛЗ для показника «Опис».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до специфікації / методів випробування ГЛЗ для показника «Розміри».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зі специфікації ГЛЗ незначного показника «Розмір: - висота».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до специфікації / методів випробування ГЛЗ для показника «Ідентифікація діючої речовини 1. (ТШХ)».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зі специфікації ГЛЗ незначного показника «Ідентифікація барвника оболонки таблеток – титану діоксиду (кольорова реакція)».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w:t>
              <w:br/>
              <w:t xml:space="preserve">внесення незначних змін до специфікації / методів випробування ГЛЗ для показників «Ідентифікація діючої речовини 2. (ВЕРХ)» та «Кількісне визначення діючої речовини (ВЕРХ)».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до специфікації / методів випробування ГЛЗ для показника «Супровідні домішки (ВЕРХ)».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до специфікації / методів випробування ГЛЗ для показника «Розчинення (ВЕРХ)».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до специфікації / методів випробування ГЛЗ для показників «Середня маса» та «Однорідність маси».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зі специфікації ГЛЗ незначного показника «Розпадання». </w:t>
              <w:br/>
              <w:t>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до специфікації / методів випробування ГЛЗ для показника «Втрата в масі при висушуванні».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до специфікації / методів випробування ГЛЗ для показника «Однорідність дозованих одиниць».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внесення незначних змін до специфікації / методів випробування ГЛЗ для показника «Мікробіологічна чистота» та зміна періодичності випробування - "випробування проводять для першої виробничої серії в році, а потім для кожної десятої серії".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зі специфікації ГЛЗ незначного показника «Стійкість до роздавлювання» для ЛУЦЕТАМ®, таблетки вкриті плівковою оболонкою, по 400 мг та 1200 мг.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внесення змін до Специфікації ГЛЗ за показником "Опис", зокрема: зміна у формулюванні опису таблетки шляхом заміни "з гравіюванням" на "з стилізованим символом" та вилучення інформації щодо наявності фаски на таблетці. Зміни внесено в інструкцію для медичного застосування лікарського засобу у розділ «Лікарська форма» (основні фізико-хімічні властивості).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UA/8165/01/03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ЛУЦЕТАМ®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Piracetam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пірацетам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N06BX03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400 мг, по 60 таблеток у скляному флаконі; по 1 флакону у картонній коробці; по 15 таблеток у блістері; по 4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Фармацевтичний завод ЕГІС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ЗАТ Фармацевтичний завод ЕГІС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до специфікації / методів випробування ГЛЗ для показника «Опис».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до специфікації / методів випробування ГЛЗ для показника «Розміри».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зі специфікації ГЛЗ незначного показника «Розмір: - висота».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до специфікації / методів випробування ГЛЗ для показника «Ідентифікація діючої речовини 1. (ТШХ)».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зі специфікації ГЛЗ незначного показника «Ідентифікація барвника оболонки таблеток – титану діоксиду (кольорова реакція)».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w:t>
              <w:br/>
              <w:t xml:space="preserve">внесення незначних змін до специфікації / методів випробування ГЛЗ для показників «Ідентифікація діючої речовини 2. (ВЕРХ)» та «Кількісне визначення діючої речовини (ВЕРХ)».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до специфікації / методів випробування ГЛЗ для показника «Супровідні домішки (ВЕРХ)».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до специфікації / методів випробування ГЛЗ для показника «Розчинення (ВЕРХ)».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до специфікації / методів випробування ГЛЗ для показників «Середня маса» та «Однорідність маси».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зі специфікації ГЛЗ незначного показника «Розпадання». </w:t>
              <w:br/>
              <w:t>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до специфікації / методів випробування ГЛЗ для показника «Втрата в масі при висушуванні».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до специфікації / методів випробування ГЛЗ для показника «Однорідність дозованих одиниць».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внесення незначних змін до специфікації / методів випробування ГЛЗ для показника «Мікробіологічна чистота» та зміна періодичності випробування - "випробування проводять для першої виробничої серії в році, а потім для кожної десятої серії".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зі специфікації ГЛЗ незначного показника «Стійкість до роздавлювання» для ЛУЦЕТАМ®, таблетки вкриті плівковою оболонкою, по 400 мг та 1200 мг.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внесення змін до Специфікації ГЛЗ за показником "Опис", зокрема: зміна у формулюванні опису таблетки шляхом заміни "з гравіюванням" на "з стилізованим символом" та вилучення інформації щодо наявності фаски на таблетці. Зміни внесено в інструкцію для медичного застосування лікарського засобу у розділ «Лікарська форма» (основні фізико-хімічні властивості).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UA/8165/01/01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ЛУЦЕТАМ®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Piracetam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пірацетам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N06BX03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800 мг; по 30 таблеток у скляних флаконах; по 15 таблеток у блістері; по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Фармацевтичний завод ЕГІС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ЗАТ Фармацевтичний завод ЕГІС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(інші зміни). Зміни внесено у текст маркування первинної (етикетка флакона п. 6) та вторинної (п. 8, 17) упаковок лікарського засобу. Введення змін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UA/8165/01/02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ЛУЦЕТАМ®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Piracetam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пірацетам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N06BX03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1200 мг; по 20 таблеток у скляних флаконах; по 10 таблеток у блістері; по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ЗАТ Фармацевтичний завод ЕГІС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ЗАТ Фармацевтичний завод ЕГІС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(інші зміни). Зміни внесено у текст маркування первинної (етикетка флакона п. 6) та вторинної (п. 8, 17) упаковок лікарського засобу. Введення змін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UA/8165/01/03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ЛУЦЕТАМ®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Piracetam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пірацетам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N06BX03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400 мг; по 60 таблеток у скляному флаконі; по 1 флакону у картонній коробці; по 15 таблеток у блістері; по 4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ЗАТ Фармацевтичний завод ЕГІС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ЗАТ Фармацевтичний завод ЕГІС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(інші зміни). Зміни внесено у текст маркування первинної (етикетка флакона п. 6) та вторинної (п. 8, 17) упаковок лікарського засобу. Введення змін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UA/8165/01/01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МАГНІЮ СУЛЬФАТ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Magnesium sulfate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магнію сульфат гептагідрат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B05XA05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розчин для ін`єкцій 250 мг/мл; по 5 мл в ампулі; по 10 ампул в пачці; по 5 мл в ампулі; по 100 ампул в пачці; по 5 мл в ампулі; по 5 ампул в блістері; по 2 блістери в пачці; по 10 мл в ампулі; по 10 ампул в пачці; по 10 мл в ампулі; по 5 ампул в блістері; по 2 блістери в пачці; по 10 мл в ампулі; по 100 ампул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Приватне акціонерне товариство "Лекхім-Харків"</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Приватне акціонерне товариство "Лекхім-Харків"</w:t>
              <w:b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Зміни щодо безпеки/ефективності та фармаконагляду (інші зміни) Оновлено текст маркування первинної та вторинної упаковки лікарського засобу, а саме: вилучено інформацію, зазначену російською мовою, внесено зміни у текст маркування первинної (п. 2, 6) та вторинної (п. 2, 4, 11, 17) упаковки, а також зроблено незначні редакційні правки. Внесення змін до розділу «Маркування» МКЯ ЛЗ: Затверджено: МАРКУВАННЯ Надається. Запропоновано: МАРКУВАННЯ Відповідно до затвердженого тексту маркування. Введення змін протягом 6-ти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UA/14637/01/01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МІНОКСИДИЛ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minoxidil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міноксидил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(субстанція) в поліетиленових пакетах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ПП "МЕДЕО"</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ВПЛ Кемікалз Пвт. Лтд.</w:t>
              <w:b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Адміністративні зміни. (інші зміни) Уточнення назви та адреси виробника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UA/18568/01/01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МІРАМІСТИН®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мірамістин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D08AJ</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розчин для зовнішнього застосування, 0,1 мг/мл; по 50 мл у флаконі, по 1 флакону з уретральною насадкою або по 1 флакону з розпилювачем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ПрАТ "Фармацевтична фірма "Дарниця"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ПрАТ "Фармацевтична фірма "Дарниця"</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Зміни у терапевтичних показаннях (вилучення терапевтичного показання) Зміни внесено до інструкції для медичного застосування лікарського засобу у розділ "Показання" щодо вилучення показання "Урологія: комплексне лікування гострого і хронічного уретриту та уретропростатиту як специфічної (хламідіоз, трихомоніаз, гонорея), так і неспецифічної етіології", та, як наслідок, до розділу "Спосіб застосування та дози", з відповідними змінами в тексті маркування упаковки лікарського засобу.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UA/1804/02/01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МОМІКСОН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mometasone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мометазону фуроату моногідрат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R01AD09</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спрей назальний, суспензія, 50 мкг/дозу; по 10 г (60 доз), по 16 г (120 доз), 18 г (140 доз) суспензії у поліетиленовому флаконі з дозуючим насосом та назальним аплікатором; по 1 флакону у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АТ "Адамед Фарма"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Польща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Фармеа, Франція; Виробник відповідальний за випуск серії, не включаючи контроль: АТ "Адамед Фарма", Польща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Франція/</w:t>
            </w:r>
          </w:p>
          <w:p>
            <w:pPr>
              <w:pStyle w:val="Normal"/>
              <w:tabs>
                <w:tab w:val="left" w:pos="12600" w:leader="none"/>
              </w:tabs>
              <w:jc w:val="center"/>
              <w:rPr>
                <w:rFonts w:ascii="Arial" w:hAnsi="Arial" w:cs="Arial"/>
                <w:sz w:val="16"/>
                <w:szCs w:val="16"/>
              </w:rPr>
            </w:pPr>
            <w:r>
              <w:rPr>
                <w:rFonts w:cs="Arial" w:ascii="Arial" w:hAnsi="Arial"/>
                <w:sz w:val="16"/>
                <w:szCs w:val="16"/>
              </w:rPr>
              <w:t>Польща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R0-CEP 2018-303-Rev 02 (затверджено: R0-CEP 2018-303-Rev 01) для АФІ мометазону фуроату моногідрат від затвердженого виробника Aarti Industries Ltd, India, який змінив назву на AARTI Pharmalabs LIMITED, India.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2018-303-Rev 03 для АФІ мометазону фуроату моногідрат від затвердженого виробника AARTI Pharmalabs LIMITED, India.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R0-CEP 2018-185 Rev 01 (затверджено: R0-CEP 2018-185 Rev 00) для АФІ мометазону фуроату моногідрат від затвердженого виробника STERLING S.p.A., Italy.</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UA/16749/01/01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МОНОПРОСТ®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latanoprost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латанопрост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S01EE01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краплі очні, розчин, 50 мкг/мл; по 0,2 мл в однодозовому контейнері; по 5 однодозових контейнерів, з`єднаних між собою у стрічку (стрип), у саше; по 6 саше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ЛАБОРАТУАР ТЕА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Францiя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ЕКСЕЛВІЗІОН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Францiя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 xml:space="preserve">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w:t>
              <w:br/>
              <w:t xml:space="preserve">Заміна дільниці відповідальної за мікробіологічний контроль готового продукту із KEYBIO (ZI Les Paluds, Pоle Performance Bаt C2 BP 1427, 13785 Aubagne Cedex, FRANCE) на дільницю </w:t>
            </w:r>
            <w:r>
              <w:rPr>
                <w:rFonts w:cs="Arial" w:ascii="Arial" w:hAnsi="Arial"/>
                <w:sz w:val="16"/>
                <w:szCs w:val="16"/>
                <w:lang w:val="en-US"/>
              </w:rPr>
              <w:t>KEYBIO (539 Avenue du Mistral, ZAC ATHELIA V, 13600 La Ciotat, France).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UA/16308/01/01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НЕБІДО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testosterone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тестостерону ундеканоат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G03BA03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розчин для ін`єкцій, 250 мг/мл; по 4 мл у флаконі; по 1 флакону в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Байєр АГ</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Байєр АГ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w:t>
              <w:br/>
              <w:t>Зміни внесено до Інструкції для медичного застосування лікарського засобу до розділів "Взаємодія з іншими лікарськими засобами та інші види взаємодій", "Особливості застосування" та "Побічні реакції" відповідно до оновленої інформації щодо безпеки застосування діючої речовини. Ведення змін протягом 4-ох місяців після затвердження. Зміни І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розділів "Особливості застосування"(незначні редагування) та "Побічні реакції" (щодо важливості звітування про побічні реакції). Ведення змін протягом 4-ох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UA/2629/01/01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НЕОТРИЗОЛ®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орнідазол, неоміцину сульфат, міконазолу нітрат, преднізолон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G01BF</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вагінальні, по 4 таблетки у стрипі; по 2 стрипи в картонній коробці у комплекті з аплікатором; по 8 таблеток у блістері; по 1 блістеру в картонній коробці у комплекті з аплікатором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ОАЕ</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Евертоджен Лайф Саєнсиз  Лімітед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UA/10674/01/01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НОВОКС®-500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levofloxacin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левофлоксацину гемігідрат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J01MA12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500 мг; по 5 таблеток у блістері; по 1 блістеру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ОАЕ</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Евертоджен Лайф Саєнсиз  Лімітед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UA/12673/01/01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НОВОКС®-500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levofloxacin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левофлоксацину гемігідрат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500 мг; in bulk: по 1000 таблеток у подвійному пакеті; по 1 пакету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ОАЕ</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Евертоджен Лайф Саєнсиз  Лімітед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lang w:val="en-US"/>
              </w:rPr>
            </w:pPr>
            <w:r>
              <w:rPr>
                <w:rFonts w:cs="Arial" w:ascii="Arial" w:hAnsi="Arial"/>
                <w:sz w:val="16"/>
                <w:szCs w:val="16"/>
              </w:rPr>
              <w:t>UA/12674/01/01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lang w:val="en-US"/>
              </w:rPr>
            </w:pPr>
            <w:r>
              <w:rPr>
                <w:rFonts w:cs="Arial" w:ascii="Arial" w:hAnsi="Arial"/>
                <w:b/>
                <w:sz w:val="16"/>
                <w:szCs w:val="16"/>
                <w:lang w:val="en-US"/>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НОВОКС®-750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levofloxacin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левофлоксацину гемігідрат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J01MA12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750 мг; по 5 таблеток у блістері; по 1 блістеру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ОАЕ</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Евертоджен Лайф Саєнсиз  Лімітед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UA/12673/01/02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НОВОКС®-750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levofloxacin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левофлоксацину гемігідрат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750 мг; in bulk: по 1000 таблеток у подвійному пакеті; по 1 пакету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ОАЕ</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Евертоджен Лайф Саєнсиз  Лімітед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UA/12674/01/02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РЕПЛАГАЛ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agalsidase alfa</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агалсидаза альфа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A16AB03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концентрат для розчину для інфузій, 1 мг/мл; по 3,5 мл концентрату у флаконі; по 1 флакону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Такеда Фармасьютікалз Інтернешнл АГ Ірландія Бренч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Ірландiя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center"/>
              <w:rPr>
                <w:rFonts w:ascii="Arial" w:hAnsi="Arial" w:cs="Arial"/>
                <w:sz w:val="16"/>
                <w:szCs w:val="16"/>
              </w:rPr>
            </w:pPr>
            <w:r>
              <w:rPr>
                <w:rFonts w:cs="Arial" w:ascii="Arial" w:hAnsi="Arial"/>
                <w:sz w:val="16"/>
                <w:szCs w:val="16"/>
              </w:rPr>
              <w:t>відповідальний за випуск серії: Шайєр Фармасьютікалз Ірландія Лімітед, Ірландія; Такеда Фармасьютікалз Інтернешнл АГ Ірландія Бренч, Ірландія; виробництво лікарського засобу, контроль якості серії, візуальна інспекція: Веттер Фарма-Фертігюнг ГмбХ Енд Ко. КГ, Німеччина; виробництво лікарського засобу, контроль якості ГЛЗ: Бора Фармасьютікалз Інжектеблс Інк. (БіПіАйАй), США; контроль якості серії, візуальна інспекція: Веттер Фарма-Фертігюнг ГмбХ Енд Ко. КГ, Німеччина; візуальна інспекція: Веттер Фарма-Фертігюнг ГмбХ Енд Ко. КГ, Німеччина; контроль якості ГЛЗ, випробування стабільності: Шайєр Хьюмен Дженетік Терапіс, США; контроль якості серії, випробування стабільності: Чарльз Рівер Лабораторіз Айленд Лтд, Ірландія; контроль якості серії: Веттер Фарма-Фертігюнг ГмбХ Енд Ко. КГ, Німеччина; Кованс Лабораторіз Лімітед, Сполучене Королівство; маркування та пакування, дистрибуція готового лікарського засобу: Емінент Сервісез Корпорейшн, США; ДіЕйчЕл Сапплай Чейн, Нідерланди</w:t>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Ірландія/ Німеччина/ США/ Сполучене Королівство/ Нідерланди</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заміна аналітичного методу "Електрофорез в поліакриламідному гелі з додаванням натрію додецилсульфату - Coomassie" (SDS PAGE) на "Капілярний електрофорез в присутності натрію додецилсульфату" (CE-SDS) для випробувань при випуску та випробувань стабільності для активної речовини агалсидаза альфа. Зміни вносяться у такі розділи реєстраційного досьє: 2.3; 2.3.S.4; 2.3.S.5; 2.3.S.7; 3.2.S.4; 3.2.S.5; 3.2.S.7. Крім того, Заявник хотів би скористатися нагодою та внести редакційні правки до розділів реєстраційного досьє 3.2.S.4, 3.2.S.7 в рамках цієї процедури внесення змін. Введення змін протягом 6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Заміна аналітичного методу "Електрофорез в поліакриламідному гелі з додаванням натрію додецилсульфату - Coomassie" (SDS PAGE) на "Капілярний електрофорез в присутності натрію додецилсульфату" (CE-SDS) для випробувань стабільності готового лікарського засобу. Зміни вносяться у такі розділи реєстраційного досьє: 2.3; 2.3.Р.5; 2.3.Р.8; 3.2.Р.5; 3.2.Р.8, а також у методи контролю якості. Крім того, Заявник хотів би скористатися нагодою та внести редакційні правки до розділів реєстраційного досьє 3.2.Р.5; 3.2.Р.8 в рамках цієї процедури внесення змін. Введення змін протягом 6 місяців після затвердження.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досьє)(інші зміни). Додавання дільниці Charles River Laboratories Ireland Ltd, Carrentrila, Ballina, Co Mayo, Ireland в якості альтернативної дільниці, відповідальної за випробування при випуску та випробування стабільності діючої речовини агалсидази альфа. Зміни вносяться у такі розділи реєстраційного досьє: 2.3; 2.3.S.2; 3.2.S.2.1. Введення змін протягом 6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(інші зміни). Додавання дільниці Charles River Laboratories Ireland Ltd, Carrentrila, Ballina, Co Mayo, Ireland Чарльз Рівер Лабораторіз Айленд Лтд Каррентріла, Балліна, Ко Мейо, Ірландія, в якості альтернативної дільниці, відповідальної за випробування стабільності лікарського засобу Реплагал. Зміни вносяться до відповідних розділів реєстраційного досьє: 2.3; 2.3.Р.3, 3.2.Р.3.1., а також до реєстраційного посвідчення та методів контролю якості. Крім того, Заявник хотів би скористатися нагодою та внести редакційні правки до розділу реєстраційного досьє 3.2.Р.3. в рамках цієї процедури внесення змін, а саме додати функцію "Випробування стабільності" для виробника Шайєр Хьюмен Дженетік Терапіс / Shire Human Genetic Therapies (300 Шайєр Уей, Лексингтон, Массачусетс (МА) 02421, США / 300 Shire Way, Lexington, МA 02421, USA) в розділі 3.2.Р.3.1, яку було помилково видалено. Введення змін протягом 6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назви дільниці, відповідальної за виробництво лікарського засобу та контроль якості ГЛЗ з Cangene bioPharma, LLC (dba Emergent BioSolutions (CBI), Camden Industrial Park, 1111 South Paca Street, Baltimore, MD 21230, USA) на Bora Pharmaceuticals Injectables Inc. (BPII), USA. Згідно р. 3.2.Р.3.1. Виробник(-и) з адреси зазначеного виробника було вилучено назву території, на якій знаходиться виробнича дільниця, а саме Camden Industrial Park, що по факту, не відноситься до адреси виробника. Адреса залишається незмінною. Зміни вносяться у такі розділи реєстраційного досьє: 2.3; 2.3.Р.3, 3.2.Р.3.1. Введення змін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UA/15890/01/01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РЕПЛАГАЛ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agalsidase alfa</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агалсидаза альфа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A16AB03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концентрат для розчину для інфузій, 1 мг/мл; по 3,5 мл концентрату у флаконі; по 1 флакону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Такеда Фармасьютікалз Інтернешнл АГ Ірландія Бренч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Ірландiя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center"/>
              <w:rPr>
                <w:rFonts w:ascii="Arial" w:hAnsi="Arial" w:cs="Arial"/>
                <w:sz w:val="16"/>
                <w:szCs w:val="16"/>
              </w:rPr>
            </w:pPr>
            <w:r>
              <w:rPr>
                <w:rFonts w:cs="Arial" w:ascii="Arial" w:hAnsi="Arial"/>
                <w:sz w:val="16"/>
                <w:szCs w:val="16"/>
              </w:rPr>
              <w:t>відповідальний за випуск серії: Шайєр Фармасьютікалз Ірландія Лімітед, Ірландія; Такеда Фармасьютікалз Інтернешнл АГ Ірландія Бренч, Ірландія; виробництво лікарського засобу, контроль якості серії, візуальна інспекція: Веттер Фарма-Фертігюнг ГмбХ Енд Ко. КГ, Німеччина; виробництво лікарського засобу, контроль якості ГЛЗ: Бора Фармасьютікалз Інжектеблс Інк. (БіПіАйАй), США; контроль якості серії, візуальна інспекція: Веттер Фарма-Фертігюнг ГмбХ Енд Ко. КГ, Німеччина; візуальна інспекція: Веттер Фарма-Фертігюнг ГмбХ Енд Ко. КГ, Німеччина; контроль якості ГЛЗ, випробування стабільності: Шайєр Хьюмен Дженетік Терапіс, США; контроль якості серії, випробування стабільності: Чарльз Рівер Лабораторіз Айленд Лтд, Ірландія; контроль якості серії: Веттер Фарма-Фертігюнг ГмбХ Енд Ко. КГ, Німеччина; Кованс Лабораторіз Лімітед, Сполучене Королівство; маркування та пакування, дистрибуція готового лікарського засобу: Емінент Сервісез Корпорейшн, США; ДіЕйчЕл Сапплай Чейн, Нідерланди</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Ірландія/ Німеччина/ США/ Сполучене Королівство/ Нідерланди</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виправлення технічної помилки згідно п.2.4. пп. 5 розділу VI наказу МОЗ України від 26.08.2005р. № 426 (у редакції наказу МОЗ України від 23.07.2015 р № 460), в Специфікації випуску за показником «Полісорбат 20», а саме зазначено невірний метод контролю – Колориметричний аналіз, в той час, як в самих методах контролю зазначено вірний метод – Спектрофотометричний аналіз. Зазначене виправлення відповідає матеріалам реєстраційного досьє (розділ 3.2.Р.5.2. Аналітичні методики).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UA/15890/01/01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РІНВОК®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upadacitinib</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упадацитиніб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L04AF03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пролонгованої дії, 15 мг; №28: по 7 таблеток у блістері, по 4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ЕббВі Біофармасьютікалз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Швейцарія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первинне та вторинне пакування, випуск серії: Еббві С.р.л., Італія; виробництво лікарського засобу, тестування: Еббві Айрленд НЛ Б.В., Ірландiя; тестування під час зберігання: Еббві Інк., США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Італія/</w:t>
            </w:r>
          </w:p>
          <w:p>
            <w:pPr>
              <w:pStyle w:val="Normal"/>
              <w:tabs>
                <w:tab w:val="left" w:pos="12600" w:leader="none"/>
              </w:tabs>
              <w:jc w:val="center"/>
              <w:rPr>
                <w:rFonts w:ascii="Arial" w:hAnsi="Arial" w:cs="Arial"/>
                <w:sz w:val="16"/>
                <w:szCs w:val="16"/>
              </w:rPr>
            </w:pPr>
            <w:r>
              <w:rPr>
                <w:rFonts w:cs="Arial" w:ascii="Arial" w:hAnsi="Arial"/>
                <w:sz w:val="16"/>
                <w:szCs w:val="16"/>
              </w:rPr>
              <w:t>Ірландія/</w:t>
            </w:r>
          </w:p>
          <w:p>
            <w:pPr>
              <w:pStyle w:val="Normal"/>
              <w:tabs>
                <w:tab w:val="left" w:pos="12600" w:leader="none"/>
              </w:tabs>
              <w:jc w:val="center"/>
              <w:rPr>
                <w:rFonts w:ascii="Arial" w:hAnsi="Arial" w:cs="Arial"/>
                <w:sz w:val="16"/>
                <w:szCs w:val="16"/>
              </w:rPr>
            </w:pPr>
            <w:r>
              <w:rPr>
                <w:rFonts w:cs="Arial" w:ascii="Arial" w:hAnsi="Arial"/>
                <w:sz w:val="16"/>
                <w:szCs w:val="16"/>
              </w:rPr>
              <w:t>США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Додавання нових параметрів специфікації (Description, Identification, Assay (anhydrous)) для реагентів: розчин лимонної кислоти. Додавання нових параметрів специфікації (Description, Identification, Assay) для реагентів: розчин гідроксиду калію.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(додавання або заміна (за винятком активної речовини біологічного або імунологічного походження) параметра специфікації з відповідним методом випробування за результатами досліджень з безпеки або якості) - Додавання показника Домішки (Ethylene glycol bis-imidazolide) до специфікації та відповідного методу випробування вихідної сировини карбонілдіімідазолу (CDI), реагенту, що використовується у процесі виробництва упадацитинібу.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UA/18371/01/01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СЕРТИКАН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everolimus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еверолімус</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L04AA18</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0,75 мг, по 10 таблеток у блістері; по 6 блістерів у коробці з картону пакувального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Новартіс Фарма АГ</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Швейцарія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контроль якості, первинне пакування, вторинне пакування, випуск серії: Новартіс Фарма Штейн АГ, Швейцарія;</w:t>
              <w:br/>
              <w:t xml:space="preserve">Виробництво за повним циклом: Новартіс Фармасьютикалс С.Р.Л. , Румунія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Швейцарія/</w:t>
            </w:r>
          </w:p>
          <w:p>
            <w:pPr>
              <w:pStyle w:val="Normal"/>
              <w:tabs>
                <w:tab w:val="left" w:pos="12600" w:leader="none"/>
              </w:tabs>
              <w:jc w:val="center"/>
              <w:rPr>
                <w:rFonts w:ascii="Arial" w:hAnsi="Arial" w:cs="Arial"/>
                <w:sz w:val="16"/>
                <w:szCs w:val="16"/>
              </w:rPr>
            </w:pPr>
            <w:r>
              <w:rPr>
                <w:rFonts w:cs="Arial" w:ascii="Arial" w:hAnsi="Arial"/>
                <w:sz w:val="16"/>
                <w:szCs w:val="16"/>
              </w:rPr>
              <w:t>Румунія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 xml:space="preserve">внесення змін до реєстраційних матеріалів: Зміни І типу - Зміни з якості. АФІ. Виробництво. Зміни в процесі виробництва АФІ (незначна зміна у процесі виробництва АФІ) </w:t>
              <w:br/>
              <w:t xml:space="preserve">Незначні зміни у виробничому процесі АФІ еверолімусу BHT під час приготування сполуки III (сирого еверолімусу), а саме - коригування діапазону температур реакційної суміші з «0-5 </w:t>
            </w:r>
            <w:r>
              <w:rPr>
                <w:rFonts w:cs="Arial" w:ascii="Arial" w:hAnsi="Arial"/>
                <w:color w:val="000000"/>
                <w:sz w:val="16"/>
                <w:szCs w:val="16"/>
              </w:rPr>
              <w:t>°С</w:t>
            </w:r>
            <w:r>
              <w:rPr>
                <w:rFonts w:cs="Arial" w:ascii="Arial" w:hAnsi="Arial"/>
                <w:sz w:val="16"/>
                <w:szCs w:val="16"/>
              </w:rPr>
              <w:t>» до «-5 to 5</w:t>
            </w:r>
            <w:r>
              <w:rPr>
                <w:rFonts w:cs="Arial" w:ascii="Arial" w:hAnsi="Arial"/>
                <w:color w:val="000000"/>
                <w:sz w:val="16"/>
                <w:szCs w:val="16"/>
              </w:rPr>
              <w:t>°С</w:t>
            </w:r>
            <w:r>
              <w:rPr>
                <w:rFonts w:cs="Arial" w:ascii="Arial" w:hAnsi="Arial"/>
                <w:sz w:val="16"/>
                <w:szCs w:val="16"/>
              </w:rPr>
              <w:t xml:space="preserve">». Зміни І типу - Зміни з якості. АФІ. Виробництво. Зміни в процесі виробництва АФІ (незначна зміна у процесі виробництва АФІ). Незначні зміни у виробничому процесі АФІ еверолімусу BHT під час приготування сполуки III (сирого еверолімусу), а саме – зазначення що етап промивання є необов’язковим, через різну конфігурацію обладнання на виробничих. Зміни І типу - Зміни з якості. АФІ. Виробництво. Зміни в процесі виробництва АФІ (незначна зміна у процесі виробництва АФІ). Незначні зміни у виробничому процесі АФІ еверолімусу BHT під час приготування сполуки III (сирого еверолімусу), а саме - об’єми толуолу для промивання з’єднувальних ліній після додавання N-ethyldiisopropylamine Затверджено: To the mixture add 16.5-18.3 kg N-ethyldiisopropylamine. </w:t>
            </w:r>
            <w:r>
              <w:rPr>
                <w:rFonts w:cs="Arial" w:ascii="Arial" w:hAnsi="Arial"/>
                <w:sz w:val="16"/>
                <w:szCs w:val="16"/>
                <w:lang w:val="en-US"/>
              </w:rPr>
              <w:t xml:space="preserve">Rinse the connecting lines with </w:t>
            </w:r>
            <w:r>
              <w:rPr>
                <w:rFonts w:eastAsia="Symbol" w:cs="Symbol" w:ascii="Symbol" w:hAnsi="Symbol"/>
                <w:sz w:val="16"/>
                <w:szCs w:val="16"/>
              </w:rPr>
              <w:t></w:t>
            </w:r>
            <w:r>
              <w:rPr>
                <w:rFonts w:cs="Arial" w:ascii="Arial" w:hAnsi="Arial"/>
                <w:sz w:val="16"/>
                <w:szCs w:val="16"/>
                <w:lang w:val="en-US"/>
              </w:rPr>
              <w:t xml:space="preserve"> 40 kg of toluene </w:t>
            </w:r>
            <w:r>
              <w:rPr>
                <w:rFonts w:cs="Arial" w:ascii="Arial" w:hAnsi="Arial"/>
                <w:sz w:val="16"/>
                <w:szCs w:val="16"/>
              </w:rPr>
              <w:t>Запропоновано</w:t>
            </w:r>
            <w:r>
              <w:rPr>
                <w:rFonts w:cs="Arial" w:ascii="Arial" w:hAnsi="Arial"/>
                <w:sz w:val="16"/>
                <w:szCs w:val="16"/>
                <w:lang w:val="en-US"/>
              </w:rPr>
              <w:t xml:space="preserve">: To the mixture add 16.5-18.3 kg N-ethyldiisopropylamine. Rinse the connecting lines with </w:t>
            </w:r>
            <w:r>
              <w:rPr>
                <w:rFonts w:eastAsia="Symbol" w:cs="Symbol" w:ascii="Symbol" w:hAnsi="Symbol"/>
                <w:sz w:val="16"/>
                <w:szCs w:val="16"/>
              </w:rPr>
              <w:t></w:t>
            </w:r>
            <w:r>
              <w:rPr>
                <w:rFonts w:cs="Arial" w:ascii="Arial" w:hAnsi="Arial"/>
                <w:sz w:val="16"/>
                <w:szCs w:val="16"/>
                <w:lang w:val="en-US"/>
              </w:rPr>
              <w:t xml:space="preserve"> 44 kg of toluene.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І</w:t>
            </w:r>
            <w:r>
              <w:rPr>
                <w:rFonts w:cs="Arial" w:ascii="Arial" w:hAnsi="Arial"/>
                <w:sz w:val="16"/>
                <w:szCs w:val="16"/>
                <w:lang w:val="en-US"/>
              </w:rPr>
              <w:t xml:space="preserve"> </w:t>
            </w:r>
            <w:r>
              <w:rPr>
                <w:rFonts w:cs="Arial" w:ascii="Arial" w:hAnsi="Arial"/>
                <w:sz w:val="16"/>
                <w:szCs w:val="16"/>
              </w:rPr>
              <w:t>типу</w:t>
            </w:r>
            <w:r>
              <w:rPr>
                <w:rFonts w:cs="Arial" w:ascii="Arial" w:hAnsi="Arial"/>
                <w:sz w:val="16"/>
                <w:szCs w:val="16"/>
                <w:lang w:val="en-US"/>
              </w:rPr>
              <w:t xml:space="preserve"> -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з</w:t>
            </w:r>
            <w:r>
              <w:rPr>
                <w:rFonts w:cs="Arial" w:ascii="Arial" w:hAnsi="Arial"/>
                <w:sz w:val="16"/>
                <w:szCs w:val="16"/>
                <w:lang w:val="en-US"/>
              </w:rPr>
              <w:t xml:space="preserve"> </w:t>
            </w:r>
            <w:r>
              <w:rPr>
                <w:rFonts w:cs="Arial" w:ascii="Arial" w:hAnsi="Arial"/>
                <w:sz w:val="16"/>
                <w:szCs w:val="16"/>
              </w:rPr>
              <w:t>якості</w:t>
            </w:r>
            <w:r>
              <w:rPr>
                <w:rFonts w:cs="Arial" w:ascii="Arial" w:hAnsi="Arial"/>
                <w:sz w:val="16"/>
                <w:szCs w:val="16"/>
                <w:lang w:val="en-US"/>
              </w:rPr>
              <w:t xml:space="preserve">. </w:t>
            </w:r>
            <w:r>
              <w:rPr>
                <w:rFonts w:cs="Arial" w:ascii="Arial" w:hAnsi="Arial"/>
                <w:sz w:val="16"/>
                <w:szCs w:val="16"/>
              </w:rPr>
              <w:t>АФІ. Виробництво. Зміни в процесі виробництва АФІ (незначна зміна у процесі виробництва АФІ). Незначні зміни у виробничому процесі АФІ еверолімусу BHT під час приготування сполуки III (сирого еверолімусу), а саме - об’єми толуолу для промивання з’єднувальних ліній після додавання сполуки І (рапаміцин) та 1,2-диметоксиетану. Затверджено</w:t>
            </w:r>
            <w:r>
              <w:rPr>
                <w:rFonts w:cs="Arial" w:ascii="Arial" w:hAnsi="Arial"/>
                <w:sz w:val="16"/>
                <w:szCs w:val="16"/>
                <w:lang w:val="en-US"/>
              </w:rPr>
              <w:t xml:space="preserve">: Rinse the connecting lines with </w:t>
            </w:r>
            <w:r>
              <w:rPr>
                <w:rFonts w:eastAsia="Symbol" w:cs="Symbol" w:ascii="Symbol" w:hAnsi="Symbol"/>
                <w:sz w:val="16"/>
                <w:szCs w:val="16"/>
              </w:rPr>
              <w:t></w:t>
            </w:r>
            <w:r>
              <w:rPr>
                <w:rFonts w:cs="Arial" w:ascii="Arial" w:hAnsi="Arial"/>
                <w:sz w:val="16"/>
                <w:szCs w:val="16"/>
                <w:lang w:val="en-US"/>
              </w:rPr>
              <w:t xml:space="preserve"> 5-11 kg of toluene </w:t>
            </w:r>
            <w:r>
              <w:rPr>
                <w:rFonts w:cs="Arial" w:ascii="Arial" w:hAnsi="Arial"/>
                <w:sz w:val="16"/>
                <w:szCs w:val="16"/>
              </w:rPr>
              <w:t>Запропоновано</w:t>
            </w:r>
            <w:r>
              <w:rPr>
                <w:rFonts w:cs="Arial" w:ascii="Arial" w:hAnsi="Arial"/>
                <w:sz w:val="16"/>
                <w:szCs w:val="16"/>
                <w:lang w:val="en-US"/>
              </w:rPr>
              <w:t xml:space="preserve">: Rinse the connecting lines with </w:t>
            </w:r>
            <w:r>
              <w:rPr>
                <w:rFonts w:eastAsia="Symbol" w:cs="Symbol" w:ascii="Symbol" w:hAnsi="Symbol"/>
                <w:sz w:val="16"/>
                <w:szCs w:val="16"/>
              </w:rPr>
              <w:t></w:t>
            </w:r>
            <w:r>
              <w:rPr>
                <w:rFonts w:cs="Arial" w:ascii="Arial" w:hAnsi="Arial"/>
                <w:sz w:val="16"/>
                <w:szCs w:val="16"/>
                <w:lang w:val="en-US"/>
              </w:rPr>
              <w:t xml:space="preserve"> 5-12 kg of toluene.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І</w:t>
            </w:r>
            <w:r>
              <w:rPr>
                <w:rFonts w:cs="Arial" w:ascii="Arial" w:hAnsi="Arial"/>
                <w:sz w:val="16"/>
                <w:szCs w:val="16"/>
                <w:lang w:val="en-US"/>
              </w:rPr>
              <w:t xml:space="preserve"> </w:t>
            </w:r>
            <w:r>
              <w:rPr>
                <w:rFonts w:cs="Arial" w:ascii="Arial" w:hAnsi="Arial"/>
                <w:sz w:val="16"/>
                <w:szCs w:val="16"/>
              </w:rPr>
              <w:t>типу</w:t>
            </w:r>
            <w:r>
              <w:rPr>
                <w:rFonts w:cs="Arial" w:ascii="Arial" w:hAnsi="Arial"/>
                <w:sz w:val="16"/>
                <w:szCs w:val="16"/>
                <w:lang w:val="en-US"/>
              </w:rPr>
              <w:t xml:space="preserve"> -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з</w:t>
            </w:r>
            <w:r>
              <w:rPr>
                <w:rFonts w:cs="Arial" w:ascii="Arial" w:hAnsi="Arial"/>
                <w:sz w:val="16"/>
                <w:szCs w:val="16"/>
                <w:lang w:val="en-US"/>
              </w:rPr>
              <w:t xml:space="preserve"> </w:t>
            </w:r>
            <w:r>
              <w:rPr>
                <w:rFonts w:cs="Arial" w:ascii="Arial" w:hAnsi="Arial"/>
                <w:sz w:val="16"/>
                <w:szCs w:val="16"/>
              </w:rPr>
              <w:t>якості</w:t>
            </w:r>
            <w:r>
              <w:rPr>
                <w:rFonts w:cs="Arial" w:ascii="Arial" w:hAnsi="Arial"/>
                <w:sz w:val="16"/>
                <w:szCs w:val="16"/>
                <w:lang w:val="en-US"/>
              </w:rPr>
              <w:t xml:space="preserve">. </w:t>
            </w:r>
            <w:r>
              <w:rPr>
                <w:rFonts w:cs="Arial" w:ascii="Arial" w:hAnsi="Arial"/>
                <w:sz w:val="16"/>
                <w:szCs w:val="16"/>
              </w:rPr>
              <w:t>АФІ</w:t>
            </w:r>
            <w:r>
              <w:rPr>
                <w:rFonts w:cs="Arial" w:ascii="Arial" w:hAnsi="Arial"/>
                <w:sz w:val="16"/>
                <w:szCs w:val="16"/>
                <w:lang w:val="en-US"/>
              </w:rPr>
              <w:t xml:space="preserve">. </w:t>
            </w:r>
            <w:r>
              <w:rPr>
                <w:rFonts w:cs="Arial" w:ascii="Arial" w:hAnsi="Arial"/>
                <w:sz w:val="16"/>
                <w:szCs w:val="16"/>
              </w:rPr>
              <w:t>Виробництво</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в</w:t>
            </w:r>
            <w:r>
              <w:rPr>
                <w:rFonts w:cs="Arial" w:ascii="Arial" w:hAnsi="Arial"/>
                <w:sz w:val="16"/>
                <w:szCs w:val="16"/>
                <w:lang w:val="en-US"/>
              </w:rPr>
              <w:t xml:space="preserve"> </w:t>
            </w:r>
            <w:r>
              <w:rPr>
                <w:rFonts w:cs="Arial" w:ascii="Arial" w:hAnsi="Arial"/>
                <w:sz w:val="16"/>
                <w:szCs w:val="16"/>
              </w:rPr>
              <w:t>процесі</w:t>
            </w:r>
            <w:r>
              <w:rPr>
                <w:rFonts w:cs="Arial" w:ascii="Arial" w:hAnsi="Arial"/>
                <w:sz w:val="16"/>
                <w:szCs w:val="16"/>
                <w:lang w:val="en-US"/>
              </w:rPr>
              <w:t xml:space="preserve"> </w:t>
            </w:r>
            <w:r>
              <w:rPr>
                <w:rFonts w:cs="Arial" w:ascii="Arial" w:hAnsi="Arial"/>
                <w:sz w:val="16"/>
                <w:szCs w:val="16"/>
              </w:rPr>
              <w:t>виробництва</w:t>
            </w:r>
            <w:r>
              <w:rPr>
                <w:rFonts w:cs="Arial" w:ascii="Arial" w:hAnsi="Arial"/>
                <w:sz w:val="16"/>
                <w:szCs w:val="16"/>
                <w:lang w:val="en-US"/>
              </w:rPr>
              <w:t xml:space="preserve"> </w:t>
            </w:r>
            <w:r>
              <w:rPr>
                <w:rFonts w:cs="Arial" w:ascii="Arial" w:hAnsi="Arial"/>
                <w:sz w:val="16"/>
                <w:szCs w:val="16"/>
              </w:rPr>
              <w:t>АФІ</w:t>
            </w:r>
            <w:r>
              <w:rPr>
                <w:rFonts w:cs="Arial" w:ascii="Arial" w:hAnsi="Arial"/>
                <w:sz w:val="16"/>
                <w:szCs w:val="16"/>
                <w:lang w:val="en-US"/>
              </w:rPr>
              <w:t xml:space="preserve"> (</w:t>
            </w:r>
            <w:r>
              <w:rPr>
                <w:rFonts w:cs="Arial" w:ascii="Arial" w:hAnsi="Arial"/>
                <w:sz w:val="16"/>
                <w:szCs w:val="16"/>
              </w:rPr>
              <w:t>незначна</w:t>
            </w:r>
            <w:r>
              <w:rPr>
                <w:rFonts w:cs="Arial" w:ascii="Arial" w:hAnsi="Arial"/>
                <w:sz w:val="16"/>
                <w:szCs w:val="16"/>
                <w:lang w:val="en-US"/>
              </w:rPr>
              <w:t xml:space="preserve"> </w:t>
            </w:r>
            <w:r>
              <w:rPr>
                <w:rFonts w:cs="Arial" w:ascii="Arial" w:hAnsi="Arial"/>
                <w:sz w:val="16"/>
                <w:szCs w:val="16"/>
              </w:rPr>
              <w:t>зміна</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процесі</w:t>
            </w:r>
            <w:r>
              <w:rPr>
                <w:rFonts w:cs="Arial" w:ascii="Arial" w:hAnsi="Arial"/>
                <w:sz w:val="16"/>
                <w:szCs w:val="16"/>
                <w:lang w:val="en-US"/>
              </w:rPr>
              <w:t xml:space="preserve"> </w:t>
            </w:r>
            <w:r>
              <w:rPr>
                <w:rFonts w:cs="Arial" w:ascii="Arial" w:hAnsi="Arial"/>
                <w:sz w:val="16"/>
                <w:szCs w:val="16"/>
              </w:rPr>
              <w:t>виробництва</w:t>
            </w:r>
            <w:r>
              <w:rPr>
                <w:rFonts w:cs="Arial" w:ascii="Arial" w:hAnsi="Arial"/>
                <w:sz w:val="16"/>
                <w:szCs w:val="16"/>
                <w:lang w:val="en-US"/>
              </w:rPr>
              <w:t xml:space="preserve"> </w:t>
            </w:r>
            <w:r>
              <w:rPr>
                <w:rFonts w:cs="Arial" w:ascii="Arial" w:hAnsi="Arial"/>
                <w:sz w:val="16"/>
                <w:szCs w:val="16"/>
              </w:rPr>
              <w:t>АФІ</w:t>
            </w:r>
            <w:r>
              <w:rPr>
                <w:rFonts w:cs="Arial" w:ascii="Arial" w:hAnsi="Arial"/>
                <w:sz w:val="16"/>
                <w:szCs w:val="16"/>
                <w:lang w:val="en-US"/>
              </w:rPr>
              <w:t xml:space="preserve">). </w:t>
            </w:r>
            <w:r>
              <w:rPr>
                <w:rFonts w:cs="Arial" w:ascii="Arial" w:hAnsi="Arial"/>
                <w:sz w:val="16"/>
                <w:szCs w:val="16"/>
              </w:rPr>
              <w:t>Незначні</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виробничому</w:t>
            </w:r>
            <w:r>
              <w:rPr>
                <w:rFonts w:cs="Arial" w:ascii="Arial" w:hAnsi="Arial"/>
                <w:sz w:val="16"/>
                <w:szCs w:val="16"/>
                <w:lang w:val="en-US"/>
              </w:rPr>
              <w:t xml:space="preserve"> </w:t>
            </w:r>
            <w:r>
              <w:rPr>
                <w:rFonts w:cs="Arial" w:ascii="Arial" w:hAnsi="Arial"/>
                <w:sz w:val="16"/>
                <w:szCs w:val="16"/>
              </w:rPr>
              <w:t>процесі</w:t>
            </w:r>
            <w:r>
              <w:rPr>
                <w:rFonts w:cs="Arial" w:ascii="Arial" w:hAnsi="Arial"/>
                <w:sz w:val="16"/>
                <w:szCs w:val="16"/>
                <w:lang w:val="en-US"/>
              </w:rPr>
              <w:t xml:space="preserve"> </w:t>
            </w:r>
            <w:r>
              <w:rPr>
                <w:rFonts w:cs="Arial" w:ascii="Arial" w:hAnsi="Arial"/>
                <w:sz w:val="16"/>
                <w:szCs w:val="16"/>
              </w:rPr>
              <w:t>АФІ</w:t>
            </w:r>
            <w:r>
              <w:rPr>
                <w:rFonts w:cs="Arial" w:ascii="Arial" w:hAnsi="Arial"/>
                <w:sz w:val="16"/>
                <w:szCs w:val="16"/>
                <w:lang w:val="en-US"/>
              </w:rPr>
              <w:t xml:space="preserve"> </w:t>
            </w:r>
            <w:r>
              <w:rPr>
                <w:rFonts w:cs="Arial" w:ascii="Arial" w:hAnsi="Arial"/>
                <w:sz w:val="16"/>
                <w:szCs w:val="16"/>
              </w:rPr>
              <w:t>еверолімусу</w:t>
            </w:r>
            <w:r>
              <w:rPr>
                <w:rFonts w:cs="Arial" w:ascii="Arial" w:hAnsi="Arial"/>
                <w:sz w:val="16"/>
                <w:szCs w:val="16"/>
                <w:lang w:val="en-US"/>
              </w:rPr>
              <w:t xml:space="preserve"> BHT </w:t>
            </w:r>
            <w:r>
              <w:rPr>
                <w:rFonts w:cs="Arial" w:ascii="Arial" w:hAnsi="Arial"/>
                <w:sz w:val="16"/>
                <w:szCs w:val="16"/>
              </w:rPr>
              <w:t>під</w:t>
            </w:r>
            <w:r>
              <w:rPr>
                <w:rFonts w:cs="Arial" w:ascii="Arial" w:hAnsi="Arial"/>
                <w:sz w:val="16"/>
                <w:szCs w:val="16"/>
                <w:lang w:val="en-US"/>
              </w:rPr>
              <w:t xml:space="preserve"> </w:t>
            </w:r>
            <w:r>
              <w:rPr>
                <w:rFonts w:cs="Arial" w:ascii="Arial" w:hAnsi="Arial"/>
                <w:sz w:val="16"/>
                <w:szCs w:val="16"/>
              </w:rPr>
              <w:t>час</w:t>
            </w:r>
            <w:r>
              <w:rPr>
                <w:rFonts w:cs="Arial" w:ascii="Arial" w:hAnsi="Arial"/>
                <w:sz w:val="16"/>
                <w:szCs w:val="16"/>
                <w:lang w:val="en-US"/>
              </w:rPr>
              <w:t xml:space="preserve"> </w:t>
            </w:r>
            <w:r>
              <w:rPr>
                <w:rFonts w:cs="Arial" w:ascii="Arial" w:hAnsi="Arial"/>
                <w:sz w:val="16"/>
                <w:szCs w:val="16"/>
              </w:rPr>
              <w:t>кристалізації</w:t>
            </w:r>
            <w:r>
              <w:rPr>
                <w:rFonts w:cs="Arial" w:ascii="Arial" w:hAnsi="Arial"/>
                <w:sz w:val="16"/>
                <w:szCs w:val="16"/>
                <w:lang w:val="en-US"/>
              </w:rPr>
              <w:t xml:space="preserve">, </w:t>
            </w:r>
            <w:r>
              <w:rPr>
                <w:rFonts w:cs="Arial" w:ascii="Arial" w:hAnsi="Arial"/>
                <w:sz w:val="16"/>
                <w:szCs w:val="16"/>
              </w:rPr>
              <w:t>а</w:t>
            </w:r>
            <w:r>
              <w:rPr>
                <w:rFonts w:cs="Arial" w:ascii="Arial" w:hAnsi="Arial"/>
                <w:sz w:val="16"/>
                <w:szCs w:val="16"/>
                <w:lang w:val="en-US"/>
              </w:rPr>
              <w:t xml:space="preserve"> </w:t>
            </w:r>
            <w:r>
              <w:rPr>
                <w:rFonts w:cs="Arial" w:ascii="Arial" w:hAnsi="Arial"/>
                <w:sz w:val="16"/>
                <w:szCs w:val="16"/>
              </w:rPr>
              <w:t>саме</w:t>
            </w:r>
            <w:r>
              <w:rPr>
                <w:rFonts w:cs="Arial" w:ascii="Arial" w:hAnsi="Arial"/>
                <w:sz w:val="16"/>
                <w:szCs w:val="16"/>
                <w:lang w:val="en-US"/>
              </w:rPr>
              <w:t xml:space="preserve"> - </w:t>
            </w:r>
            <w:r>
              <w:rPr>
                <w:rFonts w:cs="Arial" w:ascii="Arial" w:hAnsi="Arial"/>
                <w:sz w:val="16"/>
                <w:szCs w:val="16"/>
              </w:rPr>
              <w:t>розширення</w:t>
            </w:r>
            <w:r>
              <w:rPr>
                <w:rFonts w:cs="Arial" w:ascii="Arial" w:hAnsi="Arial"/>
                <w:sz w:val="16"/>
                <w:szCs w:val="16"/>
                <w:lang w:val="en-US"/>
              </w:rPr>
              <w:t xml:space="preserve"> </w:t>
            </w:r>
            <w:r>
              <w:rPr>
                <w:rFonts w:cs="Arial" w:ascii="Arial" w:hAnsi="Arial"/>
                <w:sz w:val="16"/>
                <w:szCs w:val="16"/>
              </w:rPr>
              <w:t>діапозону</w:t>
            </w:r>
            <w:r>
              <w:rPr>
                <w:rFonts w:cs="Arial" w:ascii="Arial" w:hAnsi="Arial"/>
                <w:sz w:val="16"/>
                <w:szCs w:val="16"/>
                <w:lang w:val="en-US"/>
              </w:rPr>
              <w:t xml:space="preserve"> </w:t>
            </w:r>
            <w:r>
              <w:rPr>
                <w:rFonts w:cs="Arial" w:ascii="Arial" w:hAnsi="Arial"/>
                <w:sz w:val="16"/>
                <w:szCs w:val="16"/>
              </w:rPr>
              <w:t>кількості</w:t>
            </w:r>
            <w:r>
              <w:rPr>
                <w:rFonts w:cs="Arial" w:ascii="Arial" w:hAnsi="Arial"/>
                <w:sz w:val="16"/>
                <w:szCs w:val="16"/>
                <w:lang w:val="en-US"/>
              </w:rPr>
              <w:t xml:space="preserve"> </w:t>
            </w:r>
            <w:r>
              <w:rPr>
                <w:rFonts w:cs="Arial" w:ascii="Arial" w:hAnsi="Arial"/>
                <w:sz w:val="16"/>
                <w:szCs w:val="16"/>
              </w:rPr>
              <w:t>вихідного</w:t>
            </w:r>
            <w:r>
              <w:rPr>
                <w:rFonts w:cs="Arial" w:ascii="Arial" w:hAnsi="Arial"/>
                <w:sz w:val="16"/>
                <w:szCs w:val="16"/>
                <w:lang w:val="en-US"/>
              </w:rPr>
              <w:t xml:space="preserve"> </w:t>
            </w:r>
            <w:r>
              <w:rPr>
                <w:rFonts w:cs="Arial" w:ascii="Arial" w:hAnsi="Arial"/>
                <w:sz w:val="16"/>
                <w:szCs w:val="16"/>
              </w:rPr>
              <w:t>матеріалу</w:t>
            </w:r>
            <w:r>
              <w:rPr>
                <w:rFonts w:cs="Arial" w:ascii="Arial" w:hAnsi="Arial"/>
                <w:sz w:val="16"/>
                <w:szCs w:val="16"/>
                <w:lang w:val="en-US"/>
              </w:rPr>
              <w:t xml:space="preserve"> (</w:t>
            </w:r>
            <w:r>
              <w:rPr>
                <w:rFonts w:cs="Arial" w:ascii="Arial" w:hAnsi="Arial"/>
                <w:sz w:val="16"/>
                <w:szCs w:val="16"/>
              </w:rPr>
              <w:t>було</w:t>
            </w:r>
            <w:r>
              <w:rPr>
                <w:rFonts w:cs="Arial" w:ascii="Arial" w:hAnsi="Arial"/>
                <w:sz w:val="16"/>
                <w:szCs w:val="16"/>
                <w:lang w:val="en-US"/>
              </w:rPr>
              <w:t xml:space="preserve"> 150-400 </w:t>
            </w:r>
            <w:r>
              <w:rPr>
                <w:rFonts w:cs="Arial" w:ascii="Arial" w:hAnsi="Arial"/>
                <w:sz w:val="16"/>
                <w:szCs w:val="16"/>
              </w:rPr>
              <w:t>кг</w:t>
            </w:r>
            <w:r>
              <w:rPr>
                <w:rFonts w:cs="Arial" w:ascii="Arial" w:hAnsi="Arial"/>
                <w:sz w:val="16"/>
                <w:szCs w:val="16"/>
                <w:lang w:val="en-US"/>
              </w:rPr>
              <w:t xml:space="preserve">, </w:t>
            </w:r>
            <w:r>
              <w:rPr>
                <w:rFonts w:cs="Arial" w:ascii="Arial" w:hAnsi="Arial"/>
                <w:sz w:val="16"/>
                <w:szCs w:val="16"/>
              </w:rPr>
              <w:t>стало</w:t>
            </w:r>
            <w:r>
              <w:rPr>
                <w:rFonts w:cs="Arial" w:ascii="Arial" w:hAnsi="Arial"/>
                <w:sz w:val="16"/>
                <w:szCs w:val="16"/>
                <w:lang w:val="en-US"/>
              </w:rPr>
              <w:t xml:space="preserve"> 88-400 </w:t>
            </w:r>
            <w:r>
              <w:rPr>
                <w:rFonts w:cs="Arial" w:ascii="Arial" w:hAnsi="Arial"/>
                <w:sz w:val="16"/>
                <w:szCs w:val="16"/>
              </w:rPr>
              <w:t>кг</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І</w:t>
            </w:r>
            <w:r>
              <w:rPr>
                <w:rFonts w:cs="Arial" w:ascii="Arial" w:hAnsi="Arial"/>
                <w:sz w:val="16"/>
                <w:szCs w:val="16"/>
                <w:lang w:val="en-US"/>
              </w:rPr>
              <w:t xml:space="preserve"> </w:t>
            </w:r>
            <w:r>
              <w:rPr>
                <w:rFonts w:cs="Arial" w:ascii="Arial" w:hAnsi="Arial"/>
                <w:sz w:val="16"/>
                <w:szCs w:val="16"/>
              </w:rPr>
              <w:t>типу</w:t>
            </w:r>
            <w:r>
              <w:rPr>
                <w:rFonts w:cs="Arial" w:ascii="Arial" w:hAnsi="Arial"/>
                <w:sz w:val="16"/>
                <w:szCs w:val="16"/>
                <w:lang w:val="en-US"/>
              </w:rPr>
              <w:t xml:space="preserve"> -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з</w:t>
            </w:r>
            <w:r>
              <w:rPr>
                <w:rFonts w:cs="Arial" w:ascii="Arial" w:hAnsi="Arial"/>
                <w:sz w:val="16"/>
                <w:szCs w:val="16"/>
                <w:lang w:val="en-US"/>
              </w:rPr>
              <w:t xml:space="preserve"> </w:t>
            </w:r>
            <w:r>
              <w:rPr>
                <w:rFonts w:cs="Arial" w:ascii="Arial" w:hAnsi="Arial"/>
                <w:sz w:val="16"/>
                <w:szCs w:val="16"/>
              </w:rPr>
              <w:t>якості</w:t>
            </w:r>
            <w:r>
              <w:rPr>
                <w:rFonts w:cs="Arial" w:ascii="Arial" w:hAnsi="Arial"/>
                <w:sz w:val="16"/>
                <w:szCs w:val="16"/>
                <w:lang w:val="en-US"/>
              </w:rPr>
              <w:t xml:space="preserve">. </w:t>
            </w:r>
            <w:r>
              <w:rPr>
                <w:rFonts w:cs="Arial" w:ascii="Arial" w:hAnsi="Arial"/>
                <w:sz w:val="16"/>
                <w:szCs w:val="16"/>
              </w:rPr>
              <w:t>АФІ</w:t>
            </w:r>
            <w:r>
              <w:rPr>
                <w:rFonts w:cs="Arial" w:ascii="Arial" w:hAnsi="Arial"/>
                <w:sz w:val="16"/>
                <w:szCs w:val="16"/>
                <w:lang w:val="en-US"/>
              </w:rPr>
              <w:t xml:space="preserve">. </w:t>
            </w:r>
            <w:r>
              <w:rPr>
                <w:rFonts w:cs="Arial" w:ascii="Arial" w:hAnsi="Arial"/>
                <w:sz w:val="16"/>
                <w:szCs w:val="16"/>
              </w:rPr>
              <w:t>Виробництво</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випробувань</w:t>
            </w:r>
            <w:r>
              <w:rPr>
                <w:rFonts w:cs="Arial" w:ascii="Arial" w:hAnsi="Arial"/>
                <w:sz w:val="16"/>
                <w:szCs w:val="16"/>
                <w:lang w:val="en-US"/>
              </w:rPr>
              <w:t xml:space="preserve"> </w:t>
            </w:r>
            <w:r>
              <w:rPr>
                <w:rFonts w:cs="Arial" w:ascii="Arial" w:hAnsi="Arial"/>
                <w:sz w:val="16"/>
                <w:szCs w:val="16"/>
              </w:rPr>
              <w:t>або</w:t>
            </w:r>
            <w:r>
              <w:rPr>
                <w:rFonts w:cs="Arial" w:ascii="Arial" w:hAnsi="Arial"/>
                <w:sz w:val="16"/>
                <w:szCs w:val="16"/>
                <w:lang w:val="en-US"/>
              </w:rPr>
              <w:t xml:space="preserve"> </w:t>
            </w:r>
            <w:r>
              <w:rPr>
                <w:rFonts w:cs="Arial" w:ascii="Arial" w:hAnsi="Arial"/>
                <w:sz w:val="16"/>
                <w:szCs w:val="16"/>
              </w:rPr>
              <w:t>допустимих</w:t>
            </w:r>
            <w:r>
              <w:rPr>
                <w:rFonts w:cs="Arial" w:ascii="Arial" w:hAnsi="Arial"/>
                <w:sz w:val="16"/>
                <w:szCs w:val="16"/>
                <w:lang w:val="en-US"/>
              </w:rPr>
              <w:t xml:space="preserve"> </w:t>
            </w:r>
            <w:r>
              <w:rPr>
                <w:rFonts w:cs="Arial" w:ascii="Arial" w:hAnsi="Arial"/>
                <w:sz w:val="16"/>
                <w:szCs w:val="16"/>
              </w:rPr>
              <w:t>меж</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процесі</w:t>
            </w:r>
            <w:r>
              <w:rPr>
                <w:rFonts w:cs="Arial" w:ascii="Arial" w:hAnsi="Arial"/>
                <w:sz w:val="16"/>
                <w:szCs w:val="16"/>
                <w:lang w:val="en-US"/>
              </w:rPr>
              <w:t xml:space="preserve"> </w:t>
            </w:r>
            <w:r>
              <w:rPr>
                <w:rFonts w:cs="Arial" w:ascii="Arial" w:hAnsi="Arial"/>
                <w:sz w:val="16"/>
                <w:szCs w:val="16"/>
              </w:rPr>
              <w:t>виробництва</w:t>
            </w:r>
            <w:r>
              <w:rPr>
                <w:rFonts w:cs="Arial" w:ascii="Arial" w:hAnsi="Arial"/>
                <w:sz w:val="16"/>
                <w:szCs w:val="16"/>
                <w:lang w:val="en-US"/>
              </w:rPr>
              <w:t xml:space="preserve"> </w:t>
            </w:r>
            <w:r>
              <w:rPr>
                <w:rFonts w:cs="Arial" w:ascii="Arial" w:hAnsi="Arial"/>
                <w:sz w:val="16"/>
                <w:szCs w:val="16"/>
              </w:rPr>
              <w:t>АФІ</w:t>
            </w:r>
            <w:r>
              <w:rPr>
                <w:rFonts w:cs="Arial" w:ascii="Arial" w:hAnsi="Arial"/>
                <w:sz w:val="16"/>
                <w:szCs w:val="16"/>
                <w:lang w:val="en-US"/>
              </w:rPr>
              <w:t xml:space="preserve">, </w:t>
            </w:r>
            <w:r>
              <w:rPr>
                <w:rFonts w:cs="Arial" w:ascii="Arial" w:hAnsi="Arial"/>
                <w:sz w:val="16"/>
                <w:szCs w:val="16"/>
              </w:rPr>
              <w:t>що</w:t>
            </w:r>
            <w:r>
              <w:rPr>
                <w:rFonts w:cs="Arial" w:ascii="Arial" w:hAnsi="Arial"/>
                <w:sz w:val="16"/>
                <w:szCs w:val="16"/>
                <w:lang w:val="en-US"/>
              </w:rPr>
              <w:t xml:space="preserve"> </w:t>
            </w:r>
            <w:r>
              <w:rPr>
                <w:rFonts w:cs="Arial" w:ascii="Arial" w:hAnsi="Arial"/>
                <w:sz w:val="16"/>
                <w:szCs w:val="16"/>
              </w:rPr>
              <w:t>встановлені</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специфікаціях</w:t>
            </w:r>
            <w:r>
              <w:rPr>
                <w:rFonts w:cs="Arial" w:ascii="Arial" w:hAnsi="Arial"/>
                <w:sz w:val="16"/>
                <w:szCs w:val="16"/>
                <w:lang w:val="en-US"/>
              </w:rPr>
              <w:t xml:space="preserve"> (</w:t>
            </w:r>
            <w:r>
              <w:rPr>
                <w:rFonts w:cs="Arial" w:ascii="Arial" w:hAnsi="Arial"/>
                <w:sz w:val="16"/>
                <w:szCs w:val="16"/>
              </w:rPr>
              <w:t>інші</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Розширення</w:t>
            </w:r>
            <w:r>
              <w:rPr>
                <w:rFonts w:cs="Arial" w:ascii="Arial" w:hAnsi="Arial"/>
                <w:sz w:val="16"/>
                <w:szCs w:val="16"/>
                <w:lang w:val="en-US"/>
              </w:rPr>
              <w:t xml:space="preserve"> </w:t>
            </w:r>
            <w:r>
              <w:rPr>
                <w:rFonts w:cs="Arial" w:ascii="Arial" w:hAnsi="Arial"/>
                <w:sz w:val="16"/>
                <w:szCs w:val="16"/>
              </w:rPr>
              <w:t>специфікації</w:t>
            </w:r>
            <w:r>
              <w:rPr>
                <w:rFonts w:cs="Arial" w:ascii="Arial" w:hAnsi="Arial"/>
                <w:sz w:val="16"/>
                <w:szCs w:val="16"/>
                <w:lang w:val="en-US"/>
              </w:rPr>
              <w:t xml:space="preserve"> </w:t>
            </w:r>
            <w:r>
              <w:rPr>
                <w:rFonts w:cs="Arial" w:ascii="Arial" w:hAnsi="Arial"/>
                <w:sz w:val="16"/>
                <w:szCs w:val="16"/>
              </w:rPr>
              <w:t>проміжного</w:t>
            </w:r>
            <w:r>
              <w:rPr>
                <w:rFonts w:cs="Arial" w:ascii="Arial" w:hAnsi="Arial"/>
                <w:sz w:val="16"/>
                <w:szCs w:val="16"/>
                <w:lang w:val="en-US"/>
              </w:rPr>
              <w:t xml:space="preserve"> </w:t>
            </w:r>
            <w:r>
              <w:rPr>
                <w:rFonts w:cs="Arial" w:ascii="Arial" w:hAnsi="Arial"/>
                <w:sz w:val="16"/>
                <w:szCs w:val="16"/>
              </w:rPr>
              <w:t>контролю</w:t>
            </w:r>
            <w:r>
              <w:rPr>
                <w:rFonts w:cs="Arial" w:ascii="Arial" w:hAnsi="Arial"/>
                <w:sz w:val="16"/>
                <w:szCs w:val="16"/>
                <w:lang w:val="en-US"/>
              </w:rPr>
              <w:t xml:space="preserve"> </w:t>
            </w:r>
            <w:r>
              <w:rPr>
                <w:rFonts w:cs="Arial" w:ascii="Arial" w:hAnsi="Arial"/>
                <w:sz w:val="16"/>
                <w:szCs w:val="16"/>
              </w:rPr>
              <w:t>для</w:t>
            </w:r>
            <w:r>
              <w:rPr>
                <w:rFonts w:cs="Arial" w:ascii="Arial" w:hAnsi="Arial"/>
                <w:sz w:val="16"/>
                <w:szCs w:val="16"/>
                <w:lang w:val="en-US"/>
              </w:rPr>
              <w:t xml:space="preserve"> in-line measurment </w:t>
            </w:r>
            <w:r>
              <w:rPr>
                <w:rFonts w:cs="Arial" w:ascii="Arial" w:hAnsi="Arial"/>
                <w:sz w:val="16"/>
                <w:szCs w:val="16"/>
              </w:rPr>
              <w:t>гептану</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зв</w:t>
            </w:r>
            <w:r>
              <w:rPr>
                <w:rFonts w:cs="Arial" w:ascii="Arial" w:hAnsi="Arial"/>
                <w:sz w:val="16"/>
                <w:szCs w:val="16"/>
                <w:lang w:val="en-US"/>
              </w:rPr>
              <w:t>’</w:t>
            </w:r>
            <w:r>
              <w:rPr>
                <w:rFonts w:cs="Arial" w:ascii="Arial" w:hAnsi="Arial"/>
                <w:sz w:val="16"/>
                <w:szCs w:val="16"/>
              </w:rPr>
              <w:t>язку</w:t>
            </w:r>
            <w:r>
              <w:rPr>
                <w:rFonts w:cs="Arial" w:ascii="Arial" w:hAnsi="Arial"/>
                <w:sz w:val="16"/>
                <w:szCs w:val="16"/>
                <w:lang w:val="en-US"/>
              </w:rPr>
              <w:t xml:space="preserve"> </w:t>
            </w:r>
            <w:r>
              <w:rPr>
                <w:rFonts w:cs="Arial" w:ascii="Arial" w:hAnsi="Arial"/>
                <w:sz w:val="16"/>
                <w:szCs w:val="16"/>
              </w:rPr>
              <w:t>зі</w:t>
            </w:r>
            <w:r>
              <w:rPr>
                <w:rFonts w:cs="Arial" w:ascii="Arial" w:hAnsi="Arial"/>
                <w:sz w:val="16"/>
                <w:szCs w:val="16"/>
                <w:lang w:val="en-US"/>
              </w:rPr>
              <w:t xml:space="preserve"> </w:t>
            </w:r>
            <w:r>
              <w:rPr>
                <w:rFonts w:cs="Arial" w:ascii="Arial" w:hAnsi="Arial"/>
                <w:sz w:val="16"/>
                <w:szCs w:val="16"/>
              </w:rPr>
              <w:t>специфікою</w:t>
            </w:r>
            <w:r>
              <w:rPr>
                <w:rFonts w:cs="Arial" w:ascii="Arial" w:hAnsi="Arial"/>
                <w:sz w:val="16"/>
                <w:szCs w:val="16"/>
                <w:lang w:val="en-US"/>
              </w:rPr>
              <w:t xml:space="preserve"> </w:t>
            </w:r>
            <w:r>
              <w:rPr>
                <w:rFonts w:cs="Arial" w:ascii="Arial" w:hAnsi="Arial"/>
                <w:sz w:val="16"/>
                <w:szCs w:val="16"/>
              </w:rPr>
              <w:t>обладнання</w:t>
            </w:r>
            <w:r>
              <w:rPr>
                <w:rFonts w:cs="Arial" w:ascii="Arial" w:hAnsi="Arial"/>
                <w:sz w:val="16"/>
                <w:szCs w:val="16"/>
                <w:lang w:val="en-US"/>
              </w:rPr>
              <w:t xml:space="preserve">, </w:t>
            </w:r>
            <w:r>
              <w:rPr>
                <w:rFonts w:cs="Arial" w:ascii="Arial" w:hAnsi="Arial"/>
                <w:sz w:val="16"/>
                <w:szCs w:val="16"/>
              </w:rPr>
              <w:t>а</w:t>
            </w:r>
            <w:r>
              <w:rPr>
                <w:rFonts w:cs="Arial" w:ascii="Arial" w:hAnsi="Arial"/>
                <w:sz w:val="16"/>
                <w:szCs w:val="16"/>
                <w:lang w:val="en-US"/>
              </w:rPr>
              <w:t xml:space="preserve"> </w:t>
            </w:r>
            <w:r>
              <w:rPr>
                <w:rFonts w:cs="Arial" w:ascii="Arial" w:hAnsi="Arial"/>
                <w:sz w:val="16"/>
                <w:szCs w:val="16"/>
              </w:rPr>
              <w:t>саме</w:t>
            </w:r>
            <w:r>
              <w:rPr>
                <w:rFonts w:cs="Arial" w:ascii="Arial" w:hAnsi="Arial"/>
                <w:sz w:val="16"/>
                <w:szCs w:val="16"/>
                <w:lang w:val="en-US"/>
              </w:rPr>
              <w:t xml:space="preserve"> </w:t>
            </w:r>
            <w:r>
              <w:rPr>
                <w:rFonts w:cs="Arial" w:ascii="Arial" w:hAnsi="Arial"/>
                <w:sz w:val="16"/>
                <w:szCs w:val="16"/>
              </w:rPr>
              <w:t>вимоги</w:t>
            </w:r>
            <w:r>
              <w:rPr>
                <w:rFonts w:cs="Arial" w:ascii="Arial" w:hAnsi="Arial"/>
                <w:sz w:val="16"/>
                <w:szCs w:val="16"/>
                <w:lang w:val="en-US"/>
              </w:rPr>
              <w:t xml:space="preserve"> </w:t>
            </w:r>
            <w:r>
              <w:rPr>
                <w:rFonts w:cs="Arial" w:ascii="Arial" w:hAnsi="Arial"/>
                <w:sz w:val="16"/>
                <w:szCs w:val="16"/>
              </w:rPr>
              <w:t>до</w:t>
            </w:r>
            <w:r>
              <w:rPr>
                <w:rFonts w:cs="Arial" w:ascii="Arial" w:hAnsi="Arial"/>
                <w:sz w:val="16"/>
                <w:szCs w:val="16"/>
                <w:lang w:val="en-US"/>
              </w:rPr>
              <w:t xml:space="preserve"> in-line measurment </w:t>
            </w:r>
            <w:r>
              <w:rPr>
                <w:rFonts w:cs="Arial" w:ascii="Arial" w:hAnsi="Arial"/>
                <w:sz w:val="16"/>
                <w:szCs w:val="16"/>
              </w:rPr>
              <w:t>контролю</w:t>
            </w:r>
            <w:r>
              <w:rPr>
                <w:rFonts w:cs="Arial" w:ascii="Arial" w:hAnsi="Arial"/>
                <w:sz w:val="16"/>
                <w:szCs w:val="16"/>
                <w:lang w:val="en-US"/>
              </w:rPr>
              <w:t xml:space="preserve"> </w:t>
            </w:r>
            <w:r>
              <w:rPr>
                <w:rFonts w:cs="Arial" w:ascii="Arial" w:hAnsi="Arial"/>
                <w:sz w:val="16"/>
                <w:szCs w:val="16"/>
              </w:rPr>
              <w:t>в</w:t>
            </w:r>
            <w:r>
              <w:rPr>
                <w:rFonts w:cs="Arial" w:ascii="Arial" w:hAnsi="Arial"/>
                <w:sz w:val="16"/>
                <w:szCs w:val="16"/>
                <w:lang w:val="en-US"/>
              </w:rPr>
              <w:t xml:space="preserve"> </w:t>
            </w:r>
            <w:r>
              <w:rPr>
                <w:rFonts w:cs="Arial" w:ascii="Arial" w:hAnsi="Arial"/>
                <w:sz w:val="16"/>
                <w:szCs w:val="16"/>
              </w:rPr>
              <w:t>процесі</w:t>
            </w:r>
            <w:r>
              <w:rPr>
                <w:rFonts w:cs="Arial" w:ascii="Arial" w:hAnsi="Arial"/>
                <w:sz w:val="16"/>
                <w:szCs w:val="16"/>
                <w:lang w:val="en-US"/>
              </w:rPr>
              <w:t xml:space="preserve"> </w:t>
            </w:r>
            <w:r>
              <w:rPr>
                <w:rFonts w:cs="Arial" w:ascii="Arial" w:hAnsi="Arial"/>
                <w:sz w:val="16"/>
                <w:szCs w:val="16"/>
              </w:rPr>
              <w:t>хроматографії</w:t>
            </w:r>
            <w:r>
              <w:rPr>
                <w:rFonts w:cs="Arial" w:ascii="Arial" w:hAnsi="Arial"/>
                <w:sz w:val="16"/>
                <w:szCs w:val="16"/>
                <w:lang w:val="en-US"/>
              </w:rPr>
              <w:t xml:space="preserve"> </w:t>
            </w:r>
            <w:r>
              <w:rPr>
                <w:rFonts w:cs="Arial" w:ascii="Arial" w:hAnsi="Arial"/>
                <w:sz w:val="16"/>
                <w:szCs w:val="16"/>
              </w:rPr>
              <w:t>на</w:t>
            </w:r>
            <w:r>
              <w:rPr>
                <w:rFonts w:cs="Arial" w:ascii="Arial" w:hAnsi="Arial"/>
                <w:sz w:val="16"/>
                <w:szCs w:val="16"/>
                <w:lang w:val="en-US"/>
              </w:rPr>
              <w:t xml:space="preserve"> </w:t>
            </w:r>
            <w:r>
              <w:rPr>
                <w:rFonts w:cs="Arial" w:ascii="Arial" w:hAnsi="Arial"/>
                <w:sz w:val="16"/>
                <w:szCs w:val="16"/>
              </w:rPr>
              <w:t>силікагелі</w:t>
            </w:r>
            <w:r>
              <w:rPr>
                <w:rFonts w:cs="Arial" w:ascii="Arial" w:hAnsi="Arial"/>
                <w:sz w:val="16"/>
                <w:szCs w:val="16"/>
                <w:lang w:val="en-US"/>
              </w:rPr>
              <w:t xml:space="preserve"> </w:t>
            </w:r>
            <w:r>
              <w:rPr>
                <w:rFonts w:cs="Arial" w:ascii="Arial" w:hAnsi="Arial"/>
                <w:sz w:val="16"/>
                <w:szCs w:val="16"/>
              </w:rPr>
              <w:t>для</w:t>
            </w:r>
            <w:r>
              <w:rPr>
                <w:rFonts w:cs="Arial" w:ascii="Arial" w:hAnsi="Arial"/>
                <w:sz w:val="16"/>
                <w:szCs w:val="16"/>
                <w:lang w:val="en-US"/>
              </w:rPr>
              <w:t xml:space="preserve"> </w:t>
            </w:r>
            <w:r>
              <w:rPr>
                <w:rFonts w:cs="Arial" w:ascii="Arial" w:hAnsi="Arial"/>
                <w:sz w:val="16"/>
                <w:szCs w:val="16"/>
              </w:rPr>
              <w:t>приготування</w:t>
            </w:r>
            <w:r>
              <w:rPr>
                <w:rFonts w:cs="Arial" w:ascii="Arial" w:hAnsi="Arial"/>
                <w:sz w:val="16"/>
                <w:szCs w:val="16"/>
                <w:lang w:val="en-US"/>
              </w:rPr>
              <w:t xml:space="preserve"> </w:t>
            </w:r>
            <w:r>
              <w:rPr>
                <w:rFonts w:cs="Arial" w:ascii="Arial" w:hAnsi="Arial"/>
                <w:sz w:val="16"/>
                <w:szCs w:val="16"/>
              </w:rPr>
              <w:t>сполуки</w:t>
            </w:r>
            <w:r>
              <w:rPr>
                <w:rFonts w:cs="Arial" w:ascii="Arial" w:hAnsi="Arial"/>
                <w:sz w:val="16"/>
                <w:szCs w:val="16"/>
                <w:lang w:val="en-US"/>
              </w:rPr>
              <w:t xml:space="preserve"> IV </w:t>
            </w:r>
            <w:r>
              <w:rPr>
                <w:rFonts w:cs="Arial" w:ascii="Arial" w:hAnsi="Arial"/>
                <w:sz w:val="16"/>
                <w:szCs w:val="16"/>
              </w:rPr>
              <w:t>були</w:t>
            </w:r>
            <w:r>
              <w:rPr>
                <w:rFonts w:cs="Arial" w:ascii="Arial" w:hAnsi="Arial"/>
                <w:sz w:val="16"/>
                <w:szCs w:val="16"/>
                <w:lang w:val="en-US"/>
              </w:rPr>
              <w:t xml:space="preserve"> </w:t>
            </w:r>
            <w:r>
              <w:rPr>
                <w:rFonts w:cs="Arial" w:ascii="Arial" w:hAnsi="Arial"/>
                <w:sz w:val="16"/>
                <w:szCs w:val="16"/>
              </w:rPr>
              <w:t>скориговані</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зв</w:t>
            </w:r>
            <w:r>
              <w:rPr>
                <w:rFonts w:cs="Arial" w:ascii="Arial" w:hAnsi="Arial"/>
                <w:sz w:val="16"/>
                <w:szCs w:val="16"/>
                <w:lang w:val="en-US"/>
              </w:rPr>
              <w:t>’</w:t>
            </w:r>
            <w:r>
              <w:rPr>
                <w:rFonts w:cs="Arial" w:ascii="Arial" w:hAnsi="Arial"/>
                <w:sz w:val="16"/>
                <w:szCs w:val="16"/>
              </w:rPr>
              <w:t>язку</w:t>
            </w:r>
            <w:r>
              <w:rPr>
                <w:rFonts w:cs="Arial" w:ascii="Arial" w:hAnsi="Arial"/>
                <w:sz w:val="16"/>
                <w:szCs w:val="16"/>
                <w:lang w:val="en-US"/>
              </w:rPr>
              <w:t xml:space="preserve"> </w:t>
            </w:r>
            <w:r>
              <w:rPr>
                <w:rFonts w:cs="Arial" w:ascii="Arial" w:hAnsi="Arial"/>
                <w:sz w:val="16"/>
                <w:szCs w:val="16"/>
              </w:rPr>
              <w:t>зі</w:t>
            </w:r>
            <w:r>
              <w:rPr>
                <w:rFonts w:cs="Arial" w:ascii="Arial" w:hAnsi="Arial"/>
                <w:sz w:val="16"/>
                <w:szCs w:val="16"/>
                <w:lang w:val="en-US"/>
              </w:rPr>
              <w:t xml:space="preserve"> </w:t>
            </w:r>
            <w:r>
              <w:rPr>
                <w:rFonts w:cs="Arial" w:ascii="Arial" w:hAnsi="Arial"/>
                <w:sz w:val="16"/>
                <w:szCs w:val="16"/>
              </w:rPr>
              <w:t>специфікою</w:t>
            </w:r>
            <w:r>
              <w:rPr>
                <w:rFonts w:cs="Arial" w:ascii="Arial" w:hAnsi="Arial"/>
                <w:sz w:val="16"/>
                <w:szCs w:val="16"/>
                <w:lang w:val="en-US"/>
              </w:rPr>
              <w:t xml:space="preserve"> </w:t>
            </w:r>
            <w:r>
              <w:rPr>
                <w:rFonts w:cs="Arial" w:ascii="Arial" w:hAnsi="Arial"/>
                <w:sz w:val="16"/>
                <w:szCs w:val="16"/>
              </w:rPr>
              <w:t>обладнання</w:t>
            </w:r>
            <w:r>
              <w:rPr>
                <w:rFonts w:cs="Arial" w:ascii="Arial" w:hAnsi="Arial"/>
                <w:sz w:val="16"/>
                <w:szCs w:val="16"/>
                <w:lang w:val="en-US"/>
              </w:rPr>
              <w:t xml:space="preserve">. </w:t>
            </w:r>
            <w:r>
              <w:rPr>
                <w:rFonts w:cs="Arial" w:ascii="Arial" w:hAnsi="Arial"/>
                <w:sz w:val="16"/>
                <w:szCs w:val="16"/>
              </w:rPr>
              <w:t>Порівняно з вимогами до методу ГХ, точність поточного контролю вимірюється з точністю до одного десяткового знаку через специфіку обладнання для гептану та води. Зміни І типу - Зміни з якості. АФІ. Виробництво. Зміни випробувань або допустимих меж у процесі виробництва АФІ, що встановлені у специфікаціях (інші зміни). Розширення специфікації проміжного контролю для in-line measurment «Вода» у зв’язку зі специфікою обладнання, а саме – вимоги до in-line measurment для контролю в процесі хроматографії на силікагелі для одержання сполуки IV були скориговані у зв’язку зі специфікою обладнання. Порівняно з вимогами до методу ГХ, точність поточного контролю вимірюється з точністю до одного десяткового знаку через специфіку обладнання для гептану та води.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UA/3913/01/03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СИГНІФОР ЛАР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pasireotide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пасиреотид (у формі пасиреотиду памоату)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H01CB05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суспензії для ін`єкцій по 20 мг; 1 флакон з порошком у комплекті з розчинником по 2 мл у попередньо заповненому шприці (кармелоза натрію, маніт (E421), полоксамер 188, вода для ін’єкцій), 1 голкою та 1 адаптером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Рекордаті Реа Дізізес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Францiя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випуск серії: Рекордаті Реа Дізізес, Франція; випуск серії: Рекордаті Реа Дізізес, Франція; виробництво, контроль якості, первинне пакування розчинника та вторинне пакування готового продукту: Абботт Біолоджикалс Б.В., Нідерланди; контроль якості за всіма параметрами за виключенням тесту "Бактеріальні ендотоксини", первинне пакування порошку: Новартіс Фармасютікал Мануфактурінг ГмбХ, Австрія; контроль якості за всіма параметрами за виключенням молекулярної маси полімеру та тесту "Бактеріальні ендотоксини": Новартіс Фармасютікал Мануфактурінг ГмбХ, Австрія; виробництво порошку in bulk для суспензії для ін'єкцій: РЕКОРДАТІ АГ Реа Дізізес Бранч, Швейцарія; контроль якості за показником "Бактеріальні ендотоксини": Еурофінс Біофарма Продакт Тестінг Мюніх ГмбХ, Німеччина; термінальна стерилізація флаконів: Сінерджи Хелс Денікен АГ, Швейцарія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Франція/ Нідерланди/ Австрія/ Швейцарія/ Німеччина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досьє)(інші зміни). Додавання альтернативної виробничої дільниці, відповідальної за виробництво вихідних речовин "Fmoc-Phenylglycin-OH", "Fmoc-Hyp(Boc aminoethylcarbamoyl)-OH", "Fmoc-Tyrosin(Bzl)-OH", що використовуються у виробничому процесі активної речовини пасиреотиду, а саме: Senn Chemicals (Guido Senn Strasse 1, Dielsdorf 8157, Switzerland). Додатково вносяться незначні зміни в шлях синтезу вихідних матеріалів, які не впливають на якість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досьє)(інші зміни). Додавання альтернативної виробничої дільниці, відповідальної за виробництво вихідної речовини "4_(Hydroxydiphenylmethyl) benzoic acid", що використовується у виробничому процесі активної речовини пасиреотиду, а саме: Shanghai Haoyuan Chemexpress Ltd (Building No3, No1999, Zhangheng Road, 201203, Shanghai, China).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виробничої дільниці, відповідальної за виробництво вихідних речовин "Fmoc-Lys(Boc)-OH", "Fmoc-Phg-OH", "Fmoc-Tyr(Bzl)-OH", "Fmoc-Hyp(Boc-aminoethylcarbamoyl)-OH". Виробнича дільниця, адреса та усі виробничі операції залишаються незмінними. Діюча редакція: W.R. Grace &amp; Co.-Conn., USA. Пропонована редакція: Lacamas Laboratories, Inc., USA</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UA/15926/01/01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СИГНІФОР ЛАР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pasireotide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пасиреотид (у формі пасиреотиду памоату)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H01CB05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суспензії для ін`єкцій по 60 мг; 1 флакон з порошком у комплекті з розчинником по 2 мл у попередньо заповненому шприці (кармелоза натрію, маніт (E421), полоксамер 188, вода для ін’єкцій), 1 голкою та 1 адаптером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Рекордаті Реа Дізізес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Францiя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випуск серії: Рекордаті Реа Дізізес, Франція; випуск серії: Рекордаті Реа Дізізес, Франція; виробництво, контроль якості, первинне пакування розчинника та вторинне пакування готового продукту: Абботт Біолоджикалс Б.В., Нідерланди; контроль якості за всіма параметрами за виключенням тесту "Бактеріальні ендотоксини", первинне пакування порошку: Новартіс Фармасютікал Мануфактурінг ГмбХ, Австрія; контроль якості за всіма параметрами за виключенням молекулярної маси полімеру та тесту "Бактеріальні ендотоксини": Новартіс Фармасютікал Мануфактурінг ГмбХ, Австрія; виробництво порошку in bulk для суспензії для ін'єкцій: РЕКОРДАТІ АГ Реа Дізізес Бранч, Швейцарія; контроль якості за показником "Бактеріальні ендотоксини": Еурофінс Біофарма Продакт Тестінг Мюніх ГмбХ, Німеччина; термінальна стерилізація флаконів: Сінерджи Хелс Денікен АГ, Швейцарія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Франція/ Нідерланди/ Австрія/ Швейцарія/ Німеччина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досьє)(інші зміни). Додавання альтернативної виробничої дільниці, відповідальної за виробництво вихідних речовин "Fmoc-Phenylglycin-OH", "Fmoc-Hyp(Boc aminoethylcarbamoyl)-OH", "Fmoc-Tyrosin(Bzl)-OH", що використовуються у виробничому процесі активної речовини пасиреотиду, а саме: Senn Chemicals (Guido Senn Strasse 1, Dielsdorf 8157, Switzerland). Додатково вносяться незначні зміни в шлях синтезу вихідних матеріалів, які не впливають на якість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досьє)(інші зміни). Додавання альтернативної виробничої дільниці, відповідальної за виробництво вихідної речовини "4_(Hydroxydiphenylmethyl) benzoic acid", що використовується у виробничому процесі активної речовини пасиреотиду, а саме: Shanghai Haoyuan Chemexpress Ltd (Building No3, No1999, Zhangheng Road, 201203, Shanghai, China).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виробничої дільниці, відповідальної за виробництво вихідних речовин "Fmoc-Lys(Boc)-OH", "Fmoc-Phg-OH", "Fmoc-Tyr(Bzl)-OH", "Fmoc-Hyp(Boc-aminoethylcarbamoyl)-OH". Виробнича дільниця, адреса та усі виробничі операції залишаються незмінними. Діюча редакція: W.R. Grace &amp; Co.-Conn., USA. Пропонована редакція: Lacamas Laboratories, Inc., USA</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UA/15926/01/03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СИГНІФОР ЛАР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pasireotide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пасиреотид (у формі пасиреотиду памоату)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H01CB05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суспензії для ін`єкцій по 40 мг; 1 флакон з порошком у комплекті з розчинником по 2 мл у попередньо заповненому шприці (кармелоза натрію, маніт (E421), полоксамер 188, вода для ін’єкцій), 1 голкою та 1 адаптером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Рекордаті Реа Дізізес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Францiя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випуск серії: Рекордаті Реа Дізізес, Франція; випуск серії: Рекордаті Реа Дізізес, Франція; виробництво, контроль якості, первинне пакування розчинника та вторинне пакування готового продукту: Абботт Біолоджикалс Б.В., Нідерланди; контроль якості за всіма параметрами за виключенням тесту "Бактеріальні ендотоксини", первинне пакування порошку: Новартіс Фармасютікал Мануфактурінг ГмбХ, Австрія; контроль якості за всіма параметрами за виключенням молекулярної маси полімеру та тесту "Бактеріальні ендотоксини": Новартіс Фармасютікал Мануфактурінг ГмбХ, Австрія; виробництво порошку in bulk для суспензії для ін'єкцій: РЕКОРДАТІ АГ Реа Дізізес Бранч, Швейцарія; контроль якості за показником "Бактеріальні ендотоксини": Еурофінс Біофарма Продакт Тестінг Мюніх ГмбХ, Німеччина; термінальна стерилізація флаконів: Сінерджи Хелс Денікен АГ, Швейцарія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Франція/ Нідерланди/ Австрія/ Швейцарія/ Німеччина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досьє)(інші зміни). Додавання альтернативної виробничої дільниці, відповідальної за виробництво вихідних речовин "Fmoc-Phenylglycin-OH", "Fmoc-Hyp(Boc aminoethylcarbamoyl)-OH", "Fmoc-Tyrosin(Bzl)-OH", що використовуються у виробничому процесі активної речовини пасиреотиду, а саме: Senn Chemicals (Guido Senn Strasse 1, Dielsdorf 8157, Switzerland). Додатково вносяться незначні зміни в шлях синтезу вихідних матеріалів, які не впливають на якість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досьє)(інші зміни). Додавання альтернативної виробничої дільниці, відповідальної за виробництво вихідної речовини "4_(Hydroxydiphenylmethyl) benzoic acid", що використовується у виробничому процесі активної речовини пасиреотиду, а саме: Shanghai Haoyuan Chemexpress Ltd (Building No3, No1999, Zhangheng Road, 201203, Shanghai, China).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виробничої дільниці, відповідальної за виробництво вихідних речовин "Fmoc-Lys(Boc)-OH", "Fmoc-Phg-OH", "Fmoc-Tyr(Bzl)-OH", "Fmoc-Hyp(Boc-aminoethylcarbamoyl)-OH". Виробнича дільниця, адреса та усі виробничі операції залишаються незмінними. Діюча редакція: W.R. Grace &amp; Co.-Conn., USA. Пропонована редакція: Lacamas Laboratories, Inc., USA</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UA/15926/01/02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СІНМЕТОН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nabumetone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набуметон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M01AX01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оболонкою, по 500 мг; по 10 таблеток у блістері; по 1 або по 3, або по 10 блістерів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ОАЕ</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Евертоджен Лайф Саєнсиз  Лімітед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UA/10667/01/01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СІНМЕТОН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nabumetone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набуметон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M01AX01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оболонкою, по 750 мг; по 10 таблеток у блістері; по 1 або по 3, або по 10 блістерів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ОАЕ</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Евертоджен Лайф Саєнсиз  Лімітед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UA/10667/01/02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СІНМЕТОН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nabumetone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набуметон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таблетки, вкриті оболонкою, по 500 мг; іn bulk: по 1000 таблеток у пакетах із фольги алюмінієвої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ОАЕ</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Евертоджен Лайф Саєнсиз  Лімітед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UA/10668/01/01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СІНМЕТОН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nabumetone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набуметон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таблетки, вкриті оболонкою, по 750 мг; іn bulk: по 1000 таблеток у пакетах із фольги алюмінієвої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ОАЕ</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Евертоджен Лайф Саєнсиз  Лімітед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UA/10668/01/02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ТРЕСІБА® ФЛЕКСТАЧ®</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insulin degludec</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інсулін деглюдек</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A10AE05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розчин для ін'єкцій 100 ОД/мл; по 3 мл у картриджі, який міститься у багатодозовій одноразовій шприц-ручці; по 1 або по 5 шприц-ручок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А/Т Ново Нордіск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Данiя</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Виробництво, наповнення в первинну упаковку та контроль балку. Відповідальний за випуск: А/Т Ново Нордіск, Данія; </w:t>
              <w:br/>
              <w:t>Комплектування, маркування та вторинне пакування готового продукту. Контроль якості балку готового продукту та кінцевого готового продукту: А/Т Ново Нордіск, Данія; Виробник нерозфасованого продукту, наповнення в первинну упаковку та перевірка якості продукції балку. Контроль якості зразків в процесі виробництва та продукції bulk. Контроль якості готового продукту. Комплектування, маркування та вторинне пакування готового продукту. Відповідальний за випуск серії: Ново Нордіск Продюксьон САС, Франція</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Данія/</w:t>
            </w:r>
          </w:p>
          <w:p>
            <w:pPr>
              <w:pStyle w:val="Normal"/>
              <w:tabs>
                <w:tab w:val="left" w:pos="12600" w:leader="none"/>
              </w:tabs>
              <w:jc w:val="center"/>
              <w:rPr>
                <w:rFonts w:ascii="Arial" w:hAnsi="Arial" w:cs="Arial"/>
                <w:sz w:val="16"/>
                <w:szCs w:val="16"/>
              </w:rPr>
            </w:pPr>
            <w:r>
              <w:rPr>
                <w:rFonts w:cs="Arial" w:ascii="Arial" w:hAnsi="Arial"/>
                <w:sz w:val="16"/>
                <w:szCs w:val="16"/>
              </w:rPr>
              <w:t>Франція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Внесення змін до р. 3.2.Р.7. Система контейнер/закупорювальний засіб, а саме додавання Вест Фармасьютікалз Продактс Айрленд, Лтд., Каррікферіш Роуд, Вотерфорд, X91 R9V6, Ірландія (West Pharmaceutical Products Ireland, Ltd. Carrickpherish Road, Waterford, X91 R9V6 Ireland), як додаткового постачальника RTU червоного поршня ((RTU) Rubber red plunger). Матеріал з якого виготовляється поршень залишається без змін, специфікація буде без змін та процес стерилізації буде також еквівалентний.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w:t>
              <w:br/>
              <w:t>Вилучення незначного параметру, а саме екстрагованих важких металів (Extractable heavy metals) зі специфікацій для первинної упаковки (ламінована гумова прокладка, гумовий поршень). Також вносяться незначні редакторські правки в розділ 3.2.Р.7.</w:t>
              <w:br/>
              <w:t>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незначного параметру, а саме загальної золи (Total ash) зі специфікацій для первинної упаковки (ламінована гумова прокладка, гумовий поршень). Також вносяться незначні редакторські правки в розділ 3.2.Р.7.</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UA/14264/01/01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УЛЬТРАВІСТ 370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iopromide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йопромід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V08AB05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розчин для ін’єкцій та інфузій, 370 мг/мл по 50 або 100 мл у флаконі; по 1 флакону у картонній пачці; по 500 мл у флаконі; по 8 флаконів у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Байєр АГ</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продукції in-bulk, первинне пакування, вторинне пакування, контроль серії, випуск серії: Байєр АГ, Німеччина;</w:t>
              <w:br/>
              <w:t>виробництво продукції in-bulk, первинне пакування, вторинне пакування, контроль серії, випуск серії: Берлімед, С.А., Іспанiя</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p>
            <w:pPr>
              <w:pStyle w:val="Normal"/>
              <w:tabs>
                <w:tab w:val="left" w:pos="12600" w:leader="none"/>
              </w:tabs>
              <w:jc w:val="center"/>
              <w:rPr>
                <w:rFonts w:ascii="Arial" w:hAnsi="Arial" w:cs="Arial"/>
                <w:sz w:val="16"/>
                <w:szCs w:val="16"/>
              </w:rPr>
            </w:pPr>
            <w:r>
              <w:rPr>
                <w:rFonts w:cs="Arial" w:ascii="Arial" w:hAnsi="Arial"/>
                <w:sz w:val="16"/>
                <w:szCs w:val="16"/>
              </w:rPr>
              <w:t>Іспанія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Оновлений сертифікат від уже затвердженого виробника - оновлений СЕР 2020 273 – Rev 01для АФІ від вже затвердженого виробника Divi's Laboratories Limited, Unit-1.</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UA/1987/01/01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ФАНІГАН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Diclofenac, combinations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парацетамол, диклофенак натрію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M01AB55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4 таблетки у блістері; по 25 блістерів у картонній упаковці; по 10 таблеток у блістері; по 10 блістерів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"КУСУМ"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виробництво, первинне пакування, вторинне пакування, контроль якості, випуск серії </w:t>
              <w:br/>
              <w:t xml:space="preserve">або </w:t>
              <w:br/>
              <w:t>виробництво продукції in bulk:</w:t>
              <w:br/>
              <w:t>КУСУМ ХЕЛТХКЕР ПВТ ЛТД, Індія</w:t>
              <w:br/>
              <w:t xml:space="preserve">або </w:t>
              <w:br/>
              <w:t>КУСУМ ХЕЛТХКЕР ПВТ ЛТД, Індія;</w:t>
            </w:r>
          </w:p>
          <w:p>
            <w:pPr>
              <w:pStyle w:val="Normal"/>
              <w:tabs>
                <w:tab w:val="left" w:pos="12600" w:leader="none"/>
              </w:tabs>
              <w:jc w:val="center"/>
              <w:rPr>
                <w:rFonts w:ascii="Arial" w:hAnsi="Arial" w:cs="Arial"/>
                <w:sz w:val="16"/>
                <w:szCs w:val="16"/>
              </w:rPr>
            </w:pPr>
            <w:r>
              <w:rPr>
                <w:rFonts w:cs="Arial" w:ascii="Arial" w:hAnsi="Arial"/>
                <w:sz w:val="16"/>
                <w:szCs w:val="16"/>
              </w:rPr>
              <w:t xml:space="preserve">виробництво, первинне пакування, вторинне пакування, контроль якості, випуск серії: </w:t>
              <w:br/>
              <w:t>ТОВ "КУСУМ ФАРМ", Україна</w:t>
            </w:r>
          </w:p>
          <w:p>
            <w:pPr>
              <w:pStyle w:val="Normal"/>
              <w:tabs>
                <w:tab w:val="left" w:pos="12600" w:leader="none"/>
              </w:tabs>
              <w:jc w:val="center"/>
              <w:rPr>
                <w:rFonts w:ascii="Arial" w:hAnsi="Arial" w:cs="Arial"/>
                <w:sz w:val="16"/>
                <w:szCs w:val="16"/>
              </w:rPr>
            </w:pPr>
            <w:r>
              <w:rPr>
                <w:rFonts w:cs="Arial" w:ascii="Arial" w:hAnsi="Arial"/>
                <w:sz w:val="16"/>
                <w:szCs w:val="16"/>
              </w:rPr>
              <w:t>або</w:t>
              <w:br/>
              <w:t>ТОВ «КУСУМ», Україна;</w:t>
              <w:br/>
              <w:t>вторинне пакування, випуск серії з продукції in bulk:</w:t>
              <w:br/>
              <w:t>ТОВ «КУСУМ», Україна;</w:t>
              <w:br/>
              <w:t>контроль якості:</w:t>
              <w:br/>
              <w:t>ТОВ «КУСУМ», Україна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 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Затверджено: ТОВ "ГЛЕДФАРМ ЛТД" (Україна, 02092, м. Київ, Дніпровський район, вулиця Алма-Атинська, будинок 58). Запропоновано: ТОВ "КУСУМ" (Україна, 02092, місто Київ, вулиця Алма-Атинська, будинок 58). Введення змін протягом 12-ти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найменування виробника, без зміни місця виробництва: Затверджено: ТОВ "ГЛЕДФАРМ ЛТД", Україна. Запропоновано: ТОВ "КУСУМ", Україна. Зміни внесено в розділ "Виробник" в інструкцію для медичного застосування у зв’язку зі зміною назви виробника з ТОВ «ГЛЕДФАРМ ЛТД» на ТОВ «КУСУМ» без зміни адреси місця провадження діяльності та як наслідок - у текст маркування упаковки лікарського засобу. Введення змін протягом 12-ти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введення додаткового виробника ТОВ «КУСУМ», УКРАЇНА за адресою: 08039, Україна, Київська область, Бучанський район, Макарівська територіальна громада, село Северинівка, вул. Перемоги, будинок 2В, що здійснюватиме вторинне пакування з продукції in bulk, виготовленої виробником КУСУМ ХЕЛТХКЕР ПВТ ЛТД / KUSUM HEALTHCARE PVT LTD, з метою оптимізації виробництва. У зв’язку з введенням додаткового виробника ТОВ «КУСУМ» додається 2 додаткові торговельні упаковки. Введення змін протягом 12-ти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w:t>
              <w:br/>
              <w:t xml:space="preserve">введення додаткової дільниці ТОВ «КУСУМ» за адресою: 02149, Україна, м. Київ, проспект Миколи Бажана, 38, на якій здійснюється контроль якості. Введення змін протягом 12-ти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введення додаткового виробника ТОВ «КУСУМ», Україна за адресою: 08039, Україна, Київська область, Бучанський район, Макарівська територіальна громада, село Северинівка, вул. Перемоги, будинок 2В, що здійснюватиме випуск серії з продукції in bulk, виготовленої виробником КУСУМ ХЕЛТХКЕР ПВТ ЛТД / KUSUM HEALTHCARE PVT LTD Зміни внесено в розділи "Виробник" та "Місцезнаходження виробника та адреса місця провадження його діяльності" в інструкцію для медичного застосування у зв'язку з введенням додаткового виробника та як наслідок - затвердження тексту маркування упаковки лікарського засобу для додаткового виробника. Введення змін протягом 12-ти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UA/7260/01/01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ФАНІГАН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Diclofenac, combinations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парацетамол, диклофенак натрію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in bulk № 880 (10х88) таблеток: по 10 таблеток у блістері, по 88 блістерів у картонній коробці; in bulk № 7290 (10х729) таблеток: по 10 таблеток у блістері, по 729 блістерів у картонній коробці (виробник "Кусум Хелтхкер Пвт Лтд" / СП-289 (A), РІІКО Індастріал ареа, Чопанкі, Бхіваді, Діст. Алвар (Раджастан), Індія); in bulk: № 9000 (10х900) таблеток: по 10 таблеток у блістері, по 900 блістерів у картонній коробці (виробник "Кусум Хелтхкер Пвт Лтд" / Плот № М-3, Індор Спешел Ікономік Зоун, Фейз-ІІ, Пітампур, Діст. Дхар, Мадхья Прадеш, Пін 454774, Індія)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"КУСУМ"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Кусум Хелтхкер Пвт Лтд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Затверджено: ТОВ "ГЛЕДФАРМ ЛТД" (Україна, 02092, м. Київ, Дніпровський район, вулиця Алма-Атинська, будинок 58). Запропоновано: ТОВ "КУСУМ" (Україна, 02092, місто Київ, вулиця Алма-Атинська, будинок 58). Введення змін протягом 12-ти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UA/12274/01/01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ФЛАМІДЕЗ ГЕЛЬ</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диклофенаку діетиламін, метилсаліцилат, левоментол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M02AA65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гель по 20 г, 30 г, 40 г або 100 г в ламінованій тубі; по 1 тубі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ОАЕ</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Енк`юб Етікалз Прайвіт Лімітед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UA/12794/01/01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ФЛАМІДЕЗ®</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Diclofenac, combinations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парацетамол, диклофенак калію, серратіопептидаза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in bulk: 2500 таблеток у пакетах із фольги алюмінієвої</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ОАЕ</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Евертоджен Лайф Саєнсиз Лімітед, Індія; Сага Лайфсаєнсиз Лімітед, Індія</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UA/7062/01/01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ФЛАМІДЕЗ®</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Diclofenac, combinations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парацетамол, диклофенак калію, серратіопептидаза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M01AB55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10 таблеток у блістері; по 1, або по 3, або по 10 блістерів у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ОАЕ</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Евертоджен Лайф Саєнсиз Лімітед, Індія; Сага Лайфсаєнсиз Лімітед, Індія</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UA/7061/01/01</w:t>
            </w:r>
          </w:p>
        </w:tc>
      </w:tr>
    </w:tbl>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17">
        <w:r>
          <w:rPr>
            <w:rStyle w:val="InternetLink"/>
            <w:i/>
            <w:color w:val="000000"/>
            <w:szCs w:val="16"/>
          </w:rPr>
          <w:t>https://www.whocc.no/atc_ddd_index/</w:t>
        </w:r>
      </w:hyperlink>
      <w:r>
        <w:rPr>
          <w:rStyle w:val="InternetLink"/>
          <w:i/>
          <w:color w:val="000000"/>
          <w:szCs w:val="16"/>
        </w:rPr>
        <w:t>)</w:t>
      </w:r>
    </w:p>
    <w:p>
      <w:pPr>
        <w:pStyle w:val="Normal"/>
        <w:ind w:right="20" w:hanging="0"/>
        <w:rPr>
          <w:rFonts w:ascii="Arial" w:hAnsi="Arial" w:cs="Arial"/>
          <w:i/>
          <w:i/>
          <w:sz w:val="16"/>
          <w:szCs w:val="16"/>
        </w:rPr>
      </w:pPr>
      <w:r>
        <w:rPr>
          <w:rFonts w:cs="Arial" w:ascii="Arial" w:hAnsi="Arial"/>
          <w:i/>
          <w:sz w:val="16"/>
          <w:szCs w:val="16"/>
        </w:rPr>
        <w:t>**у разі внесення змін до інструкції про медичне застосування</w:t>
      </w:r>
    </w:p>
    <w:p>
      <w:pPr>
        <w:pStyle w:val="Normal"/>
        <w:ind w:right="20" w:hanging="0"/>
        <w:rPr>
          <w:rFonts w:ascii="Arial" w:hAnsi="Arial" w:cs="Arial"/>
          <w:b/>
          <w:b/>
          <w:i/>
          <w:i/>
          <w:sz w:val="16"/>
          <w:szCs w:val="16"/>
        </w:rPr>
      </w:pPr>
      <w:r>
        <w:rPr>
          <w:rFonts w:cs="Arial" w:ascii="Arial" w:hAnsi="Arial"/>
          <w:b/>
          <w:i/>
          <w:sz w:val="16"/>
          <w:szCs w:val="16"/>
        </w:rPr>
      </w:r>
    </w:p>
    <w:p>
      <w:pPr>
        <w:pStyle w:val="Normal"/>
        <w:ind w:right="20" w:hanging="0"/>
        <w:rPr>
          <w:rFonts w:ascii="Arial" w:hAnsi="Arial" w:cs="Arial"/>
          <w:b/>
          <w:b/>
          <w:i/>
          <w:i/>
          <w:sz w:val="16"/>
          <w:szCs w:val="16"/>
        </w:rPr>
      </w:pPr>
      <w:r>
        <w:rPr>
          <w:rFonts w:cs="Arial" w:ascii="Arial" w:hAnsi="Arial"/>
          <w:b/>
          <w:i/>
          <w:sz w:val="16"/>
          <w:szCs w:val="16"/>
        </w:rPr>
      </w:r>
    </w:p>
    <w:p>
      <w:pPr>
        <w:pStyle w:val="Normal"/>
        <w:ind w:right="20" w:hanging="0"/>
        <w:rPr>
          <w:rFonts w:ascii="Arial" w:hAnsi="Arial" w:cs="Arial"/>
          <w:b/>
          <w:b/>
          <w:i/>
          <w:i/>
          <w:sz w:val="16"/>
          <w:szCs w:val="16"/>
        </w:rPr>
      </w:pPr>
      <w:r>
        <w:rPr>
          <w:rFonts w:cs="Arial" w:ascii="Arial" w:hAnsi="Arial"/>
          <w:b/>
          <w:i/>
          <w:sz w:val="16"/>
          <w:szCs w:val="16"/>
        </w:rPr>
      </w:r>
    </w:p>
    <w:p>
      <w:pPr>
        <w:pStyle w:val="11"/>
        <w:rPr/>
      </w:pPr>
      <w:r>
        <w:rPr>
          <w:rStyle w:val="Cs7864ebcf1"/>
          <w:color w:val="000000"/>
          <w:sz w:val="28"/>
          <w:szCs w:val="28"/>
        </w:rPr>
        <w:t>Начальник</w:t>
      </w:r>
    </w:p>
    <w:p>
      <w:pPr>
        <w:sectPr>
          <w:headerReference w:type="default" r:id="rId18"/>
          <w:headerReference w:type="first" r:id="rId19"/>
          <w:footerReference w:type="default" r:id="rId20"/>
          <w:footerReference w:type="first" r:id="rId21"/>
          <w:type w:val="nextPage"/>
          <w:pgSz w:orient="landscape" w:w="16838" w:h="11906"/>
          <w:pgMar w:left="1077" w:right="1134" w:header="709" w:top="907" w:footer="709" w:bottom="907" w:gutter="0"/>
          <w:pgNumType w:fmt="decimal"/>
          <w:formProt w:val="false"/>
          <w:titlePg/>
          <w:textDirection w:val="lrTb"/>
          <w:docGrid w:type="default" w:linePitch="360" w:charSpace="0"/>
        </w:sectPr>
        <w:pStyle w:val="11"/>
        <w:rPr>
          <w:rStyle w:val="Cs7864ebcf1"/>
          <w:color w:val="000000"/>
          <w:sz w:val="28"/>
          <w:szCs w:val="28"/>
        </w:rPr>
      </w:pPr>
      <w:r>
        <w:rPr>
          <w:rStyle w:val="Cs7864ebcf1"/>
          <w:color w:val="000000"/>
          <w:sz w:val="28"/>
          <w:szCs w:val="28"/>
        </w:rPr>
        <w:t>Фармацевтичного управління                                                                                                              Олександр ГРІЦЕНКО</w:t>
      </w:r>
    </w:p>
    <w:p>
      <w:pPr>
        <w:pStyle w:val="11"/>
        <w:rPr>
          <w:rStyle w:val="Cs7864ebcf1"/>
          <w:color w:val="000000"/>
          <w:sz w:val="16"/>
          <w:szCs w:val="16"/>
          <w:lang w:val="uk-UA"/>
        </w:rPr>
      </w:pPr>
      <w:r>
        <w:rPr/>
      </w:r>
    </w:p>
    <w:tbl>
      <w:tblPr>
        <w:tblW w:w="3828" w:type="dxa"/>
        <w:jc w:val="left"/>
        <w:tblInd w:w="11448" w:type="dxa"/>
        <w:tblBorders/>
        <w:tblCellMar>
          <w:top w:w="0" w:type="dxa"/>
          <w:left w:w="108" w:type="dxa"/>
          <w:bottom w:w="0" w:type="dxa"/>
          <w:right w:w="108" w:type="dxa"/>
        </w:tblCellMar>
      </w:tblPr>
      <w:tblGrid>
        <w:gridCol w:w="3828"/>
      </w:tblGrid>
      <w:tr>
        <w:trPr/>
        <w:tc>
          <w:tcPr>
            <w:tcW w:w="3828" w:type="dxa"/>
            <w:tcBorders/>
            <w:shd w:fill="auto" w:val="clear"/>
          </w:tcPr>
          <w:p>
            <w:pPr>
              <w:pStyle w:val="Heading4"/>
              <w:numPr>
                <w:ilvl w:val="3"/>
                <w:numId w:val="1"/>
              </w:numPr>
              <w:tabs>
                <w:tab w:val="left" w:pos="12600" w:leader="none"/>
              </w:tabs>
              <w:spacing w:before="0" w:after="0"/>
              <w:jc w:val="both"/>
              <w:rPr/>
            </w:pPr>
            <w:r>
              <w:rPr>
                <w:rStyle w:val="Cs7864ebcf1"/>
                <w:color w:val="000000"/>
                <w:sz w:val="18"/>
                <w:szCs w:val="18"/>
              </w:rPr>
              <w:t>Додаток 4</w:t>
            </w:r>
          </w:p>
          <w:p>
            <w:pPr>
              <w:pStyle w:val="Heading4"/>
              <w:numPr>
                <w:ilvl w:val="3"/>
                <w:numId w:val="1"/>
              </w:numPr>
              <w:tabs>
                <w:tab w:val="left" w:pos="12600" w:leader="none"/>
              </w:tabs>
              <w:spacing w:before="0" w:after="0"/>
              <w:jc w:val="both"/>
              <w:rPr>
                <w:sz w:val="18"/>
                <w:szCs w:val="18"/>
              </w:rPr>
            </w:pPr>
            <w:r>
              <w:rPr>
                <w:sz w:val="18"/>
                <w:szCs w:val="18"/>
              </w:rPr>
              <w:t>до наказу Міністерства охорони</w:t>
            </w:r>
          </w:p>
          <w:p>
            <w:pPr>
              <w:pStyle w:val="Heading4"/>
              <w:numPr>
                <w:ilvl w:val="3"/>
                <w:numId w:val="1"/>
              </w:numPr>
              <w:tabs>
                <w:tab w:val="left" w:pos="12600" w:leader="none"/>
              </w:tabs>
              <w:spacing w:before="0" w:after="0"/>
              <w:jc w:val="both"/>
              <w:rPr/>
            </w:pPr>
            <w:r>
              <w:rPr>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pPr>
              <w:pStyle w:val="Normal"/>
              <w:tabs>
                <w:tab w:val="left" w:pos="12600" w:leader="none"/>
              </w:tabs>
              <w:jc w:val="both"/>
              <w:rPr>
                <w:rFonts w:ascii="Arial" w:hAnsi="Arial" w:cs="Arial"/>
                <w:b/>
                <w:b/>
                <w:sz w:val="18"/>
                <w:szCs w:val="18"/>
              </w:rPr>
            </w:pPr>
            <w:r>
              <w:rPr>
                <w:b/>
                <w:iCs/>
                <w:sz w:val="18"/>
                <w:szCs w:val="18"/>
                <w:u w:val="single"/>
              </w:rPr>
              <w:t>від_30 вересня 2026 року  № 1454</w:t>
            </w:r>
          </w:p>
        </w:tc>
      </w:tr>
    </w:tbl>
    <w:p>
      <w:pPr>
        <w:pStyle w:val="Normal"/>
        <w:tabs>
          <w:tab w:val="left" w:pos="12600" w:leader="none"/>
        </w:tabs>
        <w:rPr>
          <w:rStyle w:val="Cs7864ebcf1"/>
          <w:rFonts w:ascii="Arial" w:hAnsi="Arial" w:cs="Arial"/>
          <w:b/>
          <w:b/>
          <w:color w:val="000000"/>
          <w:sz w:val="18"/>
          <w:szCs w:val="18"/>
        </w:rPr>
      </w:pPr>
      <w:r>
        <w:rPr/>
      </w:r>
    </w:p>
    <w:p>
      <w:pPr>
        <w:pStyle w:val="Normal"/>
        <w:jc w:val="center"/>
        <w:rPr>
          <w:b/>
          <w:b/>
          <w:sz w:val="28"/>
          <w:szCs w:val="28"/>
        </w:rPr>
      </w:pPr>
      <w:r>
        <w:rPr>
          <w:b/>
          <w:sz w:val="28"/>
          <w:szCs w:val="28"/>
        </w:rPr>
        <w:t>ПЕРЕЛІК</w:t>
      </w:r>
    </w:p>
    <w:p>
      <w:pPr>
        <w:pStyle w:val="Normal"/>
        <w:jc w:val="center"/>
        <w:rPr>
          <w:rFonts w:ascii="Arial" w:hAnsi="Arial" w:cs="Arial"/>
        </w:rPr>
      </w:pPr>
      <w:r>
        <w:rPr>
          <w:b/>
          <w:sz w:val="28"/>
          <w:szCs w:val="28"/>
        </w:rPr>
        <w:t>ЛІКАРСЬКИХ ЗАСОБІВ, ЯКИМ ВІДМОВЛЕНО В ДЕРЖАВНІЙ РЕЄСТРАЦІЇ, ПЕРЕРЕЄСТРАЦІЇ АБО У ВНЕСЕННІ ЗМІН ДО РЕЄСТРАЦІЙНИХ МАТЕРІАЛІВ</w:t>
      </w:r>
    </w:p>
    <w:p>
      <w:pPr>
        <w:pStyle w:val="Normal"/>
        <w:jc w:val="center"/>
        <w:rPr>
          <w:rFonts w:ascii="Arial" w:hAnsi="Arial" w:cs="Arial"/>
          <w:sz w:val="16"/>
          <w:szCs w:val="16"/>
        </w:rPr>
      </w:pPr>
      <w:r>
        <w:rPr>
          <w:rFonts w:cs="Arial" w:ascii="Arial" w:hAnsi="Arial"/>
          <w:sz w:val="16"/>
          <w:szCs w:val="16"/>
        </w:rPr>
      </w:r>
    </w:p>
    <w:tbl>
      <w:tblPr>
        <w:tblW w:w="15346" w:type="dxa"/>
        <w:jc w:val="left"/>
        <w:tblInd w:w="82"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88"/>
        <w:gridCol w:w="1418"/>
        <w:gridCol w:w="1701"/>
        <w:gridCol w:w="1134"/>
        <w:gridCol w:w="1134"/>
        <w:gridCol w:w="1843"/>
        <w:gridCol w:w="850"/>
        <w:gridCol w:w="1418"/>
        <w:gridCol w:w="5255"/>
        <w:gridCol w:w="5"/>
      </w:tblGrid>
      <w:tr>
        <w:trPr>
          <w:tblHeader w:val="true"/>
        </w:trPr>
        <w:tc>
          <w:tcPr>
            <w:tcW w:w="588" w:type="dxa"/>
            <w:tcBorders>
              <w:top w:val="single" w:sz="4" w:space="0" w:color="000000"/>
              <w:left w:val="single" w:sz="4" w:space="0" w:color="000000"/>
              <w:bottom w:val="single" w:sz="4" w:space="0" w:color="000000"/>
              <w:insideH w:val="single" w:sz="4" w:space="0" w:color="000000"/>
            </w:tcBorders>
            <w:shd w:fill="E5E5E5" w:val="clear"/>
            <w:tcMar>
              <w:left w:w="103" w:type="dxa"/>
            </w:tcMar>
          </w:tcPr>
          <w:p>
            <w:pPr>
              <w:pStyle w:val="Normal"/>
              <w:jc w:val="center"/>
              <w:rPr>
                <w:rFonts w:ascii="Arial" w:hAnsi="Arial" w:cs="Arial"/>
                <w:b/>
                <w:b/>
                <w:i/>
                <w:i/>
                <w:sz w:val="16"/>
                <w:szCs w:val="16"/>
                <w:lang w:eastAsia="en-US"/>
              </w:rPr>
            </w:pPr>
            <w:r>
              <w:rPr>
                <w:rFonts w:cs="Arial" w:ascii="Arial" w:hAnsi="Arial"/>
                <w:b/>
                <w:i/>
                <w:sz w:val="16"/>
                <w:szCs w:val="16"/>
                <w:lang w:eastAsia="en-US"/>
              </w:rPr>
              <w:t>№</w:t>
            </w:r>
            <w:r>
              <w:rPr>
                <w:rFonts w:eastAsia="Arial" w:cs="Arial" w:ascii="Arial" w:hAnsi="Arial"/>
                <w:b/>
                <w:i/>
                <w:sz w:val="16"/>
                <w:szCs w:val="16"/>
                <w:lang w:eastAsia="en-US"/>
              </w:rPr>
              <w:t xml:space="preserve"> </w:t>
            </w:r>
            <w:r>
              <w:rPr>
                <w:rFonts w:cs="Arial" w:ascii="Arial" w:hAnsi="Arial"/>
                <w:b/>
                <w:i/>
                <w:sz w:val="16"/>
                <w:szCs w:val="16"/>
                <w:lang w:eastAsia="en-US"/>
              </w:rPr>
              <w:t>п/п</w:t>
            </w:r>
          </w:p>
        </w:tc>
        <w:tc>
          <w:tcPr>
            <w:tcW w:w="1418" w:type="dxa"/>
            <w:tcBorders>
              <w:top w:val="single" w:sz="4" w:space="0" w:color="000000"/>
              <w:left w:val="single" w:sz="4" w:space="0" w:color="000000"/>
              <w:bottom w:val="single" w:sz="4" w:space="0" w:color="000000"/>
              <w:insideH w:val="single" w:sz="4" w:space="0" w:color="000000"/>
            </w:tcBorders>
            <w:shd w:fill="E5E5E5" w:val="clear"/>
            <w:tcMar>
              <w:left w:w="103" w:type="dxa"/>
            </w:tcMar>
          </w:tcPr>
          <w:p>
            <w:pPr>
              <w:pStyle w:val="Normal"/>
              <w:jc w:val="center"/>
              <w:rPr>
                <w:rFonts w:ascii="Arial" w:hAnsi="Arial" w:cs="Arial"/>
                <w:b/>
                <w:b/>
                <w:i/>
                <w:i/>
                <w:sz w:val="16"/>
                <w:szCs w:val="16"/>
                <w:lang w:eastAsia="en-US"/>
              </w:rPr>
            </w:pPr>
            <w:r>
              <w:rPr>
                <w:rFonts w:cs="Arial" w:ascii="Arial" w:hAnsi="Arial"/>
                <w:b/>
                <w:i/>
                <w:sz w:val="16"/>
                <w:szCs w:val="16"/>
                <w:lang w:eastAsia="en-US"/>
              </w:rPr>
              <w:t>Назва лікарського засобу</w:t>
            </w:r>
          </w:p>
        </w:tc>
        <w:tc>
          <w:tcPr>
            <w:tcW w:w="1701"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jc w:val="center"/>
              <w:rPr>
                <w:rFonts w:ascii="Arial" w:hAnsi="Arial" w:cs="Arial"/>
                <w:b/>
                <w:b/>
                <w:i/>
                <w:i/>
                <w:sz w:val="16"/>
                <w:szCs w:val="16"/>
                <w:lang w:eastAsia="en-US"/>
              </w:rPr>
            </w:pPr>
            <w:r>
              <w:rPr>
                <w:rFonts w:cs="Arial" w:ascii="Arial" w:hAnsi="Arial"/>
                <w:b/>
                <w:i/>
                <w:sz w:val="16"/>
                <w:szCs w:val="16"/>
                <w:lang w:eastAsia="en-US"/>
              </w:rPr>
              <w:t>Форма випуску</w:t>
            </w:r>
          </w:p>
        </w:tc>
        <w:tc>
          <w:tcPr>
            <w:tcW w:w="1134"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jc w:val="center"/>
              <w:rPr>
                <w:rFonts w:ascii="Arial" w:hAnsi="Arial" w:cs="Arial"/>
                <w:b/>
                <w:b/>
                <w:i/>
                <w:i/>
                <w:sz w:val="16"/>
                <w:szCs w:val="16"/>
                <w:lang w:eastAsia="en-US"/>
              </w:rPr>
            </w:pPr>
            <w:r>
              <w:rPr>
                <w:rFonts w:cs="Arial" w:ascii="Arial" w:hAnsi="Arial"/>
                <w:b/>
                <w:i/>
                <w:sz w:val="16"/>
                <w:szCs w:val="16"/>
                <w:lang w:eastAsia="en-US"/>
              </w:rPr>
              <w:t>Заявник</w:t>
            </w:r>
          </w:p>
        </w:tc>
        <w:tc>
          <w:tcPr>
            <w:tcW w:w="1134"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jc w:val="center"/>
              <w:rPr>
                <w:rFonts w:ascii="Arial" w:hAnsi="Arial" w:cs="Arial"/>
                <w:b/>
                <w:b/>
                <w:i/>
                <w:i/>
                <w:sz w:val="16"/>
                <w:szCs w:val="16"/>
                <w:lang w:eastAsia="en-US"/>
              </w:rPr>
            </w:pPr>
            <w:r>
              <w:rPr>
                <w:rFonts w:cs="Arial" w:ascii="Arial" w:hAnsi="Arial"/>
                <w:b/>
                <w:i/>
                <w:sz w:val="16"/>
                <w:szCs w:val="16"/>
                <w:lang w:eastAsia="en-US"/>
              </w:rPr>
              <w:t>Країна</w:t>
            </w:r>
          </w:p>
        </w:tc>
        <w:tc>
          <w:tcPr>
            <w:tcW w:w="1843"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jc w:val="center"/>
              <w:rPr>
                <w:rFonts w:ascii="Arial" w:hAnsi="Arial" w:cs="Arial"/>
                <w:b/>
                <w:b/>
                <w:i/>
                <w:i/>
                <w:sz w:val="16"/>
                <w:szCs w:val="16"/>
                <w:lang w:eastAsia="en-US"/>
              </w:rPr>
            </w:pPr>
            <w:r>
              <w:rPr>
                <w:rFonts w:cs="Arial" w:ascii="Arial" w:hAnsi="Arial"/>
                <w:b/>
                <w:i/>
                <w:sz w:val="16"/>
                <w:szCs w:val="16"/>
                <w:lang w:eastAsia="en-US"/>
              </w:rPr>
              <w:t>Виробник</w:t>
            </w:r>
          </w:p>
        </w:tc>
        <w:tc>
          <w:tcPr>
            <w:tcW w:w="850"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jc w:val="center"/>
              <w:rPr>
                <w:rFonts w:ascii="Arial" w:hAnsi="Arial" w:cs="Arial"/>
                <w:b/>
                <w:b/>
                <w:i/>
                <w:i/>
                <w:sz w:val="16"/>
                <w:szCs w:val="16"/>
                <w:lang w:eastAsia="en-US"/>
              </w:rPr>
            </w:pPr>
            <w:r>
              <w:rPr>
                <w:rFonts w:cs="Arial" w:ascii="Arial" w:hAnsi="Arial"/>
                <w:b/>
                <w:i/>
                <w:sz w:val="16"/>
                <w:szCs w:val="16"/>
                <w:lang w:eastAsia="en-US"/>
              </w:rPr>
              <w:t>Країна</w:t>
            </w:r>
          </w:p>
        </w:tc>
        <w:tc>
          <w:tcPr>
            <w:tcW w:w="1418"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jc w:val="center"/>
              <w:rPr>
                <w:rFonts w:ascii="Arial" w:hAnsi="Arial" w:cs="Arial"/>
                <w:b/>
                <w:b/>
                <w:i/>
                <w:i/>
                <w:sz w:val="16"/>
                <w:szCs w:val="16"/>
                <w:lang w:eastAsia="en-US"/>
              </w:rPr>
            </w:pPr>
            <w:r>
              <w:rPr>
                <w:rFonts w:cs="Arial" w:ascii="Arial" w:hAnsi="Arial"/>
                <w:b/>
                <w:i/>
                <w:sz w:val="16"/>
                <w:szCs w:val="16"/>
                <w:lang w:eastAsia="en-US"/>
              </w:rPr>
              <w:t>Підстава</w:t>
            </w:r>
          </w:p>
        </w:tc>
        <w:tc>
          <w:tcPr>
            <w:tcW w:w="5260" w:type="dxa"/>
            <w:tcBorders>
              <w:top w:val="single" w:sz="4" w:space="0" w:color="000000"/>
              <w:left w:val="single" w:sz="6" w:space="0" w:color="000000"/>
              <w:bottom w:val="single" w:sz="4" w:space="0" w:color="000000"/>
              <w:right w:val="single" w:sz="6" w:space="0" w:color="000000"/>
              <w:insideH w:val="single" w:sz="4" w:space="0" w:color="000000"/>
              <w:insideV w:val="single" w:sz="6" w:space="0" w:color="000000"/>
            </w:tcBorders>
            <w:shd w:fill="E5E5E5" w:val="clear"/>
            <w:tcMar>
              <w:left w:w="100" w:type="dxa"/>
            </w:tcMar>
          </w:tcPr>
          <w:p>
            <w:pPr>
              <w:pStyle w:val="Normal"/>
              <w:jc w:val="center"/>
              <w:rPr>
                <w:rFonts w:ascii="Arial" w:hAnsi="Arial" w:cs="Arial"/>
                <w:b/>
                <w:b/>
                <w:i/>
                <w:i/>
                <w:sz w:val="16"/>
                <w:szCs w:val="16"/>
                <w:lang w:eastAsia="en-US"/>
              </w:rPr>
            </w:pPr>
            <w:r>
              <w:rPr>
                <w:rFonts w:cs="Arial" w:ascii="Arial" w:hAnsi="Arial"/>
                <w:b/>
                <w:i/>
                <w:sz w:val="16"/>
                <w:szCs w:val="16"/>
                <w:lang w:eastAsia="en-US"/>
              </w:rPr>
              <w:t>Процедура</w:t>
            </w:r>
          </w:p>
        </w:tc>
      </w:tr>
      <w:tr>
        <w:trPr>
          <w:trHeight w:val="352" w:hRule="atLeast"/>
        </w:trPr>
        <w:tc>
          <w:tcPr>
            <w:tcW w:w="58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numPr>
                <w:ilvl w:val="0"/>
                <w:numId w:val="3"/>
              </w:numPr>
              <w:snapToGrid w:val="false"/>
              <w:rPr>
                <w:rFonts w:ascii="Arial" w:hAnsi="Arial" w:cs="Arial"/>
                <w:b/>
                <w:b/>
                <w:i/>
                <w:i/>
                <w:sz w:val="16"/>
                <w:szCs w:val="16"/>
                <w:lang w:eastAsia="en-US"/>
              </w:rPr>
            </w:pPr>
            <w:r>
              <w:rPr>
                <w:rFonts w:cs="Arial" w:ascii="Arial" w:hAnsi="Arial"/>
                <w:b/>
                <w:i/>
                <w:sz w:val="16"/>
                <w:szCs w:val="16"/>
                <w:lang w:eastAsia="en-US"/>
              </w:rPr>
            </w:r>
          </w:p>
        </w:tc>
        <w:tc>
          <w:tcPr>
            <w:tcW w:w="141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rPr>
                <w:rFonts w:ascii="Arial" w:hAnsi="Arial" w:cs="Arial"/>
                <w:b/>
                <w:b/>
                <w:sz w:val="16"/>
                <w:szCs w:val="16"/>
              </w:rPr>
            </w:pPr>
            <w:r>
              <w:rPr>
                <w:rFonts w:cs="Arial" w:ascii="Arial" w:hAnsi="Arial"/>
                <w:b/>
                <w:sz w:val="16"/>
                <w:szCs w:val="16"/>
              </w:rPr>
              <w:t xml:space="preserve">ВІДОРА </w:t>
            </w:r>
          </w:p>
        </w:tc>
        <w:tc>
          <w:tcPr>
            <w:tcW w:w="170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rPr>
                <w:rFonts w:ascii="Arial" w:hAnsi="Arial" w:cs="Arial"/>
                <w:sz w:val="16"/>
                <w:szCs w:val="16"/>
              </w:rPr>
            </w:pPr>
            <w:r>
              <w:rPr>
                <w:rFonts w:cs="Arial" w:ascii="Arial" w:hAnsi="Arial"/>
                <w:sz w:val="16"/>
                <w:szCs w:val="16"/>
              </w:rPr>
              <w:t>таблетки, вкриті плівковою оболонкою, 3,0 мг/0,03 мг по 28 таблеток в блістері (21 таблетка жовтого кольору та 7 таблеток білого кольору); по 1 або по 3 блістери в картонній коробці</w:t>
            </w:r>
          </w:p>
          <w:p>
            <w:pPr>
              <w:pStyle w:val="Normal"/>
              <w:rPr>
                <w:rFonts w:ascii="Arial" w:hAnsi="Arial" w:cs="Arial"/>
                <w:sz w:val="16"/>
                <w:szCs w:val="16"/>
              </w:rPr>
            </w:pPr>
            <w:r>
              <w:rPr>
                <w:rFonts w:cs="Arial" w:ascii="Arial" w:hAnsi="Arial"/>
                <w:sz w:val="16"/>
                <w:szCs w:val="16"/>
              </w:rPr>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jc w:val="center"/>
              <w:rPr>
                <w:rFonts w:ascii="Arial" w:hAnsi="Arial" w:cs="Arial"/>
                <w:sz w:val="16"/>
                <w:szCs w:val="16"/>
              </w:rPr>
            </w:pPr>
            <w:r>
              <w:rPr>
                <w:rFonts w:cs="Arial" w:ascii="Arial" w:hAnsi="Arial"/>
                <w:sz w:val="16"/>
                <w:szCs w:val="16"/>
              </w:rPr>
              <w:t>Зентіва, к.с.</w:t>
            </w:r>
          </w:p>
          <w:p>
            <w:pPr>
              <w:pStyle w:val="Normal"/>
              <w:jc w:val="center"/>
              <w:rPr>
                <w:rFonts w:ascii="Arial" w:hAnsi="Arial" w:cs="Arial"/>
                <w:sz w:val="16"/>
                <w:szCs w:val="16"/>
              </w:rPr>
            </w:pPr>
            <w:r>
              <w:rPr>
                <w:rFonts w:cs="Arial" w:ascii="Arial" w:hAnsi="Arial"/>
                <w:sz w:val="16"/>
                <w:szCs w:val="16"/>
              </w:rPr>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jc w:val="center"/>
              <w:rPr>
                <w:rFonts w:ascii="Arial" w:hAnsi="Arial" w:cs="Arial"/>
                <w:sz w:val="16"/>
                <w:szCs w:val="16"/>
              </w:rPr>
            </w:pPr>
            <w:r>
              <w:rPr>
                <w:rFonts w:cs="Arial" w:ascii="Arial" w:hAnsi="Arial"/>
                <w:sz w:val="16"/>
                <w:szCs w:val="16"/>
              </w:rPr>
              <w:t>Чеська Республiка</w:t>
            </w:r>
          </w:p>
        </w:tc>
        <w:tc>
          <w:tcPr>
            <w:tcW w:w="184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jc w:val="center"/>
              <w:rPr>
                <w:rFonts w:ascii="Arial" w:hAnsi="Arial" w:cs="Arial"/>
                <w:sz w:val="16"/>
                <w:szCs w:val="16"/>
              </w:rPr>
            </w:pPr>
            <w:r>
              <w:rPr>
                <w:rFonts w:cs="Arial" w:ascii="Arial" w:hAnsi="Arial"/>
                <w:sz w:val="16"/>
                <w:szCs w:val="16"/>
              </w:rPr>
              <w:t>виробник –</w:t>
            </w:r>
          </w:p>
          <w:p>
            <w:pPr>
              <w:pStyle w:val="Normal"/>
              <w:jc w:val="center"/>
              <w:rPr>
                <w:rFonts w:ascii="Arial" w:hAnsi="Arial" w:cs="Arial"/>
                <w:sz w:val="16"/>
                <w:szCs w:val="16"/>
              </w:rPr>
            </w:pPr>
            <w:r>
              <w:rPr>
                <w:rFonts w:cs="Arial" w:ascii="Arial" w:hAnsi="Arial"/>
                <w:sz w:val="16"/>
                <w:szCs w:val="16"/>
              </w:rPr>
              <w:t>АТДІС ФАРМА, С.Л., Іспанiя (Виробник, який відповідає за вторинне пакування); ЛАБОРАТОРІО ЕЧЕВАРНЕ, С.А., Іспанiя (виробник, який відповідає за мікробіологічне тестування); Лабораторіос Леон Фарма, С.А., Іспанiя (Повний цикл виробництва); МАНАНТІАЛ ІНТЕГРА, С.Л.У., Іспанiя (Виробник, який відповідає за вторинне пакування)</w:t>
            </w:r>
          </w:p>
        </w:tc>
        <w:tc>
          <w:tcPr>
            <w:tcW w:w="850"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TextBodyIndent"/>
              <w:spacing w:before="0" w:after="0"/>
              <w:ind w:left="0" w:hanging="0"/>
              <w:jc w:val="center"/>
              <w:rPr>
                <w:rFonts w:ascii="Arial" w:hAnsi="Arial" w:cs="Arial"/>
                <w:b/>
                <w:b/>
                <w:sz w:val="16"/>
                <w:szCs w:val="16"/>
              </w:rPr>
            </w:pPr>
            <w:r>
              <w:rPr>
                <w:rFonts w:cs="Arial" w:ascii="Arial" w:hAnsi="Arial"/>
                <w:sz w:val="16"/>
                <w:szCs w:val="16"/>
              </w:rPr>
              <w:t>Іспанiя</w:t>
            </w:r>
          </w:p>
        </w:tc>
        <w:tc>
          <w:tcPr>
            <w:tcW w:w="141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312"/>
              <w:ind w:hanging="0"/>
              <w:jc w:val="left"/>
              <w:rPr>
                <w:rFonts w:cs="Arial"/>
                <w:b w:val="false"/>
                <w:b w:val="false"/>
                <w:iCs/>
                <w:sz w:val="16"/>
                <w:szCs w:val="16"/>
              </w:rPr>
            </w:pPr>
            <w:r>
              <w:rPr>
                <w:rFonts w:cs="Arial"/>
                <w:b w:val="false"/>
                <w:iCs/>
                <w:sz w:val="16"/>
                <w:szCs w:val="16"/>
              </w:rPr>
              <w:t>засідання НТР № 36 від 10.09.2026</w:t>
            </w:r>
          </w:p>
        </w:tc>
        <w:tc>
          <w:tcPr>
            <w:tcW w:w="52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TextBodyIndent"/>
              <w:spacing w:before="0" w:after="0"/>
              <w:ind w:left="0" w:hanging="0"/>
              <w:jc w:val="both"/>
              <w:rPr>
                <w:rFonts w:ascii="Arial" w:hAnsi="Arial" w:cs="Arial"/>
                <w:b/>
                <w:b/>
                <w:sz w:val="16"/>
                <w:szCs w:val="16"/>
              </w:rPr>
            </w:pPr>
            <w:r>
              <w:rPr>
                <w:rFonts w:cs="Arial" w:ascii="Arial" w:hAnsi="Arial"/>
                <w:b/>
                <w:sz w:val="16"/>
                <w:szCs w:val="16"/>
                <w:lang w:val="uk-UA"/>
              </w:rPr>
              <w:t xml:space="preserve">Відмовити у затвердженні </w:t>
            </w:r>
            <w:r>
              <w:rPr>
                <w:rFonts w:cs="Arial" w:ascii="Arial" w:hAnsi="Arial"/>
                <w:b/>
                <w:sz w:val="16"/>
                <w:szCs w:val="16"/>
                <w:lang w:val="en-US"/>
              </w:rPr>
              <w:t xml:space="preserve">- </w:t>
            </w:r>
            <w:r>
              <w:rPr>
                <w:rFonts w:cs="Arial" w:ascii="Arial" w:hAnsi="Arial"/>
                <w:sz w:val="16"/>
                <w:szCs w:val="16"/>
              </w:rPr>
              <w:t>технічна</w:t>
            </w:r>
            <w:r>
              <w:rPr>
                <w:rFonts w:cs="Arial" w:ascii="Arial" w:hAnsi="Arial"/>
                <w:sz w:val="16"/>
                <w:szCs w:val="16"/>
                <w:lang w:val="en-US"/>
              </w:rPr>
              <w:t xml:space="preserve"> </w:t>
            </w:r>
            <w:r>
              <w:rPr>
                <w:rFonts w:cs="Arial" w:ascii="Arial" w:hAnsi="Arial"/>
                <w:sz w:val="16"/>
                <w:szCs w:val="16"/>
              </w:rPr>
              <w:t>помилка</w:t>
            </w:r>
            <w:r>
              <w:rPr>
                <w:rFonts w:cs="Arial" w:ascii="Arial" w:hAnsi="Arial"/>
                <w:sz w:val="16"/>
                <w:szCs w:val="16"/>
                <w:lang w:val="en-US"/>
              </w:rPr>
              <w:t xml:space="preserve"> (</w:t>
            </w:r>
            <w:r>
              <w:rPr>
                <w:rFonts w:cs="Arial" w:ascii="Arial" w:hAnsi="Arial"/>
                <w:sz w:val="16"/>
                <w:szCs w:val="16"/>
              </w:rPr>
              <w:t>згідно</w:t>
            </w:r>
            <w:r>
              <w:rPr>
                <w:rFonts w:cs="Arial" w:ascii="Arial" w:hAnsi="Arial"/>
                <w:sz w:val="16"/>
                <w:szCs w:val="16"/>
                <w:lang w:val="en-US"/>
              </w:rPr>
              <w:t xml:space="preserve"> </w:t>
            </w:r>
            <w:r>
              <w:rPr>
                <w:rFonts w:cs="Arial" w:ascii="Arial" w:hAnsi="Arial"/>
                <w:sz w:val="16"/>
                <w:szCs w:val="16"/>
              </w:rPr>
              <w:t>наказу</w:t>
            </w:r>
            <w:r>
              <w:rPr>
                <w:rFonts w:cs="Arial" w:ascii="Arial" w:hAnsi="Arial"/>
                <w:sz w:val="16"/>
                <w:szCs w:val="16"/>
                <w:lang w:val="en-US"/>
              </w:rPr>
              <w:t xml:space="preserve"> </w:t>
            </w:r>
            <w:r>
              <w:rPr>
                <w:rFonts w:cs="Arial" w:ascii="Arial" w:hAnsi="Arial"/>
                <w:sz w:val="16"/>
                <w:szCs w:val="16"/>
              </w:rPr>
              <w:t>МОЗ</w:t>
            </w:r>
            <w:r>
              <w:rPr>
                <w:rFonts w:cs="Arial" w:ascii="Arial" w:hAnsi="Arial"/>
                <w:sz w:val="16"/>
                <w:szCs w:val="16"/>
                <w:lang w:val="en-US"/>
              </w:rPr>
              <w:t xml:space="preserve"> </w:t>
            </w:r>
            <w:r>
              <w:rPr>
                <w:rFonts w:cs="Arial" w:ascii="Arial" w:hAnsi="Arial"/>
                <w:sz w:val="16"/>
                <w:szCs w:val="16"/>
              </w:rPr>
              <w:t>від</w:t>
            </w:r>
            <w:r>
              <w:rPr>
                <w:rFonts w:cs="Arial" w:ascii="Arial" w:hAnsi="Arial"/>
                <w:sz w:val="16"/>
                <w:szCs w:val="16"/>
                <w:lang w:val="en-US"/>
              </w:rPr>
              <w:t xml:space="preserve"> 23.07.2015 № 460) </w:t>
            </w:r>
            <w:r>
              <w:rPr>
                <w:rFonts w:cs="Arial" w:ascii="Arial" w:hAnsi="Arial"/>
                <w:sz w:val="16"/>
                <w:szCs w:val="16"/>
              </w:rPr>
              <w:t>Виправлення</w:t>
            </w:r>
            <w:r>
              <w:rPr>
                <w:rFonts w:cs="Arial" w:ascii="Arial" w:hAnsi="Arial"/>
                <w:sz w:val="16"/>
                <w:szCs w:val="16"/>
                <w:lang w:val="en-US"/>
              </w:rPr>
              <w:t xml:space="preserve"> </w:t>
            </w:r>
            <w:r>
              <w:rPr>
                <w:rFonts w:cs="Arial" w:ascii="Arial" w:hAnsi="Arial"/>
                <w:sz w:val="16"/>
                <w:szCs w:val="16"/>
              </w:rPr>
              <w:t>технічних</w:t>
            </w:r>
            <w:r>
              <w:rPr>
                <w:rFonts w:cs="Arial" w:ascii="Arial" w:hAnsi="Arial"/>
                <w:sz w:val="16"/>
                <w:szCs w:val="16"/>
                <w:lang w:val="en-US"/>
              </w:rPr>
              <w:t xml:space="preserve"> </w:t>
            </w:r>
            <w:r>
              <w:rPr>
                <w:rFonts w:cs="Arial" w:ascii="Arial" w:hAnsi="Arial"/>
                <w:sz w:val="16"/>
                <w:szCs w:val="16"/>
              </w:rPr>
              <w:t>помилок</w:t>
            </w:r>
            <w:r>
              <w:rPr>
                <w:rFonts w:cs="Arial" w:ascii="Arial" w:hAnsi="Arial"/>
                <w:sz w:val="16"/>
                <w:szCs w:val="16"/>
                <w:lang w:val="en-US"/>
              </w:rPr>
              <w:t xml:space="preserve">, </w:t>
            </w:r>
            <w:r>
              <w:rPr>
                <w:rFonts w:cs="Arial" w:ascii="Arial" w:hAnsi="Arial"/>
                <w:sz w:val="16"/>
                <w:szCs w:val="16"/>
              </w:rPr>
              <w:t>згідно</w:t>
            </w:r>
            <w:r>
              <w:rPr>
                <w:rFonts w:cs="Arial" w:ascii="Arial" w:hAnsi="Arial"/>
                <w:sz w:val="16"/>
                <w:szCs w:val="16"/>
                <w:lang w:val="en-US"/>
              </w:rPr>
              <w:t xml:space="preserve"> </w:t>
            </w:r>
            <w:r>
              <w:rPr>
                <w:rFonts w:cs="Arial" w:ascii="Arial" w:hAnsi="Arial"/>
                <w:sz w:val="16"/>
                <w:szCs w:val="16"/>
              </w:rPr>
              <w:t>п</w:t>
            </w:r>
            <w:r>
              <w:rPr>
                <w:rFonts w:cs="Arial" w:ascii="Arial" w:hAnsi="Arial"/>
                <w:sz w:val="16"/>
                <w:szCs w:val="16"/>
                <w:lang w:val="en-US"/>
              </w:rPr>
              <w:t xml:space="preserve">.2.4. </w:t>
            </w:r>
            <w:r>
              <w:rPr>
                <w:rFonts w:cs="Arial" w:ascii="Arial" w:hAnsi="Arial"/>
                <w:sz w:val="16"/>
                <w:szCs w:val="16"/>
              </w:rPr>
              <w:t>розділу</w:t>
            </w:r>
            <w:r>
              <w:rPr>
                <w:rFonts w:cs="Arial" w:ascii="Arial" w:hAnsi="Arial"/>
                <w:sz w:val="16"/>
                <w:szCs w:val="16"/>
                <w:lang w:val="en-US"/>
              </w:rPr>
              <w:t xml:space="preserve"> VI </w:t>
            </w:r>
            <w:r>
              <w:rPr>
                <w:rFonts w:cs="Arial" w:ascii="Arial" w:hAnsi="Arial"/>
                <w:sz w:val="16"/>
                <w:szCs w:val="16"/>
              </w:rPr>
              <w:t>наказу</w:t>
            </w:r>
            <w:r>
              <w:rPr>
                <w:rFonts w:cs="Arial" w:ascii="Arial" w:hAnsi="Arial"/>
                <w:sz w:val="16"/>
                <w:szCs w:val="16"/>
                <w:lang w:val="en-US"/>
              </w:rPr>
              <w:t xml:space="preserve"> </w:t>
            </w:r>
            <w:r>
              <w:rPr>
                <w:rFonts w:cs="Arial" w:ascii="Arial" w:hAnsi="Arial"/>
                <w:sz w:val="16"/>
                <w:szCs w:val="16"/>
              </w:rPr>
              <w:t>МОЗ</w:t>
            </w:r>
            <w:r>
              <w:rPr>
                <w:rFonts w:cs="Arial" w:ascii="Arial" w:hAnsi="Arial"/>
                <w:sz w:val="16"/>
                <w:szCs w:val="16"/>
                <w:lang w:val="en-US"/>
              </w:rPr>
              <w:t xml:space="preserve"> </w:t>
            </w:r>
            <w:r>
              <w:rPr>
                <w:rFonts w:cs="Arial" w:ascii="Arial" w:hAnsi="Arial"/>
                <w:sz w:val="16"/>
                <w:szCs w:val="16"/>
              </w:rPr>
              <w:t>України</w:t>
            </w:r>
            <w:r>
              <w:rPr>
                <w:rFonts w:cs="Arial" w:ascii="Arial" w:hAnsi="Arial"/>
                <w:sz w:val="16"/>
                <w:szCs w:val="16"/>
                <w:lang w:val="en-US"/>
              </w:rPr>
              <w:t xml:space="preserve"> </w:t>
            </w:r>
            <w:r>
              <w:rPr>
                <w:rFonts w:cs="Arial" w:ascii="Arial" w:hAnsi="Arial"/>
                <w:sz w:val="16"/>
                <w:szCs w:val="16"/>
              </w:rPr>
              <w:t>від</w:t>
            </w:r>
            <w:r>
              <w:rPr>
                <w:rFonts w:cs="Arial" w:ascii="Arial" w:hAnsi="Arial"/>
                <w:sz w:val="16"/>
                <w:szCs w:val="16"/>
                <w:lang w:val="en-US"/>
              </w:rPr>
              <w:t xml:space="preserve"> 26.08.2005</w:t>
            </w:r>
            <w:r>
              <w:rPr>
                <w:rFonts w:cs="Arial" w:ascii="Arial" w:hAnsi="Arial"/>
                <w:sz w:val="16"/>
                <w:szCs w:val="16"/>
              </w:rPr>
              <w:t>р</w:t>
            </w:r>
            <w:r>
              <w:rPr>
                <w:rFonts w:cs="Arial" w:ascii="Arial" w:hAnsi="Arial"/>
                <w:sz w:val="16"/>
                <w:szCs w:val="16"/>
                <w:lang w:val="en-US"/>
              </w:rPr>
              <w:t>. № 426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редакції</w:t>
            </w:r>
            <w:r>
              <w:rPr>
                <w:rFonts w:cs="Arial" w:ascii="Arial" w:hAnsi="Arial"/>
                <w:sz w:val="16"/>
                <w:szCs w:val="16"/>
                <w:lang w:val="en-US"/>
              </w:rPr>
              <w:t xml:space="preserve"> </w:t>
            </w:r>
            <w:r>
              <w:rPr>
                <w:rFonts w:cs="Arial" w:ascii="Arial" w:hAnsi="Arial"/>
                <w:sz w:val="16"/>
                <w:szCs w:val="16"/>
              </w:rPr>
              <w:t>наказу</w:t>
            </w:r>
            <w:r>
              <w:rPr>
                <w:rFonts w:cs="Arial" w:ascii="Arial" w:hAnsi="Arial"/>
                <w:sz w:val="16"/>
                <w:szCs w:val="16"/>
                <w:lang w:val="en-US"/>
              </w:rPr>
              <w:t xml:space="preserve"> </w:t>
            </w:r>
            <w:r>
              <w:rPr>
                <w:rFonts w:cs="Arial" w:ascii="Arial" w:hAnsi="Arial"/>
                <w:sz w:val="16"/>
                <w:szCs w:val="16"/>
              </w:rPr>
              <w:t>МОЗ</w:t>
            </w:r>
            <w:r>
              <w:rPr>
                <w:rFonts w:cs="Arial" w:ascii="Arial" w:hAnsi="Arial"/>
                <w:sz w:val="16"/>
                <w:szCs w:val="16"/>
                <w:lang w:val="en-US"/>
              </w:rPr>
              <w:t xml:space="preserve"> </w:t>
            </w:r>
            <w:r>
              <w:rPr>
                <w:rFonts w:cs="Arial" w:ascii="Arial" w:hAnsi="Arial"/>
                <w:sz w:val="16"/>
                <w:szCs w:val="16"/>
              </w:rPr>
              <w:t>України</w:t>
            </w:r>
            <w:r>
              <w:rPr>
                <w:rFonts w:cs="Arial" w:ascii="Arial" w:hAnsi="Arial"/>
                <w:sz w:val="16"/>
                <w:szCs w:val="16"/>
                <w:lang w:val="en-US"/>
              </w:rPr>
              <w:t xml:space="preserve"> </w:t>
            </w:r>
            <w:r>
              <w:rPr>
                <w:rFonts w:cs="Arial" w:ascii="Arial" w:hAnsi="Arial"/>
                <w:sz w:val="16"/>
                <w:szCs w:val="16"/>
              </w:rPr>
              <w:t>від</w:t>
            </w:r>
            <w:r>
              <w:rPr>
                <w:rFonts w:cs="Arial" w:ascii="Arial" w:hAnsi="Arial"/>
                <w:sz w:val="16"/>
                <w:szCs w:val="16"/>
                <w:lang w:val="en-US"/>
              </w:rPr>
              <w:t xml:space="preserve"> 23.07.2015 </w:t>
            </w:r>
            <w:r>
              <w:rPr>
                <w:rFonts w:cs="Arial" w:ascii="Arial" w:hAnsi="Arial"/>
                <w:sz w:val="16"/>
                <w:szCs w:val="16"/>
              </w:rPr>
              <w:t>р</w:t>
            </w:r>
            <w:r>
              <w:rPr>
                <w:rFonts w:cs="Arial" w:ascii="Arial" w:hAnsi="Arial"/>
                <w:sz w:val="16"/>
                <w:szCs w:val="16"/>
                <w:lang w:val="en-US"/>
              </w:rPr>
              <w:t xml:space="preserve"> № 460) - </w:t>
            </w:r>
            <w:r>
              <w:rPr>
                <w:rFonts w:cs="Arial" w:ascii="Arial" w:hAnsi="Arial"/>
                <w:sz w:val="16"/>
                <w:szCs w:val="16"/>
              </w:rPr>
              <w:t>виправлення</w:t>
            </w:r>
            <w:r>
              <w:rPr>
                <w:rFonts w:cs="Arial" w:ascii="Arial" w:hAnsi="Arial"/>
                <w:sz w:val="16"/>
                <w:szCs w:val="16"/>
                <w:lang w:val="en-US"/>
              </w:rPr>
              <w:t xml:space="preserve"> </w:t>
            </w:r>
            <w:r>
              <w:rPr>
                <w:rFonts w:cs="Arial" w:ascii="Arial" w:hAnsi="Arial"/>
                <w:sz w:val="16"/>
                <w:szCs w:val="16"/>
              </w:rPr>
              <w:t>технічної</w:t>
            </w:r>
            <w:r>
              <w:rPr>
                <w:rFonts w:cs="Arial" w:ascii="Arial" w:hAnsi="Arial"/>
                <w:sz w:val="16"/>
                <w:szCs w:val="16"/>
                <w:lang w:val="en-US"/>
              </w:rPr>
              <w:t xml:space="preserve"> </w:t>
            </w:r>
            <w:r>
              <w:rPr>
                <w:rFonts w:cs="Arial" w:ascii="Arial" w:hAnsi="Arial"/>
                <w:sz w:val="16"/>
                <w:szCs w:val="16"/>
              </w:rPr>
              <w:t>помилки</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специфікації</w:t>
            </w:r>
            <w:r>
              <w:rPr>
                <w:rFonts w:cs="Arial" w:ascii="Arial" w:hAnsi="Arial"/>
                <w:sz w:val="16"/>
                <w:szCs w:val="16"/>
                <w:lang w:val="en-US"/>
              </w:rPr>
              <w:t xml:space="preserve"> </w:t>
            </w:r>
            <w:r>
              <w:rPr>
                <w:rFonts w:cs="Arial" w:ascii="Arial" w:hAnsi="Arial"/>
                <w:sz w:val="16"/>
                <w:szCs w:val="16"/>
              </w:rPr>
              <w:t>МКЯ</w:t>
            </w:r>
            <w:r>
              <w:rPr>
                <w:rFonts w:cs="Arial" w:ascii="Arial" w:hAnsi="Arial"/>
                <w:sz w:val="16"/>
                <w:szCs w:val="16"/>
                <w:lang w:val="en-US"/>
              </w:rPr>
              <w:t xml:space="preserve"> </w:t>
            </w:r>
            <w:r>
              <w:rPr>
                <w:rFonts w:cs="Arial" w:ascii="Arial" w:hAnsi="Arial"/>
                <w:sz w:val="16"/>
                <w:szCs w:val="16"/>
              </w:rPr>
              <w:t>ГЛЗ</w:t>
            </w:r>
            <w:r>
              <w:rPr>
                <w:rFonts w:cs="Arial" w:ascii="Arial" w:hAnsi="Arial"/>
                <w:sz w:val="16"/>
                <w:szCs w:val="16"/>
                <w:lang w:val="en-US"/>
              </w:rPr>
              <w:t xml:space="preserve"> </w:t>
            </w:r>
            <w:r>
              <w:rPr>
                <w:rFonts w:cs="Arial" w:ascii="Arial" w:hAnsi="Arial"/>
                <w:sz w:val="16"/>
                <w:szCs w:val="16"/>
              </w:rPr>
              <w:t>за</w:t>
            </w:r>
            <w:r>
              <w:rPr>
                <w:rFonts w:cs="Arial" w:ascii="Arial" w:hAnsi="Arial"/>
                <w:sz w:val="16"/>
                <w:szCs w:val="16"/>
                <w:lang w:val="en-US"/>
              </w:rPr>
              <w:t xml:space="preserve"> </w:t>
            </w:r>
            <w:r>
              <w:rPr>
                <w:rFonts w:cs="Arial" w:ascii="Arial" w:hAnsi="Arial"/>
                <w:sz w:val="16"/>
                <w:szCs w:val="16"/>
              </w:rPr>
              <w:t>показником</w:t>
            </w:r>
            <w:r>
              <w:rPr>
                <w:rFonts w:cs="Arial" w:ascii="Arial" w:hAnsi="Arial"/>
                <w:sz w:val="16"/>
                <w:szCs w:val="16"/>
                <w:lang w:val="en-US"/>
              </w:rPr>
              <w:t xml:space="preserve"> «</w:t>
            </w:r>
            <w:r>
              <w:rPr>
                <w:rFonts w:cs="Arial" w:ascii="Arial" w:hAnsi="Arial"/>
                <w:sz w:val="16"/>
                <w:szCs w:val="16"/>
              </w:rPr>
              <w:t>Опис</w:t>
            </w:r>
            <w:r>
              <w:rPr>
                <w:rFonts w:cs="Arial" w:ascii="Arial" w:hAnsi="Arial"/>
                <w:sz w:val="16"/>
                <w:szCs w:val="16"/>
                <w:lang w:val="en-US"/>
              </w:rPr>
              <w:t xml:space="preserve">», </w:t>
            </w:r>
            <w:r>
              <w:rPr>
                <w:rFonts w:cs="Arial" w:ascii="Arial" w:hAnsi="Arial"/>
                <w:sz w:val="16"/>
                <w:szCs w:val="16"/>
              </w:rPr>
              <w:t>допущеної</w:t>
            </w:r>
            <w:r>
              <w:rPr>
                <w:rFonts w:cs="Arial" w:ascii="Arial" w:hAnsi="Arial"/>
                <w:sz w:val="16"/>
                <w:szCs w:val="16"/>
                <w:lang w:val="en-US"/>
              </w:rPr>
              <w:t xml:space="preserve"> </w:t>
            </w:r>
            <w:r>
              <w:rPr>
                <w:rFonts w:cs="Arial" w:ascii="Arial" w:hAnsi="Arial"/>
                <w:sz w:val="16"/>
                <w:szCs w:val="16"/>
              </w:rPr>
              <w:t>під</w:t>
            </w:r>
            <w:r>
              <w:rPr>
                <w:rFonts w:cs="Arial" w:ascii="Arial" w:hAnsi="Arial"/>
                <w:sz w:val="16"/>
                <w:szCs w:val="16"/>
                <w:lang w:val="en-US"/>
              </w:rPr>
              <w:t xml:space="preserve"> </w:t>
            </w:r>
            <w:r>
              <w:rPr>
                <w:rFonts w:cs="Arial" w:ascii="Arial" w:hAnsi="Arial"/>
                <w:sz w:val="16"/>
                <w:szCs w:val="16"/>
              </w:rPr>
              <w:t>час</w:t>
            </w:r>
            <w:r>
              <w:rPr>
                <w:rFonts w:cs="Arial" w:ascii="Arial" w:hAnsi="Arial"/>
                <w:sz w:val="16"/>
                <w:szCs w:val="16"/>
                <w:lang w:val="en-US"/>
              </w:rPr>
              <w:t xml:space="preserve"> </w:t>
            </w:r>
            <w:r>
              <w:rPr>
                <w:rFonts w:cs="Arial" w:ascii="Arial" w:hAnsi="Arial"/>
                <w:sz w:val="16"/>
                <w:szCs w:val="16"/>
              </w:rPr>
              <w:t>процедури</w:t>
            </w:r>
            <w:r>
              <w:rPr>
                <w:rFonts w:cs="Arial" w:ascii="Arial" w:hAnsi="Arial"/>
                <w:sz w:val="16"/>
                <w:szCs w:val="16"/>
                <w:lang w:val="en-US"/>
              </w:rPr>
              <w:t xml:space="preserve"> </w:t>
            </w:r>
            <w:r>
              <w:rPr>
                <w:rFonts w:cs="Arial" w:ascii="Arial" w:hAnsi="Arial"/>
                <w:sz w:val="16"/>
                <w:szCs w:val="16"/>
              </w:rPr>
              <w:t>внесення</w:t>
            </w:r>
            <w:r>
              <w:rPr>
                <w:rFonts w:cs="Arial" w:ascii="Arial" w:hAnsi="Arial"/>
                <w:sz w:val="16"/>
                <w:szCs w:val="16"/>
                <w:lang w:val="en-US"/>
              </w:rPr>
              <w:t xml:space="preserve"> </w:t>
            </w:r>
            <w:r>
              <w:rPr>
                <w:rFonts w:cs="Arial" w:ascii="Arial" w:hAnsi="Arial"/>
                <w:sz w:val="16"/>
                <w:szCs w:val="16"/>
              </w:rPr>
              <w:t>змін</w:t>
            </w:r>
            <w:r>
              <w:rPr>
                <w:rFonts w:cs="Arial" w:ascii="Arial" w:hAnsi="Arial"/>
                <w:sz w:val="16"/>
                <w:szCs w:val="16"/>
                <w:lang w:val="en-US"/>
              </w:rPr>
              <w:t xml:space="preserve">, </w:t>
            </w:r>
            <w:r>
              <w:rPr>
                <w:rFonts w:cs="Arial" w:ascii="Arial" w:hAnsi="Arial"/>
                <w:sz w:val="16"/>
                <w:szCs w:val="16"/>
              </w:rPr>
              <w:t>а</w:t>
            </w:r>
            <w:r>
              <w:rPr>
                <w:rFonts w:cs="Arial" w:ascii="Arial" w:hAnsi="Arial"/>
                <w:sz w:val="16"/>
                <w:szCs w:val="16"/>
                <w:lang w:val="en-US"/>
              </w:rPr>
              <w:t xml:space="preserve"> </w:t>
            </w:r>
            <w:r>
              <w:rPr>
                <w:rFonts w:cs="Arial" w:ascii="Arial" w:hAnsi="Arial"/>
                <w:sz w:val="16"/>
                <w:szCs w:val="16"/>
              </w:rPr>
              <w:t>саме</w:t>
            </w:r>
            <w:r>
              <w:rPr>
                <w:rFonts w:cs="Arial" w:ascii="Arial" w:hAnsi="Arial"/>
                <w:sz w:val="16"/>
                <w:szCs w:val="16"/>
                <w:lang w:val="en-US"/>
              </w:rPr>
              <w:t xml:space="preserve">: </w:t>
            </w:r>
            <w:r>
              <w:rPr>
                <w:rFonts w:cs="Arial" w:ascii="Arial" w:hAnsi="Arial"/>
                <w:sz w:val="16"/>
                <w:szCs w:val="16"/>
              </w:rPr>
              <w:t>приведення</w:t>
            </w:r>
            <w:r>
              <w:rPr>
                <w:rFonts w:cs="Arial" w:ascii="Arial" w:hAnsi="Arial"/>
                <w:sz w:val="16"/>
                <w:szCs w:val="16"/>
                <w:lang w:val="en-US"/>
              </w:rPr>
              <w:t xml:space="preserve"> </w:t>
            </w:r>
            <w:r>
              <w:rPr>
                <w:rFonts w:cs="Arial" w:ascii="Arial" w:hAnsi="Arial"/>
                <w:sz w:val="16"/>
                <w:szCs w:val="16"/>
              </w:rPr>
              <w:t>МКЯ</w:t>
            </w:r>
            <w:r>
              <w:rPr>
                <w:rFonts w:cs="Arial" w:ascii="Arial" w:hAnsi="Arial"/>
                <w:sz w:val="16"/>
                <w:szCs w:val="16"/>
                <w:lang w:val="en-US"/>
              </w:rPr>
              <w:t xml:space="preserve"> </w:t>
            </w:r>
            <w:r>
              <w:rPr>
                <w:rFonts w:cs="Arial" w:ascii="Arial" w:hAnsi="Arial"/>
                <w:sz w:val="16"/>
                <w:szCs w:val="16"/>
              </w:rPr>
              <w:t>до</w:t>
            </w:r>
            <w:r>
              <w:rPr>
                <w:rFonts w:cs="Arial" w:ascii="Arial" w:hAnsi="Arial"/>
                <w:sz w:val="16"/>
                <w:szCs w:val="16"/>
                <w:lang w:val="en-US"/>
              </w:rPr>
              <w:t xml:space="preserve"> </w:t>
            </w:r>
            <w:r>
              <w:rPr>
                <w:rFonts w:cs="Arial" w:ascii="Arial" w:hAnsi="Arial"/>
                <w:sz w:val="16"/>
                <w:szCs w:val="16"/>
              </w:rPr>
              <w:t>оригінальної</w:t>
            </w:r>
            <w:r>
              <w:rPr>
                <w:rFonts w:cs="Arial" w:ascii="Arial" w:hAnsi="Arial"/>
                <w:sz w:val="16"/>
                <w:szCs w:val="16"/>
                <w:lang w:val="en-US"/>
              </w:rPr>
              <w:t xml:space="preserve"> </w:t>
            </w:r>
            <w:r>
              <w:rPr>
                <w:rFonts w:cs="Arial" w:ascii="Arial" w:hAnsi="Arial"/>
                <w:sz w:val="16"/>
                <w:szCs w:val="16"/>
              </w:rPr>
              <w:t>документації</w:t>
            </w:r>
            <w:r>
              <w:rPr>
                <w:rFonts w:cs="Arial" w:ascii="Arial" w:hAnsi="Arial"/>
                <w:sz w:val="16"/>
                <w:szCs w:val="16"/>
                <w:lang w:val="en-US"/>
              </w:rPr>
              <w:t>(</w:t>
            </w:r>
            <w:r>
              <w:rPr>
                <w:rFonts w:cs="Arial" w:ascii="Arial" w:hAnsi="Arial"/>
                <w:sz w:val="16"/>
                <w:szCs w:val="16"/>
              </w:rPr>
              <w:t>розділи</w:t>
            </w:r>
            <w:r>
              <w:rPr>
                <w:rFonts w:cs="Arial" w:ascii="Arial" w:hAnsi="Arial"/>
                <w:sz w:val="16"/>
                <w:szCs w:val="16"/>
                <w:lang w:val="en-US"/>
              </w:rPr>
              <w:t xml:space="preserve"> </w:t>
            </w:r>
            <w:r>
              <w:rPr>
                <w:rFonts w:cs="Arial" w:ascii="Arial" w:hAnsi="Arial"/>
                <w:sz w:val="16"/>
                <w:szCs w:val="16"/>
              </w:rPr>
              <w:t>р</w:t>
            </w:r>
            <w:r>
              <w:rPr>
                <w:rFonts w:cs="Arial" w:ascii="Arial" w:hAnsi="Arial"/>
                <w:sz w:val="16"/>
                <w:szCs w:val="16"/>
                <w:lang w:val="en-US"/>
              </w:rPr>
              <w:t>.3.2.</w:t>
            </w:r>
            <w:r>
              <w:rPr>
                <w:rFonts w:cs="Arial" w:ascii="Arial" w:hAnsi="Arial"/>
                <w:sz w:val="16"/>
                <w:szCs w:val="16"/>
              </w:rPr>
              <w:t>Р</w:t>
            </w:r>
            <w:r>
              <w:rPr>
                <w:rFonts w:cs="Arial" w:ascii="Arial" w:hAnsi="Arial"/>
                <w:sz w:val="16"/>
                <w:szCs w:val="16"/>
                <w:lang w:val="en-US"/>
              </w:rPr>
              <w:t xml:space="preserve">.5.1 </w:t>
            </w:r>
            <w:r>
              <w:rPr>
                <w:rFonts w:cs="Arial" w:ascii="Arial" w:hAnsi="Arial"/>
                <w:sz w:val="16"/>
                <w:szCs w:val="16"/>
              </w:rPr>
              <w:t>Специфікація</w:t>
            </w:r>
            <w:r>
              <w:rPr>
                <w:rFonts w:cs="Arial" w:ascii="Arial" w:hAnsi="Arial"/>
                <w:sz w:val="16"/>
                <w:szCs w:val="16"/>
                <w:lang w:val="en-US"/>
              </w:rPr>
              <w:t xml:space="preserve"> </w:t>
            </w:r>
            <w:r>
              <w:rPr>
                <w:rFonts w:cs="Arial" w:ascii="Arial" w:hAnsi="Arial"/>
                <w:sz w:val="16"/>
                <w:szCs w:val="16"/>
              </w:rPr>
              <w:t>ГЛЗ</w:t>
            </w:r>
            <w:r>
              <w:rPr>
                <w:rFonts w:cs="Arial" w:ascii="Arial" w:hAnsi="Arial"/>
                <w:sz w:val="16"/>
                <w:szCs w:val="16"/>
                <w:lang w:val="en-US"/>
              </w:rPr>
              <w:t xml:space="preserve">; </w:t>
            </w:r>
            <w:r>
              <w:rPr>
                <w:rFonts w:cs="Arial" w:ascii="Arial" w:hAnsi="Arial"/>
                <w:sz w:val="16"/>
                <w:szCs w:val="16"/>
              </w:rPr>
              <w:t>р</w:t>
            </w:r>
            <w:r>
              <w:rPr>
                <w:rFonts w:cs="Arial" w:ascii="Arial" w:hAnsi="Arial"/>
                <w:sz w:val="16"/>
                <w:szCs w:val="16"/>
                <w:lang w:val="en-US"/>
              </w:rPr>
              <w:t>.3.2.</w:t>
            </w:r>
            <w:r>
              <w:rPr>
                <w:rFonts w:cs="Arial" w:ascii="Arial" w:hAnsi="Arial"/>
                <w:sz w:val="16"/>
                <w:szCs w:val="16"/>
              </w:rPr>
              <w:t>Р</w:t>
            </w:r>
            <w:r>
              <w:rPr>
                <w:rFonts w:cs="Arial" w:ascii="Arial" w:hAnsi="Arial"/>
                <w:sz w:val="16"/>
                <w:szCs w:val="16"/>
                <w:lang w:val="en-US"/>
              </w:rPr>
              <w:t xml:space="preserve">.5.2 </w:t>
            </w:r>
            <w:r>
              <w:rPr>
                <w:rFonts w:cs="Arial" w:ascii="Arial" w:hAnsi="Arial"/>
                <w:sz w:val="16"/>
                <w:szCs w:val="16"/>
              </w:rPr>
              <w:t>Аналітичні</w:t>
            </w:r>
            <w:r>
              <w:rPr>
                <w:rFonts w:cs="Arial" w:ascii="Arial" w:hAnsi="Arial"/>
                <w:sz w:val="16"/>
                <w:szCs w:val="16"/>
                <w:lang w:val="en-US"/>
              </w:rPr>
              <w:t xml:space="preserve"> </w:t>
            </w:r>
            <w:r>
              <w:rPr>
                <w:rFonts w:cs="Arial" w:ascii="Arial" w:hAnsi="Arial"/>
                <w:sz w:val="16"/>
                <w:szCs w:val="16"/>
              </w:rPr>
              <w:t>методики</w:t>
            </w:r>
            <w:r>
              <w:rPr>
                <w:rFonts w:cs="Arial" w:ascii="Arial" w:hAnsi="Arial"/>
                <w:sz w:val="16"/>
                <w:szCs w:val="16"/>
                <w:lang w:val="en-US"/>
              </w:rPr>
              <w:t xml:space="preserve">). </w:t>
            </w:r>
            <w:r>
              <w:rPr>
                <w:rFonts w:cs="Arial" w:ascii="Arial" w:hAnsi="Arial"/>
                <w:sz w:val="16"/>
                <w:szCs w:val="16"/>
              </w:rPr>
              <w:t>Виправлення</w:t>
            </w:r>
            <w:r>
              <w:rPr>
                <w:rFonts w:cs="Arial" w:ascii="Arial" w:hAnsi="Arial"/>
                <w:sz w:val="16"/>
                <w:szCs w:val="16"/>
                <w:lang w:val="en-US"/>
              </w:rPr>
              <w:t xml:space="preserve"> </w:t>
            </w:r>
            <w:r>
              <w:rPr>
                <w:rFonts w:cs="Arial" w:ascii="Arial" w:hAnsi="Arial"/>
                <w:sz w:val="16"/>
                <w:szCs w:val="16"/>
              </w:rPr>
              <w:t>технічної</w:t>
            </w:r>
            <w:r>
              <w:rPr>
                <w:rFonts w:cs="Arial" w:ascii="Arial" w:hAnsi="Arial"/>
                <w:sz w:val="16"/>
                <w:szCs w:val="16"/>
                <w:lang w:val="en-US"/>
              </w:rPr>
              <w:t xml:space="preserve"> </w:t>
            </w:r>
            <w:r>
              <w:rPr>
                <w:rFonts w:cs="Arial" w:ascii="Arial" w:hAnsi="Arial"/>
                <w:sz w:val="16"/>
                <w:szCs w:val="16"/>
              </w:rPr>
              <w:t>помилки</w:t>
            </w:r>
            <w:r>
              <w:rPr>
                <w:rFonts w:cs="Arial" w:ascii="Arial" w:hAnsi="Arial"/>
                <w:sz w:val="16"/>
                <w:szCs w:val="16"/>
                <w:lang w:val="en-US"/>
              </w:rPr>
              <w:t xml:space="preserve">, </w:t>
            </w:r>
            <w:r>
              <w:rPr>
                <w:rFonts w:cs="Arial" w:ascii="Arial" w:hAnsi="Arial"/>
                <w:sz w:val="16"/>
                <w:szCs w:val="16"/>
              </w:rPr>
              <w:t>згідно</w:t>
            </w:r>
            <w:r>
              <w:rPr>
                <w:rFonts w:cs="Arial" w:ascii="Arial" w:hAnsi="Arial"/>
                <w:sz w:val="16"/>
                <w:szCs w:val="16"/>
                <w:lang w:val="en-US"/>
              </w:rPr>
              <w:t xml:space="preserve"> </w:t>
            </w:r>
            <w:r>
              <w:rPr>
                <w:rFonts w:cs="Arial" w:ascii="Arial" w:hAnsi="Arial"/>
                <w:sz w:val="16"/>
                <w:szCs w:val="16"/>
              </w:rPr>
              <w:t>п</w:t>
            </w:r>
            <w:r>
              <w:rPr>
                <w:rFonts w:cs="Arial" w:ascii="Arial" w:hAnsi="Arial"/>
                <w:sz w:val="16"/>
                <w:szCs w:val="16"/>
                <w:lang w:val="en-US"/>
              </w:rPr>
              <w:t xml:space="preserve">.2.4 </w:t>
            </w:r>
            <w:r>
              <w:rPr>
                <w:rFonts w:cs="Arial" w:ascii="Arial" w:hAnsi="Arial"/>
                <w:sz w:val="16"/>
                <w:szCs w:val="16"/>
              </w:rPr>
              <w:t>розділу</w:t>
            </w:r>
            <w:r>
              <w:rPr>
                <w:rFonts w:cs="Arial" w:ascii="Arial" w:hAnsi="Arial"/>
                <w:sz w:val="16"/>
                <w:szCs w:val="16"/>
                <w:lang w:val="en-US"/>
              </w:rPr>
              <w:t xml:space="preserve"> VI </w:t>
            </w:r>
            <w:r>
              <w:rPr>
                <w:rFonts w:cs="Arial" w:ascii="Arial" w:hAnsi="Arial"/>
                <w:sz w:val="16"/>
                <w:szCs w:val="16"/>
              </w:rPr>
              <w:t>наказу</w:t>
            </w:r>
            <w:r>
              <w:rPr>
                <w:rFonts w:cs="Arial" w:ascii="Arial" w:hAnsi="Arial"/>
                <w:sz w:val="16"/>
                <w:szCs w:val="16"/>
                <w:lang w:val="en-US"/>
              </w:rPr>
              <w:t xml:space="preserve"> </w:t>
            </w:r>
            <w:r>
              <w:rPr>
                <w:rFonts w:cs="Arial" w:ascii="Arial" w:hAnsi="Arial"/>
                <w:sz w:val="16"/>
                <w:szCs w:val="16"/>
              </w:rPr>
              <w:t>МОЗ</w:t>
            </w:r>
            <w:r>
              <w:rPr>
                <w:rFonts w:cs="Arial" w:ascii="Arial" w:hAnsi="Arial"/>
                <w:sz w:val="16"/>
                <w:szCs w:val="16"/>
                <w:lang w:val="en-US"/>
              </w:rPr>
              <w:t xml:space="preserve"> </w:t>
            </w:r>
            <w:r>
              <w:rPr>
                <w:rFonts w:cs="Arial" w:ascii="Arial" w:hAnsi="Arial"/>
                <w:sz w:val="16"/>
                <w:szCs w:val="16"/>
              </w:rPr>
              <w:t>України</w:t>
            </w:r>
            <w:r>
              <w:rPr>
                <w:rFonts w:cs="Arial" w:ascii="Arial" w:hAnsi="Arial"/>
                <w:sz w:val="16"/>
                <w:szCs w:val="16"/>
                <w:lang w:val="en-US"/>
              </w:rPr>
              <w:t xml:space="preserve"> </w:t>
            </w:r>
            <w:r>
              <w:rPr>
                <w:rFonts w:cs="Arial" w:ascii="Arial" w:hAnsi="Arial"/>
                <w:sz w:val="16"/>
                <w:szCs w:val="16"/>
              </w:rPr>
              <w:t>від</w:t>
            </w:r>
            <w:r>
              <w:rPr>
                <w:rFonts w:cs="Arial" w:ascii="Arial" w:hAnsi="Arial"/>
                <w:sz w:val="16"/>
                <w:szCs w:val="16"/>
                <w:lang w:val="en-US"/>
              </w:rPr>
              <w:t xml:space="preserve"> 26.08.2005</w:t>
            </w:r>
            <w:r>
              <w:rPr>
                <w:rFonts w:cs="Arial" w:ascii="Arial" w:hAnsi="Arial"/>
                <w:sz w:val="16"/>
                <w:szCs w:val="16"/>
              </w:rPr>
              <w:t>р</w:t>
            </w:r>
            <w:r>
              <w:rPr>
                <w:rFonts w:cs="Arial" w:ascii="Arial" w:hAnsi="Arial"/>
                <w:sz w:val="16"/>
                <w:szCs w:val="16"/>
                <w:lang w:val="en-US"/>
              </w:rPr>
              <w:t>. № 426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редакції</w:t>
            </w:r>
            <w:r>
              <w:rPr>
                <w:rFonts w:cs="Arial" w:ascii="Arial" w:hAnsi="Arial"/>
                <w:sz w:val="16"/>
                <w:szCs w:val="16"/>
                <w:lang w:val="en-US"/>
              </w:rPr>
              <w:t xml:space="preserve"> </w:t>
            </w:r>
            <w:r>
              <w:rPr>
                <w:rFonts w:cs="Arial" w:ascii="Arial" w:hAnsi="Arial"/>
                <w:sz w:val="16"/>
                <w:szCs w:val="16"/>
              </w:rPr>
              <w:t>наказу</w:t>
            </w:r>
            <w:r>
              <w:rPr>
                <w:rFonts w:cs="Arial" w:ascii="Arial" w:hAnsi="Arial"/>
                <w:sz w:val="16"/>
                <w:szCs w:val="16"/>
                <w:lang w:val="en-US"/>
              </w:rPr>
              <w:t xml:space="preserve"> </w:t>
            </w:r>
            <w:r>
              <w:rPr>
                <w:rFonts w:cs="Arial" w:ascii="Arial" w:hAnsi="Arial"/>
                <w:sz w:val="16"/>
                <w:szCs w:val="16"/>
              </w:rPr>
              <w:t>МОЗ</w:t>
            </w:r>
            <w:r>
              <w:rPr>
                <w:rFonts w:cs="Arial" w:ascii="Arial" w:hAnsi="Arial"/>
                <w:sz w:val="16"/>
                <w:szCs w:val="16"/>
                <w:lang w:val="en-US"/>
              </w:rPr>
              <w:t xml:space="preserve"> </w:t>
            </w:r>
            <w:r>
              <w:rPr>
                <w:rFonts w:cs="Arial" w:ascii="Arial" w:hAnsi="Arial"/>
                <w:sz w:val="16"/>
                <w:szCs w:val="16"/>
              </w:rPr>
              <w:t>України</w:t>
            </w:r>
            <w:r>
              <w:rPr>
                <w:rFonts w:cs="Arial" w:ascii="Arial" w:hAnsi="Arial"/>
                <w:sz w:val="16"/>
                <w:szCs w:val="16"/>
                <w:lang w:val="en-US"/>
              </w:rPr>
              <w:t xml:space="preserve"> </w:t>
            </w:r>
            <w:r>
              <w:rPr>
                <w:rFonts w:cs="Arial" w:ascii="Arial" w:hAnsi="Arial"/>
                <w:sz w:val="16"/>
                <w:szCs w:val="16"/>
              </w:rPr>
              <w:t>від</w:t>
            </w:r>
            <w:r>
              <w:rPr>
                <w:rFonts w:cs="Arial" w:ascii="Arial" w:hAnsi="Arial"/>
                <w:sz w:val="16"/>
                <w:szCs w:val="16"/>
                <w:lang w:val="en-US"/>
              </w:rPr>
              <w:t xml:space="preserve"> 23.07.2015 </w:t>
            </w:r>
            <w:r>
              <w:rPr>
                <w:rFonts w:cs="Arial" w:ascii="Arial" w:hAnsi="Arial"/>
                <w:sz w:val="16"/>
                <w:szCs w:val="16"/>
              </w:rPr>
              <w:t>р</w:t>
            </w:r>
            <w:r>
              <w:rPr>
                <w:rFonts w:cs="Arial" w:ascii="Arial" w:hAnsi="Arial"/>
                <w:sz w:val="16"/>
                <w:szCs w:val="16"/>
                <w:lang w:val="en-US"/>
              </w:rPr>
              <w:t xml:space="preserve"> № 460) </w:t>
            </w:r>
            <w:r>
              <w:rPr>
                <w:rFonts w:cs="Arial" w:ascii="Arial" w:hAnsi="Arial"/>
                <w:sz w:val="16"/>
                <w:szCs w:val="16"/>
              </w:rPr>
              <w:t>не</w:t>
            </w:r>
            <w:r>
              <w:rPr>
                <w:rFonts w:cs="Arial" w:ascii="Arial" w:hAnsi="Arial"/>
                <w:sz w:val="16"/>
                <w:szCs w:val="16"/>
                <w:lang w:val="en-US"/>
              </w:rPr>
              <w:t xml:space="preserve"> </w:t>
            </w:r>
            <w:r>
              <w:rPr>
                <w:rFonts w:cs="Arial" w:ascii="Arial" w:hAnsi="Arial"/>
                <w:sz w:val="16"/>
                <w:szCs w:val="16"/>
              </w:rPr>
              <w:t>відповідає</w:t>
            </w:r>
            <w:r>
              <w:rPr>
                <w:rFonts w:cs="Arial" w:ascii="Arial" w:hAnsi="Arial"/>
                <w:sz w:val="16"/>
                <w:szCs w:val="16"/>
                <w:lang w:val="en-US"/>
              </w:rPr>
              <w:t xml:space="preserve"> </w:t>
            </w:r>
            <w:r>
              <w:rPr>
                <w:rFonts w:cs="Arial" w:ascii="Arial" w:hAnsi="Arial"/>
                <w:sz w:val="16"/>
                <w:szCs w:val="16"/>
              </w:rPr>
              <w:t>матеріалам</w:t>
            </w:r>
            <w:r>
              <w:rPr>
                <w:rFonts w:cs="Arial" w:ascii="Arial" w:hAnsi="Arial"/>
                <w:sz w:val="16"/>
                <w:szCs w:val="16"/>
                <w:lang w:val="en-US"/>
              </w:rPr>
              <w:t xml:space="preserve"> </w:t>
            </w:r>
            <w:r>
              <w:rPr>
                <w:rFonts w:cs="Arial" w:ascii="Arial" w:hAnsi="Arial"/>
                <w:sz w:val="16"/>
                <w:szCs w:val="16"/>
              </w:rPr>
              <w:t>Реєстраційного</w:t>
            </w:r>
            <w:r>
              <w:rPr>
                <w:rFonts w:cs="Arial" w:ascii="Arial" w:hAnsi="Arial"/>
                <w:sz w:val="16"/>
                <w:szCs w:val="16"/>
                <w:lang w:val="en-US"/>
              </w:rPr>
              <w:t xml:space="preserve"> </w:t>
            </w:r>
            <w:r>
              <w:rPr>
                <w:rFonts w:cs="Arial" w:ascii="Arial" w:hAnsi="Arial"/>
                <w:sz w:val="16"/>
                <w:szCs w:val="16"/>
              </w:rPr>
              <w:t>досьє</w:t>
            </w:r>
            <w:r>
              <w:rPr>
                <w:rFonts w:cs="Arial" w:ascii="Arial" w:hAnsi="Arial"/>
                <w:sz w:val="16"/>
                <w:szCs w:val="16"/>
                <w:lang w:val="en-US"/>
              </w:rPr>
              <w:t xml:space="preserve"> </w:t>
            </w:r>
            <w:r>
              <w:rPr>
                <w:rFonts w:cs="Arial" w:ascii="Arial" w:hAnsi="Arial"/>
                <w:sz w:val="16"/>
                <w:szCs w:val="16"/>
              </w:rPr>
              <w:t>які</w:t>
            </w:r>
            <w:r>
              <w:rPr>
                <w:rFonts w:cs="Arial" w:ascii="Arial" w:hAnsi="Arial"/>
                <w:sz w:val="16"/>
                <w:szCs w:val="16"/>
                <w:lang w:val="en-US"/>
              </w:rPr>
              <w:t xml:space="preserve"> </w:t>
            </w:r>
            <w:r>
              <w:rPr>
                <w:rFonts w:cs="Arial" w:ascii="Arial" w:hAnsi="Arial"/>
                <w:sz w:val="16"/>
                <w:szCs w:val="16"/>
              </w:rPr>
              <w:t>знаходяться</w:t>
            </w:r>
            <w:r>
              <w:rPr>
                <w:rFonts w:cs="Arial" w:ascii="Arial" w:hAnsi="Arial"/>
                <w:sz w:val="16"/>
                <w:szCs w:val="16"/>
                <w:lang w:val="en-US"/>
              </w:rPr>
              <w:t xml:space="preserve"> </w:t>
            </w:r>
            <w:r>
              <w:rPr>
                <w:rFonts w:cs="Arial" w:ascii="Arial" w:hAnsi="Arial"/>
                <w:sz w:val="16"/>
                <w:szCs w:val="16"/>
              </w:rPr>
              <w:t>в</w:t>
            </w:r>
            <w:r>
              <w:rPr>
                <w:rFonts w:cs="Arial" w:ascii="Arial" w:hAnsi="Arial"/>
                <w:sz w:val="16"/>
                <w:szCs w:val="16"/>
                <w:lang w:val="en-US"/>
              </w:rPr>
              <w:t xml:space="preserve"> </w:t>
            </w:r>
            <w:r>
              <w:rPr>
                <w:rFonts w:cs="Arial" w:ascii="Arial" w:hAnsi="Arial"/>
                <w:sz w:val="16"/>
                <w:szCs w:val="16"/>
              </w:rPr>
              <w:t>архіві</w:t>
            </w:r>
            <w:r>
              <w:rPr>
                <w:rFonts w:cs="Arial" w:ascii="Arial" w:hAnsi="Arial"/>
                <w:sz w:val="16"/>
                <w:szCs w:val="16"/>
                <w:lang w:val="en-US"/>
              </w:rPr>
              <w:t xml:space="preserve">: </w:t>
            </w:r>
            <w:r>
              <w:rPr>
                <w:rFonts w:cs="Arial" w:ascii="Arial" w:hAnsi="Arial"/>
                <w:sz w:val="16"/>
                <w:szCs w:val="16"/>
              </w:rPr>
              <w:t>оскільки</w:t>
            </w:r>
            <w:r>
              <w:rPr>
                <w:rFonts w:cs="Arial" w:ascii="Arial" w:hAnsi="Arial"/>
                <w:sz w:val="16"/>
                <w:szCs w:val="16"/>
                <w:lang w:val="en-US"/>
              </w:rPr>
              <w:t xml:space="preserve"> </w:t>
            </w:r>
            <w:r>
              <w:rPr>
                <w:rFonts w:cs="Arial" w:ascii="Arial" w:hAnsi="Arial"/>
                <w:sz w:val="16"/>
                <w:szCs w:val="16"/>
              </w:rPr>
              <w:t>при</w:t>
            </w:r>
            <w:r>
              <w:rPr>
                <w:rFonts w:cs="Arial" w:ascii="Arial" w:hAnsi="Arial"/>
                <w:sz w:val="16"/>
                <w:szCs w:val="16"/>
                <w:lang w:val="en-US"/>
              </w:rPr>
              <w:t xml:space="preserve"> </w:t>
            </w:r>
            <w:r>
              <w:rPr>
                <w:rFonts w:cs="Arial" w:ascii="Arial" w:hAnsi="Arial"/>
                <w:sz w:val="16"/>
                <w:szCs w:val="16"/>
              </w:rPr>
              <w:t>внесенні</w:t>
            </w:r>
            <w:r>
              <w:rPr>
                <w:rFonts w:cs="Arial" w:ascii="Arial" w:hAnsi="Arial"/>
                <w:sz w:val="16"/>
                <w:szCs w:val="16"/>
                <w:lang w:val="en-US"/>
              </w:rPr>
              <w:t xml:space="preserve"> </w:t>
            </w:r>
            <w:r>
              <w:rPr>
                <w:rFonts w:cs="Arial" w:ascii="Arial" w:hAnsi="Arial"/>
                <w:sz w:val="16"/>
                <w:szCs w:val="16"/>
              </w:rPr>
              <w:t>змін</w:t>
            </w:r>
            <w:r>
              <w:rPr>
                <w:rFonts w:cs="Arial" w:ascii="Arial" w:hAnsi="Arial"/>
                <w:sz w:val="16"/>
                <w:szCs w:val="16"/>
                <w:lang w:val="en-US"/>
              </w:rPr>
              <w:t xml:space="preserve"> </w:t>
            </w:r>
            <w:r>
              <w:rPr>
                <w:rFonts w:cs="Arial" w:ascii="Arial" w:hAnsi="Arial"/>
                <w:sz w:val="16"/>
                <w:szCs w:val="16"/>
              </w:rPr>
              <w:t>з</w:t>
            </w:r>
            <w:r>
              <w:rPr>
                <w:rFonts w:cs="Arial" w:ascii="Arial" w:hAnsi="Arial"/>
                <w:sz w:val="16"/>
                <w:szCs w:val="16"/>
                <w:lang w:val="en-US"/>
              </w:rPr>
              <w:t xml:space="preserve"> </w:t>
            </w:r>
            <w:r>
              <w:rPr>
                <w:rFonts w:cs="Arial" w:ascii="Arial" w:hAnsi="Arial"/>
                <w:sz w:val="16"/>
                <w:szCs w:val="16"/>
              </w:rPr>
              <w:t>якості</w:t>
            </w:r>
            <w:r>
              <w:rPr>
                <w:rFonts w:cs="Arial" w:ascii="Arial" w:hAnsi="Arial"/>
                <w:sz w:val="16"/>
                <w:szCs w:val="16"/>
                <w:lang w:val="en-US"/>
              </w:rPr>
              <w:t>«</w:t>
            </w:r>
            <w:r>
              <w:rPr>
                <w:rFonts w:cs="Arial" w:ascii="Arial" w:hAnsi="Arial"/>
                <w:sz w:val="16"/>
                <w:szCs w:val="16"/>
              </w:rPr>
              <w:t>Приведення</w:t>
            </w:r>
            <w:r>
              <w:rPr>
                <w:rFonts w:cs="Arial" w:ascii="Arial" w:hAnsi="Arial"/>
                <w:sz w:val="16"/>
                <w:szCs w:val="16"/>
                <w:lang w:val="en-US"/>
              </w:rPr>
              <w:t xml:space="preserve"> </w:t>
            </w:r>
            <w:r>
              <w:rPr>
                <w:rFonts w:cs="Arial" w:ascii="Arial" w:hAnsi="Arial"/>
                <w:sz w:val="16"/>
                <w:szCs w:val="16"/>
              </w:rPr>
              <w:t>МКЯ</w:t>
            </w:r>
            <w:r>
              <w:rPr>
                <w:rFonts w:cs="Arial" w:ascii="Arial" w:hAnsi="Arial"/>
                <w:sz w:val="16"/>
                <w:szCs w:val="16"/>
                <w:lang w:val="en-US"/>
              </w:rPr>
              <w:t xml:space="preserve"> </w:t>
            </w:r>
            <w:r>
              <w:rPr>
                <w:rFonts w:cs="Arial" w:ascii="Arial" w:hAnsi="Arial"/>
                <w:sz w:val="16"/>
                <w:szCs w:val="16"/>
              </w:rPr>
              <w:t>до</w:t>
            </w:r>
            <w:r>
              <w:rPr>
                <w:rFonts w:cs="Arial" w:ascii="Arial" w:hAnsi="Arial"/>
                <w:sz w:val="16"/>
                <w:szCs w:val="16"/>
                <w:lang w:val="en-US"/>
              </w:rPr>
              <w:t xml:space="preserve"> </w:t>
            </w:r>
            <w:r>
              <w:rPr>
                <w:rFonts w:cs="Arial" w:ascii="Arial" w:hAnsi="Arial"/>
                <w:sz w:val="16"/>
                <w:szCs w:val="16"/>
              </w:rPr>
              <w:t>оригінальної</w:t>
            </w:r>
            <w:r>
              <w:rPr>
                <w:rFonts w:cs="Arial" w:ascii="Arial" w:hAnsi="Arial"/>
                <w:sz w:val="16"/>
                <w:szCs w:val="16"/>
                <w:lang w:val="en-US"/>
              </w:rPr>
              <w:t xml:space="preserve"> </w:t>
            </w:r>
            <w:r>
              <w:rPr>
                <w:rFonts w:cs="Arial" w:ascii="Arial" w:hAnsi="Arial"/>
                <w:sz w:val="16"/>
                <w:szCs w:val="16"/>
              </w:rPr>
              <w:t>документації</w:t>
            </w:r>
            <w:r>
              <w:rPr>
                <w:rFonts w:cs="Arial" w:ascii="Arial" w:hAnsi="Arial"/>
                <w:sz w:val="16"/>
                <w:szCs w:val="16"/>
                <w:lang w:val="en-US"/>
              </w:rPr>
              <w:t xml:space="preserve">», </w:t>
            </w:r>
            <w:r>
              <w:rPr>
                <w:rFonts w:cs="Arial" w:ascii="Arial" w:hAnsi="Arial"/>
                <w:sz w:val="16"/>
                <w:szCs w:val="16"/>
              </w:rPr>
              <w:t>які</w:t>
            </w:r>
            <w:r>
              <w:rPr>
                <w:rFonts w:cs="Arial" w:ascii="Arial" w:hAnsi="Arial"/>
                <w:sz w:val="16"/>
                <w:szCs w:val="16"/>
                <w:lang w:val="en-US"/>
              </w:rPr>
              <w:t xml:space="preserve"> </w:t>
            </w:r>
            <w:r>
              <w:rPr>
                <w:rFonts w:cs="Arial" w:ascii="Arial" w:hAnsi="Arial"/>
                <w:sz w:val="16"/>
                <w:szCs w:val="16"/>
              </w:rPr>
              <w:t>були</w:t>
            </w:r>
            <w:r>
              <w:rPr>
                <w:rFonts w:cs="Arial" w:ascii="Arial" w:hAnsi="Arial"/>
                <w:sz w:val="16"/>
                <w:szCs w:val="16"/>
                <w:lang w:val="en-US"/>
              </w:rPr>
              <w:t xml:space="preserve"> </w:t>
            </w:r>
            <w:r>
              <w:rPr>
                <w:rFonts w:cs="Arial" w:ascii="Arial" w:hAnsi="Arial"/>
                <w:sz w:val="16"/>
                <w:szCs w:val="16"/>
              </w:rPr>
              <w:t>затверджені</w:t>
            </w:r>
            <w:r>
              <w:rPr>
                <w:rFonts w:cs="Arial" w:ascii="Arial" w:hAnsi="Arial"/>
                <w:sz w:val="16"/>
                <w:szCs w:val="16"/>
                <w:lang w:val="en-US"/>
              </w:rPr>
              <w:t xml:space="preserve"> </w:t>
            </w:r>
            <w:r>
              <w:rPr>
                <w:rFonts w:cs="Arial" w:ascii="Arial" w:hAnsi="Arial"/>
                <w:sz w:val="16"/>
                <w:szCs w:val="16"/>
              </w:rPr>
              <w:t>наказом</w:t>
            </w:r>
            <w:r>
              <w:rPr>
                <w:rFonts w:cs="Arial" w:ascii="Arial" w:hAnsi="Arial"/>
                <w:sz w:val="16"/>
                <w:szCs w:val="16"/>
                <w:lang w:val="en-US"/>
              </w:rPr>
              <w:t xml:space="preserve"> </w:t>
            </w:r>
            <w:r>
              <w:rPr>
                <w:rFonts w:cs="Arial" w:ascii="Arial" w:hAnsi="Arial"/>
                <w:sz w:val="16"/>
                <w:szCs w:val="16"/>
              </w:rPr>
              <w:t>МОЗ</w:t>
            </w:r>
            <w:r>
              <w:rPr>
                <w:rFonts w:cs="Arial" w:ascii="Arial" w:hAnsi="Arial"/>
                <w:sz w:val="16"/>
                <w:szCs w:val="16"/>
                <w:lang w:val="en-US"/>
              </w:rPr>
              <w:t xml:space="preserve"> </w:t>
            </w:r>
            <w:r>
              <w:rPr>
                <w:rFonts w:cs="Arial" w:ascii="Arial" w:hAnsi="Arial"/>
                <w:sz w:val="16"/>
                <w:szCs w:val="16"/>
              </w:rPr>
              <w:t>України</w:t>
            </w:r>
            <w:r>
              <w:rPr>
                <w:rFonts w:cs="Arial" w:ascii="Arial" w:hAnsi="Arial"/>
                <w:sz w:val="16"/>
                <w:szCs w:val="16"/>
                <w:lang w:val="en-US"/>
              </w:rPr>
              <w:t xml:space="preserve"> </w:t>
            </w:r>
            <w:r>
              <w:rPr>
                <w:rFonts w:cs="Arial" w:ascii="Arial" w:hAnsi="Arial"/>
                <w:sz w:val="16"/>
                <w:szCs w:val="16"/>
              </w:rPr>
              <w:t>від</w:t>
            </w:r>
            <w:r>
              <w:rPr>
                <w:rFonts w:cs="Arial" w:ascii="Arial" w:hAnsi="Arial"/>
                <w:sz w:val="16"/>
                <w:szCs w:val="16"/>
                <w:lang w:val="en-US"/>
              </w:rPr>
              <w:t xml:space="preserve"> 15.01.2026 </w:t>
            </w:r>
            <w:r>
              <w:rPr>
                <w:rFonts w:cs="Arial" w:ascii="Arial" w:hAnsi="Arial"/>
                <w:sz w:val="16"/>
                <w:szCs w:val="16"/>
              </w:rPr>
              <w:t>р</w:t>
            </w:r>
            <w:r>
              <w:rPr>
                <w:rFonts w:cs="Arial" w:ascii="Arial" w:hAnsi="Arial"/>
                <w:sz w:val="16"/>
                <w:szCs w:val="16"/>
                <w:lang w:val="en-US"/>
              </w:rPr>
              <w:t xml:space="preserve">. № 50, </w:t>
            </w:r>
            <w:r>
              <w:rPr>
                <w:rFonts w:cs="Arial" w:ascii="Arial" w:hAnsi="Arial"/>
                <w:sz w:val="16"/>
                <w:szCs w:val="16"/>
              </w:rPr>
              <w:t>в</w:t>
            </w:r>
            <w:r>
              <w:rPr>
                <w:rFonts w:cs="Arial" w:ascii="Arial" w:hAnsi="Arial"/>
                <w:sz w:val="16"/>
                <w:szCs w:val="16"/>
                <w:lang w:val="en-US"/>
              </w:rPr>
              <w:t xml:space="preserve"> </w:t>
            </w:r>
            <w:r>
              <w:rPr>
                <w:rFonts w:cs="Arial" w:ascii="Arial" w:hAnsi="Arial"/>
                <w:sz w:val="16"/>
                <w:szCs w:val="16"/>
              </w:rPr>
              <w:t>р</w:t>
            </w:r>
            <w:r>
              <w:rPr>
                <w:rFonts w:cs="Arial" w:ascii="Arial" w:hAnsi="Arial"/>
                <w:sz w:val="16"/>
                <w:szCs w:val="16"/>
                <w:lang w:val="en-US"/>
              </w:rPr>
              <w:t>.3.2.</w:t>
            </w:r>
            <w:r>
              <w:rPr>
                <w:rFonts w:cs="Arial" w:ascii="Arial" w:hAnsi="Arial"/>
                <w:sz w:val="16"/>
                <w:szCs w:val="16"/>
              </w:rPr>
              <w:t>Р</w:t>
            </w:r>
            <w:r>
              <w:rPr>
                <w:rFonts w:cs="Arial" w:ascii="Arial" w:hAnsi="Arial"/>
                <w:sz w:val="16"/>
                <w:szCs w:val="16"/>
                <w:lang w:val="en-US"/>
              </w:rPr>
              <w:t xml:space="preserve">.5.1 </w:t>
            </w:r>
            <w:r>
              <w:rPr>
                <w:rFonts w:cs="Arial" w:ascii="Arial" w:hAnsi="Arial"/>
                <w:sz w:val="16"/>
                <w:szCs w:val="16"/>
              </w:rPr>
              <w:t>Специфікація</w:t>
            </w:r>
            <w:r>
              <w:rPr>
                <w:rFonts w:cs="Arial" w:ascii="Arial" w:hAnsi="Arial"/>
                <w:sz w:val="16"/>
                <w:szCs w:val="16"/>
                <w:lang w:val="en-US"/>
              </w:rPr>
              <w:t xml:space="preserve"> </w:t>
            </w:r>
            <w:r>
              <w:rPr>
                <w:rFonts w:cs="Arial" w:ascii="Arial" w:hAnsi="Arial"/>
                <w:sz w:val="16"/>
                <w:szCs w:val="16"/>
              </w:rPr>
              <w:t>ГЛЗ</w:t>
            </w:r>
            <w:r>
              <w:rPr>
                <w:rFonts w:cs="Arial" w:ascii="Arial" w:hAnsi="Arial"/>
                <w:sz w:val="16"/>
                <w:szCs w:val="16"/>
                <w:lang w:val="en-US"/>
              </w:rPr>
              <w:t xml:space="preserve"> (</w:t>
            </w:r>
            <w:r>
              <w:rPr>
                <w:rFonts w:cs="Arial" w:ascii="Arial" w:hAnsi="Arial"/>
                <w:sz w:val="16"/>
                <w:szCs w:val="16"/>
              </w:rPr>
              <w:t>Таблетки</w:t>
            </w:r>
            <w:r>
              <w:rPr>
                <w:rFonts w:cs="Arial" w:ascii="Arial" w:hAnsi="Arial"/>
                <w:sz w:val="16"/>
                <w:szCs w:val="16"/>
                <w:lang w:val="en-US"/>
              </w:rPr>
              <w:t xml:space="preserve">, </w:t>
            </w:r>
            <w:r>
              <w:rPr>
                <w:rFonts w:cs="Arial" w:ascii="Arial" w:hAnsi="Arial"/>
                <w:sz w:val="16"/>
                <w:szCs w:val="16"/>
              </w:rPr>
              <w:t>вкриті</w:t>
            </w:r>
            <w:r>
              <w:rPr>
                <w:rFonts w:cs="Arial" w:ascii="Arial" w:hAnsi="Arial"/>
                <w:sz w:val="16"/>
                <w:szCs w:val="16"/>
                <w:lang w:val="en-US"/>
              </w:rPr>
              <w:t xml:space="preserve"> </w:t>
            </w:r>
            <w:r>
              <w:rPr>
                <w:rFonts w:cs="Arial" w:ascii="Arial" w:hAnsi="Arial"/>
                <w:sz w:val="16"/>
                <w:szCs w:val="16"/>
              </w:rPr>
              <w:t>плівковою</w:t>
            </w:r>
            <w:r>
              <w:rPr>
                <w:rFonts w:cs="Arial" w:ascii="Arial" w:hAnsi="Arial"/>
                <w:sz w:val="16"/>
                <w:szCs w:val="16"/>
                <w:lang w:val="en-US"/>
              </w:rPr>
              <w:t xml:space="preserve"> </w:t>
            </w:r>
            <w:r>
              <w:rPr>
                <w:rFonts w:cs="Arial" w:ascii="Arial" w:hAnsi="Arial"/>
                <w:sz w:val="16"/>
                <w:szCs w:val="16"/>
              </w:rPr>
              <w:t>оболонкою</w:t>
            </w:r>
            <w:r>
              <w:rPr>
                <w:rFonts w:cs="Arial" w:ascii="Arial" w:hAnsi="Arial"/>
                <w:sz w:val="16"/>
                <w:szCs w:val="16"/>
                <w:lang w:val="en-US"/>
              </w:rPr>
              <w:t xml:space="preserve"> </w:t>
            </w:r>
            <w:r>
              <w:rPr>
                <w:rFonts w:cs="Arial" w:ascii="Arial" w:hAnsi="Arial"/>
                <w:sz w:val="16"/>
                <w:szCs w:val="16"/>
              </w:rPr>
              <w:t>жовтого</w:t>
            </w:r>
            <w:r>
              <w:rPr>
                <w:rFonts w:cs="Arial" w:ascii="Arial" w:hAnsi="Arial"/>
                <w:sz w:val="16"/>
                <w:szCs w:val="16"/>
                <w:lang w:val="en-US"/>
              </w:rPr>
              <w:t xml:space="preserve"> </w:t>
            </w:r>
            <w:r>
              <w:rPr>
                <w:rFonts w:cs="Arial" w:ascii="Arial" w:hAnsi="Arial"/>
                <w:sz w:val="16"/>
                <w:szCs w:val="16"/>
              </w:rPr>
              <w:t>кольору</w:t>
            </w:r>
            <w:r>
              <w:rPr>
                <w:rFonts w:cs="Arial" w:ascii="Arial" w:hAnsi="Arial"/>
                <w:sz w:val="16"/>
                <w:szCs w:val="16"/>
                <w:lang w:val="en-US"/>
              </w:rPr>
              <w:t xml:space="preserve"> </w:t>
            </w:r>
            <w:r>
              <w:rPr>
                <w:rFonts w:cs="Arial" w:ascii="Arial" w:hAnsi="Arial"/>
                <w:sz w:val="16"/>
                <w:szCs w:val="16"/>
              </w:rPr>
              <w:t>та</w:t>
            </w:r>
            <w:r>
              <w:rPr>
                <w:rFonts w:cs="Arial" w:ascii="Arial" w:hAnsi="Arial"/>
                <w:sz w:val="16"/>
                <w:szCs w:val="16"/>
                <w:lang w:val="en-US"/>
              </w:rPr>
              <w:t xml:space="preserve"> </w:t>
            </w:r>
            <w:r>
              <w:rPr>
                <w:rFonts w:cs="Arial" w:ascii="Arial" w:hAnsi="Arial"/>
                <w:sz w:val="16"/>
                <w:szCs w:val="16"/>
              </w:rPr>
              <w:t>Таблетки</w:t>
            </w:r>
            <w:r>
              <w:rPr>
                <w:rFonts w:cs="Arial" w:ascii="Arial" w:hAnsi="Arial"/>
                <w:sz w:val="16"/>
                <w:szCs w:val="16"/>
                <w:lang w:val="en-US"/>
              </w:rPr>
              <w:t xml:space="preserve">, </w:t>
            </w:r>
            <w:r>
              <w:rPr>
                <w:rFonts w:cs="Arial" w:ascii="Arial" w:hAnsi="Arial"/>
                <w:sz w:val="16"/>
                <w:szCs w:val="16"/>
              </w:rPr>
              <w:t>вкриті</w:t>
            </w:r>
            <w:r>
              <w:rPr>
                <w:rFonts w:cs="Arial" w:ascii="Arial" w:hAnsi="Arial"/>
                <w:sz w:val="16"/>
                <w:szCs w:val="16"/>
                <w:lang w:val="en-US"/>
              </w:rPr>
              <w:t xml:space="preserve"> </w:t>
            </w:r>
            <w:r>
              <w:rPr>
                <w:rFonts w:cs="Arial" w:ascii="Arial" w:hAnsi="Arial"/>
                <w:sz w:val="16"/>
                <w:szCs w:val="16"/>
              </w:rPr>
              <w:t>плівковою</w:t>
            </w:r>
            <w:r>
              <w:rPr>
                <w:rFonts w:cs="Arial" w:ascii="Arial" w:hAnsi="Arial"/>
                <w:sz w:val="16"/>
                <w:szCs w:val="16"/>
                <w:lang w:val="en-US"/>
              </w:rPr>
              <w:t xml:space="preserve"> </w:t>
            </w:r>
            <w:r>
              <w:rPr>
                <w:rFonts w:cs="Arial" w:ascii="Arial" w:hAnsi="Arial"/>
                <w:sz w:val="16"/>
                <w:szCs w:val="16"/>
              </w:rPr>
              <w:t>оболонкою</w:t>
            </w:r>
            <w:r>
              <w:rPr>
                <w:rFonts w:cs="Arial" w:ascii="Arial" w:hAnsi="Arial"/>
                <w:sz w:val="16"/>
                <w:szCs w:val="16"/>
                <w:lang w:val="en-US"/>
              </w:rPr>
              <w:t xml:space="preserve">, </w:t>
            </w:r>
            <w:r>
              <w:rPr>
                <w:rFonts w:cs="Arial" w:ascii="Arial" w:hAnsi="Arial"/>
                <w:sz w:val="16"/>
                <w:szCs w:val="16"/>
              </w:rPr>
              <w:t>білого</w:t>
            </w:r>
            <w:r>
              <w:rPr>
                <w:rFonts w:cs="Arial" w:ascii="Arial" w:hAnsi="Arial"/>
                <w:sz w:val="16"/>
                <w:szCs w:val="16"/>
                <w:lang w:val="en-US"/>
              </w:rPr>
              <w:t xml:space="preserve"> </w:t>
            </w:r>
            <w:r>
              <w:rPr>
                <w:rFonts w:cs="Arial" w:ascii="Arial" w:hAnsi="Arial"/>
                <w:sz w:val="16"/>
                <w:szCs w:val="16"/>
              </w:rPr>
              <w:t>кольору</w:t>
            </w:r>
            <w:r>
              <w:rPr>
                <w:rFonts w:cs="Arial" w:ascii="Arial" w:hAnsi="Arial"/>
                <w:sz w:val="16"/>
                <w:szCs w:val="16"/>
                <w:lang w:val="en-US"/>
              </w:rPr>
              <w:t xml:space="preserve"> (</w:t>
            </w:r>
            <w:r>
              <w:rPr>
                <w:rFonts w:cs="Arial" w:ascii="Arial" w:hAnsi="Arial"/>
                <w:sz w:val="16"/>
                <w:szCs w:val="16"/>
              </w:rPr>
              <w:t>плацебо</w:t>
            </w:r>
            <w:r>
              <w:rPr>
                <w:rFonts w:cs="Arial" w:ascii="Arial" w:hAnsi="Arial"/>
                <w:sz w:val="16"/>
                <w:szCs w:val="16"/>
                <w:lang w:val="en-US"/>
              </w:rPr>
              <w:t xml:space="preserve">)) </w:t>
            </w:r>
            <w:r>
              <w:rPr>
                <w:rFonts w:cs="Arial" w:ascii="Arial" w:hAnsi="Arial"/>
                <w:sz w:val="16"/>
                <w:szCs w:val="16"/>
              </w:rPr>
              <w:t>за</w:t>
            </w:r>
            <w:r>
              <w:rPr>
                <w:rFonts w:cs="Arial" w:ascii="Arial" w:hAnsi="Arial"/>
                <w:sz w:val="16"/>
                <w:szCs w:val="16"/>
                <w:lang w:val="en-US"/>
              </w:rPr>
              <w:t xml:space="preserve"> </w:t>
            </w:r>
            <w:r>
              <w:rPr>
                <w:rFonts w:cs="Arial" w:ascii="Arial" w:hAnsi="Arial"/>
                <w:sz w:val="16"/>
                <w:szCs w:val="16"/>
              </w:rPr>
              <w:t>показником</w:t>
            </w:r>
            <w:r>
              <w:rPr>
                <w:rFonts w:cs="Arial" w:ascii="Arial" w:hAnsi="Arial"/>
                <w:sz w:val="16"/>
                <w:szCs w:val="16"/>
                <w:lang w:val="en-US"/>
              </w:rPr>
              <w:t xml:space="preserve"> «</w:t>
            </w:r>
            <w:r>
              <w:rPr>
                <w:rFonts w:cs="Arial" w:ascii="Arial" w:hAnsi="Arial"/>
                <w:sz w:val="16"/>
                <w:szCs w:val="16"/>
              </w:rPr>
              <w:t>Опис</w:t>
            </w:r>
            <w:r>
              <w:rPr>
                <w:rFonts w:cs="Arial" w:ascii="Arial" w:hAnsi="Arial"/>
                <w:sz w:val="16"/>
                <w:szCs w:val="16"/>
                <w:lang w:val="en-US"/>
              </w:rPr>
              <w:t xml:space="preserve">» </w:t>
            </w:r>
            <w:r>
              <w:rPr>
                <w:rFonts w:cs="Arial" w:ascii="Arial" w:hAnsi="Arial"/>
                <w:sz w:val="16"/>
                <w:szCs w:val="16"/>
              </w:rPr>
              <w:t>інформація</w:t>
            </w:r>
            <w:r>
              <w:rPr>
                <w:rFonts w:cs="Arial" w:ascii="Arial" w:hAnsi="Arial"/>
                <w:sz w:val="16"/>
                <w:szCs w:val="16"/>
                <w:lang w:val="en-US"/>
              </w:rPr>
              <w:t xml:space="preserve">, </w:t>
            </w:r>
            <w:r>
              <w:rPr>
                <w:rFonts w:cs="Arial" w:ascii="Arial" w:hAnsi="Arial"/>
                <w:sz w:val="16"/>
                <w:szCs w:val="16"/>
              </w:rPr>
              <w:t>що</w:t>
            </w:r>
            <w:r>
              <w:rPr>
                <w:rFonts w:cs="Arial" w:ascii="Arial" w:hAnsi="Arial"/>
                <w:sz w:val="16"/>
                <w:szCs w:val="16"/>
                <w:lang w:val="en-US"/>
              </w:rPr>
              <w:t xml:space="preserve"> </w:t>
            </w:r>
            <w:r>
              <w:rPr>
                <w:rFonts w:cs="Arial" w:ascii="Arial" w:hAnsi="Arial"/>
                <w:sz w:val="16"/>
                <w:szCs w:val="16"/>
              </w:rPr>
              <w:t>таблетки</w:t>
            </w:r>
            <w:r>
              <w:rPr>
                <w:rFonts w:cs="Arial" w:ascii="Arial" w:hAnsi="Arial"/>
                <w:sz w:val="16"/>
                <w:szCs w:val="16"/>
                <w:lang w:val="en-US"/>
              </w:rPr>
              <w:t xml:space="preserve"> </w:t>
            </w:r>
            <w:r>
              <w:rPr>
                <w:rFonts w:cs="Arial" w:ascii="Arial" w:hAnsi="Arial"/>
                <w:sz w:val="16"/>
                <w:szCs w:val="16"/>
              </w:rPr>
              <w:t>є</w:t>
            </w:r>
            <w:r>
              <w:rPr>
                <w:rFonts w:cs="Arial" w:ascii="Arial" w:hAnsi="Arial"/>
                <w:sz w:val="16"/>
                <w:szCs w:val="16"/>
                <w:lang w:val="en-US"/>
              </w:rPr>
              <w:t xml:space="preserve"> «</w:t>
            </w:r>
            <w:r>
              <w:rPr>
                <w:rFonts w:cs="Arial" w:ascii="Arial" w:hAnsi="Arial"/>
                <w:sz w:val="16"/>
                <w:szCs w:val="16"/>
              </w:rPr>
              <w:t>гладкі</w:t>
            </w:r>
            <w:r>
              <w:rPr>
                <w:rFonts w:cs="Arial" w:ascii="Arial" w:hAnsi="Arial"/>
                <w:sz w:val="16"/>
                <w:szCs w:val="16"/>
                <w:lang w:val="en-US"/>
              </w:rPr>
              <w:t xml:space="preserve">» </w:t>
            </w:r>
            <w:r>
              <w:rPr>
                <w:rFonts w:cs="Arial" w:ascii="Arial" w:hAnsi="Arial"/>
                <w:sz w:val="16"/>
                <w:szCs w:val="16"/>
              </w:rPr>
              <w:t>відсутня</w:t>
            </w:r>
            <w:r>
              <w:rPr>
                <w:rFonts w:cs="Arial" w:ascii="Arial" w:hAnsi="Arial"/>
                <w:sz w:val="16"/>
                <w:szCs w:val="16"/>
                <w:lang w:val="en-US"/>
              </w:rPr>
              <w:t xml:space="preserve">. </w:t>
            </w:r>
            <w:r>
              <w:rPr>
                <w:rFonts w:cs="Arial" w:ascii="Arial" w:hAnsi="Arial"/>
                <w:sz w:val="16"/>
                <w:szCs w:val="16"/>
              </w:rPr>
              <w:t xml:space="preserve">Технічна помилка не рекомендована до затвердження. Запропоноване заявником виправлення до тексту інструкції для медичного застосування лікарського засобу у розділі «Лікарська форма» (основні фізико-хімічні властивості) щодо додавання інформації до опису фізико-хімічних властивостей таблеток, вкритих плівковою оболонкою, не відповідає архівним матеріалам досьє. </w:t>
              <w:br/>
              <w:t>Виправлення технічної помилки не рекомендоване до затвердження, оскільки не відповідає п.2.4. розділу VI наказу МОЗ України від 26.08.2005р. № 426 (у редакції наказу МОЗ України від 23.07.2015 № 460)</w:t>
            </w:r>
          </w:p>
        </w:tc>
      </w:tr>
      <w:tr>
        <w:trPr>
          <w:trHeight w:val="557" w:hRule="atLeast"/>
        </w:trPr>
        <w:tc>
          <w:tcPr>
            <w:tcW w:w="58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numPr>
                <w:ilvl w:val="0"/>
                <w:numId w:val="3"/>
              </w:numPr>
              <w:snapToGrid w:val="false"/>
              <w:rPr>
                <w:rFonts w:ascii="Arial" w:hAnsi="Arial" w:cs="Arial"/>
                <w:b/>
                <w:b/>
                <w:sz w:val="16"/>
                <w:szCs w:val="16"/>
                <w:lang w:eastAsia="en-US"/>
              </w:rPr>
            </w:pPr>
            <w:r>
              <w:rPr>
                <w:rFonts w:cs="Arial" w:ascii="Arial" w:hAnsi="Arial"/>
                <w:b/>
                <w:sz w:val="16"/>
                <w:szCs w:val="16"/>
                <w:lang w:eastAsia="en-US"/>
              </w:rPr>
            </w:r>
          </w:p>
        </w:tc>
        <w:tc>
          <w:tcPr>
            <w:tcW w:w="141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rPr>
                <w:rFonts w:ascii="Arial" w:hAnsi="Arial" w:cs="Arial"/>
                <w:b/>
                <w:b/>
                <w:sz w:val="16"/>
                <w:szCs w:val="16"/>
              </w:rPr>
            </w:pPr>
            <w:r>
              <w:rPr>
                <w:rFonts w:cs="Arial" w:ascii="Arial" w:hAnsi="Arial"/>
                <w:b/>
                <w:sz w:val="16"/>
                <w:szCs w:val="16"/>
              </w:rPr>
              <w:t xml:space="preserve">ЛАПРОНЕКСТ КОМБІ </w:t>
            </w:r>
          </w:p>
        </w:tc>
        <w:tc>
          <w:tcPr>
            <w:tcW w:w="170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rPr>
                <w:rFonts w:ascii="Arial" w:hAnsi="Arial" w:cs="Arial"/>
                <w:sz w:val="16"/>
                <w:szCs w:val="16"/>
              </w:rPr>
            </w:pPr>
            <w:r>
              <w:rPr>
                <w:rFonts w:cs="Arial" w:ascii="Arial" w:hAnsi="Arial"/>
                <w:sz w:val="16"/>
                <w:szCs w:val="16"/>
              </w:rPr>
              <w:t>краплі очні, розчин, (50 мкг+5 мг)/мл; по 2,5 мл у флаконі-крапельниці; по 1 флакону-крапельниці у картонній коробці</w:t>
            </w:r>
          </w:p>
          <w:p>
            <w:pPr>
              <w:pStyle w:val="Normal"/>
              <w:rPr>
                <w:rFonts w:ascii="Arial" w:hAnsi="Arial" w:cs="Arial"/>
                <w:sz w:val="16"/>
                <w:szCs w:val="16"/>
              </w:rPr>
            </w:pPr>
            <w:r>
              <w:rPr>
                <w:rFonts w:cs="Arial" w:ascii="Arial" w:hAnsi="Arial"/>
                <w:sz w:val="16"/>
                <w:szCs w:val="16"/>
              </w:rPr>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jc w:val="center"/>
              <w:rPr>
                <w:rFonts w:ascii="Arial" w:hAnsi="Arial" w:cs="Arial"/>
                <w:sz w:val="16"/>
                <w:szCs w:val="16"/>
              </w:rPr>
            </w:pPr>
            <w:r>
              <w:rPr>
                <w:rFonts w:cs="Arial" w:ascii="Arial" w:hAnsi="Arial"/>
                <w:sz w:val="16"/>
                <w:szCs w:val="16"/>
              </w:rPr>
              <w:t>БІОСАЙНС ГРУП ЛАБОРАТОРІЗ с.р.о.</w:t>
            </w:r>
          </w:p>
          <w:p>
            <w:pPr>
              <w:pStyle w:val="Normal"/>
              <w:jc w:val="center"/>
              <w:rPr>
                <w:rFonts w:ascii="Arial" w:hAnsi="Arial" w:cs="Arial"/>
                <w:sz w:val="16"/>
                <w:szCs w:val="16"/>
              </w:rPr>
            </w:pPr>
            <w:r>
              <w:rPr>
                <w:rFonts w:cs="Arial" w:ascii="Arial" w:hAnsi="Arial"/>
                <w:sz w:val="16"/>
                <w:szCs w:val="16"/>
              </w:rPr>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jc w:val="center"/>
              <w:rPr>
                <w:rFonts w:ascii="Arial" w:hAnsi="Arial" w:cs="Arial"/>
                <w:sz w:val="16"/>
                <w:szCs w:val="16"/>
              </w:rPr>
            </w:pPr>
            <w:r>
              <w:rPr>
                <w:rFonts w:cs="Arial" w:ascii="Arial" w:hAnsi="Arial"/>
                <w:sz w:val="16"/>
                <w:szCs w:val="16"/>
              </w:rPr>
              <w:t>Словацька Республіка</w:t>
            </w:r>
          </w:p>
        </w:tc>
        <w:tc>
          <w:tcPr>
            <w:tcW w:w="184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jc w:val="center"/>
              <w:rPr>
                <w:rFonts w:ascii="Arial" w:hAnsi="Arial" w:cs="Arial"/>
                <w:sz w:val="16"/>
                <w:szCs w:val="16"/>
              </w:rPr>
            </w:pPr>
            <w:r>
              <w:rPr>
                <w:rFonts w:cs="Arial" w:ascii="Arial" w:hAnsi="Arial"/>
                <w:sz w:val="16"/>
                <w:szCs w:val="16"/>
              </w:rPr>
              <w:t>РАФАРМ СА</w:t>
            </w:r>
          </w:p>
        </w:tc>
        <w:tc>
          <w:tcPr>
            <w:tcW w:w="850"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TextBodyIndent"/>
              <w:spacing w:before="0" w:after="0"/>
              <w:ind w:left="0" w:hanging="0"/>
              <w:jc w:val="center"/>
              <w:rPr>
                <w:rFonts w:ascii="Arial" w:hAnsi="Arial" w:cs="Arial"/>
                <w:b/>
                <w:b/>
                <w:sz w:val="16"/>
                <w:szCs w:val="16"/>
              </w:rPr>
            </w:pPr>
            <w:r>
              <w:rPr>
                <w:rFonts w:cs="Arial" w:ascii="Arial" w:hAnsi="Arial"/>
                <w:sz w:val="16"/>
                <w:szCs w:val="16"/>
              </w:rPr>
              <w:t>Грецiя</w:t>
            </w:r>
          </w:p>
        </w:tc>
        <w:tc>
          <w:tcPr>
            <w:tcW w:w="141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312"/>
              <w:ind w:hanging="0"/>
              <w:jc w:val="left"/>
              <w:rPr>
                <w:rFonts w:cs="Arial"/>
                <w:b w:val="false"/>
                <w:b w:val="false"/>
                <w:iCs/>
                <w:sz w:val="16"/>
                <w:szCs w:val="16"/>
              </w:rPr>
            </w:pPr>
            <w:r>
              <w:rPr>
                <w:rFonts w:cs="Arial"/>
                <w:b w:val="false"/>
                <w:iCs/>
                <w:sz w:val="16"/>
                <w:szCs w:val="16"/>
              </w:rPr>
              <w:t>засідання НТР № 36 від 10.09.2026</w:t>
            </w:r>
          </w:p>
        </w:tc>
        <w:tc>
          <w:tcPr>
            <w:tcW w:w="52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TextBodyIndent"/>
              <w:spacing w:before="0" w:after="0"/>
              <w:ind w:left="0" w:hanging="0"/>
              <w:jc w:val="both"/>
              <w:rPr>
                <w:rFonts w:ascii="Arial" w:hAnsi="Arial" w:cs="Arial"/>
                <w:b/>
                <w:b/>
                <w:sz w:val="16"/>
                <w:szCs w:val="16"/>
                <w:lang w:val="en-US"/>
              </w:rPr>
            </w:pPr>
            <w:r>
              <w:rPr>
                <w:rFonts w:cs="Arial" w:ascii="Arial" w:hAnsi="Arial"/>
                <w:b/>
                <w:sz w:val="16"/>
                <w:szCs w:val="16"/>
                <w:lang w:val="uk-UA"/>
              </w:rPr>
              <w:t xml:space="preserve">Відмовити у затвердженні </w:t>
            </w:r>
            <w:r>
              <w:rPr>
                <w:rFonts w:cs="Arial" w:ascii="Arial" w:hAnsi="Arial"/>
                <w:b/>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І</w:t>
            </w:r>
            <w:r>
              <w:rPr>
                <w:rFonts w:cs="Arial" w:ascii="Arial" w:hAnsi="Arial"/>
                <w:sz w:val="16"/>
                <w:szCs w:val="16"/>
                <w:lang w:val="en-US"/>
              </w:rPr>
              <w:t xml:space="preserve"> </w:t>
            </w:r>
            <w:r>
              <w:rPr>
                <w:rFonts w:cs="Arial" w:ascii="Arial" w:hAnsi="Arial"/>
                <w:sz w:val="16"/>
                <w:szCs w:val="16"/>
              </w:rPr>
              <w:t>типу</w:t>
            </w:r>
            <w:r>
              <w:rPr>
                <w:rFonts w:cs="Arial" w:ascii="Arial" w:hAnsi="Arial"/>
                <w:sz w:val="16"/>
                <w:szCs w:val="16"/>
                <w:lang w:val="en-US"/>
              </w:rPr>
              <w:t xml:space="preserve"> -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щодо</w:t>
            </w:r>
            <w:r>
              <w:rPr>
                <w:rFonts w:cs="Arial" w:ascii="Arial" w:hAnsi="Arial"/>
                <w:sz w:val="16"/>
                <w:szCs w:val="16"/>
                <w:lang w:val="en-US"/>
              </w:rPr>
              <w:t xml:space="preserve"> </w:t>
            </w:r>
            <w:r>
              <w:rPr>
                <w:rFonts w:cs="Arial" w:ascii="Arial" w:hAnsi="Arial"/>
                <w:sz w:val="16"/>
                <w:szCs w:val="16"/>
              </w:rPr>
              <w:t>безпеки</w:t>
            </w:r>
            <w:r>
              <w:rPr>
                <w:rFonts w:cs="Arial" w:ascii="Arial" w:hAnsi="Arial"/>
                <w:sz w:val="16"/>
                <w:szCs w:val="16"/>
                <w:lang w:val="en-US"/>
              </w:rPr>
              <w:t>/</w:t>
            </w:r>
            <w:r>
              <w:rPr>
                <w:rFonts w:cs="Arial" w:ascii="Arial" w:hAnsi="Arial"/>
                <w:sz w:val="16"/>
                <w:szCs w:val="16"/>
              </w:rPr>
              <w:t>ефективності</w:t>
            </w:r>
            <w:r>
              <w:rPr>
                <w:rFonts w:cs="Arial" w:ascii="Arial" w:hAnsi="Arial"/>
                <w:sz w:val="16"/>
                <w:szCs w:val="16"/>
                <w:lang w:val="en-US"/>
              </w:rPr>
              <w:t xml:space="preserve"> </w:t>
            </w:r>
            <w:r>
              <w:rPr>
                <w:rFonts w:cs="Arial" w:ascii="Arial" w:hAnsi="Arial"/>
                <w:sz w:val="16"/>
                <w:szCs w:val="16"/>
              </w:rPr>
              <w:t>та</w:t>
            </w:r>
            <w:r>
              <w:rPr>
                <w:rFonts w:cs="Arial" w:ascii="Arial" w:hAnsi="Arial"/>
                <w:sz w:val="16"/>
                <w:szCs w:val="16"/>
                <w:lang w:val="en-US"/>
              </w:rPr>
              <w:t xml:space="preserve"> </w:t>
            </w:r>
            <w:r>
              <w:rPr>
                <w:rFonts w:cs="Arial" w:ascii="Arial" w:hAnsi="Arial"/>
                <w:sz w:val="16"/>
                <w:szCs w:val="16"/>
              </w:rPr>
              <w:t>фармаконагляду</w:t>
            </w:r>
            <w:r>
              <w:rPr>
                <w:rFonts w:cs="Arial" w:ascii="Arial" w:hAnsi="Arial"/>
                <w:sz w:val="16"/>
                <w:szCs w:val="16"/>
                <w:lang w:val="en-US"/>
              </w:rPr>
              <w:t xml:space="preserve">. </w:t>
            </w:r>
            <w:r>
              <w:rPr>
                <w:rFonts w:cs="Arial" w:ascii="Arial" w:hAnsi="Arial"/>
                <w:sz w:val="16"/>
                <w:szCs w:val="16"/>
              </w:rPr>
              <w:t>Введення</w:t>
            </w:r>
            <w:r>
              <w:rPr>
                <w:rFonts w:cs="Arial" w:ascii="Arial" w:hAnsi="Arial"/>
                <w:sz w:val="16"/>
                <w:szCs w:val="16"/>
                <w:lang w:val="en-US"/>
              </w:rPr>
              <w:t xml:space="preserve"> </w:t>
            </w:r>
            <w:r>
              <w:rPr>
                <w:rFonts w:cs="Arial" w:ascii="Arial" w:hAnsi="Arial"/>
                <w:sz w:val="16"/>
                <w:szCs w:val="16"/>
              </w:rPr>
              <w:t>або</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до</w:t>
            </w:r>
            <w:r>
              <w:rPr>
                <w:rFonts w:cs="Arial" w:ascii="Arial" w:hAnsi="Arial"/>
                <w:sz w:val="16"/>
                <w:szCs w:val="16"/>
                <w:lang w:val="en-US"/>
              </w:rPr>
              <w:t xml:space="preserve"> </w:t>
            </w:r>
            <w:r>
              <w:rPr>
                <w:rFonts w:cs="Arial" w:ascii="Arial" w:hAnsi="Arial"/>
                <w:sz w:val="16"/>
                <w:szCs w:val="16"/>
              </w:rPr>
              <w:t>узагальнених</w:t>
            </w:r>
            <w:r>
              <w:rPr>
                <w:rFonts w:cs="Arial" w:ascii="Arial" w:hAnsi="Arial"/>
                <w:sz w:val="16"/>
                <w:szCs w:val="16"/>
                <w:lang w:val="en-US"/>
              </w:rPr>
              <w:t xml:space="preserve"> </w:t>
            </w:r>
            <w:r>
              <w:rPr>
                <w:rFonts w:cs="Arial" w:ascii="Arial" w:hAnsi="Arial"/>
                <w:sz w:val="16"/>
                <w:szCs w:val="16"/>
              </w:rPr>
              <w:t>даних</w:t>
            </w:r>
            <w:r>
              <w:rPr>
                <w:rFonts w:cs="Arial" w:ascii="Arial" w:hAnsi="Arial"/>
                <w:sz w:val="16"/>
                <w:szCs w:val="16"/>
                <w:lang w:val="en-US"/>
              </w:rPr>
              <w:t xml:space="preserve"> </w:t>
            </w:r>
            <w:r>
              <w:rPr>
                <w:rFonts w:cs="Arial" w:ascii="Arial" w:hAnsi="Arial"/>
                <w:sz w:val="16"/>
                <w:szCs w:val="16"/>
              </w:rPr>
              <w:t>про</w:t>
            </w:r>
            <w:r>
              <w:rPr>
                <w:rFonts w:cs="Arial" w:ascii="Arial" w:hAnsi="Arial"/>
                <w:sz w:val="16"/>
                <w:szCs w:val="16"/>
                <w:lang w:val="en-US"/>
              </w:rPr>
              <w:t xml:space="preserve"> </w:t>
            </w:r>
            <w:r>
              <w:rPr>
                <w:rFonts w:cs="Arial" w:ascii="Arial" w:hAnsi="Arial"/>
                <w:sz w:val="16"/>
                <w:szCs w:val="16"/>
              </w:rPr>
              <w:t>систему</w:t>
            </w:r>
            <w:r>
              <w:rPr>
                <w:rFonts w:cs="Arial" w:ascii="Arial" w:hAnsi="Arial"/>
                <w:sz w:val="16"/>
                <w:szCs w:val="16"/>
                <w:lang w:val="en-US"/>
              </w:rPr>
              <w:t xml:space="preserve"> </w:t>
            </w:r>
            <w:r>
              <w:rPr>
                <w:rFonts w:cs="Arial" w:ascii="Arial" w:hAnsi="Arial"/>
                <w:sz w:val="16"/>
                <w:szCs w:val="16"/>
              </w:rPr>
              <w:t>фармаконагляду</w:t>
            </w:r>
            <w:r>
              <w:rPr>
                <w:rFonts w:cs="Arial" w:ascii="Arial" w:hAnsi="Arial"/>
                <w:sz w:val="16"/>
                <w:szCs w:val="16"/>
                <w:lang w:val="en-US"/>
              </w:rPr>
              <w:t xml:space="preserve"> (</w:t>
            </w:r>
            <w:r>
              <w:rPr>
                <w:rFonts w:cs="Arial" w:ascii="Arial" w:hAnsi="Arial"/>
                <w:sz w:val="16"/>
                <w:szCs w:val="16"/>
              </w:rPr>
              <w:t>введення</w:t>
            </w:r>
            <w:r>
              <w:rPr>
                <w:rFonts w:cs="Arial" w:ascii="Arial" w:hAnsi="Arial"/>
                <w:sz w:val="16"/>
                <w:szCs w:val="16"/>
                <w:lang w:val="en-US"/>
              </w:rPr>
              <w:t xml:space="preserve"> </w:t>
            </w:r>
            <w:r>
              <w:rPr>
                <w:rFonts w:cs="Arial" w:ascii="Arial" w:hAnsi="Arial"/>
                <w:sz w:val="16"/>
                <w:szCs w:val="16"/>
              </w:rPr>
              <w:t>узагальнених</w:t>
            </w:r>
            <w:r>
              <w:rPr>
                <w:rFonts w:cs="Arial" w:ascii="Arial" w:hAnsi="Arial"/>
                <w:sz w:val="16"/>
                <w:szCs w:val="16"/>
                <w:lang w:val="en-US"/>
              </w:rPr>
              <w:t xml:space="preserve"> </w:t>
            </w:r>
            <w:r>
              <w:rPr>
                <w:rFonts w:cs="Arial" w:ascii="Arial" w:hAnsi="Arial"/>
                <w:sz w:val="16"/>
                <w:szCs w:val="16"/>
              </w:rPr>
              <w:t>даних</w:t>
            </w:r>
            <w:r>
              <w:rPr>
                <w:rFonts w:cs="Arial" w:ascii="Arial" w:hAnsi="Arial"/>
                <w:sz w:val="16"/>
                <w:szCs w:val="16"/>
                <w:lang w:val="en-US"/>
              </w:rPr>
              <w:t xml:space="preserve"> </w:t>
            </w:r>
            <w:r>
              <w:rPr>
                <w:rFonts w:cs="Arial" w:ascii="Arial" w:hAnsi="Arial"/>
                <w:sz w:val="16"/>
                <w:szCs w:val="16"/>
              </w:rPr>
              <w:t>про</w:t>
            </w:r>
            <w:r>
              <w:rPr>
                <w:rFonts w:cs="Arial" w:ascii="Arial" w:hAnsi="Arial"/>
                <w:sz w:val="16"/>
                <w:szCs w:val="16"/>
                <w:lang w:val="en-US"/>
              </w:rPr>
              <w:t xml:space="preserve"> </w:t>
            </w:r>
            <w:r>
              <w:rPr>
                <w:rFonts w:cs="Arial" w:ascii="Arial" w:hAnsi="Arial"/>
                <w:sz w:val="16"/>
                <w:szCs w:val="16"/>
              </w:rPr>
              <w:t>систему</w:t>
            </w:r>
            <w:r>
              <w:rPr>
                <w:rFonts w:cs="Arial" w:ascii="Arial" w:hAnsi="Arial"/>
                <w:sz w:val="16"/>
                <w:szCs w:val="16"/>
                <w:lang w:val="en-US"/>
              </w:rPr>
              <w:t xml:space="preserve"> </w:t>
            </w:r>
            <w:r>
              <w:rPr>
                <w:rFonts w:cs="Arial" w:ascii="Arial" w:hAnsi="Arial"/>
                <w:sz w:val="16"/>
                <w:szCs w:val="16"/>
              </w:rPr>
              <w:t>фармаконагляду</w:t>
            </w:r>
            <w:r>
              <w:rPr>
                <w:rFonts w:cs="Arial" w:ascii="Arial" w:hAnsi="Arial"/>
                <w:sz w:val="16"/>
                <w:szCs w:val="16"/>
                <w:lang w:val="en-US"/>
              </w:rPr>
              <w:t xml:space="preserve">, </w:t>
            </w:r>
            <w:r>
              <w:rPr>
                <w:rFonts w:cs="Arial" w:ascii="Arial" w:hAnsi="Arial"/>
                <w:sz w:val="16"/>
                <w:szCs w:val="16"/>
              </w:rPr>
              <w:t>зміна</w:t>
            </w:r>
            <w:r>
              <w:rPr>
                <w:rFonts w:cs="Arial" w:ascii="Arial" w:hAnsi="Arial"/>
                <w:sz w:val="16"/>
                <w:szCs w:val="16"/>
                <w:lang w:val="en-US"/>
              </w:rPr>
              <w:t xml:space="preserve"> </w:t>
            </w:r>
            <w:r>
              <w:rPr>
                <w:rFonts w:cs="Arial" w:ascii="Arial" w:hAnsi="Arial"/>
                <w:sz w:val="16"/>
                <w:szCs w:val="16"/>
              </w:rPr>
              <w:t>уповноваженої</w:t>
            </w:r>
            <w:r>
              <w:rPr>
                <w:rFonts w:cs="Arial" w:ascii="Arial" w:hAnsi="Arial"/>
                <w:sz w:val="16"/>
                <w:szCs w:val="16"/>
                <w:lang w:val="en-US"/>
              </w:rPr>
              <w:t xml:space="preserve"> </w:t>
            </w:r>
            <w:r>
              <w:rPr>
                <w:rFonts w:cs="Arial" w:ascii="Arial" w:hAnsi="Arial"/>
                <w:sz w:val="16"/>
                <w:szCs w:val="16"/>
              </w:rPr>
              <w:t>особи</w:t>
            </w:r>
            <w:r>
              <w:rPr>
                <w:rFonts w:cs="Arial" w:ascii="Arial" w:hAnsi="Arial"/>
                <w:sz w:val="16"/>
                <w:szCs w:val="16"/>
                <w:lang w:val="en-US"/>
              </w:rPr>
              <w:t xml:space="preserve">, </w:t>
            </w:r>
            <w:r>
              <w:rPr>
                <w:rFonts w:cs="Arial" w:ascii="Arial" w:hAnsi="Arial"/>
                <w:sz w:val="16"/>
                <w:szCs w:val="16"/>
              </w:rPr>
              <w:t>відповідальної</w:t>
            </w:r>
            <w:r>
              <w:rPr>
                <w:rFonts w:cs="Arial" w:ascii="Arial" w:hAnsi="Arial"/>
                <w:sz w:val="16"/>
                <w:szCs w:val="16"/>
                <w:lang w:val="en-US"/>
              </w:rPr>
              <w:t xml:space="preserve"> </w:t>
            </w:r>
            <w:r>
              <w:rPr>
                <w:rFonts w:cs="Arial" w:ascii="Arial" w:hAnsi="Arial"/>
                <w:sz w:val="16"/>
                <w:szCs w:val="16"/>
              </w:rPr>
              <w:t>за</w:t>
            </w:r>
            <w:r>
              <w:rPr>
                <w:rFonts w:cs="Arial" w:ascii="Arial" w:hAnsi="Arial"/>
                <w:sz w:val="16"/>
                <w:szCs w:val="16"/>
                <w:lang w:val="en-US"/>
              </w:rPr>
              <w:t xml:space="preserve"> </w:t>
            </w:r>
            <w:r>
              <w:rPr>
                <w:rFonts w:cs="Arial" w:ascii="Arial" w:hAnsi="Arial"/>
                <w:sz w:val="16"/>
                <w:szCs w:val="16"/>
              </w:rPr>
              <w:t>здійснення</w:t>
            </w:r>
            <w:r>
              <w:rPr>
                <w:rFonts w:cs="Arial" w:ascii="Arial" w:hAnsi="Arial"/>
                <w:sz w:val="16"/>
                <w:szCs w:val="16"/>
                <w:lang w:val="en-US"/>
              </w:rPr>
              <w:t xml:space="preserve"> </w:t>
            </w:r>
            <w:r>
              <w:rPr>
                <w:rFonts w:cs="Arial" w:ascii="Arial" w:hAnsi="Arial"/>
                <w:sz w:val="16"/>
                <w:szCs w:val="16"/>
              </w:rPr>
              <w:t>фармаконагляду</w:t>
            </w:r>
            <w:r>
              <w:rPr>
                <w:rFonts w:cs="Arial" w:ascii="Arial" w:hAnsi="Arial"/>
                <w:sz w:val="16"/>
                <w:szCs w:val="16"/>
                <w:lang w:val="en-US"/>
              </w:rPr>
              <w:t xml:space="preserve">; </w:t>
            </w:r>
            <w:r>
              <w:rPr>
                <w:rFonts w:cs="Arial" w:ascii="Arial" w:hAnsi="Arial"/>
                <w:sz w:val="16"/>
                <w:szCs w:val="16"/>
              </w:rPr>
              <w:t>контактної</w:t>
            </w:r>
            <w:r>
              <w:rPr>
                <w:rFonts w:cs="Arial" w:ascii="Arial" w:hAnsi="Arial"/>
                <w:sz w:val="16"/>
                <w:szCs w:val="16"/>
                <w:lang w:val="en-US"/>
              </w:rPr>
              <w:t xml:space="preserve"> </w:t>
            </w:r>
            <w:r>
              <w:rPr>
                <w:rFonts w:cs="Arial" w:ascii="Arial" w:hAnsi="Arial"/>
                <w:sz w:val="16"/>
                <w:szCs w:val="16"/>
              </w:rPr>
              <w:t>особи</w:t>
            </w:r>
            <w:r>
              <w:rPr>
                <w:rFonts w:cs="Arial" w:ascii="Arial" w:hAnsi="Arial"/>
                <w:sz w:val="16"/>
                <w:szCs w:val="16"/>
                <w:lang w:val="en-US"/>
              </w:rPr>
              <w:t xml:space="preserve"> </w:t>
            </w:r>
            <w:r>
              <w:rPr>
                <w:rFonts w:cs="Arial" w:ascii="Arial" w:hAnsi="Arial"/>
                <w:sz w:val="16"/>
                <w:szCs w:val="16"/>
              </w:rPr>
              <w:t>з</w:t>
            </w:r>
            <w:r>
              <w:rPr>
                <w:rFonts w:cs="Arial" w:ascii="Arial" w:hAnsi="Arial"/>
                <w:sz w:val="16"/>
                <w:szCs w:val="16"/>
                <w:lang w:val="en-US"/>
              </w:rPr>
              <w:t xml:space="preserve"> </w:t>
            </w:r>
            <w:r>
              <w:rPr>
                <w:rFonts w:cs="Arial" w:ascii="Arial" w:hAnsi="Arial"/>
                <w:sz w:val="16"/>
                <w:szCs w:val="16"/>
              </w:rPr>
              <w:t>фармаконагляду</w:t>
            </w:r>
            <w:r>
              <w:rPr>
                <w:rFonts w:cs="Arial" w:ascii="Arial" w:hAnsi="Arial"/>
                <w:sz w:val="16"/>
                <w:szCs w:val="16"/>
                <w:lang w:val="en-US"/>
              </w:rPr>
              <w:t xml:space="preserve"> </w:t>
            </w:r>
            <w:r>
              <w:rPr>
                <w:rFonts w:cs="Arial" w:ascii="Arial" w:hAnsi="Arial"/>
                <w:sz w:val="16"/>
                <w:szCs w:val="16"/>
              </w:rPr>
              <w:t>заявника</w:t>
            </w:r>
            <w:r>
              <w:rPr>
                <w:rFonts w:cs="Arial" w:ascii="Arial" w:hAnsi="Arial"/>
                <w:sz w:val="16"/>
                <w:szCs w:val="16"/>
                <w:lang w:val="en-US"/>
              </w:rPr>
              <w:t xml:space="preserve"> </w:t>
            </w:r>
            <w:r>
              <w:rPr>
                <w:rFonts w:cs="Arial" w:ascii="Arial" w:hAnsi="Arial"/>
                <w:sz w:val="16"/>
                <w:szCs w:val="16"/>
              </w:rPr>
              <w:t>для</w:t>
            </w:r>
            <w:r>
              <w:rPr>
                <w:rFonts w:cs="Arial" w:ascii="Arial" w:hAnsi="Arial"/>
                <w:sz w:val="16"/>
                <w:szCs w:val="16"/>
                <w:lang w:val="en-US"/>
              </w:rPr>
              <w:t xml:space="preserve"> </w:t>
            </w:r>
            <w:r>
              <w:rPr>
                <w:rFonts w:cs="Arial" w:ascii="Arial" w:hAnsi="Arial"/>
                <w:sz w:val="16"/>
                <w:szCs w:val="16"/>
              </w:rPr>
              <w:t>здійснення</w:t>
            </w:r>
            <w:r>
              <w:rPr>
                <w:rFonts w:cs="Arial" w:ascii="Arial" w:hAnsi="Arial"/>
                <w:sz w:val="16"/>
                <w:szCs w:val="16"/>
                <w:lang w:val="en-US"/>
              </w:rPr>
              <w:t xml:space="preserve"> </w:t>
            </w:r>
            <w:r>
              <w:rPr>
                <w:rFonts w:cs="Arial" w:ascii="Arial" w:hAnsi="Arial"/>
                <w:sz w:val="16"/>
                <w:szCs w:val="16"/>
              </w:rPr>
              <w:t>фармаконагляду</w:t>
            </w:r>
            <w:r>
              <w:rPr>
                <w:rFonts w:cs="Arial" w:ascii="Arial" w:hAnsi="Arial"/>
                <w:sz w:val="16"/>
                <w:szCs w:val="16"/>
                <w:lang w:val="en-US"/>
              </w:rPr>
              <w:t xml:space="preserve"> </w:t>
            </w:r>
            <w:r>
              <w:rPr>
                <w:rFonts w:cs="Arial" w:ascii="Arial" w:hAnsi="Arial"/>
                <w:sz w:val="16"/>
                <w:szCs w:val="16"/>
              </w:rPr>
              <w:t>в</w:t>
            </w:r>
            <w:r>
              <w:rPr>
                <w:rFonts w:cs="Arial" w:ascii="Arial" w:hAnsi="Arial"/>
                <w:sz w:val="16"/>
                <w:szCs w:val="16"/>
                <w:lang w:val="en-US"/>
              </w:rPr>
              <w:t xml:space="preserve"> </w:t>
            </w:r>
            <w:r>
              <w:rPr>
                <w:rFonts w:cs="Arial" w:ascii="Arial" w:hAnsi="Arial"/>
                <w:sz w:val="16"/>
                <w:szCs w:val="16"/>
              </w:rPr>
              <w:t>Україні</w:t>
            </w:r>
            <w:r>
              <w:rPr>
                <w:rFonts w:cs="Arial" w:ascii="Arial" w:hAnsi="Arial"/>
                <w:sz w:val="16"/>
                <w:szCs w:val="16"/>
                <w:lang w:val="en-US"/>
              </w:rPr>
              <w:t xml:space="preserve">, </w:t>
            </w:r>
            <w:r>
              <w:rPr>
                <w:rFonts w:cs="Arial" w:ascii="Arial" w:hAnsi="Arial"/>
                <w:sz w:val="16"/>
                <w:szCs w:val="16"/>
              </w:rPr>
              <w:t>якщо</w:t>
            </w:r>
            <w:r>
              <w:rPr>
                <w:rFonts w:cs="Arial" w:ascii="Arial" w:hAnsi="Arial"/>
                <w:sz w:val="16"/>
                <w:szCs w:val="16"/>
                <w:lang w:val="en-US"/>
              </w:rPr>
              <w:t xml:space="preserve"> </w:t>
            </w:r>
            <w:r>
              <w:rPr>
                <w:rFonts w:cs="Arial" w:ascii="Arial" w:hAnsi="Arial"/>
                <w:sz w:val="16"/>
                <w:szCs w:val="16"/>
              </w:rPr>
              <w:t>вона</w:t>
            </w:r>
            <w:r>
              <w:rPr>
                <w:rFonts w:cs="Arial" w:ascii="Arial" w:hAnsi="Arial"/>
                <w:sz w:val="16"/>
                <w:szCs w:val="16"/>
                <w:lang w:val="en-US"/>
              </w:rPr>
              <w:t xml:space="preserve"> </w:t>
            </w:r>
            <w:r>
              <w:rPr>
                <w:rFonts w:cs="Arial" w:ascii="Arial" w:hAnsi="Arial"/>
                <w:sz w:val="16"/>
                <w:szCs w:val="16"/>
              </w:rPr>
              <w:t>відмінна</w:t>
            </w:r>
            <w:r>
              <w:rPr>
                <w:rFonts w:cs="Arial" w:ascii="Arial" w:hAnsi="Arial"/>
                <w:sz w:val="16"/>
                <w:szCs w:val="16"/>
                <w:lang w:val="en-US"/>
              </w:rPr>
              <w:t xml:space="preserve"> </w:t>
            </w:r>
            <w:r>
              <w:rPr>
                <w:rFonts w:cs="Arial" w:ascii="Arial" w:hAnsi="Arial"/>
                <w:sz w:val="16"/>
                <w:szCs w:val="16"/>
              </w:rPr>
              <w:t>від</w:t>
            </w:r>
            <w:r>
              <w:rPr>
                <w:rFonts w:cs="Arial" w:ascii="Arial" w:hAnsi="Arial"/>
                <w:sz w:val="16"/>
                <w:szCs w:val="16"/>
                <w:lang w:val="en-US"/>
              </w:rPr>
              <w:t xml:space="preserve"> </w:t>
            </w:r>
            <w:r>
              <w:rPr>
                <w:rFonts w:cs="Arial" w:ascii="Arial" w:hAnsi="Arial"/>
                <w:sz w:val="16"/>
                <w:szCs w:val="16"/>
              </w:rPr>
              <w:t>уповноваженої</w:t>
            </w:r>
            <w:r>
              <w:rPr>
                <w:rFonts w:cs="Arial" w:ascii="Arial" w:hAnsi="Arial"/>
                <w:sz w:val="16"/>
                <w:szCs w:val="16"/>
                <w:lang w:val="en-US"/>
              </w:rPr>
              <w:t xml:space="preserve"> </w:t>
            </w:r>
            <w:r>
              <w:rPr>
                <w:rFonts w:cs="Arial" w:ascii="Arial" w:hAnsi="Arial"/>
                <w:sz w:val="16"/>
                <w:szCs w:val="16"/>
              </w:rPr>
              <w:t>особи</w:t>
            </w:r>
            <w:r>
              <w:rPr>
                <w:rFonts w:cs="Arial" w:ascii="Arial" w:hAnsi="Arial"/>
                <w:sz w:val="16"/>
                <w:szCs w:val="16"/>
                <w:lang w:val="en-US"/>
              </w:rPr>
              <w:t xml:space="preserve">, </w:t>
            </w:r>
            <w:r>
              <w:rPr>
                <w:rFonts w:cs="Arial" w:ascii="Arial" w:hAnsi="Arial"/>
                <w:sz w:val="16"/>
                <w:szCs w:val="16"/>
              </w:rPr>
              <w:t>відповідальної</w:t>
            </w:r>
            <w:r>
              <w:rPr>
                <w:rFonts w:cs="Arial" w:ascii="Arial" w:hAnsi="Arial"/>
                <w:sz w:val="16"/>
                <w:szCs w:val="16"/>
                <w:lang w:val="en-US"/>
              </w:rPr>
              <w:t xml:space="preserve"> </w:t>
            </w:r>
            <w:r>
              <w:rPr>
                <w:rFonts w:cs="Arial" w:ascii="Arial" w:hAnsi="Arial"/>
                <w:sz w:val="16"/>
                <w:szCs w:val="16"/>
              </w:rPr>
              <w:t>за</w:t>
            </w:r>
            <w:r>
              <w:rPr>
                <w:rFonts w:cs="Arial" w:ascii="Arial" w:hAnsi="Arial"/>
                <w:sz w:val="16"/>
                <w:szCs w:val="16"/>
                <w:lang w:val="en-US"/>
              </w:rPr>
              <w:t xml:space="preserve"> </w:t>
            </w:r>
            <w:r>
              <w:rPr>
                <w:rFonts w:cs="Arial" w:ascii="Arial" w:hAnsi="Arial"/>
                <w:sz w:val="16"/>
                <w:szCs w:val="16"/>
              </w:rPr>
              <w:t>здійснення</w:t>
            </w:r>
            <w:r>
              <w:rPr>
                <w:rFonts w:cs="Arial" w:ascii="Arial" w:hAnsi="Arial"/>
                <w:sz w:val="16"/>
                <w:szCs w:val="16"/>
                <w:lang w:val="en-US"/>
              </w:rPr>
              <w:t xml:space="preserve"> </w:t>
            </w:r>
            <w:r>
              <w:rPr>
                <w:rFonts w:cs="Arial" w:ascii="Arial" w:hAnsi="Arial"/>
                <w:sz w:val="16"/>
                <w:szCs w:val="16"/>
              </w:rPr>
              <w:t>фармаконагляду</w:t>
            </w:r>
            <w:r>
              <w:rPr>
                <w:rFonts w:cs="Arial" w:ascii="Arial" w:hAnsi="Arial"/>
                <w:sz w:val="16"/>
                <w:szCs w:val="16"/>
                <w:lang w:val="en-US"/>
              </w:rPr>
              <w:t xml:space="preserve"> (</w:t>
            </w:r>
            <w:r>
              <w:rPr>
                <w:rFonts w:cs="Arial" w:ascii="Arial" w:hAnsi="Arial"/>
                <w:sz w:val="16"/>
                <w:szCs w:val="16"/>
              </w:rPr>
              <w:t>включаючи</w:t>
            </w:r>
            <w:r>
              <w:rPr>
                <w:rFonts w:cs="Arial" w:ascii="Arial" w:hAnsi="Arial"/>
                <w:sz w:val="16"/>
                <w:szCs w:val="16"/>
                <w:lang w:val="en-US"/>
              </w:rPr>
              <w:t xml:space="preserve"> </w:t>
            </w:r>
            <w:r>
              <w:rPr>
                <w:rFonts w:cs="Arial" w:ascii="Arial" w:hAnsi="Arial"/>
                <w:sz w:val="16"/>
                <w:szCs w:val="16"/>
              </w:rPr>
              <w:t>контактні</w:t>
            </w:r>
            <w:r>
              <w:rPr>
                <w:rFonts w:cs="Arial" w:ascii="Arial" w:hAnsi="Arial"/>
                <w:sz w:val="16"/>
                <w:szCs w:val="16"/>
                <w:lang w:val="en-US"/>
              </w:rPr>
              <w:t xml:space="preserve"> </w:t>
            </w:r>
            <w:r>
              <w:rPr>
                <w:rFonts w:cs="Arial" w:ascii="Arial" w:hAnsi="Arial"/>
                <w:sz w:val="16"/>
                <w:szCs w:val="16"/>
              </w:rPr>
              <w:t>дані</w:t>
            </w:r>
            <w:r>
              <w:rPr>
                <w:rFonts w:cs="Arial" w:ascii="Arial" w:hAnsi="Arial"/>
                <w:sz w:val="16"/>
                <w:szCs w:val="16"/>
                <w:lang w:val="en-US"/>
              </w:rPr>
              <w:t xml:space="preserve">) </w:t>
            </w:r>
            <w:r>
              <w:rPr>
                <w:rFonts w:cs="Arial" w:ascii="Arial" w:hAnsi="Arial"/>
                <w:sz w:val="16"/>
                <w:szCs w:val="16"/>
              </w:rPr>
              <w:t>та</w:t>
            </w:r>
            <w:r>
              <w:rPr>
                <w:rFonts w:cs="Arial" w:ascii="Arial" w:hAnsi="Arial"/>
                <w:sz w:val="16"/>
                <w:szCs w:val="16"/>
                <w:lang w:val="en-US"/>
              </w:rPr>
              <w:t>/</w:t>
            </w:r>
            <w:r>
              <w:rPr>
                <w:rFonts w:cs="Arial" w:ascii="Arial" w:hAnsi="Arial"/>
                <w:sz w:val="16"/>
                <w:szCs w:val="16"/>
              </w:rPr>
              <w:t>або</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розміщенні</w:t>
            </w:r>
            <w:r>
              <w:rPr>
                <w:rFonts w:cs="Arial" w:ascii="Arial" w:hAnsi="Arial"/>
                <w:sz w:val="16"/>
                <w:szCs w:val="16"/>
                <w:lang w:val="en-US"/>
              </w:rPr>
              <w:t xml:space="preserve"> </w:t>
            </w:r>
            <w:r>
              <w:rPr>
                <w:rFonts w:cs="Arial" w:ascii="Arial" w:hAnsi="Arial"/>
                <w:sz w:val="16"/>
                <w:szCs w:val="16"/>
              </w:rPr>
              <w:t>мастер</w:t>
            </w:r>
            <w:r>
              <w:rPr>
                <w:rFonts w:cs="Arial" w:ascii="Arial" w:hAnsi="Arial"/>
                <w:sz w:val="16"/>
                <w:szCs w:val="16"/>
                <w:lang w:val="en-US"/>
              </w:rPr>
              <w:t>-</w:t>
            </w:r>
            <w:r>
              <w:rPr>
                <w:rFonts w:cs="Arial" w:ascii="Arial" w:hAnsi="Arial"/>
                <w:sz w:val="16"/>
                <w:szCs w:val="16"/>
              </w:rPr>
              <w:t>файла</w:t>
            </w:r>
            <w:r>
              <w:rPr>
                <w:rFonts w:cs="Arial" w:ascii="Arial" w:hAnsi="Arial"/>
                <w:sz w:val="16"/>
                <w:szCs w:val="16"/>
                <w:lang w:val="en-US"/>
              </w:rPr>
              <w:t xml:space="preserve"> </w:t>
            </w:r>
            <w:r>
              <w:rPr>
                <w:rFonts w:cs="Arial" w:ascii="Arial" w:hAnsi="Arial"/>
                <w:sz w:val="16"/>
                <w:szCs w:val="16"/>
              </w:rPr>
              <w:t>системи</w:t>
            </w:r>
            <w:r>
              <w:rPr>
                <w:rFonts w:cs="Arial" w:ascii="Arial" w:hAnsi="Arial"/>
                <w:sz w:val="16"/>
                <w:szCs w:val="16"/>
                <w:lang w:val="en-US"/>
              </w:rPr>
              <w:t xml:space="preserve"> </w:t>
            </w:r>
            <w:r>
              <w:rPr>
                <w:rFonts w:cs="Arial" w:ascii="Arial" w:hAnsi="Arial"/>
                <w:sz w:val="16"/>
                <w:szCs w:val="16"/>
              </w:rPr>
              <w:t>фармаконагляду</w:t>
            </w:r>
            <w:r>
              <w:rPr>
                <w:rFonts w:cs="Arial" w:ascii="Arial" w:hAnsi="Arial"/>
                <w:sz w:val="16"/>
                <w:szCs w:val="16"/>
                <w:lang w:val="en-US"/>
              </w:rPr>
              <w:t>) (</w:t>
            </w:r>
            <w:r>
              <w:rPr>
                <w:rFonts w:cs="Arial" w:ascii="Arial" w:hAnsi="Arial"/>
                <w:sz w:val="16"/>
                <w:szCs w:val="16"/>
              </w:rPr>
              <w:t>В</w:t>
            </w:r>
            <w:r>
              <w:rPr>
                <w:rFonts w:cs="Arial" w:ascii="Arial" w:hAnsi="Arial"/>
                <w:sz w:val="16"/>
                <w:szCs w:val="16"/>
                <w:lang w:val="en-US"/>
              </w:rPr>
              <w:t>.I.8. (</w:t>
            </w:r>
            <w:r>
              <w:rPr>
                <w:rFonts w:cs="Arial" w:ascii="Arial" w:hAnsi="Arial"/>
                <w:sz w:val="16"/>
                <w:szCs w:val="16"/>
              </w:rPr>
              <w:t>а</w:t>
            </w:r>
            <w:r>
              <w:rPr>
                <w:rFonts w:cs="Arial" w:ascii="Arial" w:hAnsi="Arial"/>
                <w:sz w:val="16"/>
                <w:szCs w:val="16"/>
                <w:lang w:val="en-US"/>
              </w:rPr>
              <w:t>) IA</w:t>
            </w:r>
            <w:r>
              <w:rPr>
                <w:rFonts w:cs="Arial" w:ascii="Arial" w:hAnsi="Arial"/>
                <w:sz w:val="16"/>
                <w:szCs w:val="16"/>
              </w:rPr>
              <w:t>нп</w:t>
            </w:r>
            <w:r>
              <w:rPr>
                <w:rFonts w:cs="Arial" w:ascii="Arial" w:hAnsi="Arial"/>
                <w:sz w:val="16"/>
                <w:szCs w:val="16"/>
                <w:lang w:val="en-US"/>
              </w:rPr>
              <w:t xml:space="preserve">), </w:t>
            </w:r>
            <w:r>
              <w:rPr>
                <w:rFonts w:cs="Arial" w:ascii="Arial" w:hAnsi="Arial"/>
                <w:sz w:val="16"/>
                <w:szCs w:val="16"/>
              </w:rPr>
              <w:t>оскільки</w:t>
            </w:r>
            <w:r>
              <w:rPr>
                <w:rFonts w:cs="Arial" w:ascii="Arial" w:hAnsi="Arial"/>
                <w:sz w:val="16"/>
                <w:szCs w:val="16"/>
                <w:lang w:val="en-US"/>
              </w:rPr>
              <w:t xml:space="preserve"> </w:t>
            </w:r>
            <w:r>
              <w:rPr>
                <w:rFonts w:cs="Arial" w:ascii="Arial" w:hAnsi="Arial"/>
                <w:sz w:val="16"/>
                <w:szCs w:val="16"/>
              </w:rPr>
              <w:t>не</w:t>
            </w:r>
            <w:r>
              <w:rPr>
                <w:rFonts w:cs="Arial" w:ascii="Arial" w:hAnsi="Arial"/>
                <w:sz w:val="16"/>
                <w:szCs w:val="16"/>
                <w:lang w:val="en-US"/>
              </w:rPr>
              <w:t xml:space="preserve"> </w:t>
            </w:r>
            <w:r>
              <w:rPr>
                <w:rFonts w:cs="Arial" w:ascii="Arial" w:hAnsi="Arial"/>
                <w:sz w:val="16"/>
                <w:szCs w:val="16"/>
              </w:rPr>
              <w:t>відбулося</w:t>
            </w:r>
            <w:r>
              <w:rPr>
                <w:rFonts w:cs="Arial" w:ascii="Arial" w:hAnsi="Arial"/>
                <w:sz w:val="16"/>
                <w:szCs w:val="16"/>
                <w:lang w:val="en-US"/>
              </w:rPr>
              <w:t xml:space="preserve"> </w:t>
            </w:r>
            <w:r>
              <w:rPr>
                <w:rFonts w:cs="Arial" w:ascii="Arial" w:hAnsi="Arial"/>
                <w:sz w:val="16"/>
                <w:szCs w:val="16"/>
              </w:rPr>
              <w:t>змін</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системі</w:t>
            </w:r>
            <w:r>
              <w:rPr>
                <w:rFonts w:cs="Arial" w:ascii="Arial" w:hAnsi="Arial"/>
                <w:sz w:val="16"/>
                <w:szCs w:val="16"/>
                <w:lang w:val="en-US"/>
              </w:rPr>
              <w:t xml:space="preserve"> </w:t>
            </w:r>
            <w:r>
              <w:rPr>
                <w:rFonts w:cs="Arial" w:ascii="Arial" w:hAnsi="Arial"/>
                <w:sz w:val="16"/>
                <w:szCs w:val="16"/>
              </w:rPr>
              <w:t>фармаконагляду</w:t>
            </w:r>
            <w:r>
              <w:rPr>
                <w:rFonts w:cs="Arial" w:ascii="Arial" w:hAnsi="Arial"/>
                <w:sz w:val="16"/>
                <w:szCs w:val="16"/>
                <w:lang w:val="en-US"/>
              </w:rPr>
              <w:t xml:space="preserve"> </w:t>
            </w:r>
            <w:r>
              <w:rPr>
                <w:rFonts w:cs="Arial" w:ascii="Arial" w:hAnsi="Arial"/>
                <w:sz w:val="16"/>
                <w:szCs w:val="16"/>
              </w:rPr>
              <w:t>нового</w:t>
            </w:r>
            <w:r>
              <w:rPr>
                <w:rFonts w:cs="Arial" w:ascii="Arial" w:hAnsi="Arial"/>
                <w:sz w:val="16"/>
                <w:szCs w:val="16"/>
                <w:lang w:val="en-US"/>
              </w:rPr>
              <w:t xml:space="preserve"> </w:t>
            </w:r>
            <w:r>
              <w:rPr>
                <w:rFonts w:cs="Arial" w:ascii="Arial" w:hAnsi="Arial"/>
                <w:sz w:val="16"/>
                <w:szCs w:val="16"/>
              </w:rPr>
              <w:t>заявника</w:t>
            </w:r>
            <w:r>
              <w:rPr>
                <w:rFonts w:cs="Arial" w:ascii="Arial" w:hAnsi="Arial"/>
                <w:sz w:val="16"/>
                <w:szCs w:val="16"/>
                <w:lang w:val="en-US"/>
              </w:rPr>
              <w:t xml:space="preserve">, </w:t>
            </w:r>
            <w:r>
              <w:rPr>
                <w:rFonts w:cs="Arial" w:ascii="Arial" w:hAnsi="Arial"/>
                <w:sz w:val="16"/>
                <w:szCs w:val="16"/>
              </w:rPr>
              <w:t>а</w:t>
            </w:r>
            <w:r>
              <w:rPr>
                <w:rFonts w:cs="Arial" w:ascii="Arial" w:hAnsi="Arial"/>
                <w:sz w:val="16"/>
                <w:szCs w:val="16"/>
                <w:lang w:val="en-US"/>
              </w:rPr>
              <w:t xml:space="preserve"> </w:t>
            </w:r>
            <w:r>
              <w:rPr>
                <w:rFonts w:cs="Arial" w:ascii="Arial" w:hAnsi="Arial"/>
                <w:sz w:val="16"/>
                <w:szCs w:val="16"/>
              </w:rPr>
              <w:t>розділи</w:t>
            </w:r>
            <w:r>
              <w:rPr>
                <w:rFonts w:cs="Arial" w:ascii="Arial" w:hAnsi="Arial"/>
                <w:sz w:val="16"/>
                <w:szCs w:val="16"/>
                <w:lang w:val="en-US"/>
              </w:rPr>
              <w:t xml:space="preserve"> "</w:t>
            </w:r>
            <w:r>
              <w:rPr>
                <w:rFonts w:cs="Arial" w:ascii="Arial" w:hAnsi="Arial"/>
                <w:sz w:val="16"/>
                <w:szCs w:val="16"/>
              </w:rPr>
              <w:t>Діюча</w:t>
            </w:r>
            <w:r>
              <w:rPr>
                <w:rFonts w:cs="Arial" w:ascii="Arial" w:hAnsi="Arial"/>
                <w:sz w:val="16"/>
                <w:szCs w:val="16"/>
                <w:lang w:val="en-US"/>
              </w:rPr>
              <w:t xml:space="preserve"> </w:t>
            </w:r>
            <w:r>
              <w:rPr>
                <w:rFonts w:cs="Arial" w:ascii="Arial" w:hAnsi="Arial"/>
                <w:sz w:val="16"/>
                <w:szCs w:val="16"/>
              </w:rPr>
              <w:t>редакція</w:t>
            </w:r>
            <w:r>
              <w:rPr>
                <w:rFonts w:cs="Arial" w:ascii="Arial" w:hAnsi="Arial"/>
                <w:sz w:val="16"/>
                <w:szCs w:val="16"/>
                <w:lang w:val="en-US"/>
              </w:rPr>
              <w:t xml:space="preserve">" </w:t>
            </w:r>
            <w:r>
              <w:rPr>
                <w:rFonts w:cs="Arial" w:ascii="Arial" w:hAnsi="Arial"/>
                <w:sz w:val="16"/>
                <w:szCs w:val="16"/>
              </w:rPr>
              <w:t>та</w:t>
            </w:r>
            <w:r>
              <w:rPr>
                <w:rFonts w:cs="Arial" w:ascii="Arial" w:hAnsi="Arial"/>
                <w:sz w:val="16"/>
                <w:szCs w:val="16"/>
                <w:lang w:val="en-US"/>
              </w:rPr>
              <w:t xml:space="preserve"> "</w:t>
            </w:r>
            <w:r>
              <w:rPr>
                <w:rFonts w:cs="Arial" w:ascii="Arial" w:hAnsi="Arial"/>
                <w:sz w:val="16"/>
                <w:szCs w:val="16"/>
              </w:rPr>
              <w:t>Пропонована</w:t>
            </w:r>
            <w:r>
              <w:rPr>
                <w:rFonts w:cs="Arial" w:ascii="Arial" w:hAnsi="Arial"/>
                <w:sz w:val="16"/>
                <w:szCs w:val="16"/>
                <w:lang w:val="en-US"/>
              </w:rPr>
              <w:t xml:space="preserve"> </w:t>
            </w:r>
            <w:r>
              <w:rPr>
                <w:rFonts w:cs="Arial" w:ascii="Arial" w:hAnsi="Arial"/>
                <w:sz w:val="16"/>
                <w:szCs w:val="16"/>
              </w:rPr>
              <w:t>редакція</w:t>
            </w:r>
            <w:r>
              <w:rPr>
                <w:rFonts w:cs="Arial" w:ascii="Arial" w:hAnsi="Arial"/>
                <w:sz w:val="16"/>
                <w:szCs w:val="16"/>
                <w:lang w:val="en-US"/>
              </w:rPr>
              <w:t xml:space="preserve">" </w:t>
            </w:r>
            <w:r>
              <w:rPr>
                <w:rFonts w:cs="Arial" w:ascii="Arial" w:hAnsi="Arial"/>
                <w:sz w:val="16"/>
                <w:szCs w:val="16"/>
              </w:rPr>
              <w:t>реєстраційної</w:t>
            </w:r>
            <w:r>
              <w:rPr>
                <w:rFonts w:cs="Arial" w:ascii="Arial" w:hAnsi="Arial"/>
                <w:sz w:val="16"/>
                <w:szCs w:val="16"/>
                <w:lang w:val="en-US"/>
              </w:rPr>
              <w:t xml:space="preserve"> </w:t>
            </w:r>
            <w:r>
              <w:rPr>
                <w:rFonts w:cs="Arial" w:ascii="Arial" w:hAnsi="Arial"/>
                <w:sz w:val="16"/>
                <w:szCs w:val="16"/>
              </w:rPr>
              <w:t>форми</w:t>
            </w:r>
            <w:r>
              <w:rPr>
                <w:rFonts w:cs="Arial" w:ascii="Arial" w:hAnsi="Arial"/>
                <w:sz w:val="16"/>
                <w:szCs w:val="16"/>
                <w:lang w:val="en-US"/>
              </w:rPr>
              <w:t xml:space="preserve"> </w:t>
            </w:r>
            <w:r>
              <w:rPr>
                <w:rFonts w:cs="Arial" w:ascii="Arial" w:hAnsi="Arial"/>
                <w:sz w:val="16"/>
                <w:szCs w:val="16"/>
              </w:rPr>
              <w:t>містять</w:t>
            </w:r>
            <w:r>
              <w:rPr>
                <w:rFonts w:cs="Arial" w:ascii="Arial" w:hAnsi="Arial"/>
                <w:sz w:val="16"/>
                <w:szCs w:val="16"/>
                <w:lang w:val="en-US"/>
              </w:rPr>
              <w:t xml:space="preserve"> </w:t>
            </w:r>
            <w:r>
              <w:rPr>
                <w:rFonts w:cs="Arial" w:ascii="Arial" w:hAnsi="Arial"/>
                <w:sz w:val="16"/>
                <w:szCs w:val="16"/>
              </w:rPr>
              <w:t>ідентичну</w:t>
            </w:r>
            <w:r>
              <w:rPr>
                <w:rFonts w:cs="Arial" w:ascii="Arial" w:hAnsi="Arial"/>
                <w:sz w:val="16"/>
                <w:szCs w:val="16"/>
                <w:lang w:val="en-US"/>
              </w:rPr>
              <w:t xml:space="preserve"> </w:t>
            </w:r>
            <w:r>
              <w:rPr>
                <w:rFonts w:cs="Arial" w:ascii="Arial" w:hAnsi="Arial"/>
                <w:sz w:val="16"/>
                <w:szCs w:val="16"/>
              </w:rPr>
              <w:t>інформацію</w:t>
            </w:r>
          </w:p>
        </w:tc>
      </w:tr>
      <w:tr>
        <w:trPr>
          <w:trHeight w:val="557" w:hRule="atLeast"/>
        </w:trPr>
        <w:tc>
          <w:tcPr>
            <w:tcW w:w="58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numPr>
                <w:ilvl w:val="0"/>
                <w:numId w:val="3"/>
              </w:numPr>
              <w:snapToGrid w:val="false"/>
              <w:rPr>
                <w:rFonts w:ascii="Arial" w:hAnsi="Arial" w:cs="Arial"/>
                <w:b/>
                <w:b/>
                <w:sz w:val="16"/>
                <w:szCs w:val="16"/>
                <w:lang w:val="en-US" w:eastAsia="en-US"/>
              </w:rPr>
            </w:pPr>
            <w:r>
              <w:rPr>
                <w:rFonts w:cs="Arial" w:ascii="Arial" w:hAnsi="Arial"/>
                <w:b/>
                <w:sz w:val="16"/>
                <w:szCs w:val="16"/>
                <w:lang w:val="en-US" w:eastAsia="en-US"/>
              </w:rPr>
            </w:r>
          </w:p>
        </w:tc>
        <w:tc>
          <w:tcPr>
            <w:tcW w:w="141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rPr>
                <w:rFonts w:ascii="Arial" w:hAnsi="Arial" w:cs="Arial"/>
                <w:b/>
                <w:b/>
                <w:sz w:val="16"/>
                <w:szCs w:val="16"/>
              </w:rPr>
            </w:pPr>
            <w:r>
              <w:rPr>
                <w:rFonts w:cs="Arial" w:ascii="Arial" w:hAnsi="Arial"/>
                <w:b/>
                <w:sz w:val="16"/>
                <w:szCs w:val="16"/>
              </w:rPr>
              <w:t xml:space="preserve">ПОЛІДЕКСА З ФЕНІЛЕФРИНОМ </w:t>
            </w:r>
          </w:p>
        </w:tc>
        <w:tc>
          <w:tcPr>
            <w:tcW w:w="170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rPr>
                <w:rFonts w:ascii="Arial" w:hAnsi="Arial" w:cs="Arial"/>
                <w:sz w:val="16"/>
                <w:szCs w:val="16"/>
              </w:rPr>
            </w:pPr>
            <w:r>
              <w:rPr>
                <w:rFonts w:cs="Arial" w:ascii="Arial" w:hAnsi="Arial"/>
                <w:sz w:val="16"/>
                <w:szCs w:val="16"/>
              </w:rPr>
              <w:t>спрей назальний, розчин; по 15 мл у флаконі з розпилювачем; по 1 флакону в картонній коробці</w:t>
            </w:r>
          </w:p>
          <w:p>
            <w:pPr>
              <w:pStyle w:val="Normal"/>
              <w:rPr>
                <w:rFonts w:ascii="Arial" w:hAnsi="Arial" w:cs="Arial"/>
                <w:sz w:val="16"/>
                <w:szCs w:val="16"/>
              </w:rPr>
            </w:pPr>
            <w:r>
              <w:rPr>
                <w:rFonts w:cs="Arial" w:ascii="Arial" w:hAnsi="Arial"/>
                <w:sz w:val="16"/>
                <w:szCs w:val="16"/>
              </w:rPr>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jc w:val="center"/>
              <w:rPr>
                <w:rFonts w:ascii="Arial" w:hAnsi="Arial" w:cs="Arial"/>
                <w:sz w:val="16"/>
                <w:szCs w:val="16"/>
              </w:rPr>
            </w:pPr>
            <w:r>
              <w:rPr>
                <w:rFonts w:cs="Arial" w:ascii="Arial" w:hAnsi="Arial"/>
                <w:sz w:val="16"/>
                <w:szCs w:val="16"/>
              </w:rPr>
              <w:t>Лабораторії Бушара Рекордаті</w:t>
            </w:r>
          </w:p>
          <w:p>
            <w:pPr>
              <w:pStyle w:val="Normal"/>
              <w:jc w:val="center"/>
              <w:rPr>
                <w:rFonts w:ascii="Arial" w:hAnsi="Arial" w:cs="Arial"/>
                <w:sz w:val="16"/>
                <w:szCs w:val="16"/>
              </w:rPr>
            </w:pPr>
            <w:r>
              <w:rPr>
                <w:rFonts w:cs="Arial" w:ascii="Arial" w:hAnsi="Arial"/>
                <w:sz w:val="16"/>
                <w:szCs w:val="16"/>
              </w:rPr>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jc w:val="center"/>
              <w:rPr>
                <w:rFonts w:ascii="Arial" w:hAnsi="Arial" w:cs="Arial"/>
                <w:sz w:val="16"/>
                <w:szCs w:val="16"/>
              </w:rPr>
            </w:pPr>
            <w:r>
              <w:rPr>
                <w:rFonts w:cs="Arial" w:ascii="Arial" w:hAnsi="Arial"/>
                <w:sz w:val="16"/>
                <w:szCs w:val="16"/>
              </w:rPr>
              <w:t>Францiя</w:t>
            </w:r>
          </w:p>
        </w:tc>
        <w:tc>
          <w:tcPr>
            <w:tcW w:w="184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jc w:val="center"/>
              <w:rPr>
                <w:rFonts w:ascii="Arial" w:hAnsi="Arial" w:cs="Arial"/>
                <w:sz w:val="16"/>
                <w:szCs w:val="16"/>
              </w:rPr>
            </w:pPr>
            <w:r>
              <w:rPr>
                <w:rFonts w:cs="Arial" w:ascii="Arial" w:hAnsi="Arial"/>
                <w:sz w:val="16"/>
                <w:szCs w:val="16"/>
              </w:rPr>
              <w:t>РЕКОРДАТІ ІЛАЧ САНАЇ ВЕ ТІК. А. С., Туреччина; Софартекс, Францiя</w:t>
            </w:r>
          </w:p>
        </w:tc>
        <w:tc>
          <w:tcPr>
            <w:tcW w:w="850"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TextBodyIndent"/>
              <w:spacing w:before="0" w:after="0"/>
              <w:ind w:left="0" w:hanging="0"/>
              <w:jc w:val="center"/>
              <w:rPr>
                <w:rFonts w:ascii="Arial" w:hAnsi="Arial" w:cs="Arial"/>
                <w:sz w:val="16"/>
                <w:szCs w:val="16"/>
              </w:rPr>
            </w:pPr>
            <w:r>
              <w:rPr>
                <w:rFonts w:cs="Arial" w:ascii="Arial" w:hAnsi="Arial"/>
                <w:sz w:val="16"/>
                <w:szCs w:val="16"/>
              </w:rPr>
              <w:t>Туреччина/ Францiя</w:t>
            </w:r>
          </w:p>
        </w:tc>
        <w:tc>
          <w:tcPr>
            <w:tcW w:w="141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312"/>
              <w:ind w:hanging="0"/>
              <w:jc w:val="left"/>
              <w:rPr>
                <w:rFonts w:cs="Arial"/>
                <w:b w:val="false"/>
                <w:b w:val="false"/>
                <w:iCs/>
                <w:sz w:val="16"/>
                <w:szCs w:val="16"/>
              </w:rPr>
            </w:pPr>
            <w:r>
              <w:rPr>
                <w:rFonts w:cs="Arial"/>
                <w:b w:val="false"/>
                <w:iCs/>
                <w:sz w:val="16"/>
                <w:szCs w:val="16"/>
              </w:rPr>
              <w:t>засідання НТР № 36 від 10.09.2026</w:t>
            </w:r>
          </w:p>
        </w:tc>
        <w:tc>
          <w:tcPr>
            <w:tcW w:w="52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TextBodyIndent"/>
              <w:spacing w:before="0" w:after="0"/>
              <w:ind w:left="0" w:hanging="0"/>
              <w:jc w:val="both"/>
              <w:rPr>
                <w:rFonts w:ascii="Arial" w:hAnsi="Arial" w:cs="Arial"/>
                <w:b/>
                <w:b/>
                <w:sz w:val="16"/>
                <w:szCs w:val="16"/>
              </w:rPr>
            </w:pPr>
            <w:r>
              <w:rPr>
                <w:rFonts w:cs="Arial" w:ascii="Arial" w:hAnsi="Arial"/>
                <w:b/>
                <w:sz w:val="16"/>
                <w:szCs w:val="16"/>
                <w:lang w:val="uk-UA"/>
              </w:rPr>
              <w:t xml:space="preserve">Відмовити у затвердженні </w:t>
            </w:r>
            <w:r>
              <w:rPr>
                <w:rFonts w:cs="Arial" w:ascii="Arial" w:hAnsi="Arial"/>
                <w:b/>
                <w:sz w:val="16"/>
                <w:szCs w:val="16"/>
                <w:lang w:val="en-US"/>
              </w:rPr>
              <w:t xml:space="preserve">- </w:t>
            </w:r>
            <w:r>
              <w:rPr>
                <w:rFonts w:cs="Arial" w:ascii="Arial" w:hAnsi="Arial"/>
                <w:sz w:val="16"/>
                <w:szCs w:val="16"/>
              </w:rPr>
              <w:t>технічна</w:t>
            </w:r>
            <w:r>
              <w:rPr>
                <w:rFonts w:cs="Arial" w:ascii="Arial" w:hAnsi="Arial"/>
                <w:sz w:val="16"/>
                <w:szCs w:val="16"/>
                <w:lang w:val="en-US"/>
              </w:rPr>
              <w:t xml:space="preserve"> </w:t>
            </w:r>
            <w:r>
              <w:rPr>
                <w:rFonts w:cs="Arial" w:ascii="Arial" w:hAnsi="Arial"/>
                <w:sz w:val="16"/>
                <w:szCs w:val="16"/>
              </w:rPr>
              <w:t>помилка</w:t>
            </w:r>
            <w:r>
              <w:rPr>
                <w:rFonts w:cs="Arial" w:ascii="Arial" w:hAnsi="Arial"/>
                <w:sz w:val="16"/>
                <w:szCs w:val="16"/>
                <w:lang w:val="en-US"/>
              </w:rPr>
              <w:t xml:space="preserve"> (</w:t>
            </w:r>
            <w:r>
              <w:rPr>
                <w:rFonts w:cs="Arial" w:ascii="Arial" w:hAnsi="Arial"/>
                <w:sz w:val="16"/>
                <w:szCs w:val="16"/>
              </w:rPr>
              <w:t>згідно</w:t>
            </w:r>
            <w:r>
              <w:rPr>
                <w:rFonts w:cs="Arial" w:ascii="Arial" w:hAnsi="Arial"/>
                <w:sz w:val="16"/>
                <w:szCs w:val="16"/>
                <w:lang w:val="en-US"/>
              </w:rPr>
              <w:t xml:space="preserve"> </w:t>
            </w:r>
            <w:r>
              <w:rPr>
                <w:rFonts w:cs="Arial" w:ascii="Arial" w:hAnsi="Arial"/>
                <w:sz w:val="16"/>
                <w:szCs w:val="16"/>
              </w:rPr>
              <w:t>наказу</w:t>
            </w:r>
            <w:r>
              <w:rPr>
                <w:rFonts w:cs="Arial" w:ascii="Arial" w:hAnsi="Arial"/>
                <w:sz w:val="16"/>
                <w:szCs w:val="16"/>
                <w:lang w:val="en-US"/>
              </w:rPr>
              <w:t xml:space="preserve"> </w:t>
            </w:r>
            <w:r>
              <w:rPr>
                <w:rFonts w:cs="Arial" w:ascii="Arial" w:hAnsi="Arial"/>
                <w:sz w:val="16"/>
                <w:szCs w:val="16"/>
              </w:rPr>
              <w:t>МОЗ</w:t>
            </w:r>
            <w:r>
              <w:rPr>
                <w:rFonts w:cs="Arial" w:ascii="Arial" w:hAnsi="Arial"/>
                <w:sz w:val="16"/>
                <w:szCs w:val="16"/>
                <w:lang w:val="en-US"/>
              </w:rPr>
              <w:t xml:space="preserve"> </w:t>
            </w:r>
            <w:r>
              <w:rPr>
                <w:rFonts w:cs="Arial" w:ascii="Arial" w:hAnsi="Arial"/>
                <w:sz w:val="16"/>
                <w:szCs w:val="16"/>
              </w:rPr>
              <w:t>від</w:t>
            </w:r>
            <w:r>
              <w:rPr>
                <w:rFonts w:cs="Arial" w:ascii="Arial" w:hAnsi="Arial"/>
                <w:sz w:val="16"/>
                <w:szCs w:val="16"/>
                <w:lang w:val="en-US"/>
              </w:rPr>
              <w:t xml:space="preserve"> 23.07.2015 № 460), </w:t>
            </w:r>
            <w:r>
              <w:rPr>
                <w:rFonts w:cs="Arial" w:ascii="Arial" w:hAnsi="Arial"/>
                <w:sz w:val="16"/>
                <w:szCs w:val="16"/>
              </w:rPr>
              <w:t>виправлення</w:t>
            </w:r>
            <w:r>
              <w:rPr>
                <w:rFonts w:cs="Arial" w:ascii="Arial" w:hAnsi="Arial"/>
                <w:sz w:val="16"/>
                <w:szCs w:val="16"/>
                <w:lang w:val="en-US"/>
              </w:rPr>
              <w:t xml:space="preserve"> </w:t>
            </w:r>
            <w:r>
              <w:rPr>
                <w:rFonts w:cs="Arial" w:ascii="Arial" w:hAnsi="Arial"/>
                <w:sz w:val="16"/>
                <w:szCs w:val="16"/>
              </w:rPr>
              <w:t>технічної</w:t>
            </w:r>
            <w:r>
              <w:rPr>
                <w:rFonts w:cs="Arial" w:ascii="Arial" w:hAnsi="Arial"/>
                <w:sz w:val="16"/>
                <w:szCs w:val="16"/>
                <w:lang w:val="en-US"/>
              </w:rPr>
              <w:t xml:space="preserve"> </w:t>
            </w:r>
            <w:r>
              <w:rPr>
                <w:rFonts w:cs="Arial" w:ascii="Arial" w:hAnsi="Arial"/>
                <w:sz w:val="16"/>
                <w:szCs w:val="16"/>
              </w:rPr>
              <w:t>помилки</w:t>
            </w:r>
            <w:r>
              <w:rPr>
                <w:rFonts w:cs="Arial" w:ascii="Arial" w:hAnsi="Arial"/>
                <w:sz w:val="16"/>
                <w:szCs w:val="16"/>
                <w:lang w:val="en-US"/>
              </w:rPr>
              <w:t xml:space="preserve"> </w:t>
            </w:r>
            <w:r>
              <w:rPr>
                <w:rFonts w:cs="Arial" w:ascii="Arial" w:hAnsi="Arial"/>
                <w:sz w:val="16"/>
                <w:szCs w:val="16"/>
              </w:rPr>
              <w:t>згідно</w:t>
            </w:r>
            <w:r>
              <w:rPr>
                <w:rFonts w:cs="Arial" w:ascii="Arial" w:hAnsi="Arial"/>
                <w:sz w:val="16"/>
                <w:szCs w:val="16"/>
                <w:lang w:val="en-US"/>
              </w:rPr>
              <w:t xml:space="preserve"> </w:t>
            </w:r>
            <w:r>
              <w:rPr>
                <w:rFonts w:cs="Arial" w:ascii="Arial" w:hAnsi="Arial"/>
                <w:sz w:val="16"/>
                <w:szCs w:val="16"/>
              </w:rPr>
              <w:t>п</w:t>
            </w:r>
            <w:r>
              <w:rPr>
                <w:rFonts w:cs="Arial" w:ascii="Arial" w:hAnsi="Arial"/>
                <w:sz w:val="16"/>
                <w:szCs w:val="16"/>
                <w:lang w:val="en-US"/>
              </w:rPr>
              <w:t xml:space="preserve">.2.4. </w:t>
            </w:r>
            <w:r>
              <w:rPr>
                <w:rFonts w:cs="Arial" w:ascii="Arial" w:hAnsi="Arial"/>
                <w:sz w:val="16"/>
                <w:szCs w:val="16"/>
              </w:rPr>
              <w:t>розділу</w:t>
            </w:r>
            <w:r>
              <w:rPr>
                <w:rFonts w:cs="Arial" w:ascii="Arial" w:hAnsi="Arial"/>
                <w:sz w:val="16"/>
                <w:szCs w:val="16"/>
                <w:lang w:val="en-US"/>
              </w:rPr>
              <w:t xml:space="preserve"> VI </w:t>
            </w:r>
            <w:r>
              <w:rPr>
                <w:rFonts w:cs="Arial" w:ascii="Arial" w:hAnsi="Arial"/>
                <w:sz w:val="16"/>
                <w:szCs w:val="16"/>
              </w:rPr>
              <w:t>наказу</w:t>
            </w:r>
            <w:r>
              <w:rPr>
                <w:rFonts w:cs="Arial" w:ascii="Arial" w:hAnsi="Arial"/>
                <w:sz w:val="16"/>
                <w:szCs w:val="16"/>
                <w:lang w:val="en-US"/>
              </w:rPr>
              <w:t xml:space="preserve"> </w:t>
            </w:r>
            <w:r>
              <w:rPr>
                <w:rFonts w:cs="Arial" w:ascii="Arial" w:hAnsi="Arial"/>
                <w:sz w:val="16"/>
                <w:szCs w:val="16"/>
              </w:rPr>
              <w:t>МОЗ</w:t>
            </w:r>
            <w:r>
              <w:rPr>
                <w:rFonts w:cs="Arial" w:ascii="Arial" w:hAnsi="Arial"/>
                <w:sz w:val="16"/>
                <w:szCs w:val="16"/>
                <w:lang w:val="en-US"/>
              </w:rPr>
              <w:t xml:space="preserve"> </w:t>
            </w:r>
            <w:r>
              <w:rPr>
                <w:rFonts w:cs="Arial" w:ascii="Arial" w:hAnsi="Arial"/>
                <w:sz w:val="16"/>
                <w:szCs w:val="16"/>
              </w:rPr>
              <w:t>України</w:t>
            </w:r>
            <w:r>
              <w:rPr>
                <w:rFonts w:cs="Arial" w:ascii="Arial" w:hAnsi="Arial"/>
                <w:sz w:val="16"/>
                <w:szCs w:val="16"/>
                <w:lang w:val="en-US"/>
              </w:rPr>
              <w:t xml:space="preserve"> </w:t>
            </w:r>
            <w:r>
              <w:rPr>
                <w:rFonts w:cs="Arial" w:ascii="Arial" w:hAnsi="Arial"/>
                <w:sz w:val="16"/>
                <w:szCs w:val="16"/>
              </w:rPr>
              <w:t>від</w:t>
            </w:r>
            <w:r>
              <w:rPr>
                <w:rFonts w:cs="Arial" w:ascii="Arial" w:hAnsi="Arial"/>
                <w:sz w:val="16"/>
                <w:szCs w:val="16"/>
                <w:lang w:val="en-US"/>
              </w:rPr>
              <w:t xml:space="preserve"> 26.08.2005</w:t>
            </w:r>
            <w:r>
              <w:rPr>
                <w:rFonts w:cs="Arial" w:ascii="Arial" w:hAnsi="Arial"/>
                <w:sz w:val="16"/>
                <w:szCs w:val="16"/>
              </w:rPr>
              <w:t>р</w:t>
            </w:r>
            <w:r>
              <w:rPr>
                <w:rFonts w:cs="Arial" w:ascii="Arial" w:hAnsi="Arial"/>
                <w:sz w:val="16"/>
                <w:szCs w:val="16"/>
                <w:lang w:val="en-US"/>
              </w:rPr>
              <w:t>. № 426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редакції</w:t>
            </w:r>
            <w:r>
              <w:rPr>
                <w:rFonts w:cs="Arial" w:ascii="Arial" w:hAnsi="Arial"/>
                <w:sz w:val="16"/>
                <w:szCs w:val="16"/>
                <w:lang w:val="en-US"/>
              </w:rPr>
              <w:t xml:space="preserve"> </w:t>
            </w:r>
            <w:r>
              <w:rPr>
                <w:rFonts w:cs="Arial" w:ascii="Arial" w:hAnsi="Arial"/>
                <w:sz w:val="16"/>
                <w:szCs w:val="16"/>
              </w:rPr>
              <w:t>наказу</w:t>
            </w:r>
            <w:r>
              <w:rPr>
                <w:rFonts w:cs="Arial" w:ascii="Arial" w:hAnsi="Arial"/>
                <w:sz w:val="16"/>
                <w:szCs w:val="16"/>
                <w:lang w:val="en-US"/>
              </w:rPr>
              <w:t xml:space="preserve"> </w:t>
            </w:r>
            <w:r>
              <w:rPr>
                <w:rFonts w:cs="Arial" w:ascii="Arial" w:hAnsi="Arial"/>
                <w:sz w:val="16"/>
                <w:szCs w:val="16"/>
              </w:rPr>
              <w:t>МОЗ</w:t>
            </w:r>
            <w:r>
              <w:rPr>
                <w:rFonts w:cs="Arial" w:ascii="Arial" w:hAnsi="Arial"/>
                <w:sz w:val="16"/>
                <w:szCs w:val="16"/>
                <w:lang w:val="en-US"/>
              </w:rPr>
              <w:t xml:space="preserve"> </w:t>
            </w:r>
            <w:r>
              <w:rPr>
                <w:rFonts w:cs="Arial" w:ascii="Arial" w:hAnsi="Arial"/>
                <w:sz w:val="16"/>
                <w:szCs w:val="16"/>
              </w:rPr>
              <w:t>України</w:t>
            </w:r>
            <w:r>
              <w:rPr>
                <w:rFonts w:cs="Arial" w:ascii="Arial" w:hAnsi="Arial"/>
                <w:sz w:val="16"/>
                <w:szCs w:val="16"/>
                <w:lang w:val="en-US"/>
              </w:rPr>
              <w:t xml:space="preserve"> </w:t>
            </w:r>
            <w:r>
              <w:rPr>
                <w:rFonts w:cs="Arial" w:ascii="Arial" w:hAnsi="Arial"/>
                <w:sz w:val="16"/>
                <w:szCs w:val="16"/>
              </w:rPr>
              <w:t>від</w:t>
            </w:r>
            <w:r>
              <w:rPr>
                <w:rFonts w:cs="Arial" w:ascii="Arial" w:hAnsi="Arial"/>
                <w:sz w:val="16"/>
                <w:szCs w:val="16"/>
                <w:lang w:val="en-US"/>
              </w:rPr>
              <w:t xml:space="preserve"> 23.07.2015 </w:t>
            </w:r>
            <w:r>
              <w:rPr>
                <w:rFonts w:cs="Arial" w:ascii="Arial" w:hAnsi="Arial"/>
                <w:sz w:val="16"/>
                <w:szCs w:val="16"/>
              </w:rPr>
              <w:t>р</w:t>
            </w:r>
            <w:r>
              <w:rPr>
                <w:rFonts w:cs="Arial" w:ascii="Arial" w:hAnsi="Arial"/>
                <w:sz w:val="16"/>
                <w:szCs w:val="16"/>
                <w:lang w:val="en-US"/>
              </w:rPr>
              <w:t xml:space="preserve"> № 460), </w:t>
            </w:r>
            <w:r>
              <w:rPr>
                <w:rFonts w:cs="Arial" w:ascii="Arial" w:hAnsi="Arial"/>
                <w:sz w:val="16"/>
                <w:szCs w:val="16"/>
              </w:rPr>
              <w:t>в</w:t>
            </w:r>
            <w:r>
              <w:rPr>
                <w:rFonts w:cs="Arial" w:ascii="Arial" w:hAnsi="Arial"/>
                <w:sz w:val="16"/>
                <w:szCs w:val="16"/>
                <w:lang w:val="en-US"/>
              </w:rPr>
              <w:t xml:space="preserve"> </w:t>
            </w:r>
            <w:r>
              <w:rPr>
                <w:rFonts w:cs="Arial" w:ascii="Arial" w:hAnsi="Arial"/>
                <w:sz w:val="16"/>
                <w:szCs w:val="16"/>
              </w:rPr>
              <w:t>методах</w:t>
            </w:r>
            <w:r>
              <w:rPr>
                <w:rFonts w:cs="Arial" w:ascii="Arial" w:hAnsi="Arial"/>
                <w:sz w:val="16"/>
                <w:szCs w:val="16"/>
                <w:lang w:val="en-US"/>
              </w:rPr>
              <w:t xml:space="preserve"> </w:t>
            </w:r>
            <w:r>
              <w:rPr>
                <w:rFonts w:cs="Arial" w:ascii="Arial" w:hAnsi="Arial"/>
                <w:sz w:val="16"/>
                <w:szCs w:val="16"/>
              </w:rPr>
              <w:t>контролю</w:t>
            </w:r>
            <w:r>
              <w:rPr>
                <w:rFonts w:cs="Arial" w:ascii="Arial" w:hAnsi="Arial"/>
                <w:sz w:val="16"/>
                <w:szCs w:val="16"/>
                <w:lang w:val="en-US"/>
              </w:rPr>
              <w:t xml:space="preserve"> </w:t>
            </w:r>
            <w:r>
              <w:rPr>
                <w:rFonts w:cs="Arial" w:ascii="Arial" w:hAnsi="Arial"/>
                <w:sz w:val="16"/>
                <w:szCs w:val="16"/>
              </w:rPr>
              <w:t>якості</w:t>
            </w:r>
            <w:r>
              <w:rPr>
                <w:rFonts w:cs="Arial" w:ascii="Arial" w:hAnsi="Arial"/>
                <w:sz w:val="16"/>
                <w:szCs w:val="16"/>
                <w:lang w:val="en-US"/>
              </w:rPr>
              <w:t xml:space="preserve"> </w:t>
            </w:r>
            <w:r>
              <w:rPr>
                <w:rFonts w:cs="Arial" w:ascii="Arial" w:hAnsi="Arial"/>
                <w:sz w:val="16"/>
                <w:szCs w:val="16"/>
              </w:rPr>
              <w:t>за</w:t>
            </w:r>
            <w:r>
              <w:rPr>
                <w:rFonts w:cs="Arial" w:ascii="Arial" w:hAnsi="Arial"/>
                <w:sz w:val="16"/>
                <w:szCs w:val="16"/>
                <w:lang w:val="en-US"/>
              </w:rPr>
              <w:t xml:space="preserve"> </w:t>
            </w:r>
            <w:r>
              <w:rPr>
                <w:rFonts w:cs="Arial" w:ascii="Arial" w:hAnsi="Arial"/>
                <w:sz w:val="16"/>
                <w:szCs w:val="16"/>
              </w:rPr>
              <w:t>показником</w:t>
            </w:r>
            <w:r>
              <w:rPr>
                <w:rFonts w:cs="Arial" w:ascii="Arial" w:hAnsi="Arial"/>
                <w:sz w:val="16"/>
                <w:szCs w:val="16"/>
                <w:lang w:val="en-US"/>
              </w:rPr>
              <w:t xml:space="preserve"> «</w:t>
            </w:r>
            <w:r>
              <w:rPr>
                <w:rFonts w:cs="Arial" w:ascii="Arial" w:hAnsi="Arial"/>
                <w:sz w:val="16"/>
                <w:szCs w:val="16"/>
              </w:rPr>
              <w:t>Опис</w:t>
            </w:r>
            <w:r>
              <w:rPr>
                <w:rFonts w:cs="Arial" w:ascii="Arial" w:hAnsi="Arial"/>
                <w:sz w:val="16"/>
                <w:szCs w:val="16"/>
                <w:lang w:val="en-US"/>
              </w:rPr>
              <w:t>» (</w:t>
            </w:r>
            <w:r>
              <w:rPr>
                <w:rFonts w:cs="Arial" w:ascii="Arial" w:hAnsi="Arial"/>
                <w:sz w:val="16"/>
                <w:szCs w:val="16"/>
              </w:rPr>
              <w:t>щодо</w:t>
            </w:r>
            <w:r>
              <w:rPr>
                <w:rFonts w:cs="Arial" w:ascii="Arial" w:hAnsi="Arial"/>
                <w:sz w:val="16"/>
                <w:szCs w:val="16"/>
                <w:lang w:val="en-US"/>
              </w:rPr>
              <w:t xml:space="preserve"> </w:t>
            </w:r>
            <w:r>
              <w:rPr>
                <w:rFonts w:cs="Arial" w:ascii="Arial" w:hAnsi="Arial"/>
                <w:sz w:val="16"/>
                <w:szCs w:val="16"/>
              </w:rPr>
              <w:t>кольоровості</w:t>
            </w:r>
            <w:r>
              <w:rPr>
                <w:rFonts w:cs="Arial" w:ascii="Arial" w:hAnsi="Arial"/>
                <w:sz w:val="16"/>
                <w:szCs w:val="16"/>
                <w:lang w:val="en-US"/>
              </w:rPr>
              <w:t xml:space="preserve">) </w:t>
            </w:r>
            <w:r>
              <w:rPr>
                <w:rFonts w:cs="Arial" w:ascii="Arial" w:hAnsi="Arial"/>
                <w:sz w:val="16"/>
                <w:szCs w:val="16"/>
              </w:rPr>
              <w:t>відповідно</w:t>
            </w:r>
            <w:r>
              <w:rPr>
                <w:rFonts w:cs="Arial" w:ascii="Arial" w:hAnsi="Arial"/>
                <w:sz w:val="16"/>
                <w:szCs w:val="16"/>
                <w:lang w:val="en-US"/>
              </w:rPr>
              <w:t xml:space="preserve"> </w:t>
            </w:r>
            <w:r>
              <w:rPr>
                <w:rFonts w:cs="Arial" w:ascii="Arial" w:hAnsi="Arial"/>
                <w:sz w:val="16"/>
                <w:szCs w:val="16"/>
              </w:rPr>
              <w:t>до</w:t>
            </w:r>
            <w:r>
              <w:rPr>
                <w:rFonts w:cs="Arial" w:ascii="Arial" w:hAnsi="Arial"/>
                <w:sz w:val="16"/>
                <w:szCs w:val="16"/>
                <w:lang w:val="en-US"/>
              </w:rPr>
              <w:t xml:space="preserve"> </w:t>
            </w:r>
            <w:r>
              <w:rPr>
                <w:rFonts w:cs="Arial" w:ascii="Arial" w:hAnsi="Arial"/>
                <w:sz w:val="16"/>
                <w:szCs w:val="16"/>
              </w:rPr>
              <w:t>Специфікації</w:t>
            </w:r>
            <w:r>
              <w:rPr>
                <w:rFonts w:cs="Arial" w:ascii="Arial" w:hAnsi="Arial"/>
                <w:sz w:val="16"/>
                <w:szCs w:val="16"/>
                <w:lang w:val="en-US"/>
              </w:rPr>
              <w:t xml:space="preserve"> </w:t>
            </w:r>
            <w:r>
              <w:rPr>
                <w:rFonts w:cs="Arial" w:ascii="Arial" w:hAnsi="Arial"/>
                <w:sz w:val="16"/>
                <w:szCs w:val="16"/>
              </w:rPr>
              <w:t>ГЛЗ</w:t>
            </w:r>
            <w:r>
              <w:rPr>
                <w:rFonts w:cs="Arial" w:ascii="Arial" w:hAnsi="Arial"/>
                <w:sz w:val="16"/>
                <w:szCs w:val="16"/>
                <w:lang w:val="en-US"/>
              </w:rPr>
              <w:t xml:space="preserve"> (</w:t>
            </w:r>
            <w:r>
              <w:rPr>
                <w:rFonts w:cs="Arial" w:ascii="Arial" w:hAnsi="Arial"/>
                <w:sz w:val="16"/>
                <w:szCs w:val="16"/>
              </w:rPr>
              <w:t>на</w:t>
            </w:r>
            <w:r>
              <w:rPr>
                <w:rFonts w:cs="Arial" w:ascii="Arial" w:hAnsi="Arial"/>
                <w:sz w:val="16"/>
                <w:szCs w:val="16"/>
                <w:lang w:val="en-US"/>
              </w:rPr>
              <w:t xml:space="preserve"> </w:t>
            </w:r>
            <w:r>
              <w:rPr>
                <w:rFonts w:cs="Arial" w:ascii="Arial" w:hAnsi="Arial"/>
                <w:sz w:val="16"/>
                <w:szCs w:val="16"/>
              </w:rPr>
              <w:t>випуск</w:t>
            </w:r>
            <w:r>
              <w:rPr>
                <w:rFonts w:cs="Arial" w:ascii="Arial" w:hAnsi="Arial"/>
                <w:sz w:val="16"/>
                <w:szCs w:val="16"/>
                <w:lang w:val="en-US"/>
              </w:rPr>
              <w:t xml:space="preserve">). </w:t>
            </w:r>
            <w:r>
              <w:rPr>
                <w:rFonts w:cs="Arial" w:ascii="Arial" w:hAnsi="Arial"/>
                <w:sz w:val="16"/>
                <w:szCs w:val="16"/>
              </w:rPr>
              <w:t>Зазначене виправлення не рекомендовано до затвердження, оскільки встановлено невідповідність між змістом заявленої процедури та наданими проєктами змін до МКЯ ЛЗ. В змісті заявленої процедури заявлено виправлення технічної помилки в методах контролю якості за показником «Опис» (щодо кольоровості) відповідно до Специфікації ГЛЗ (на випуск), в той час, як в наданих проєктах змін до МКЯ ЛЗ пропонована редакція змін вже є офіційно затвердженою, окрім показника «Опис» (щодо кольоровості). Надані проєкти змін не відповідають фактичному стану актуального реєстраційного досьє та суті заявленої процедури</w:t>
            </w:r>
          </w:p>
        </w:tc>
      </w:tr>
    </w:tbl>
    <w:p>
      <w:pPr>
        <w:pStyle w:val="Normal"/>
        <w:ind w:right="20" w:hanging="0"/>
        <w:rPr>
          <w:rFonts w:ascii="Arial" w:hAnsi="Arial" w:cs="Arial"/>
          <w:b/>
          <w:b/>
          <w:i/>
          <w:i/>
          <w:sz w:val="16"/>
          <w:szCs w:val="16"/>
        </w:rPr>
      </w:pPr>
      <w:r>
        <w:rPr>
          <w:rFonts w:cs="Arial" w:ascii="Arial" w:hAnsi="Arial"/>
          <w:b/>
          <w:i/>
          <w:sz w:val="16"/>
          <w:szCs w:val="16"/>
        </w:rPr>
      </w:r>
    </w:p>
    <w:p>
      <w:pPr>
        <w:pStyle w:val="Normal"/>
        <w:ind w:right="20" w:hanging="0"/>
        <w:rPr>
          <w:rFonts w:ascii="Arial" w:hAnsi="Arial" w:cs="Arial"/>
          <w:b/>
          <w:b/>
          <w:i/>
          <w:i/>
          <w:sz w:val="16"/>
          <w:szCs w:val="16"/>
        </w:rPr>
      </w:pPr>
      <w:r>
        <w:rPr>
          <w:rFonts w:cs="Arial" w:ascii="Arial" w:hAnsi="Arial"/>
          <w:b/>
          <w:i/>
          <w:sz w:val="16"/>
          <w:szCs w:val="16"/>
        </w:rPr>
      </w:r>
    </w:p>
    <w:p>
      <w:pPr>
        <w:pStyle w:val="11"/>
        <w:rPr/>
      </w:pPr>
      <w:r>
        <w:rPr>
          <w:rStyle w:val="Cs7864ebcf1"/>
          <w:color w:val="000000"/>
          <w:sz w:val="28"/>
          <w:szCs w:val="28"/>
        </w:rPr>
        <w:t>Начальник</w:t>
      </w:r>
    </w:p>
    <w:p>
      <w:pPr>
        <w:pStyle w:val="11"/>
        <w:rPr>
          <w:rStyle w:val="Cs7864ebcf1"/>
          <w:color w:val="000000"/>
          <w:sz w:val="28"/>
          <w:szCs w:val="28"/>
        </w:rPr>
      </w:pPr>
      <w:r>
        <w:rPr>
          <w:rStyle w:val="Cs7864ebcf1"/>
          <w:color w:val="000000"/>
          <w:sz w:val="28"/>
          <w:szCs w:val="28"/>
        </w:rPr>
        <w:t>Фармацевтичного управління                                                                                                             Олександр ГРІЦЕНКО</w:t>
      </w:r>
    </w:p>
    <w:p>
      <w:pPr>
        <w:pStyle w:val="33"/>
        <w:spacing w:before="0" w:after="0"/>
        <w:ind w:left="0" w:hanging="0"/>
        <w:rPr>
          <w:rStyle w:val="Cs7864ebcf1"/>
          <w:b/>
          <w:b/>
          <w:color w:val="000000"/>
          <w:sz w:val="28"/>
          <w:szCs w:val="28"/>
          <w:lang w:val="uk-UA"/>
        </w:rPr>
      </w:pPr>
      <w:r>
        <w:rPr/>
      </w:r>
    </w:p>
    <w:sectPr>
      <w:headerReference w:type="default" r:id="rId22"/>
      <w:headerReference w:type="first" r:id="rId23"/>
      <w:footerReference w:type="default" r:id="rId24"/>
      <w:footerReference w:type="first" r:id="rId25"/>
      <w:type w:val="nextPage"/>
      <w:pgSz w:orient="landscape" w:w="16838" w:h="11906"/>
      <w:pgMar w:left="1077" w:right="1134" w:header="709" w:top="907" w:footer="709" w:bottom="907"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cc"/>
    <w:family w:val="roman"/>
    <w:pitch w:val="variable"/>
  </w:font>
  <w:font w:name="Arial">
    <w:charset w:val="cc"/>
    <w:family w:val="swiss"/>
    <w:pitch w:val="variable"/>
  </w:font>
  <w:font w:name="Courier New">
    <w:charset w:val="cc"/>
    <w:family w:val="modern"/>
    <w:pitch w:val="default"/>
  </w:font>
  <w:font w:name="Segoe UI">
    <w:charset w:val="cc"/>
    <w:family w:val="swiss"/>
    <w:pitch w:val="variable"/>
  </w:font>
  <w:font w:name="Tahoma">
    <w:charset w:val="cc"/>
    <w:family w:val="swiss"/>
    <w:pitch w:val="variable"/>
  </w:font>
  <w:font w:name="Microsoft YaHei">
    <w:charset w:val="86"/>
    <w:family w:val="swiss"/>
    <w:pitch w:val="variable"/>
  </w:font>
  <w:font w:name="Cambria">
    <w:charset w:val="cc"/>
    <w:family w:val="roman"/>
    <w:pitch w:val="variable"/>
  </w:font>
  <w:font w:name="Calibri Light">
    <w:charset w:val="cc"/>
    <w:family w:val="swiss"/>
    <w:pitch w:val="variable"/>
  </w:font>
  <w:font w:name="Calibri">
    <w:charset w:val="cc"/>
    <w:family w:val="swiss"/>
    <w:pitch w:val="variable"/>
  </w:font>
  <w:font w:name="Times New Roman CYR">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lang w:val="uk-UA"/>
      </w:rPr>
    </w:pPr>
    <w:r>
      <w:rPr>
        <w:lang w:val="uk-UA"/>
      </w:rPr>
    </w:r>
  </w:p>
  <w:p>
    <w:pPr>
      <w:pStyle w:val="Footer"/>
      <w:rPr>
        <w:lang w:val="uk-UA"/>
      </w:rPr>
    </w:pPr>
    <w:r>
      <w:rPr>
        <w:lang w:val="uk-UA"/>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lang w:val="uk-UA"/>
      </w:rPr>
    </w:pPr>
    <w:r>
      <w:rPr>
        <w:lang w:val="uk-UA"/>
      </w:rPr>
    </w:r>
  </w:p>
  <w:p>
    <w:pPr>
      <w:pStyle w:val="Footer"/>
      <w:rPr>
        <w:lang w:val="uk-UA"/>
      </w:rPr>
    </w:pPr>
    <w:r>
      <w:rPr>
        <w:lang w:val="uk-UA"/>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lang w:val="uk-UA"/>
      </w:rPr>
    </w:pPr>
    <w:r>
      <w:rPr>
        <w:lang w:val="uk-UA"/>
      </w:rPr>
    </w:r>
  </w:p>
  <w:p>
    <w:pPr>
      <w:pStyle w:val="Footer"/>
      <w:rPr>
        <w:lang w:val="uk-UA"/>
      </w:rPr>
    </w:pPr>
    <w:r>
      <w:rPr>
        <w:lang w:val="uk-UA"/>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lang w:val="uk-UA"/>
      </w:rPr>
    </w:pPr>
    <w:r>
      <w:rPr>
        <w:lang w:val="uk-UA"/>
      </w:rPr>
    </w:r>
  </w:p>
  <w:p>
    <w:pPr>
      <w:pStyle w:val="Footer"/>
      <w:rPr>
        <w:lang w:val="uk-UA"/>
      </w:rPr>
    </w:pPr>
    <w:r>
      <w:rPr>
        <w:lang w:val="uk-UA"/>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lang w:val="uk-UA"/>
      </w:rPr>
    </w:pPr>
    <w:r>
      <w:rPr>
        <w:lang w:val="uk-UA"/>
      </w:rPr>
    </w:r>
  </w:p>
  <w:p>
    <w:pPr>
      <w:pStyle w:val="Footer"/>
      <w:rPr>
        <w:lang w:val="uk-UA"/>
      </w:rPr>
    </w:pPr>
    <w:r>
      <w:rPr>
        <w:lang w:val="uk-UA"/>
      </w:rPr>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r>
      <mc:AlternateContent>
        <mc:Choice Requires="wps">
          <w:drawing>
            <wp:anchor behindDoc="0" distT="0" distB="0" distL="0" distR="0" simplePos="0" locked="0" layoutInCell="1" allowOverlap="1" relativeHeight="3">
              <wp:simplePos x="0" y="0"/>
              <wp:positionH relativeFrom="margin">
                <wp:align>center</wp:align>
              </wp:positionH>
              <wp:positionV relativeFrom="paragraph">
                <wp:posOffset>635</wp:posOffset>
              </wp:positionV>
              <wp:extent cx="64135" cy="145415"/>
              <wp:effectExtent l="0" t="0" r="0" b="0"/>
              <wp:wrapSquare wrapText="largest"/>
              <wp:docPr id="2" name="Frame1"/>
              <a:graphic xmlns:a="http://schemas.openxmlformats.org/drawingml/2006/main">
                <a:graphicData uri="http://schemas.microsoft.com/office/word/2010/wordprocessingShape">
                  <wps:wsp>
                    <wps:cNvSpPr txBox="1"/>
                    <wps:spPr>
                      <a:xfrm>
                        <a:off x="0" y="0"/>
                        <a:ext cx="64135" cy="145415"/>
                      </a:xfrm>
                      <a:prstGeom prst="rect"/>
                      <a:solidFill>
                        <a:srgbClr val="FFFFFF">
                          <a:alpha val="0"/>
                        </a:srgbClr>
                      </a:solidFill>
                    </wps:spPr>
                    <wps:txbx>
                      <w:txbxContent>
                        <w:p>
                          <w:pPr>
                            <w:pStyle w:val="Header"/>
                            <w:rPr>
                              <w:rStyle w:val="PageNumber"/>
                            </w:rPr>
                          </w:pPr>
                          <w:r>
                            <w:rPr>
                              <w:rStyle w:val="PageNumber"/>
                            </w:rPr>
                            <w:fldChar w:fldCharType="begin"/>
                          </w:r>
                          <w:r>
                            <w:instrText> PAGE </w:instrText>
                          </w:r>
                          <w:r>
                            <w:fldChar w:fldCharType="separate"/>
                          </w:r>
                          <w:r>
                            <w:t>2</w:t>
                          </w:r>
                          <w:r>
                            <w:fldChar w:fldCharType="end"/>
                          </w:r>
                        </w:p>
                      </w:txbxContent>
                    </wps:txbx>
                    <wps:bodyPr anchor="t">
                      <a:noAutofit/>
                    </wps:bodyPr>
                  </wps:wsp>
                </a:graphicData>
              </a:graphic>
            </wp:anchor>
          </w:drawing>
        </mc:Choice>
        <mc:Fallback>
          <w:pict>
            <v:rect fillcolor="#FFFFFF" style="position:absolute;rotation:0;width:5.05pt;height:11.45pt;margin-top:0.05pt;mso-position-vertical-relative:text;margin-left:238.45pt;mso-position-horizontal:center;mso-position-horizontal-relative:margin">
              <v:fill opacity="0f"/>
              <v:textbox>
                <w:txbxContent>
                  <w:p>
                    <w:pPr>
                      <w:pStyle w:val="Header"/>
                      <w:rPr>
                        <w:rStyle w:val="PageNumber"/>
                      </w:rPr>
                    </w:pPr>
                    <w:r>
                      <w:rPr>
                        <w:rStyle w:val="PageNumber"/>
                      </w:rPr>
                      <w:fldChar w:fldCharType="begin"/>
                    </w:r>
                    <w:r>
                      <w:instrText> PAGE </w:instrText>
                    </w:r>
                    <w:r>
                      <w:fldChar w:fldCharType="separate"/>
                    </w:r>
                    <w:r>
                      <w:t>2</w:t>
                    </w:r>
                    <w:r>
                      <w:fldChar w:fldCharType="end"/>
                    </w:r>
                  </w:p>
                </w:txbxContent>
              </v:textbox>
              <w10:wrap type="square" side="largest"/>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tabs>
        <w:tab w:val="center" w:pos="7313" w:leader="none"/>
        <w:tab w:val="left" w:pos="12280" w:leader="none"/>
      </w:tabs>
      <w:rPr/>
    </w:pPr>
    <w:r>
      <w:rPr/>
      <w:tab/>
      <w:tab/>
    </w:r>
    <w:r>
      <w:rPr/>
      <w:fldChar w:fldCharType="begin"/>
    </w:r>
    <w:r>
      <w:instrText> PAGE </w:instrText>
    </w:r>
    <w:r>
      <w:fldChar w:fldCharType="separate"/>
    </w:r>
    <w:r>
      <w:t>14</w:t>
    </w:r>
    <w:r>
      <w:fldChar w:fldCharType="end"/>
    </w:r>
    <w:r>
      <w:rPr/>
      <w:tab/>
      <w:t xml:space="preserve">                                                                             Продовження додатка 1</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tabs>
        <w:tab w:val="center" w:pos="7313" w:leader="none"/>
        <w:tab w:val="left" w:pos="12420" w:leader="none"/>
      </w:tabs>
      <w:rPr/>
    </w:pPr>
    <w:r>
      <w:rPr/>
      <w:tab/>
      <w:tab/>
    </w:r>
    <w:r>
      <w:rPr/>
      <w:fldChar w:fldCharType="begin"/>
    </w:r>
    <w:r>
      <w:instrText> PAGE </w:instrText>
    </w:r>
    <w:r>
      <w:fldChar w:fldCharType="separate"/>
    </w:r>
    <w:r>
      <w:t>22</w:t>
    </w:r>
    <w:r>
      <w:fldChar w:fldCharType="end"/>
    </w:r>
    <w:r>
      <w:rPr/>
      <w:tab/>
      <w:t xml:space="preserve">                                                                     Продовження додатка 2</w:t>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tabs>
        <w:tab w:val="center" w:pos="7313" w:leader="none"/>
        <w:tab w:val="left" w:pos="11892" w:leader="none"/>
      </w:tabs>
      <w:rPr/>
    </w:pPr>
    <w:r>
      <w:rPr/>
      <w:tab/>
      <w:tab/>
    </w:r>
    <w:r>
      <w:rPr/>
      <w:fldChar w:fldCharType="begin"/>
    </w:r>
    <w:r>
      <w:instrText> PAGE </w:instrText>
    </w:r>
    <w:r>
      <w:fldChar w:fldCharType="separate"/>
    </w:r>
    <w:r>
      <w:t>161</w:t>
    </w:r>
    <w:r>
      <w:fldChar w:fldCharType="end"/>
    </w:r>
    <w:r>
      <w:rPr/>
      <w:tab/>
      <w:tab/>
      <w:t>Продовження додатка 3</w:t>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tabs>
        <w:tab w:val="center" w:pos="7313" w:leader="none"/>
        <w:tab w:val="left" w:pos="11988" w:leader="none"/>
      </w:tabs>
      <w:rPr/>
    </w:pPr>
    <w:r>
      <w:rPr/>
      <w:tab/>
      <w:tab/>
    </w:r>
    <w:r>
      <w:rPr/>
      <w:fldChar w:fldCharType="begin"/>
    </w:r>
    <w:r>
      <w:instrText> PAGE </w:instrText>
    </w:r>
    <w:r>
      <w:fldChar w:fldCharType="separate"/>
    </w:r>
    <w:r>
      <w:t>163</w:t>
    </w:r>
    <w:r>
      <w:fldChar w:fldCharType="end"/>
    </w:r>
    <w:r>
      <w:rPr/>
      <w:tab/>
      <w:tab/>
      <w:t>Продовження додатка 4</w:t>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numFmt w:val="none"/>
      <w:suff w:val="nothing"/>
      <w:lvlText w:val=""/>
      <w:lvlJc w:val="left"/>
      <w:pPr>
        <w:ind w:left="0" w:hanging="0"/>
      </w:pPr>
    </w:lvl>
    <w:lvl w:ilvl="5">
      <w:start w:val="1"/>
      <w:pStyle w:val="Heading6"/>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right"/>
      <w:pPr>
        <w:ind w:left="720" w:hanging="360"/>
      </w:pPr>
      <w:rPr/>
    </w:lvl>
  </w:abstractNum>
  <w:abstractNum w:abstractNumId="3">
    <w:lvl w:ilvl="0">
      <w:start w:val="1"/>
      <w:numFmt w:val="decimal"/>
      <w:lvlText w:val="%1."/>
      <w:lvlJc w:val="left"/>
      <w:pPr>
        <w:tabs>
          <w:tab w:val="num" w:pos="360"/>
        </w:tabs>
        <w:ind w:left="360" w:hanging="360"/>
      </w:pPr>
      <w:rPr/>
    </w:lvl>
  </w:abstractNum>
  <w:abstractNum w:abstractNumId="4">
    <w:lvl w:ilvl="0">
      <w:start w:val="1"/>
      <w:numFmt w:val="decimal"/>
      <w:lvlText w:val="%1."/>
      <w:lvlJc w:val="right"/>
      <w:pPr>
        <w:ind w:left="720" w:hanging="360"/>
      </w:pPr>
      <w:rPr/>
    </w:lvl>
  </w:abstractNum>
  <w:abstractNum w:abstractNumId="5">
    <w:lvl w:ilvl="0">
      <w:start w:val="1"/>
      <w:numFmt w:val="decimal"/>
      <w:lvlText w:val="%1."/>
      <w:lvlJc w:val="right"/>
      <w:pPr>
        <w:ind w:left="720" w:hanging="36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ru-RU" w:eastAsia="zh-CN" w:bidi="hi-IN"/>
      </w:rPr>
    </w:rPrDefault>
    <w:pPrDefault>
      <w:pPr/>
    </w:pPrDefault>
  </w:docDefaults>
  <w:style w:type="paragraph" w:styleId="Normal">
    <w:name w:val="Normal"/>
    <w:qFormat/>
    <w:pPr>
      <w:widowControl/>
      <w:bidi w:val="0"/>
    </w:pPr>
    <w:rPr>
      <w:rFonts w:ascii="Times New Roman" w:hAnsi="Times New Roman" w:eastAsia="Calibri" w:cs="Times New Roman"/>
      <w:color w:val="auto"/>
      <w:sz w:val="20"/>
      <w:szCs w:val="20"/>
      <w:lang w:val="ru-RU" w:bidi="ar-SA" w:eastAsia="zh-CN"/>
    </w:rPr>
  </w:style>
  <w:style w:type="paragraph" w:styleId="Heading1">
    <w:name w:val="Heading 1"/>
    <w:basedOn w:val="Normal"/>
    <w:next w:val="Normal"/>
    <w:qFormat/>
    <w:pPr>
      <w:keepNext w:val="true"/>
      <w:numPr>
        <w:ilvl w:val="0"/>
        <w:numId w:val="1"/>
      </w:numPr>
      <w:jc w:val="both"/>
      <w:outlineLvl w:val="0"/>
    </w:pPr>
    <w:rPr>
      <w:rFonts w:eastAsia="Times New Roman"/>
      <w:b/>
      <w:sz w:val="26"/>
      <w:lang w:val="ru-RU"/>
    </w:rPr>
  </w:style>
  <w:style w:type="paragraph" w:styleId="Heading2">
    <w:name w:val="Heading 2"/>
    <w:basedOn w:val="Normal"/>
    <w:next w:val="11"/>
    <w:qFormat/>
    <w:pPr>
      <w:keepNext w:val="true"/>
      <w:numPr>
        <w:ilvl w:val="1"/>
        <w:numId w:val="1"/>
      </w:numPr>
      <w:outlineLvl w:val="1"/>
    </w:pPr>
    <w:rPr>
      <w:rFonts w:ascii="Arial" w:hAnsi="Arial" w:eastAsia="Times New Roman" w:cs="Arial"/>
      <w:b/>
      <w:caps/>
      <w:sz w:val="16"/>
      <w:lang w:val="uk-UA"/>
    </w:rPr>
  </w:style>
  <w:style w:type="paragraph" w:styleId="Heading3">
    <w:name w:val="Heading 3"/>
    <w:basedOn w:val="Normal"/>
    <w:next w:val="Normal"/>
    <w:qFormat/>
    <w:pPr>
      <w:keepNext w:val="true"/>
      <w:numPr>
        <w:ilvl w:val="2"/>
        <w:numId w:val="1"/>
      </w:numPr>
      <w:spacing w:before="240" w:after="60"/>
      <w:outlineLvl w:val="2"/>
    </w:pPr>
    <w:rPr>
      <w:rFonts w:ascii="Arial" w:hAnsi="Arial" w:eastAsia="Times New Roman"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sz w:val="28"/>
      <w:szCs w:val="28"/>
    </w:rPr>
  </w:style>
  <w:style w:type="paragraph" w:styleId="Heading6">
    <w:name w:val="Heading 6"/>
    <w:basedOn w:val="Normal"/>
    <w:next w:val="TextBody"/>
    <w:qFormat/>
    <w:pPr>
      <w:numPr>
        <w:ilvl w:val="5"/>
        <w:numId w:val="1"/>
      </w:numPr>
      <w:spacing w:before="240" w:after="60"/>
      <w:outlineLvl w:val="5"/>
    </w:pPr>
    <w:rPr>
      <w:b/>
      <w:bCs/>
      <w:sz w:val="22"/>
      <w:szCs w:val="22"/>
      <w:lang w:val="en-US"/>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0">
    <w:name w:val="WW8Num14z0"/>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0">
    <w:name w:val="WW8Num16z0"/>
    <w:qFormat/>
    <w:rPr/>
  </w:style>
  <w:style w:type="character" w:styleId="WW8Num17z0">
    <w:name w:val="WW8Num17z0"/>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0">
    <w:name w:val="WW8Num19z0"/>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style>
  <w:style w:type="character" w:styleId="WW8Num20z1">
    <w:name w:val="WW8Num20z1"/>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0">
    <w:name w:val="WW8Num21z0"/>
    <w:qFormat/>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0">
    <w:name w:val="WW8Num22z0"/>
    <w:qFormat/>
    <w:rPr/>
  </w:style>
  <w:style w:type="character" w:styleId="WW8Num22z1">
    <w:name w:val="WW8Num22z1"/>
    <w:qFormat/>
    <w:rPr/>
  </w:style>
  <w:style w:type="character" w:styleId="WW8Num22z2">
    <w:name w:val="WW8Num22z2"/>
    <w:qFormat/>
    <w:rPr/>
  </w:style>
  <w:style w:type="character" w:styleId="WW8Num22z3">
    <w:name w:val="WW8Num22z3"/>
    <w:qFormat/>
    <w:rPr/>
  </w:style>
  <w:style w:type="character" w:styleId="WW8Num22z4">
    <w:name w:val="WW8Num22z4"/>
    <w:qFormat/>
    <w:rPr/>
  </w:style>
  <w:style w:type="character" w:styleId="WW8Num22z5">
    <w:name w:val="WW8Num22z5"/>
    <w:qFormat/>
    <w:rPr/>
  </w:style>
  <w:style w:type="character" w:styleId="WW8Num22z6">
    <w:name w:val="WW8Num22z6"/>
    <w:qFormat/>
    <w:rPr/>
  </w:style>
  <w:style w:type="character" w:styleId="WW8Num22z7">
    <w:name w:val="WW8Num22z7"/>
    <w:qFormat/>
    <w:rPr/>
  </w:style>
  <w:style w:type="character" w:styleId="WW8Num22z8">
    <w:name w:val="WW8Num22z8"/>
    <w:qFormat/>
    <w:rPr/>
  </w:style>
  <w:style w:type="character" w:styleId="WW8Num23z0">
    <w:name w:val="WW8Num23z0"/>
    <w:qFormat/>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0">
    <w:name w:val="WW8Num24z0"/>
    <w:qFormat/>
    <w:rPr/>
  </w:style>
  <w:style w:type="character" w:styleId="WW8Num24z1">
    <w:name w:val="WW8Num24z1"/>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0">
    <w:name w:val="WW8Num25z0"/>
    <w:qFormat/>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0">
    <w:name w:val="WW8Num26z0"/>
    <w:qFormat/>
    <w:rPr/>
  </w:style>
  <w:style w:type="character" w:styleId="WW8Num26z1">
    <w:name w:val="WW8Num26z1"/>
    <w:qFormat/>
    <w:rPr/>
  </w:style>
  <w:style w:type="character" w:styleId="WW8Num26z2">
    <w:name w:val="WW8Num26z2"/>
    <w:qFormat/>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0">
    <w:name w:val="WW8Num27z0"/>
    <w:qFormat/>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Style9">
    <w:name w:val="Основной шрифт абзаца"/>
    <w:qFormat/>
    <w:rPr/>
  </w:style>
  <w:style w:type="character" w:styleId="1">
    <w:name w:val="Заголовок 1 Знак"/>
    <w:qFormat/>
    <w:rPr>
      <w:rFonts w:ascii="Times New Roman" w:hAnsi="Times New Roman" w:eastAsia="Times New Roman" w:cs="Times New Roman"/>
      <w:b/>
      <w:sz w:val="26"/>
    </w:rPr>
  </w:style>
  <w:style w:type="character" w:styleId="3">
    <w:name w:val="Заголовок 3 Знак"/>
    <w:qFormat/>
    <w:rPr>
      <w:rFonts w:ascii="Arial" w:hAnsi="Arial" w:eastAsia="Times New Roman" w:cs="Arial"/>
      <w:b/>
      <w:bCs/>
      <w:sz w:val="26"/>
      <w:szCs w:val="26"/>
      <w:lang w:val="ru-RU"/>
    </w:rPr>
  </w:style>
  <w:style w:type="character" w:styleId="HTML">
    <w:name w:val="Стандартный HTML Знак"/>
    <w:qFormat/>
    <w:rPr>
      <w:rFonts w:ascii="Courier New" w:hAnsi="Courier New" w:cs="Courier New"/>
      <w:color w:val="000000"/>
      <w:sz w:val="21"/>
      <w:szCs w:val="21"/>
      <w:lang w:val="ru-RU"/>
    </w:rPr>
  </w:style>
  <w:style w:type="character" w:styleId="31">
    <w:name w:val="Основной текст с отступом 3 Знак"/>
    <w:qFormat/>
    <w:rPr>
      <w:rFonts w:ascii="Times New Roman" w:hAnsi="Times New Roman" w:cs="Times New Roman"/>
      <w:sz w:val="16"/>
      <w:szCs w:val="16"/>
      <w:lang w:val="ru-RU"/>
    </w:rPr>
  </w:style>
  <w:style w:type="character" w:styleId="Style10">
    <w:name w:val="Верхний колонтитул Знак"/>
    <w:qFormat/>
    <w:rPr>
      <w:rFonts w:ascii="Times New Roman" w:hAnsi="Times New Roman" w:cs="Times New Roman"/>
      <w:lang w:val="ru-RU"/>
    </w:rPr>
  </w:style>
  <w:style w:type="character" w:styleId="Style11">
    <w:name w:val="Нижний колонтитул Знак"/>
    <w:qFormat/>
    <w:rPr>
      <w:rFonts w:ascii="Times New Roman" w:hAnsi="Times New Roman" w:cs="Times New Roman"/>
      <w:lang w:val="ru-RU"/>
    </w:rPr>
  </w:style>
  <w:style w:type="character" w:styleId="PageNumber">
    <w:name w:val="Page Number"/>
    <w:basedOn w:val="Style9"/>
    <w:rPr/>
  </w:style>
  <w:style w:type="character" w:styleId="Appleconvertedspace">
    <w:name w:val="apple-converted-space"/>
    <w:basedOn w:val="Style9"/>
    <w:qFormat/>
    <w:rPr/>
  </w:style>
  <w:style w:type="character" w:styleId="InternetLink">
    <w:name w:val="Internet Link"/>
    <w:rPr>
      <w:rFonts w:ascii="Segoe UI" w:hAnsi="Segoe UI" w:cs="Segoe UI"/>
      <w:color w:val="0000FF"/>
      <w:sz w:val="18"/>
      <w:szCs w:val="18"/>
      <w:u w:val="single"/>
    </w:rPr>
  </w:style>
  <w:style w:type="character" w:styleId="Cs7864ebcf1">
    <w:name w:val="cs7864ebcf1"/>
    <w:qFormat/>
    <w:rPr>
      <w:rFonts w:ascii="Times New Roman" w:hAnsi="Times New Roman" w:cs="Times New Roman"/>
      <w:b/>
      <w:bCs/>
      <w:i w:val="false"/>
      <w:iCs w:val="false"/>
      <w:color w:val="000000"/>
      <w:sz w:val="26"/>
      <w:szCs w:val="26"/>
      <w:shd w:fill="auto" w:val="clear"/>
    </w:rPr>
  </w:style>
  <w:style w:type="character" w:styleId="2">
    <w:name w:val="Заголовок 2 Знак"/>
    <w:qFormat/>
    <w:rPr>
      <w:rFonts w:ascii="Arial" w:hAnsi="Arial" w:eastAsia="Times New Roman" w:cs="Arial"/>
      <w:b/>
      <w:caps/>
      <w:sz w:val="16"/>
      <w:lang w:val="uk-UA"/>
    </w:rPr>
  </w:style>
  <w:style w:type="character" w:styleId="6">
    <w:name w:val="Заголовок 6 Знак"/>
    <w:qFormat/>
    <w:rPr>
      <w:rFonts w:ascii="Times New Roman" w:hAnsi="Times New Roman" w:cs="Times New Roman"/>
      <w:b/>
      <w:bCs/>
      <w:sz w:val="22"/>
      <w:szCs w:val="22"/>
    </w:rPr>
  </w:style>
  <w:style w:type="character" w:styleId="4">
    <w:name w:val="Заголовок 4 Знак"/>
    <w:qFormat/>
    <w:rPr>
      <w:rFonts w:ascii="Times New Roman" w:hAnsi="Times New Roman" w:cs="Times New Roman"/>
      <w:b/>
      <w:bCs/>
      <w:sz w:val="28"/>
      <w:szCs w:val="28"/>
      <w:lang w:val="ru-RU"/>
    </w:rPr>
  </w:style>
  <w:style w:type="character" w:styleId="Heading2Char">
    <w:name w:val="Heading 2 Char"/>
    <w:qFormat/>
    <w:rPr>
      <w:rFonts w:ascii="Arial" w:hAnsi="Arial" w:eastAsia="Times New Roman" w:cs="Arial"/>
      <w:b/>
      <w:caps/>
      <w:sz w:val="16"/>
      <w:lang w:val="ru-RU"/>
    </w:rPr>
  </w:style>
  <w:style w:type="character" w:styleId="Heading4Char">
    <w:name w:val="Heading 4 Char"/>
    <w:qFormat/>
    <w:rPr>
      <w:rFonts w:ascii="Arial" w:hAnsi="Arial" w:eastAsia="Times New Roman" w:cs="Arial"/>
      <w:b/>
      <w:lang w:val="ru-RU"/>
    </w:rPr>
  </w:style>
  <w:style w:type="character" w:styleId="Csb3e8c9cf24">
    <w:name w:val="csb3e8c9cf24"/>
    <w:qFormat/>
    <w:rPr>
      <w:rFonts w:ascii="Arial" w:hAnsi="Arial" w:cs="Arial"/>
      <w:b/>
      <w:bCs/>
      <w:i w:val="false"/>
      <w:iCs w:val="false"/>
      <w:color w:val="000000"/>
      <w:sz w:val="18"/>
      <w:szCs w:val="18"/>
      <w:shd w:fill="auto" w:val="clear"/>
    </w:rPr>
  </w:style>
  <w:style w:type="character" w:styleId="Style12">
    <w:name w:val="Текст выноски Знак"/>
    <w:qFormat/>
    <w:rPr>
      <w:rFonts w:ascii="Tahoma" w:hAnsi="Tahoma" w:eastAsia="Times New Roman" w:cs="Tahoma"/>
      <w:sz w:val="16"/>
      <w:szCs w:val="16"/>
      <w:lang w:val="ru-RU"/>
    </w:rPr>
  </w:style>
  <w:style w:type="character" w:styleId="BodyTextIndentChar">
    <w:name w:val="Body Text Indent Char"/>
    <w:qFormat/>
    <w:rPr>
      <w:rFonts w:ascii="Arial" w:hAnsi="Arial" w:eastAsia="Times New Roman" w:cs="Arial"/>
      <w:sz w:val="18"/>
      <w:lang w:val="ru-RU"/>
    </w:rPr>
  </w:style>
  <w:style w:type="character" w:styleId="Csab6e076947">
    <w:name w:val="csab6e076947"/>
    <w:qFormat/>
    <w:rPr>
      <w:rFonts w:ascii="Arial" w:hAnsi="Arial" w:cs="Arial"/>
      <w:b w:val="false"/>
      <w:bCs w:val="false"/>
      <w:i w:val="false"/>
      <w:iCs w:val="false"/>
      <w:color w:val="000000"/>
      <w:sz w:val="18"/>
      <w:szCs w:val="18"/>
      <w:shd w:fill="auto" w:val="clear"/>
    </w:rPr>
  </w:style>
  <w:style w:type="character" w:styleId="Csab6e076986">
    <w:name w:val="csab6e076986"/>
    <w:qFormat/>
    <w:rPr>
      <w:rFonts w:ascii="Arial" w:hAnsi="Arial" w:cs="Arial"/>
      <w:b w:val="false"/>
      <w:bCs w:val="false"/>
      <w:i w:val="false"/>
      <w:iCs w:val="false"/>
      <w:color w:val="000000"/>
      <w:sz w:val="18"/>
      <w:szCs w:val="18"/>
      <w:shd w:fill="auto" w:val="clear"/>
    </w:rPr>
  </w:style>
  <w:style w:type="character" w:styleId="Csf229d0ff18">
    <w:name w:val="csf229d0ff18"/>
    <w:qFormat/>
    <w:rPr>
      <w:rFonts w:ascii="Arial" w:hAnsi="Arial" w:cs="Arial"/>
      <w:b w:val="false"/>
      <w:bCs w:val="false"/>
      <w:i w:val="false"/>
      <w:iCs w:val="false"/>
      <w:color w:val="000000"/>
      <w:sz w:val="18"/>
      <w:szCs w:val="18"/>
      <w:shd w:fill="auto" w:val="clear"/>
    </w:rPr>
  </w:style>
  <w:style w:type="character" w:styleId="Csf229d0ff2">
    <w:name w:val="csf229d0ff2"/>
    <w:qFormat/>
    <w:rPr>
      <w:rFonts w:ascii="Arial" w:hAnsi="Arial" w:cs="Arial"/>
      <w:b w:val="false"/>
      <w:bCs w:val="false"/>
      <w:i w:val="false"/>
      <w:iCs w:val="false"/>
      <w:color w:val="000000"/>
      <w:sz w:val="18"/>
      <w:szCs w:val="18"/>
      <w:shd w:fill="auto" w:val="clear"/>
    </w:rPr>
  </w:style>
  <w:style w:type="character" w:styleId="Csf229d0ff9">
    <w:name w:val="csf229d0ff9"/>
    <w:qFormat/>
    <w:rPr>
      <w:rFonts w:ascii="Arial" w:hAnsi="Arial" w:cs="Arial"/>
      <w:b w:val="false"/>
      <w:bCs w:val="false"/>
      <w:i w:val="false"/>
      <w:iCs w:val="false"/>
      <w:color w:val="000000"/>
      <w:sz w:val="18"/>
      <w:szCs w:val="18"/>
      <w:shd w:fill="auto" w:val="clear"/>
    </w:rPr>
  </w:style>
  <w:style w:type="character" w:styleId="Csab6e076950">
    <w:name w:val="csab6e076950"/>
    <w:qFormat/>
    <w:rPr>
      <w:rFonts w:ascii="Arial" w:hAnsi="Arial" w:cs="Arial"/>
      <w:b w:val="false"/>
      <w:bCs w:val="false"/>
      <w:i w:val="false"/>
      <w:iCs w:val="false"/>
      <w:color w:val="000000"/>
      <w:sz w:val="18"/>
      <w:szCs w:val="18"/>
      <w:shd w:fill="auto" w:val="clear"/>
    </w:rPr>
  </w:style>
  <w:style w:type="character" w:styleId="Csab6e0769107">
    <w:name w:val="csab6e0769107"/>
    <w:qFormat/>
    <w:rPr>
      <w:rFonts w:ascii="Arial" w:hAnsi="Arial" w:cs="Arial"/>
      <w:b w:val="false"/>
      <w:bCs w:val="false"/>
      <w:i w:val="false"/>
      <w:iCs w:val="false"/>
      <w:color w:val="000000"/>
      <w:sz w:val="18"/>
      <w:szCs w:val="18"/>
      <w:shd w:fill="auto" w:val="clear"/>
    </w:rPr>
  </w:style>
  <w:style w:type="character" w:styleId="Csab6e076910">
    <w:name w:val="csab6e076910"/>
    <w:qFormat/>
    <w:rPr>
      <w:rFonts w:ascii="Arial" w:hAnsi="Arial" w:cs="Arial"/>
      <w:b w:val="false"/>
      <w:bCs w:val="false"/>
      <w:i w:val="false"/>
      <w:iCs w:val="false"/>
      <w:color w:val="000000"/>
      <w:sz w:val="18"/>
      <w:szCs w:val="18"/>
      <w:shd w:fill="auto" w:val="clear"/>
    </w:rPr>
  </w:style>
  <w:style w:type="character" w:styleId="Csab6e076929">
    <w:name w:val="csab6e076929"/>
    <w:qFormat/>
    <w:rPr>
      <w:rFonts w:ascii="Arial" w:hAnsi="Arial" w:cs="Arial"/>
      <w:b w:val="false"/>
      <w:bCs w:val="false"/>
      <w:i w:val="false"/>
      <w:iCs w:val="false"/>
      <w:color w:val="000000"/>
      <w:sz w:val="18"/>
      <w:szCs w:val="18"/>
      <w:shd w:fill="auto" w:val="clear"/>
    </w:rPr>
  </w:style>
  <w:style w:type="character" w:styleId="Csf229d0ff17">
    <w:name w:val="csf229d0ff17"/>
    <w:qFormat/>
    <w:rPr>
      <w:rFonts w:ascii="Arial" w:hAnsi="Arial" w:cs="Arial"/>
      <w:b w:val="false"/>
      <w:bCs w:val="false"/>
      <w:i w:val="false"/>
      <w:iCs w:val="false"/>
      <w:color w:val="000000"/>
      <w:sz w:val="18"/>
      <w:szCs w:val="18"/>
      <w:shd w:fill="auto" w:val="clear"/>
    </w:rPr>
  </w:style>
  <w:style w:type="character" w:styleId="Csab6e076981">
    <w:name w:val="csab6e076981"/>
    <w:qFormat/>
    <w:rPr>
      <w:rFonts w:ascii="Arial" w:hAnsi="Arial" w:cs="Arial"/>
      <w:b w:val="false"/>
      <w:bCs w:val="false"/>
      <w:i w:val="false"/>
      <w:iCs w:val="false"/>
      <w:color w:val="000000"/>
      <w:sz w:val="18"/>
      <w:szCs w:val="18"/>
      <w:shd w:fill="auto" w:val="clear"/>
    </w:rPr>
  </w:style>
  <w:style w:type="character" w:styleId="Csab6e076982">
    <w:name w:val="csab6e076982"/>
    <w:qFormat/>
    <w:rPr>
      <w:rFonts w:ascii="Arial" w:hAnsi="Arial" w:cs="Arial"/>
      <w:b w:val="false"/>
      <w:bCs w:val="false"/>
      <w:i w:val="false"/>
      <w:iCs w:val="false"/>
      <w:color w:val="000000"/>
      <w:sz w:val="18"/>
      <w:szCs w:val="18"/>
      <w:shd w:fill="auto" w:val="clear"/>
    </w:rPr>
  </w:style>
  <w:style w:type="character" w:styleId="Csf229d0ff11">
    <w:name w:val="csf229d0ff11"/>
    <w:qFormat/>
    <w:rPr>
      <w:rFonts w:ascii="Arial" w:hAnsi="Arial" w:cs="Arial"/>
      <w:b w:val="false"/>
      <w:bCs w:val="false"/>
      <w:i w:val="false"/>
      <w:iCs w:val="false"/>
      <w:color w:val="000000"/>
      <w:sz w:val="18"/>
      <w:szCs w:val="18"/>
      <w:shd w:fill="auto" w:val="clear"/>
    </w:rPr>
  </w:style>
  <w:style w:type="character" w:styleId="Csf229d0ff32">
    <w:name w:val="csf229d0ff32"/>
    <w:qFormat/>
    <w:rPr>
      <w:rFonts w:ascii="Arial" w:hAnsi="Arial" w:cs="Arial"/>
      <w:b w:val="false"/>
      <w:bCs w:val="false"/>
      <w:i w:val="false"/>
      <w:iCs w:val="false"/>
      <w:color w:val="000000"/>
      <w:sz w:val="18"/>
      <w:szCs w:val="18"/>
      <w:shd w:fill="auto" w:val="clear"/>
    </w:rPr>
  </w:style>
  <w:style w:type="character" w:styleId="Csafaf574182">
    <w:name w:val="csafaf574182"/>
    <w:qFormat/>
    <w:rPr>
      <w:rFonts w:ascii="Arial" w:hAnsi="Arial" w:cs="Arial"/>
      <w:b/>
      <w:bCs/>
      <w:i w:val="false"/>
      <w:iCs w:val="false"/>
      <w:color w:val="000000"/>
      <w:sz w:val="18"/>
      <w:szCs w:val="18"/>
      <w:shd w:fill="auto" w:val="clear"/>
    </w:rPr>
  </w:style>
  <w:style w:type="character" w:styleId="Csab6e076980">
    <w:name w:val="csab6e076980"/>
    <w:qFormat/>
    <w:rPr>
      <w:rFonts w:ascii="Arial" w:hAnsi="Arial" w:cs="Arial"/>
      <w:b w:val="false"/>
      <w:bCs w:val="false"/>
      <w:i w:val="false"/>
      <w:iCs w:val="false"/>
      <w:color w:val="000000"/>
      <w:sz w:val="18"/>
      <w:szCs w:val="18"/>
      <w:shd w:fill="auto" w:val="clear"/>
    </w:rPr>
  </w:style>
  <w:style w:type="character" w:styleId="Csf229d0ff53">
    <w:name w:val="csf229d0ff53"/>
    <w:qFormat/>
    <w:rPr>
      <w:rFonts w:ascii="Arial" w:hAnsi="Arial" w:cs="Arial"/>
      <w:b w:val="false"/>
      <w:bCs w:val="false"/>
      <w:i w:val="false"/>
      <w:iCs w:val="false"/>
      <w:color w:val="000000"/>
      <w:sz w:val="18"/>
      <w:szCs w:val="18"/>
      <w:shd w:fill="auto" w:val="clear"/>
    </w:rPr>
  </w:style>
  <w:style w:type="character" w:styleId="Csb3e8c9cf8">
    <w:name w:val="csb3e8c9cf8"/>
    <w:qFormat/>
    <w:rPr>
      <w:rFonts w:ascii="Arial" w:hAnsi="Arial" w:cs="Arial"/>
      <w:b/>
      <w:bCs/>
      <w:i w:val="false"/>
      <w:iCs w:val="false"/>
      <w:color w:val="000000"/>
      <w:sz w:val="18"/>
      <w:szCs w:val="18"/>
      <w:shd w:fill="auto" w:val="clear"/>
    </w:rPr>
  </w:style>
  <w:style w:type="character" w:styleId="Csab6e076961">
    <w:name w:val="csab6e076961"/>
    <w:qFormat/>
    <w:rPr>
      <w:rFonts w:ascii="Arial" w:hAnsi="Arial" w:cs="Arial"/>
      <w:b w:val="false"/>
      <w:bCs w:val="false"/>
      <w:i w:val="false"/>
      <w:iCs w:val="false"/>
      <w:color w:val="000000"/>
      <w:sz w:val="18"/>
      <w:szCs w:val="18"/>
      <w:shd w:fill="auto" w:val="clear"/>
    </w:rPr>
  </w:style>
  <w:style w:type="character" w:styleId="Csf229d0ff27">
    <w:name w:val="csf229d0ff27"/>
    <w:qFormat/>
    <w:rPr>
      <w:rFonts w:ascii="Arial" w:hAnsi="Arial" w:cs="Arial"/>
      <w:b w:val="false"/>
      <w:bCs w:val="false"/>
      <w:i w:val="false"/>
      <w:iCs w:val="false"/>
      <w:color w:val="000000"/>
      <w:sz w:val="18"/>
      <w:szCs w:val="18"/>
      <w:shd w:fill="auto" w:val="clear"/>
    </w:rPr>
  </w:style>
  <w:style w:type="character" w:styleId="Csf229d0ff3">
    <w:name w:val="csf229d0ff3"/>
    <w:qFormat/>
    <w:rPr>
      <w:rFonts w:ascii="Arial" w:hAnsi="Arial" w:cs="Arial"/>
      <w:b w:val="false"/>
      <w:bCs w:val="false"/>
      <w:i w:val="false"/>
      <w:iCs w:val="false"/>
      <w:color w:val="000000"/>
      <w:sz w:val="18"/>
      <w:szCs w:val="18"/>
      <w:shd w:fill="auto" w:val="clear"/>
    </w:rPr>
  </w:style>
  <w:style w:type="character" w:styleId="Csab6e0769122">
    <w:name w:val="csab6e0769122"/>
    <w:qFormat/>
    <w:rPr>
      <w:rFonts w:ascii="Arial" w:hAnsi="Arial" w:cs="Arial"/>
      <w:b w:val="false"/>
      <w:bCs w:val="false"/>
      <w:i w:val="false"/>
      <w:iCs w:val="false"/>
      <w:color w:val="000000"/>
      <w:sz w:val="18"/>
      <w:szCs w:val="18"/>
      <w:shd w:fill="auto" w:val="clear"/>
    </w:rPr>
  </w:style>
  <w:style w:type="character" w:styleId="Csab6e076957">
    <w:name w:val="csab6e076957"/>
    <w:qFormat/>
    <w:rPr>
      <w:rFonts w:ascii="Arial" w:hAnsi="Arial" w:cs="Arial"/>
      <w:b w:val="false"/>
      <w:bCs w:val="false"/>
      <w:i w:val="false"/>
      <w:iCs w:val="false"/>
      <w:color w:val="000000"/>
      <w:sz w:val="18"/>
      <w:szCs w:val="18"/>
      <w:shd w:fill="auto" w:val="clear"/>
    </w:rPr>
  </w:style>
  <w:style w:type="character" w:styleId="Csab6e076941">
    <w:name w:val="csab6e076941"/>
    <w:qFormat/>
    <w:rPr>
      <w:rFonts w:ascii="Arial" w:hAnsi="Arial" w:cs="Arial"/>
      <w:b w:val="false"/>
      <w:bCs w:val="false"/>
      <w:i w:val="false"/>
      <w:iCs w:val="false"/>
      <w:color w:val="000000"/>
      <w:sz w:val="18"/>
      <w:szCs w:val="18"/>
      <w:shd w:fill="auto" w:val="clear"/>
    </w:rPr>
  </w:style>
  <w:style w:type="character" w:styleId="Csab6e076991">
    <w:name w:val="csab6e076991"/>
    <w:qFormat/>
    <w:rPr>
      <w:rFonts w:ascii="Arial" w:hAnsi="Arial" w:cs="Arial"/>
      <w:b w:val="false"/>
      <w:bCs w:val="false"/>
      <w:i w:val="false"/>
      <w:iCs w:val="false"/>
      <w:color w:val="000000"/>
      <w:sz w:val="18"/>
      <w:szCs w:val="18"/>
      <w:shd w:fill="auto" w:val="clear"/>
    </w:rPr>
  </w:style>
  <w:style w:type="character" w:styleId="Csab6e0769156">
    <w:name w:val="csab6e0769156"/>
    <w:qFormat/>
    <w:rPr>
      <w:rFonts w:ascii="Arial" w:hAnsi="Arial" w:cs="Arial"/>
      <w:b w:val="false"/>
      <w:bCs w:val="false"/>
      <w:i w:val="false"/>
      <w:iCs w:val="false"/>
      <w:color w:val="000000"/>
      <w:sz w:val="18"/>
      <w:szCs w:val="18"/>
      <w:shd w:fill="auto" w:val="clear"/>
    </w:rPr>
  </w:style>
  <w:style w:type="character" w:styleId="Csafaf5741248">
    <w:name w:val="csafaf5741248"/>
    <w:qFormat/>
    <w:rPr>
      <w:rFonts w:ascii="Arial" w:hAnsi="Arial" w:cs="Arial"/>
      <w:b/>
      <w:bCs/>
      <w:i w:val="false"/>
      <w:iCs w:val="false"/>
      <w:color w:val="000000"/>
      <w:sz w:val="18"/>
      <w:szCs w:val="18"/>
      <w:shd w:fill="auto" w:val="clear"/>
    </w:rPr>
  </w:style>
  <w:style w:type="character" w:styleId="Csab6e0769276">
    <w:name w:val="csab6e0769276"/>
    <w:qFormat/>
    <w:rPr>
      <w:rFonts w:ascii="Arial" w:hAnsi="Arial" w:cs="Arial"/>
      <w:b w:val="false"/>
      <w:bCs w:val="false"/>
      <w:i w:val="false"/>
      <w:iCs w:val="false"/>
      <w:color w:val="000000"/>
      <w:sz w:val="18"/>
      <w:szCs w:val="18"/>
      <w:shd w:fill="auto" w:val="clear"/>
    </w:rPr>
  </w:style>
  <w:style w:type="character" w:styleId="Csab6e0769219">
    <w:name w:val="csab6e0769219"/>
    <w:qFormat/>
    <w:rPr>
      <w:rFonts w:ascii="Arial" w:hAnsi="Arial" w:cs="Arial"/>
      <w:b w:val="false"/>
      <w:bCs w:val="false"/>
      <w:i w:val="false"/>
      <w:iCs w:val="false"/>
      <w:color w:val="000000"/>
      <w:sz w:val="18"/>
      <w:szCs w:val="18"/>
      <w:shd w:fill="auto" w:val="clear"/>
    </w:rPr>
  </w:style>
  <w:style w:type="character" w:styleId="Csafaf574111">
    <w:name w:val="csafaf574111"/>
    <w:qFormat/>
    <w:rPr>
      <w:rFonts w:ascii="Arial" w:hAnsi="Arial" w:cs="Arial"/>
      <w:b/>
      <w:bCs/>
      <w:i w:val="false"/>
      <w:iCs w:val="false"/>
      <w:color w:val="000000"/>
      <w:sz w:val="18"/>
      <w:szCs w:val="18"/>
      <w:shd w:fill="auto" w:val="clear"/>
    </w:rPr>
  </w:style>
  <w:style w:type="character" w:styleId="Csf229d0ff13">
    <w:name w:val="csf229d0ff13"/>
    <w:qFormat/>
    <w:rPr>
      <w:rFonts w:ascii="Arial" w:hAnsi="Arial" w:cs="Arial"/>
      <w:b w:val="false"/>
      <w:bCs w:val="false"/>
      <w:i w:val="false"/>
      <w:iCs w:val="false"/>
      <w:color w:val="000000"/>
      <w:sz w:val="18"/>
      <w:szCs w:val="18"/>
      <w:shd w:fill="auto" w:val="clear"/>
    </w:rPr>
  </w:style>
  <w:style w:type="character" w:styleId="Csab6e0769131">
    <w:name w:val="csab6e0769131"/>
    <w:qFormat/>
    <w:rPr>
      <w:rFonts w:ascii="Arial" w:hAnsi="Arial" w:cs="Arial"/>
      <w:b w:val="false"/>
      <w:bCs w:val="false"/>
      <w:i w:val="false"/>
      <w:iCs w:val="false"/>
      <w:color w:val="000000"/>
      <w:sz w:val="18"/>
      <w:szCs w:val="18"/>
      <w:shd w:fill="auto" w:val="clear"/>
    </w:rPr>
  </w:style>
  <w:style w:type="character" w:styleId="Csafaf574199">
    <w:name w:val="csafaf574199"/>
    <w:qFormat/>
    <w:rPr>
      <w:rFonts w:ascii="Arial" w:hAnsi="Arial" w:cs="Arial"/>
      <w:b/>
      <w:bCs/>
      <w:i w:val="false"/>
      <w:iCs w:val="false"/>
      <w:color w:val="000000"/>
      <w:sz w:val="18"/>
      <w:szCs w:val="18"/>
      <w:shd w:fill="auto" w:val="clear"/>
    </w:rPr>
  </w:style>
  <w:style w:type="character" w:styleId="Csafaf5741100">
    <w:name w:val="csafaf5741100"/>
    <w:qFormat/>
    <w:rPr>
      <w:rFonts w:ascii="Arial" w:hAnsi="Arial" w:cs="Arial"/>
      <w:b/>
      <w:bCs/>
      <w:i w:val="false"/>
      <w:iCs w:val="false"/>
      <w:color w:val="000000"/>
      <w:sz w:val="18"/>
      <w:szCs w:val="18"/>
      <w:shd w:fill="auto" w:val="clear"/>
    </w:rPr>
  </w:style>
  <w:style w:type="character" w:styleId="Style13">
    <w:name w:val="Основной текст с отступом Знак"/>
    <w:qFormat/>
    <w:rPr>
      <w:rFonts w:ascii="Times New Roman" w:hAnsi="Times New Roman" w:eastAsia="Times New Roman" w:cs="Times New Roman"/>
      <w:sz w:val="24"/>
      <w:szCs w:val="24"/>
      <w:lang w:val="ru-RU"/>
    </w:rPr>
  </w:style>
  <w:style w:type="character" w:styleId="Csf229d0ff16">
    <w:name w:val="csf229d0ff16"/>
    <w:qFormat/>
    <w:rPr>
      <w:rFonts w:ascii="Arial" w:hAnsi="Arial" w:cs="Arial"/>
      <w:b w:val="false"/>
      <w:bCs w:val="false"/>
      <w:i w:val="false"/>
      <w:iCs w:val="false"/>
      <w:color w:val="000000"/>
      <w:sz w:val="18"/>
      <w:szCs w:val="18"/>
      <w:shd w:fill="auto" w:val="clear"/>
    </w:rPr>
  </w:style>
  <w:style w:type="character" w:styleId="Cs188c92b51">
    <w:name w:val="cs188c92b51"/>
    <w:qFormat/>
    <w:rPr>
      <w:rFonts w:ascii="Times New Roman" w:hAnsi="Times New Roman" w:cs="Times New Roman"/>
      <w:b w:val="false"/>
      <w:bCs w:val="false"/>
      <w:i w:val="false"/>
      <w:iCs w:val="false"/>
      <w:color w:val="000000"/>
      <w:sz w:val="26"/>
      <w:szCs w:val="26"/>
      <w:shd w:fill="auto" w:val="clear"/>
    </w:rPr>
  </w:style>
  <w:style w:type="character" w:styleId="32">
    <w:name w:val="Основной текст 3 Знак"/>
    <w:qFormat/>
    <w:rPr>
      <w:rFonts w:ascii="Times New Roman" w:hAnsi="Times New Roman" w:eastAsia="Times New Roman" w:cs="Times New Roman"/>
      <w:sz w:val="16"/>
      <w:szCs w:val="16"/>
      <w:lang w:val="uk-UA"/>
    </w:rPr>
  </w:style>
  <w:style w:type="character" w:styleId="Csab6e076931">
    <w:name w:val="csab6e076931"/>
    <w:qFormat/>
    <w:rPr>
      <w:rFonts w:ascii="Arial" w:hAnsi="Arial" w:cs="Arial"/>
      <w:b w:val="false"/>
      <w:bCs w:val="false"/>
      <w:i w:val="false"/>
      <w:iCs w:val="false"/>
      <w:color w:val="000000"/>
      <w:sz w:val="18"/>
      <w:szCs w:val="18"/>
      <w:shd w:fill="auto" w:val="clear"/>
    </w:rPr>
  </w:style>
  <w:style w:type="character" w:styleId="Csab6e076928">
    <w:name w:val="csab6e076928"/>
    <w:qFormat/>
    <w:rPr>
      <w:rFonts w:ascii="Arial" w:hAnsi="Arial" w:cs="Arial"/>
      <w:b w:val="false"/>
      <w:bCs w:val="false"/>
      <w:i w:val="false"/>
      <w:iCs w:val="false"/>
      <w:color w:val="000000"/>
      <w:sz w:val="18"/>
      <w:szCs w:val="18"/>
      <w:shd w:fill="auto" w:val="clear"/>
    </w:rPr>
  </w:style>
  <w:style w:type="character" w:styleId="Csf229d0ff15">
    <w:name w:val="csf229d0ff15"/>
    <w:qFormat/>
    <w:rPr>
      <w:rFonts w:ascii="Arial" w:hAnsi="Arial" w:cs="Arial"/>
      <w:b w:val="false"/>
      <w:bCs w:val="false"/>
      <w:i w:val="false"/>
      <w:iCs w:val="false"/>
      <w:color w:val="000000"/>
      <w:sz w:val="18"/>
      <w:szCs w:val="18"/>
      <w:shd w:fill="auto" w:val="clear"/>
    </w:rPr>
  </w:style>
  <w:style w:type="character" w:styleId="Csafaf574134">
    <w:name w:val="csafaf574134"/>
    <w:qFormat/>
    <w:rPr>
      <w:rFonts w:ascii="Arial" w:hAnsi="Arial" w:cs="Arial"/>
      <w:b/>
      <w:bCs/>
      <w:i w:val="false"/>
      <w:iCs w:val="false"/>
      <w:color w:val="000000"/>
      <w:sz w:val="18"/>
      <w:szCs w:val="18"/>
      <w:shd w:fill="auto" w:val="clear"/>
    </w:rPr>
  </w:style>
  <w:style w:type="character" w:styleId="Csf229d0ff25">
    <w:name w:val="csf229d0ff25"/>
    <w:qFormat/>
    <w:rPr>
      <w:rFonts w:ascii="Arial" w:hAnsi="Arial" w:cs="Arial"/>
      <w:b w:val="false"/>
      <w:bCs w:val="false"/>
      <w:i w:val="false"/>
      <w:iCs w:val="false"/>
      <w:color w:val="000000"/>
      <w:sz w:val="18"/>
      <w:szCs w:val="18"/>
      <w:shd w:fill="auto" w:val="clear"/>
    </w:rPr>
  </w:style>
  <w:style w:type="character" w:styleId="Cs95e872d01">
    <w:name w:val="cs95e872d01"/>
    <w:qFormat/>
    <w:rPr/>
  </w:style>
  <w:style w:type="character" w:styleId="Csb3e8c9cf10">
    <w:name w:val="csb3e8c9cf10"/>
    <w:qFormat/>
    <w:rPr>
      <w:rFonts w:ascii="Arial" w:hAnsi="Arial" w:cs="Arial"/>
      <w:b/>
      <w:bCs/>
      <w:i w:val="false"/>
      <w:iCs w:val="false"/>
      <w:color w:val="000000"/>
      <w:sz w:val="18"/>
      <w:szCs w:val="18"/>
      <w:shd w:fill="auto" w:val="clear"/>
    </w:rPr>
  </w:style>
  <w:style w:type="character" w:styleId="Csafaf574127">
    <w:name w:val="csafaf574127"/>
    <w:qFormat/>
    <w:rPr>
      <w:rFonts w:ascii="Arial" w:hAnsi="Arial" w:cs="Arial"/>
      <w:b/>
      <w:bCs/>
      <w:i w:val="false"/>
      <w:iCs w:val="false"/>
      <w:color w:val="000000"/>
      <w:sz w:val="18"/>
      <w:szCs w:val="18"/>
      <w:shd w:fill="auto" w:val="clear"/>
    </w:rPr>
  </w:style>
  <w:style w:type="character" w:styleId="Csf229d0ff10">
    <w:name w:val="csf229d0ff10"/>
    <w:qFormat/>
    <w:rPr>
      <w:rFonts w:ascii="Arial" w:hAnsi="Arial" w:cs="Arial"/>
      <w:b w:val="false"/>
      <w:bCs w:val="false"/>
      <w:i w:val="false"/>
      <w:iCs w:val="false"/>
      <w:color w:val="000000"/>
      <w:sz w:val="18"/>
      <w:szCs w:val="18"/>
      <w:shd w:fill="auto" w:val="clear"/>
    </w:rPr>
  </w:style>
  <w:style w:type="character" w:styleId="Csab6e0769103">
    <w:name w:val="csab6e0769103"/>
    <w:qFormat/>
    <w:rPr>
      <w:rFonts w:ascii="Arial" w:hAnsi="Arial" w:cs="Arial"/>
      <w:b w:val="false"/>
      <w:bCs w:val="false"/>
      <w:i w:val="false"/>
      <w:iCs w:val="false"/>
      <w:color w:val="000000"/>
      <w:sz w:val="18"/>
      <w:szCs w:val="18"/>
      <w:shd w:fill="auto" w:val="clear"/>
    </w:rPr>
  </w:style>
  <w:style w:type="character" w:styleId="Csab6e0769104">
    <w:name w:val="csab6e0769104"/>
    <w:qFormat/>
    <w:rPr>
      <w:rFonts w:ascii="Arial" w:hAnsi="Arial" w:cs="Arial"/>
      <w:b w:val="false"/>
      <w:bCs w:val="false"/>
      <w:i w:val="false"/>
      <w:iCs w:val="false"/>
      <w:color w:val="000000"/>
      <w:sz w:val="18"/>
      <w:szCs w:val="18"/>
      <w:shd w:fill="auto" w:val="clear"/>
    </w:rPr>
  </w:style>
  <w:style w:type="character" w:styleId="Csafaf5741105">
    <w:name w:val="csafaf5741105"/>
    <w:qFormat/>
    <w:rPr>
      <w:rFonts w:ascii="Arial" w:hAnsi="Arial" w:cs="Arial"/>
      <w:b/>
      <w:bCs/>
      <w:i w:val="false"/>
      <w:iCs w:val="false"/>
      <w:color w:val="000000"/>
      <w:sz w:val="18"/>
      <w:szCs w:val="18"/>
      <w:shd w:fill="auto" w:val="clear"/>
    </w:rPr>
  </w:style>
  <w:style w:type="character" w:styleId="Csafaf5741106">
    <w:name w:val="csafaf5741106"/>
    <w:qFormat/>
    <w:rPr>
      <w:rFonts w:ascii="Arial" w:hAnsi="Arial" w:cs="Arial"/>
      <w:b/>
      <w:bCs/>
      <w:i w:val="false"/>
      <w:iCs w:val="false"/>
      <w:color w:val="000000"/>
      <w:sz w:val="18"/>
      <w:szCs w:val="18"/>
      <w:shd w:fill="auto" w:val="clear"/>
    </w:rPr>
  </w:style>
  <w:style w:type="character" w:styleId="Csafaf5741216">
    <w:name w:val="csafaf5741216"/>
    <w:qFormat/>
    <w:rPr>
      <w:rFonts w:ascii="Arial" w:hAnsi="Arial" w:cs="Arial"/>
      <w:b/>
      <w:bCs/>
      <w:i w:val="false"/>
      <w:iCs w:val="false"/>
      <w:color w:val="000000"/>
      <w:sz w:val="18"/>
      <w:szCs w:val="18"/>
      <w:shd w:fill="auto" w:val="clear"/>
    </w:rPr>
  </w:style>
  <w:style w:type="character" w:styleId="Csf229d0ff19">
    <w:name w:val="csf229d0ff19"/>
    <w:qFormat/>
    <w:rPr>
      <w:rFonts w:ascii="Arial" w:hAnsi="Arial" w:cs="Arial"/>
      <w:b w:val="false"/>
      <w:bCs w:val="false"/>
      <w:i w:val="false"/>
      <w:iCs w:val="false"/>
      <w:color w:val="000000"/>
      <w:sz w:val="18"/>
      <w:szCs w:val="18"/>
      <w:shd w:fill="auto" w:val="clear"/>
    </w:rPr>
  </w:style>
  <w:style w:type="character" w:styleId="Csf229d0ff24">
    <w:name w:val="csf229d0ff24"/>
    <w:qFormat/>
    <w:rPr>
      <w:rFonts w:ascii="Arial" w:hAnsi="Arial" w:cs="Arial"/>
      <w:b w:val="false"/>
      <w:bCs w:val="false"/>
      <w:i w:val="false"/>
      <w:iCs w:val="false"/>
      <w:color w:val="000000"/>
      <w:sz w:val="18"/>
      <w:szCs w:val="18"/>
      <w:shd w:fill="auto" w:val="clear"/>
    </w:rPr>
  </w:style>
  <w:style w:type="character" w:styleId="Csf229d0ff14">
    <w:name w:val="csf229d0ff14"/>
    <w:qFormat/>
    <w:rPr>
      <w:rFonts w:ascii="Arial" w:hAnsi="Arial" w:cs="Arial"/>
      <w:b w:val="false"/>
      <w:bCs w:val="false"/>
      <w:i w:val="false"/>
      <w:iCs w:val="false"/>
      <w:color w:val="000000"/>
      <w:sz w:val="18"/>
      <w:szCs w:val="18"/>
      <w:shd w:fill="auto" w:val="clear"/>
    </w:rPr>
  </w:style>
  <w:style w:type="character" w:styleId="Csab6e0769225">
    <w:name w:val="csab6e0769225"/>
    <w:qFormat/>
    <w:rPr>
      <w:rFonts w:ascii="Arial" w:hAnsi="Arial" w:cs="Arial"/>
      <w:b w:val="false"/>
      <w:bCs w:val="false"/>
      <w:i w:val="false"/>
      <w:iCs w:val="false"/>
      <w:color w:val="000000"/>
      <w:sz w:val="18"/>
      <w:szCs w:val="18"/>
      <w:shd w:fill="auto" w:val="clear"/>
    </w:rPr>
  </w:style>
  <w:style w:type="character" w:styleId="Csb3e8c9cf3">
    <w:name w:val="csb3e8c9cf3"/>
    <w:qFormat/>
    <w:rPr>
      <w:rFonts w:ascii="Arial" w:hAnsi="Arial" w:cs="Arial"/>
      <w:b/>
      <w:bCs/>
      <w:i w:val="false"/>
      <w:iCs w:val="false"/>
      <w:color w:val="000000"/>
      <w:sz w:val="18"/>
      <w:szCs w:val="18"/>
      <w:shd w:fill="auto" w:val="clear"/>
    </w:rPr>
  </w:style>
  <w:style w:type="character" w:styleId="Csb86c8cfe1">
    <w:name w:val="csb86c8cfe1"/>
    <w:qFormat/>
    <w:rPr>
      <w:rFonts w:ascii="Times New Roman" w:hAnsi="Times New Roman" w:cs="Times New Roman"/>
      <w:b/>
      <w:bCs/>
      <w:i w:val="false"/>
      <w:iCs w:val="false"/>
      <w:color w:val="000000"/>
      <w:sz w:val="24"/>
      <w:szCs w:val="24"/>
    </w:rPr>
  </w:style>
  <w:style w:type="character" w:styleId="Csf229d0ff21">
    <w:name w:val="csf229d0ff21"/>
    <w:qFormat/>
    <w:rPr>
      <w:rFonts w:ascii="Arial" w:hAnsi="Arial" w:cs="Arial"/>
      <w:b w:val="false"/>
      <w:bCs w:val="false"/>
      <w:i w:val="false"/>
      <w:iCs w:val="false"/>
      <w:color w:val="000000"/>
      <w:sz w:val="18"/>
      <w:szCs w:val="18"/>
    </w:rPr>
  </w:style>
  <w:style w:type="character" w:styleId="Csf229d0ff26">
    <w:name w:val="csf229d0ff26"/>
    <w:qFormat/>
    <w:rPr>
      <w:rFonts w:ascii="Arial" w:hAnsi="Arial" w:cs="Arial"/>
      <w:b w:val="false"/>
      <w:bCs w:val="false"/>
      <w:i w:val="false"/>
      <w:iCs w:val="false"/>
      <w:color w:val="000000"/>
      <w:sz w:val="18"/>
      <w:szCs w:val="18"/>
      <w:shd w:fill="auto" w:val="clear"/>
    </w:rPr>
  </w:style>
  <w:style w:type="character" w:styleId="Cs8c2cf3831">
    <w:name w:val="cs8c2cf3831"/>
    <w:qFormat/>
    <w:rPr>
      <w:rFonts w:ascii="Arial" w:hAnsi="Arial" w:cs="Arial"/>
      <w:b/>
      <w:bCs/>
      <w:i/>
      <w:iCs/>
      <w:color w:val="102B56"/>
      <w:sz w:val="18"/>
      <w:szCs w:val="18"/>
      <w:shd w:fill="auto" w:val="clear"/>
    </w:rPr>
  </w:style>
  <w:style w:type="character" w:styleId="Csd71f5e5a1">
    <w:name w:val="csd71f5e5a1"/>
    <w:qFormat/>
    <w:rPr>
      <w:rFonts w:ascii="Arial" w:hAnsi="Arial" w:cs="Arial"/>
      <w:b w:val="false"/>
      <w:bCs w:val="false"/>
      <w:i/>
      <w:iCs/>
      <w:color w:val="102B56"/>
      <w:sz w:val="18"/>
      <w:szCs w:val="18"/>
      <w:shd w:fill="auto" w:val="clear"/>
    </w:rPr>
  </w:style>
  <w:style w:type="character" w:styleId="Cs8f6c24af1">
    <w:name w:val="cs8f6c24af1"/>
    <w:qFormat/>
    <w:rPr>
      <w:rFonts w:ascii="Arial" w:hAnsi="Arial" w:cs="Arial"/>
      <w:b/>
      <w:bCs/>
      <w:i w:val="false"/>
      <w:iCs w:val="false"/>
      <w:color w:val="102B56"/>
      <w:sz w:val="18"/>
      <w:szCs w:val="18"/>
      <w:shd w:fill="auto" w:val="clear"/>
    </w:rPr>
  </w:style>
  <w:style w:type="character" w:styleId="Csa5a0f5421">
    <w:name w:val="csa5a0f5421"/>
    <w:qFormat/>
    <w:rPr>
      <w:rFonts w:ascii="Arial" w:hAnsi="Arial" w:cs="Arial"/>
      <w:b w:val="false"/>
      <w:bCs w:val="false"/>
      <w:i w:val="false"/>
      <w:iCs w:val="false"/>
      <w:color w:val="102B56"/>
      <w:sz w:val="18"/>
      <w:szCs w:val="18"/>
      <w:shd w:fill="auto" w:val="clear"/>
    </w:rPr>
  </w:style>
  <w:style w:type="character" w:styleId="Cs3f9137501">
    <w:name w:val="cs3f9137501"/>
    <w:qFormat/>
    <w:rPr>
      <w:rFonts w:ascii="Arial" w:hAnsi="Arial" w:cs="Arial"/>
      <w:b w:val="false"/>
      <w:bCs w:val="false"/>
      <w:i/>
      <w:iCs/>
      <w:color w:val="102B56"/>
      <w:sz w:val="18"/>
      <w:szCs w:val="18"/>
      <w:u w:val="single"/>
      <w:shd w:fill="auto" w:val="clear"/>
    </w:rPr>
  </w:style>
  <w:style w:type="character" w:styleId="LineNumbering">
    <w:name w:val="Line Numbering"/>
    <w:rPr>
      <w:rFonts w:ascii="Segoe UI" w:hAnsi="Segoe UI" w:cs="Segoe UI"/>
      <w:color w:val="000000"/>
      <w:sz w:val="18"/>
      <w:szCs w:val="18"/>
    </w:rPr>
  </w:style>
  <w:style w:type="character" w:styleId="Csa939b0971">
    <w:name w:val="csa939b0971"/>
    <w:qFormat/>
    <w:rPr>
      <w:rFonts w:ascii="Times New Roman" w:hAnsi="Times New Roman" w:cs="Times New Roman"/>
      <w:b/>
      <w:bCs/>
      <w:i/>
      <w:iCs/>
      <w:color w:val="000000"/>
      <w:sz w:val="20"/>
      <w:szCs w:val="20"/>
      <w:shd w:fill="auto" w:val="clear"/>
    </w:rPr>
  </w:style>
  <w:style w:type="character" w:styleId="Style14">
    <w:name w:val="Знак примечания"/>
    <w:qFormat/>
    <w:rPr>
      <w:sz w:val="16"/>
      <w:szCs w:val="16"/>
    </w:rPr>
  </w:style>
  <w:style w:type="character" w:styleId="Style15">
    <w:name w:val="Текст примечания Знак"/>
    <w:qFormat/>
    <w:rPr>
      <w:rFonts w:ascii="Times New Roman" w:hAnsi="Times New Roman" w:eastAsia="Times New Roman" w:cs="Times New Roman"/>
      <w:lang w:val="uk-UA"/>
    </w:rPr>
  </w:style>
  <w:style w:type="character" w:styleId="Style16">
    <w:name w:val="Тема примечания Знак"/>
    <w:qFormat/>
    <w:rPr>
      <w:rFonts w:ascii="Times New Roman" w:hAnsi="Times New Roman" w:eastAsia="Times New Roman" w:cs="Times New Roman"/>
      <w:b/>
      <w:bCs/>
      <w:lang w:val="uk-UA"/>
    </w:rPr>
  </w:style>
  <w:style w:type="character" w:styleId="Csb3e8c9cf69">
    <w:name w:val="csb3e8c9cf69"/>
    <w:qFormat/>
    <w:rPr>
      <w:rFonts w:ascii="Arial" w:hAnsi="Arial" w:cs="Arial"/>
      <w:b/>
      <w:bCs/>
      <w:i w:val="false"/>
      <w:iCs w:val="false"/>
      <w:color w:val="000000"/>
      <w:sz w:val="18"/>
      <w:szCs w:val="18"/>
      <w:shd w:fill="auto" w:val="clear"/>
    </w:rPr>
  </w:style>
  <w:style w:type="character" w:styleId="Csf229d0ff64">
    <w:name w:val="csf229d0ff64"/>
    <w:qFormat/>
    <w:rPr>
      <w:rFonts w:ascii="Arial" w:hAnsi="Arial" w:cs="Arial"/>
      <w:b w:val="false"/>
      <w:bCs w:val="false"/>
      <w:i w:val="false"/>
      <w:iCs w:val="false"/>
      <w:color w:val="000000"/>
      <w:sz w:val="18"/>
      <w:szCs w:val="18"/>
      <w:shd w:fill="auto" w:val="clear"/>
    </w:rPr>
  </w:style>
  <w:style w:type="character" w:styleId="Csd398459525">
    <w:name w:val="csd398459525"/>
    <w:qFormat/>
    <w:rPr>
      <w:rFonts w:ascii="Arial" w:hAnsi="Arial" w:cs="Arial"/>
      <w:b/>
      <w:bCs/>
      <w:i/>
      <w:iCs/>
      <w:color w:val="000000"/>
      <w:sz w:val="18"/>
      <w:szCs w:val="18"/>
      <w:u w:val="single"/>
      <w:shd w:fill="auto" w:val="clear"/>
    </w:rPr>
  </w:style>
  <w:style w:type="character" w:styleId="Csd3c90d4325">
    <w:name w:val="csd3c90d4325"/>
    <w:qFormat/>
    <w:rPr>
      <w:rFonts w:ascii="Arial" w:hAnsi="Arial" w:cs="Arial"/>
      <w:b w:val="false"/>
      <w:bCs w:val="false"/>
      <w:i/>
      <w:iCs/>
      <w:color w:val="000000"/>
      <w:sz w:val="18"/>
      <w:szCs w:val="18"/>
      <w:shd w:fill="auto" w:val="clear"/>
    </w:rPr>
  </w:style>
  <w:style w:type="character" w:styleId="Csb86c8cfe3">
    <w:name w:val="csb86c8cfe3"/>
    <w:qFormat/>
    <w:rPr>
      <w:rFonts w:ascii="Times New Roman" w:hAnsi="Times New Roman" w:cs="Times New Roman"/>
      <w:b/>
      <w:bCs/>
      <w:i w:val="false"/>
      <w:iCs w:val="false"/>
      <w:color w:val="000000"/>
      <w:sz w:val="24"/>
      <w:szCs w:val="24"/>
      <w:shd w:fill="auto" w:val="clear"/>
    </w:rPr>
  </w:style>
  <w:style w:type="character" w:styleId="Csab6e076977">
    <w:name w:val="csab6e076977"/>
    <w:qFormat/>
    <w:rPr>
      <w:rFonts w:ascii="Arial" w:hAnsi="Arial" w:cs="Arial"/>
      <w:b w:val="false"/>
      <w:bCs w:val="false"/>
      <w:i w:val="false"/>
      <w:iCs w:val="false"/>
      <w:color w:val="000000"/>
      <w:sz w:val="18"/>
      <w:szCs w:val="18"/>
      <w:shd w:fill="auto" w:val="clear"/>
    </w:rPr>
  </w:style>
  <w:style w:type="character" w:styleId="Cs9f0a40401">
    <w:name w:val="cs9f0a40401"/>
    <w:qFormat/>
    <w:rPr>
      <w:rFonts w:ascii="Arial" w:hAnsi="Arial" w:cs="Arial"/>
      <w:b w:val="false"/>
      <w:bCs w:val="false"/>
      <w:i w:val="false"/>
      <w:iCs w:val="false"/>
      <w:color w:val="000000"/>
      <w:sz w:val="20"/>
      <w:szCs w:val="20"/>
      <w:shd w:fill="auto" w:val="clear"/>
    </w:rPr>
  </w:style>
  <w:style w:type="character" w:styleId="Csb3e8c9cf23">
    <w:name w:val="csb3e8c9cf23"/>
    <w:qFormat/>
    <w:rPr>
      <w:rFonts w:ascii="Arial" w:hAnsi="Arial" w:cs="Arial"/>
      <w:b/>
      <w:bCs/>
      <w:i w:val="false"/>
      <w:iCs w:val="false"/>
      <w:color w:val="000000"/>
      <w:sz w:val="18"/>
      <w:szCs w:val="18"/>
      <w:shd w:fill="auto" w:val="clear"/>
    </w:rPr>
  </w:style>
  <w:style w:type="character" w:styleId="Cs607602ac2">
    <w:name w:val="cs607602ac2"/>
    <w:qFormat/>
    <w:rPr>
      <w:rFonts w:ascii="Arial" w:hAnsi="Arial" w:cs="Arial"/>
      <w:b/>
      <w:bCs/>
      <w:i w:val="false"/>
      <w:iCs w:val="false"/>
      <w:color w:val="000000"/>
      <w:sz w:val="18"/>
      <w:szCs w:val="18"/>
      <w:u w:val="single"/>
      <w:shd w:fill="auto" w:val="clear"/>
    </w:rPr>
  </w:style>
  <w:style w:type="character" w:styleId="Csab6e0769291">
    <w:name w:val="csab6e0769291"/>
    <w:qFormat/>
    <w:rPr>
      <w:rFonts w:ascii="Arial" w:hAnsi="Arial" w:cs="Arial"/>
      <w:b w:val="false"/>
      <w:bCs w:val="false"/>
      <w:i w:val="false"/>
      <w:iCs w:val="false"/>
      <w:color w:val="000000"/>
      <w:sz w:val="18"/>
      <w:szCs w:val="18"/>
      <w:shd w:fill="auto" w:val="clear"/>
    </w:rPr>
  </w:style>
  <w:style w:type="character" w:styleId="Csafaf5741219">
    <w:name w:val="csafaf5741219"/>
    <w:qFormat/>
    <w:rPr>
      <w:rFonts w:ascii="Arial" w:hAnsi="Arial" w:cs="Arial"/>
      <w:b/>
      <w:bCs/>
      <w:i w:val="false"/>
      <w:iCs w:val="false"/>
      <w:color w:val="000000"/>
      <w:sz w:val="18"/>
      <w:szCs w:val="18"/>
      <w:shd w:fill="auto" w:val="clear"/>
    </w:rPr>
  </w:style>
  <w:style w:type="character" w:styleId="Csf562b92915">
    <w:name w:val="csf562b92915"/>
    <w:qFormat/>
    <w:rPr>
      <w:rFonts w:ascii="Arial" w:hAnsi="Arial" w:cs="Arial"/>
      <w:b/>
      <w:bCs/>
      <w:i/>
      <w:iCs/>
      <w:color w:val="000000"/>
      <w:sz w:val="18"/>
      <w:szCs w:val="18"/>
      <w:shd w:fill="auto" w:val="clear"/>
    </w:rPr>
  </w:style>
  <w:style w:type="character" w:styleId="Cseed234731">
    <w:name w:val="cseed234731"/>
    <w:qFormat/>
    <w:rPr>
      <w:rFonts w:ascii="Arial" w:hAnsi="Arial" w:cs="Arial"/>
      <w:b/>
      <w:bCs/>
      <w:i/>
      <w:iCs/>
      <w:color w:val="000000"/>
      <w:sz w:val="12"/>
      <w:szCs w:val="12"/>
      <w:shd w:fill="auto" w:val="clear"/>
    </w:rPr>
  </w:style>
  <w:style w:type="character" w:styleId="Csb3e8c9cf35">
    <w:name w:val="csb3e8c9cf35"/>
    <w:qFormat/>
    <w:rPr>
      <w:rFonts w:ascii="Arial" w:hAnsi="Arial" w:cs="Arial"/>
      <w:b/>
      <w:bCs/>
      <w:i w:val="false"/>
      <w:iCs w:val="false"/>
      <w:color w:val="000000"/>
      <w:sz w:val="18"/>
      <w:szCs w:val="18"/>
      <w:shd w:fill="auto" w:val="clear"/>
    </w:rPr>
  </w:style>
  <w:style w:type="character" w:styleId="Csb3e8c9cf28">
    <w:name w:val="csb3e8c9cf28"/>
    <w:qFormat/>
    <w:rPr>
      <w:rFonts w:ascii="Arial" w:hAnsi="Arial" w:cs="Arial"/>
      <w:b/>
      <w:bCs/>
      <w:i w:val="false"/>
      <w:iCs w:val="false"/>
      <w:color w:val="000000"/>
      <w:sz w:val="18"/>
      <w:szCs w:val="18"/>
      <w:shd w:fill="auto" w:val="clear"/>
    </w:rPr>
  </w:style>
  <w:style w:type="character" w:styleId="Csf562b9296">
    <w:name w:val="csf562b9296"/>
    <w:qFormat/>
    <w:rPr>
      <w:rFonts w:ascii="Arial" w:hAnsi="Arial" w:cs="Arial"/>
      <w:b/>
      <w:bCs/>
      <w:i/>
      <w:iCs/>
      <w:color w:val="000000"/>
      <w:sz w:val="18"/>
      <w:szCs w:val="18"/>
      <w:shd w:fill="auto" w:val="clear"/>
    </w:rPr>
  </w:style>
  <w:style w:type="character" w:styleId="Csab6e076930">
    <w:name w:val="csab6e076930"/>
    <w:qFormat/>
    <w:rPr>
      <w:rFonts w:ascii="Arial" w:hAnsi="Arial" w:cs="Arial"/>
      <w:b w:val="false"/>
      <w:bCs w:val="false"/>
      <w:i w:val="false"/>
      <w:iCs w:val="false"/>
      <w:color w:val="000000"/>
      <w:sz w:val="18"/>
      <w:szCs w:val="18"/>
      <w:shd w:fill="auto" w:val="clear"/>
    </w:rPr>
  </w:style>
  <w:style w:type="character" w:styleId="14">
    <w:name w:val="Основной текст (14)_"/>
    <w:qFormat/>
    <w:rPr>
      <w:rFonts w:ascii="Times New Roman" w:hAnsi="Times New Roman" w:cs="Times New Roman"/>
      <w:sz w:val="21"/>
      <w:szCs w:val="21"/>
      <w:shd w:fill="FFFFFF" w:val="clear"/>
    </w:rPr>
  </w:style>
  <w:style w:type="character" w:styleId="Csab6e076965">
    <w:name w:val="csab6e076965"/>
    <w:qFormat/>
    <w:rPr>
      <w:rFonts w:ascii="Arial" w:hAnsi="Arial" w:cs="Arial"/>
      <w:b w:val="false"/>
      <w:bCs w:val="false"/>
      <w:i w:val="false"/>
      <w:iCs w:val="false"/>
      <w:color w:val="000000"/>
      <w:sz w:val="18"/>
      <w:szCs w:val="18"/>
      <w:shd w:fill="auto" w:val="clear"/>
    </w:rPr>
  </w:style>
  <w:style w:type="character" w:styleId="Csf229d0ff33">
    <w:name w:val="csf229d0ff33"/>
    <w:qFormat/>
    <w:rPr>
      <w:rFonts w:ascii="Arial" w:hAnsi="Arial" w:cs="Arial"/>
      <w:b w:val="false"/>
      <w:bCs w:val="false"/>
      <w:i w:val="false"/>
      <w:iCs w:val="false"/>
      <w:color w:val="000000"/>
      <w:sz w:val="18"/>
      <w:szCs w:val="18"/>
      <w:shd w:fill="auto" w:val="clear"/>
    </w:rPr>
  </w:style>
  <w:style w:type="character" w:styleId="Csab6e076920">
    <w:name w:val="csab6e076920"/>
    <w:qFormat/>
    <w:rPr>
      <w:rFonts w:ascii="Arial" w:hAnsi="Arial" w:cs="Arial"/>
      <w:b w:val="false"/>
      <w:bCs w:val="false"/>
      <w:i w:val="false"/>
      <w:iCs w:val="false"/>
      <w:color w:val="000000"/>
      <w:sz w:val="18"/>
      <w:szCs w:val="18"/>
      <w:shd w:fill="auto" w:val="clear"/>
    </w:rPr>
  </w:style>
  <w:style w:type="character" w:styleId="Csf229d0ff28">
    <w:name w:val="csf229d0ff28"/>
    <w:qFormat/>
    <w:rPr>
      <w:rFonts w:ascii="Arial" w:hAnsi="Arial" w:cs="Arial"/>
      <w:b w:val="false"/>
      <w:bCs w:val="false"/>
      <w:i w:val="false"/>
      <w:iCs w:val="false"/>
      <w:color w:val="000000"/>
      <w:sz w:val="18"/>
      <w:szCs w:val="18"/>
      <w:shd w:fill="auto" w:val="clear"/>
    </w:rPr>
  </w:style>
  <w:style w:type="character" w:styleId="Csf229d0ff50">
    <w:name w:val="csf229d0ff50"/>
    <w:qFormat/>
    <w:rPr>
      <w:rFonts w:ascii="Arial" w:hAnsi="Arial" w:cs="Arial"/>
      <w:b w:val="false"/>
      <w:bCs w:val="false"/>
      <w:i w:val="false"/>
      <w:iCs w:val="false"/>
      <w:color w:val="000000"/>
      <w:sz w:val="18"/>
      <w:szCs w:val="18"/>
      <w:shd w:fill="auto" w:val="clear"/>
    </w:rPr>
  </w:style>
  <w:style w:type="character" w:styleId="Csf229d0ff22">
    <w:name w:val="csf229d0ff22"/>
    <w:qFormat/>
    <w:rPr>
      <w:rFonts w:ascii="Arial" w:hAnsi="Arial" w:cs="Arial"/>
      <w:b w:val="false"/>
      <w:bCs w:val="false"/>
      <w:i w:val="false"/>
      <w:iCs w:val="false"/>
      <w:color w:val="000000"/>
      <w:sz w:val="18"/>
      <w:szCs w:val="18"/>
      <w:shd w:fill="auto" w:val="clear"/>
    </w:rPr>
  </w:style>
  <w:style w:type="character" w:styleId="Csf229d0ff83">
    <w:name w:val="csf229d0ff83"/>
    <w:qFormat/>
    <w:rPr>
      <w:rFonts w:ascii="Arial" w:hAnsi="Arial" w:cs="Arial"/>
      <w:b w:val="false"/>
      <w:bCs w:val="false"/>
      <w:i w:val="false"/>
      <w:iCs w:val="false"/>
      <w:color w:val="000000"/>
      <w:sz w:val="18"/>
      <w:szCs w:val="18"/>
      <w:shd w:fill="auto" w:val="clear"/>
    </w:rPr>
  </w:style>
  <w:style w:type="character" w:styleId="Csf229d0ff76">
    <w:name w:val="csf229d0ff76"/>
    <w:qFormat/>
    <w:rPr>
      <w:rFonts w:ascii="Arial" w:hAnsi="Arial" w:cs="Arial"/>
      <w:b w:val="false"/>
      <w:bCs w:val="false"/>
      <w:i w:val="false"/>
      <w:iCs w:val="false"/>
      <w:color w:val="000000"/>
      <w:sz w:val="18"/>
      <w:szCs w:val="18"/>
      <w:shd w:fill="auto" w:val="clear"/>
    </w:rPr>
  </w:style>
  <w:style w:type="character" w:styleId="Csf229d0ff20">
    <w:name w:val="csf229d0ff20"/>
    <w:qFormat/>
    <w:rPr>
      <w:rFonts w:ascii="Arial" w:hAnsi="Arial" w:cs="Arial"/>
      <w:b w:val="false"/>
      <w:bCs w:val="false"/>
      <w:i w:val="false"/>
      <w:iCs w:val="false"/>
      <w:color w:val="000000"/>
      <w:sz w:val="18"/>
      <w:szCs w:val="18"/>
      <w:shd w:fill="auto" w:val="clear"/>
    </w:rPr>
  </w:style>
  <w:style w:type="character" w:styleId="Csab6e07697">
    <w:name w:val="csab6e07697"/>
    <w:qFormat/>
    <w:rPr>
      <w:rFonts w:ascii="Arial" w:hAnsi="Arial" w:cs="Arial"/>
      <w:b w:val="false"/>
      <w:bCs w:val="false"/>
      <w:i w:val="false"/>
      <w:iCs w:val="false"/>
      <w:color w:val="000000"/>
      <w:sz w:val="18"/>
      <w:szCs w:val="18"/>
      <w:shd w:fill="auto" w:val="clear"/>
    </w:rPr>
  </w:style>
  <w:style w:type="character" w:styleId="Csb3e8c9cf94">
    <w:name w:val="csb3e8c9cf94"/>
    <w:qFormat/>
    <w:rPr>
      <w:rFonts w:ascii="Arial" w:hAnsi="Arial" w:cs="Arial"/>
      <w:b/>
      <w:bCs/>
      <w:i w:val="false"/>
      <w:iCs w:val="false"/>
      <w:color w:val="000000"/>
      <w:sz w:val="18"/>
      <w:szCs w:val="18"/>
      <w:shd w:fill="auto" w:val="clear"/>
    </w:rPr>
  </w:style>
  <w:style w:type="character" w:styleId="Csf229d0ff91">
    <w:name w:val="csf229d0ff91"/>
    <w:qFormat/>
    <w:rPr>
      <w:rFonts w:ascii="Arial" w:hAnsi="Arial" w:cs="Arial"/>
      <w:b w:val="false"/>
      <w:bCs w:val="false"/>
      <w:i w:val="false"/>
      <w:iCs w:val="false"/>
      <w:color w:val="000000"/>
      <w:sz w:val="18"/>
      <w:szCs w:val="18"/>
      <w:shd w:fill="auto" w:val="clear"/>
    </w:rPr>
  </w:style>
  <w:style w:type="character" w:styleId="21">
    <w:name w:val="Заголовок 2 Знак1"/>
    <w:qFormat/>
    <w:rPr>
      <w:rFonts w:ascii="Arial" w:hAnsi="Arial" w:eastAsia="Times New Roman" w:cs="Arial"/>
      <w:b/>
      <w:caps/>
      <w:sz w:val="16"/>
      <w:lang w:val="ru-RU"/>
    </w:rPr>
  </w:style>
  <w:style w:type="character" w:styleId="41">
    <w:name w:val="Заголовок 4 Знак1"/>
    <w:qFormat/>
    <w:rPr>
      <w:rFonts w:ascii="Arial" w:hAnsi="Arial" w:eastAsia="Times New Roman" w:cs="Arial"/>
      <w:b/>
      <w:lang w:val="ru-RU"/>
    </w:rPr>
  </w:style>
  <w:style w:type="character" w:styleId="Csf229d0ff74">
    <w:name w:val="csf229d0ff74"/>
    <w:qFormat/>
    <w:rPr>
      <w:rFonts w:ascii="Arial" w:hAnsi="Arial" w:cs="Arial"/>
      <w:b w:val="false"/>
      <w:bCs w:val="false"/>
      <w:i w:val="false"/>
      <w:iCs w:val="false"/>
      <w:color w:val="000000"/>
      <w:sz w:val="18"/>
      <w:szCs w:val="18"/>
      <w:shd w:fill="auto" w:val="clear"/>
    </w:rPr>
  </w:style>
  <w:style w:type="character" w:styleId="Csf229d0ff97">
    <w:name w:val="csf229d0ff97"/>
    <w:qFormat/>
    <w:rPr>
      <w:rFonts w:ascii="Arial" w:hAnsi="Arial" w:cs="Arial"/>
      <w:b w:val="false"/>
      <w:bCs w:val="false"/>
      <w:i w:val="false"/>
      <w:iCs w:val="false"/>
      <w:color w:val="000000"/>
      <w:sz w:val="18"/>
      <w:szCs w:val="18"/>
      <w:shd w:fill="auto" w:val="clear"/>
    </w:rPr>
  </w:style>
  <w:style w:type="character" w:styleId="Csab6e076939">
    <w:name w:val="csab6e076939"/>
    <w:qFormat/>
    <w:rPr>
      <w:rFonts w:ascii="Arial" w:hAnsi="Arial" w:cs="Arial"/>
      <w:b w:val="false"/>
      <w:bCs w:val="false"/>
      <w:i w:val="false"/>
      <w:iCs w:val="false"/>
      <w:color w:val="000000"/>
      <w:sz w:val="18"/>
      <w:szCs w:val="18"/>
      <w:shd w:fill="auto" w:val="clear"/>
    </w:rPr>
  </w:style>
  <w:style w:type="character" w:styleId="Csf229d0ff57">
    <w:name w:val="csf229d0ff57"/>
    <w:qFormat/>
    <w:rPr>
      <w:rFonts w:ascii="Arial" w:hAnsi="Arial" w:cs="Arial"/>
      <w:b w:val="false"/>
      <w:bCs w:val="false"/>
      <w:i w:val="false"/>
      <w:iCs w:val="false"/>
      <w:color w:val="000000"/>
      <w:sz w:val="18"/>
      <w:szCs w:val="18"/>
      <w:shd w:fill="auto" w:val="clear"/>
    </w:rPr>
  </w:style>
  <w:style w:type="character" w:styleId="Csf229d0ff149">
    <w:name w:val="csf229d0ff149"/>
    <w:qFormat/>
    <w:rPr>
      <w:rFonts w:ascii="Arial" w:hAnsi="Arial" w:cs="Arial"/>
      <w:b w:val="false"/>
      <w:bCs w:val="false"/>
      <w:i w:val="false"/>
      <w:iCs w:val="false"/>
      <w:color w:val="000000"/>
      <w:sz w:val="18"/>
      <w:szCs w:val="18"/>
      <w:shd w:fill="auto" w:val="clear"/>
    </w:rPr>
  </w:style>
  <w:style w:type="character" w:styleId="Csf229d0ff65">
    <w:name w:val="csf229d0ff65"/>
    <w:qFormat/>
    <w:rPr>
      <w:rFonts w:ascii="Arial" w:hAnsi="Arial" w:cs="Arial"/>
      <w:b w:val="false"/>
      <w:bCs w:val="false"/>
      <w:i w:val="false"/>
      <w:iCs w:val="false"/>
      <w:color w:val="000000"/>
      <w:sz w:val="18"/>
      <w:szCs w:val="18"/>
      <w:shd w:fill="auto" w:val="clear"/>
    </w:rPr>
  </w:style>
  <w:style w:type="character" w:styleId="Csf229d0ff132">
    <w:name w:val="csf229d0ff132"/>
    <w:qFormat/>
    <w:rPr>
      <w:rFonts w:ascii="Arial" w:hAnsi="Arial" w:cs="Arial"/>
      <w:b w:val="false"/>
      <w:bCs w:val="false"/>
      <w:i w:val="false"/>
      <w:iCs w:val="false"/>
      <w:color w:val="000000"/>
      <w:sz w:val="18"/>
      <w:szCs w:val="18"/>
      <w:shd w:fill="auto" w:val="clear"/>
    </w:rPr>
  </w:style>
  <w:style w:type="character" w:styleId="Csf229d0ff96">
    <w:name w:val="csf229d0ff96"/>
    <w:qFormat/>
    <w:rPr>
      <w:rFonts w:ascii="Arial" w:hAnsi="Arial" w:cs="Arial"/>
      <w:b w:val="false"/>
      <w:bCs w:val="false"/>
      <w:i w:val="false"/>
      <w:iCs w:val="false"/>
      <w:color w:val="000000"/>
      <w:sz w:val="18"/>
      <w:szCs w:val="18"/>
      <w:shd w:fill="auto" w:val="clear"/>
    </w:rPr>
  </w:style>
  <w:style w:type="character" w:styleId="Csf229d0ff148">
    <w:name w:val="csf229d0ff148"/>
    <w:qFormat/>
    <w:rPr>
      <w:rFonts w:ascii="Arial" w:hAnsi="Arial" w:cs="Arial"/>
      <w:b w:val="false"/>
      <w:bCs w:val="false"/>
      <w:i w:val="false"/>
      <w:iCs w:val="false"/>
      <w:color w:val="000000"/>
      <w:sz w:val="18"/>
      <w:szCs w:val="18"/>
      <w:shd w:fill="auto" w:val="clear"/>
    </w:rPr>
  </w:style>
  <w:style w:type="character" w:styleId="Csf229d0ff176">
    <w:name w:val="csf229d0ff176"/>
    <w:qFormat/>
    <w:rPr>
      <w:rFonts w:ascii="Arial" w:hAnsi="Arial" w:cs="Arial"/>
      <w:b w:val="false"/>
      <w:bCs w:val="false"/>
      <w:i w:val="false"/>
      <w:iCs w:val="false"/>
      <w:color w:val="000000"/>
      <w:sz w:val="18"/>
      <w:szCs w:val="18"/>
      <w:shd w:fill="auto" w:val="clear"/>
    </w:rPr>
  </w:style>
  <w:style w:type="character" w:styleId="Csf229d0ff231">
    <w:name w:val="csf229d0ff231"/>
    <w:qFormat/>
    <w:rPr>
      <w:rFonts w:ascii="Arial" w:hAnsi="Arial" w:cs="Arial"/>
      <w:b w:val="false"/>
      <w:bCs w:val="false"/>
      <w:i w:val="false"/>
      <w:iCs w:val="false"/>
      <w:color w:val="000000"/>
      <w:sz w:val="18"/>
      <w:szCs w:val="18"/>
      <w:shd w:fill="auto" w:val="clear"/>
    </w:rPr>
  </w:style>
  <w:style w:type="character" w:styleId="Csf229d0ff238">
    <w:name w:val="csf229d0ff238"/>
    <w:qFormat/>
    <w:rPr>
      <w:rFonts w:ascii="Arial" w:hAnsi="Arial" w:cs="Arial"/>
      <w:b w:val="false"/>
      <w:bCs w:val="false"/>
      <w:i w:val="false"/>
      <w:iCs w:val="false"/>
      <w:color w:val="000000"/>
      <w:sz w:val="18"/>
      <w:szCs w:val="18"/>
      <w:shd w:fill="auto" w:val="clear"/>
    </w:rPr>
  </w:style>
  <w:style w:type="character" w:styleId="Csf229d0ff127">
    <w:name w:val="csf229d0ff127"/>
    <w:qFormat/>
    <w:rPr>
      <w:rFonts w:ascii="Arial" w:hAnsi="Arial" w:cs="Arial"/>
      <w:b w:val="false"/>
      <w:bCs w:val="false"/>
      <w:i w:val="false"/>
      <w:iCs w:val="false"/>
      <w:color w:val="000000"/>
      <w:sz w:val="18"/>
      <w:szCs w:val="18"/>
      <w:shd w:fill="auto" w:val="clear"/>
    </w:rPr>
  </w:style>
  <w:style w:type="character" w:styleId="Csab6e076951">
    <w:name w:val="csab6e076951"/>
    <w:qFormat/>
    <w:rPr>
      <w:rFonts w:ascii="Arial" w:hAnsi="Arial" w:cs="Arial"/>
      <w:b w:val="false"/>
      <w:bCs w:val="false"/>
      <w:i w:val="false"/>
      <w:iCs w:val="false"/>
      <w:color w:val="000000"/>
      <w:sz w:val="18"/>
      <w:szCs w:val="18"/>
      <w:shd w:fill="auto" w:val="clear"/>
    </w:rPr>
  </w:style>
  <w:style w:type="character" w:styleId="Csf229d0ff43">
    <w:name w:val="csf229d0ff43"/>
    <w:qFormat/>
    <w:rPr>
      <w:rFonts w:ascii="Arial" w:hAnsi="Arial" w:cs="Arial"/>
      <w:b w:val="false"/>
      <w:bCs w:val="false"/>
      <w:i w:val="false"/>
      <w:iCs w:val="false"/>
      <w:color w:val="000000"/>
      <w:sz w:val="18"/>
      <w:szCs w:val="18"/>
      <w:shd w:fill="auto" w:val="clear"/>
    </w:rPr>
  </w:style>
  <w:style w:type="character" w:styleId="Cs958d30211">
    <w:name w:val="cs958d30211"/>
    <w:qFormat/>
    <w:rPr>
      <w:rFonts w:ascii="Microsoft YaHei" w:hAnsi="Microsoft YaHei" w:eastAsia="Microsoft YaHei" w:cs="Microsoft YaHei"/>
      <w:b w:val="false"/>
      <w:bCs w:val="false"/>
      <w:i w:val="false"/>
      <w:iCs w:val="false"/>
      <w:color w:val="000000"/>
      <w:sz w:val="18"/>
      <w:szCs w:val="18"/>
      <w:shd w:fill="auto" w:val="clear"/>
    </w:rPr>
  </w:style>
  <w:style w:type="character" w:styleId="Csab6e07691">
    <w:name w:val="csab6e07691"/>
    <w:qFormat/>
    <w:rPr>
      <w:rFonts w:ascii="Arial" w:hAnsi="Arial" w:cs="Arial"/>
      <w:b w:val="false"/>
      <w:bCs w:val="false"/>
      <w:i w:val="false"/>
      <w:iCs w:val="false"/>
      <w:color w:val="000000"/>
      <w:sz w:val="18"/>
      <w:szCs w:val="18"/>
      <w:shd w:fill="auto" w:val="clear"/>
    </w:rPr>
  </w:style>
  <w:style w:type="character" w:styleId="Csf229d0ff193">
    <w:name w:val="csf229d0ff193"/>
    <w:qFormat/>
    <w:rPr>
      <w:rFonts w:ascii="Arial" w:hAnsi="Arial" w:cs="Arial"/>
      <w:b w:val="false"/>
      <w:bCs w:val="false"/>
      <w:i w:val="false"/>
      <w:iCs w:val="false"/>
      <w:color w:val="000000"/>
      <w:sz w:val="18"/>
      <w:szCs w:val="18"/>
      <w:shd w:fill="auto" w:val="clear"/>
    </w:rPr>
  </w:style>
  <w:style w:type="character" w:styleId="Csab6e076922">
    <w:name w:val="csab6e076922"/>
    <w:qFormat/>
    <w:rPr>
      <w:rFonts w:ascii="Arial" w:hAnsi="Arial" w:cs="Arial"/>
      <w:b w:val="false"/>
      <w:bCs w:val="false"/>
      <w:i w:val="false"/>
      <w:iCs w:val="false"/>
      <w:color w:val="000000"/>
      <w:sz w:val="18"/>
      <w:szCs w:val="18"/>
      <w:shd w:fill="auto" w:val="clear"/>
    </w:rPr>
  </w:style>
  <w:style w:type="character" w:styleId="Csab6e076996">
    <w:name w:val="csab6e076996"/>
    <w:qFormat/>
    <w:rPr>
      <w:rFonts w:ascii="Arial" w:hAnsi="Arial" w:cs="Arial"/>
      <w:b w:val="false"/>
      <w:bCs w:val="false"/>
      <w:i w:val="false"/>
      <w:iCs w:val="false"/>
      <w:color w:val="000000"/>
      <w:sz w:val="18"/>
      <w:szCs w:val="18"/>
      <w:shd w:fill="auto" w:val="clear"/>
    </w:rPr>
  </w:style>
  <w:style w:type="character" w:styleId="Csab6e076995">
    <w:name w:val="csab6e076995"/>
    <w:qFormat/>
    <w:rPr>
      <w:rFonts w:ascii="Arial" w:hAnsi="Arial" w:cs="Arial"/>
      <w:b w:val="false"/>
      <w:bCs w:val="false"/>
      <w:i w:val="false"/>
      <w:iCs w:val="false"/>
      <w:color w:val="000000"/>
      <w:sz w:val="18"/>
      <w:szCs w:val="18"/>
      <w:shd w:fill="auto" w:val="clear"/>
    </w:rPr>
  </w:style>
  <w:style w:type="character" w:styleId="Csf229d0ff200">
    <w:name w:val="csf229d0ff200"/>
    <w:qFormat/>
    <w:rPr>
      <w:rFonts w:ascii="Arial" w:hAnsi="Arial" w:cs="Arial"/>
      <w:b w:val="false"/>
      <w:bCs w:val="false"/>
      <w:i w:val="false"/>
      <w:iCs w:val="false"/>
      <w:color w:val="000000"/>
      <w:sz w:val="18"/>
      <w:szCs w:val="18"/>
      <w:shd w:fill="auto" w:val="clear"/>
    </w:rPr>
  </w:style>
  <w:style w:type="character" w:styleId="Csba294252">
    <w:name w:val="csba294252"/>
    <w:qFormat/>
    <w:rPr>
      <w:rFonts w:ascii="Segoe UI" w:hAnsi="Segoe UI" w:cs="Segoe UI"/>
      <w:b/>
      <w:bCs/>
      <w:i/>
      <w:iCs/>
      <w:color w:val="102B56"/>
      <w:sz w:val="18"/>
      <w:szCs w:val="18"/>
      <w:shd w:fill="auto" w:val="clear"/>
    </w:rPr>
  </w:style>
  <w:style w:type="character" w:styleId="Csf229d0ff131">
    <w:name w:val="csf229d0ff131"/>
    <w:qFormat/>
    <w:rPr>
      <w:rFonts w:ascii="Arial" w:hAnsi="Arial" w:cs="Arial"/>
      <w:b w:val="false"/>
      <w:bCs w:val="false"/>
      <w:i w:val="false"/>
      <w:iCs w:val="false"/>
      <w:color w:val="000000"/>
      <w:sz w:val="18"/>
      <w:szCs w:val="18"/>
      <w:shd w:fill="auto" w:val="clear"/>
    </w:rPr>
  </w:style>
  <w:style w:type="character" w:styleId="Csf229d0ff154">
    <w:name w:val="csf229d0ff154"/>
    <w:qFormat/>
    <w:rPr>
      <w:rFonts w:ascii="Arial" w:hAnsi="Arial" w:cs="Arial"/>
      <w:b w:val="false"/>
      <w:bCs w:val="false"/>
      <w:i w:val="false"/>
      <w:iCs w:val="false"/>
      <w:color w:val="000000"/>
      <w:sz w:val="18"/>
      <w:szCs w:val="18"/>
      <w:shd w:fill="auto" w:val="clear"/>
    </w:rPr>
  </w:style>
  <w:style w:type="character" w:styleId="Csa5a0f5422">
    <w:name w:val="csa5a0f5422"/>
    <w:qFormat/>
    <w:rPr>
      <w:rFonts w:ascii="Arial" w:hAnsi="Arial" w:cs="Arial"/>
      <w:b w:val="false"/>
      <w:bCs w:val="false"/>
      <w:i w:val="false"/>
      <w:iCs w:val="false"/>
      <w:color w:val="102B56"/>
      <w:sz w:val="18"/>
      <w:szCs w:val="18"/>
      <w:shd w:fill="auto" w:val="clear"/>
    </w:rPr>
  </w:style>
  <w:style w:type="character" w:styleId="Csf229d0ff153">
    <w:name w:val="csf229d0ff153"/>
    <w:qFormat/>
    <w:rPr>
      <w:rFonts w:ascii="Arial" w:hAnsi="Arial" w:cs="Arial"/>
      <w:b w:val="false"/>
      <w:bCs w:val="false"/>
      <w:i w:val="false"/>
      <w:iCs w:val="false"/>
      <w:color w:val="000000"/>
      <w:sz w:val="18"/>
      <w:szCs w:val="18"/>
      <w:shd w:fill="auto" w:val="clear"/>
    </w:rPr>
  </w:style>
  <w:style w:type="character" w:styleId="Cs7ca65d8c1">
    <w:name w:val="cs7ca65d8c1"/>
    <w:qFormat/>
    <w:rPr>
      <w:rFonts w:ascii="Segoe UI" w:hAnsi="Segoe UI" w:cs="Segoe UI"/>
      <w:b w:val="false"/>
      <w:bCs w:val="false"/>
      <w:i w:val="false"/>
      <w:iCs w:val="false"/>
      <w:color w:val="102B56"/>
      <w:sz w:val="18"/>
      <w:szCs w:val="18"/>
      <w:shd w:fill="auto" w:val="clear"/>
    </w:rPr>
  </w:style>
  <w:style w:type="character" w:styleId="Csf229d0ff166">
    <w:name w:val="csf229d0ff166"/>
    <w:qFormat/>
    <w:rPr>
      <w:rFonts w:ascii="Arial" w:hAnsi="Arial" w:cs="Arial"/>
      <w:b w:val="false"/>
      <w:bCs w:val="false"/>
      <w:i w:val="false"/>
      <w:iCs w:val="false"/>
      <w:color w:val="000000"/>
      <w:sz w:val="18"/>
      <w:szCs w:val="18"/>
      <w:shd w:fill="auto" w:val="clear"/>
    </w:rPr>
  </w:style>
  <w:style w:type="character" w:styleId="Csf229d0ff177">
    <w:name w:val="csf229d0ff177"/>
    <w:qFormat/>
    <w:rPr>
      <w:rFonts w:ascii="Arial" w:hAnsi="Arial" w:cs="Arial"/>
      <w:b w:val="false"/>
      <w:bCs w:val="false"/>
      <w:i w:val="false"/>
      <w:iCs w:val="false"/>
      <w:color w:val="000000"/>
      <w:sz w:val="18"/>
      <w:szCs w:val="18"/>
      <w:shd w:fill="auto" w:val="clear"/>
    </w:rPr>
  </w:style>
  <w:style w:type="character" w:styleId="Csf229d0ff104">
    <w:name w:val="csf229d0ff104"/>
    <w:qFormat/>
    <w:rPr>
      <w:rFonts w:ascii="Arial" w:hAnsi="Arial" w:cs="Arial"/>
      <w:b w:val="false"/>
      <w:bCs w:val="false"/>
      <w:i w:val="false"/>
      <w:iCs w:val="false"/>
      <w:color w:val="000000"/>
      <w:sz w:val="18"/>
      <w:szCs w:val="18"/>
      <w:shd w:fill="auto" w:val="clear"/>
    </w:rPr>
  </w:style>
  <w:style w:type="character" w:styleId="Csf229d0ff156">
    <w:name w:val="csf229d0ff156"/>
    <w:qFormat/>
    <w:rPr>
      <w:rFonts w:ascii="Arial" w:hAnsi="Arial" w:cs="Arial"/>
      <w:b w:val="false"/>
      <w:bCs w:val="false"/>
      <w:i w:val="false"/>
      <w:iCs w:val="false"/>
      <w:color w:val="000000"/>
      <w:sz w:val="18"/>
      <w:szCs w:val="18"/>
      <w:shd w:fill="auto" w:val="clear"/>
    </w:rPr>
  </w:style>
  <w:style w:type="character" w:styleId="Csab6e076917">
    <w:name w:val="csab6e076917"/>
    <w:qFormat/>
    <w:rPr>
      <w:rFonts w:ascii="Arial" w:hAnsi="Arial" w:cs="Arial"/>
      <w:b w:val="false"/>
      <w:bCs w:val="false"/>
      <w:i w:val="false"/>
      <w:iCs w:val="false"/>
      <w:color w:val="000000"/>
      <w:sz w:val="18"/>
      <w:szCs w:val="18"/>
      <w:shd w:fill="auto" w:val="clear"/>
    </w:rPr>
  </w:style>
  <w:style w:type="character" w:styleId="Csab6e076935">
    <w:name w:val="csab6e076935"/>
    <w:qFormat/>
    <w:rPr>
      <w:rFonts w:ascii="Arial" w:hAnsi="Arial" w:cs="Arial"/>
      <w:b w:val="false"/>
      <w:bCs w:val="false"/>
      <w:i w:val="false"/>
      <w:iCs w:val="false"/>
      <w:color w:val="000000"/>
      <w:sz w:val="18"/>
      <w:szCs w:val="18"/>
      <w:shd w:fill="auto" w:val="clear"/>
    </w:rPr>
  </w:style>
  <w:style w:type="character" w:styleId="Csab6e076934">
    <w:name w:val="csab6e076934"/>
    <w:qFormat/>
    <w:rPr>
      <w:rFonts w:ascii="Arial" w:hAnsi="Arial" w:cs="Arial"/>
      <w:b w:val="false"/>
      <w:bCs w:val="false"/>
      <w:i w:val="false"/>
      <w:iCs w:val="false"/>
      <w:color w:val="000000"/>
      <w:sz w:val="18"/>
      <w:szCs w:val="18"/>
      <w:shd w:fill="auto" w:val="clear"/>
    </w:rPr>
  </w:style>
  <w:style w:type="character" w:styleId="Csf229d0ff121">
    <w:name w:val="csf229d0ff121"/>
    <w:qFormat/>
    <w:rPr>
      <w:rFonts w:ascii="Arial" w:hAnsi="Arial" w:cs="Arial"/>
      <w:b w:val="false"/>
      <w:bCs w:val="false"/>
      <w:i w:val="false"/>
      <w:iCs w:val="false"/>
      <w:color w:val="000000"/>
      <w:sz w:val="18"/>
      <w:szCs w:val="18"/>
      <w:shd w:fill="auto" w:val="clear"/>
    </w:rPr>
  </w:style>
  <w:style w:type="character" w:styleId="Csf229d0ff105">
    <w:name w:val="csf229d0ff105"/>
    <w:qFormat/>
    <w:rPr>
      <w:rFonts w:ascii="Arial" w:hAnsi="Arial" w:cs="Arial"/>
      <w:b w:val="false"/>
      <w:bCs w:val="false"/>
      <w:i w:val="false"/>
      <w:iCs w:val="false"/>
      <w:color w:val="000000"/>
      <w:sz w:val="18"/>
      <w:szCs w:val="18"/>
      <w:shd w:fill="auto" w:val="clear"/>
    </w:rPr>
  </w:style>
  <w:style w:type="character" w:styleId="Csab6e076976">
    <w:name w:val="csab6e076976"/>
    <w:qFormat/>
    <w:rPr>
      <w:rFonts w:ascii="Arial" w:hAnsi="Arial" w:cs="Arial"/>
      <w:b w:val="false"/>
      <w:bCs w:val="false"/>
      <w:i w:val="false"/>
      <w:iCs w:val="false"/>
      <w:color w:val="000000"/>
      <w:sz w:val="18"/>
      <w:szCs w:val="18"/>
      <w:shd w:fill="auto" w:val="clear"/>
    </w:rPr>
  </w:style>
  <w:style w:type="character" w:styleId="Csf229d0ff169">
    <w:name w:val="csf229d0ff169"/>
    <w:qFormat/>
    <w:rPr>
      <w:rFonts w:ascii="Arial" w:hAnsi="Arial" w:cs="Arial"/>
      <w:b w:val="false"/>
      <w:bCs w:val="false"/>
      <w:i w:val="false"/>
      <w:iCs w:val="false"/>
      <w:color w:val="000000"/>
      <w:sz w:val="18"/>
      <w:szCs w:val="18"/>
      <w:shd w:fill="auto" w:val="clear"/>
    </w:rPr>
  </w:style>
  <w:style w:type="character" w:styleId="Csab6e076938">
    <w:name w:val="csab6e076938"/>
    <w:qFormat/>
    <w:rPr>
      <w:rFonts w:ascii="Arial" w:hAnsi="Arial" w:cs="Arial"/>
      <w:b w:val="false"/>
      <w:bCs w:val="false"/>
      <w:i w:val="false"/>
      <w:iCs w:val="false"/>
      <w:color w:val="000000"/>
      <w:sz w:val="18"/>
      <w:szCs w:val="18"/>
      <w:shd w:fill="auto" w:val="clear"/>
    </w:rPr>
  </w:style>
  <w:style w:type="character" w:styleId="Csf562b9293">
    <w:name w:val="csf562b9293"/>
    <w:qFormat/>
    <w:rPr>
      <w:rFonts w:ascii="Arial" w:hAnsi="Arial" w:cs="Arial"/>
      <w:b/>
      <w:bCs/>
      <w:i/>
      <w:iCs/>
      <w:color w:val="000000"/>
      <w:sz w:val="18"/>
      <w:szCs w:val="18"/>
      <w:shd w:fill="auto" w:val="clear"/>
    </w:rPr>
  </w:style>
  <w:style w:type="character" w:styleId="Csf229d0ff144">
    <w:name w:val="csf229d0ff144"/>
    <w:qFormat/>
    <w:rPr>
      <w:rFonts w:ascii="Arial" w:hAnsi="Arial" w:cs="Arial"/>
      <w:b w:val="false"/>
      <w:bCs w:val="false"/>
      <w:i w:val="false"/>
      <w:iCs w:val="false"/>
      <w:color w:val="000000"/>
      <w:sz w:val="18"/>
      <w:szCs w:val="18"/>
      <w:shd w:fill="auto" w:val="clear"/>
    </w:rPr>
  </w:style>
  <w:style w:type="character" w:styleId="Csf229d0ff318">
    <w:name w:val="csf229d0ff318"/>
    <w:qFormat/>
    <w:rPr>
      <w:rFonts w:ascii="Arial" w:hAnsi="Arial" w:cs="Arial"/>
      <w:b w:val="false"/>
      <w:bCs w:val="false"/>
      <w:i w:val="false"/>
      <w:iCs w:val="false"/>
      <w:color w:val="000000"/>
      <w:sz w:val="18"/>
      <w:szCs w:val="18"/>
      <w:shd w:fill="auto" w:val="clear"/>
    </w:rPr>
  </w:style>
  <w:style w:type="character" w:styleId="Csf562b9294">
    <w:name w:val="csf562b9294"/>
    <w:qFormat/>
    <w:rPr>
      <w:rFonts w:ascii="Arial" w:hAnsi="Arial" w:cs="Arial"/>
      <w:b/>
      <w:bCs/>
      <w:i/>
      <w:iCs/>
      <w:color w:val="000000"/>
      <w:sz w:val="18"/>
      <w:szCs w:val="18"/>
      <w:shd w:fill="auto" w:val="clear"/>
    </w:rPr>
  </w:style>
  <w:style w:type="character" w:styleId="Csf229d0ff122">
    <w:name w:val="csf229d0ff122"/>
    <w:qFormat/>
    <w:rPr>
      <w:rFonts w:ascii="Arial" w:hAnsi="Arial" w:cs="Arial"/>
      <w:b w:val="false"/>
      <w:bCs w:val="false"/>
      <w:i w:val="false"/>
      <w:iCs w:val="false"/>
      <w:color w:val="000000"/>
      <w:sz w:val="18"/>
      <w:szCs w:val="18"/>
      <w:shd w:fill="auto" w:val="clear"/>
    </w:rPr>
  </w:style>
  <w:style w:type="character" w:styleId="Csf229d0ff167">
    <w:name w:val="csf229d0ff167"/>
    <w:qFormat/>
    <w:rPr>
      <w:rFonts w:ascii="Arial" w:hAnsi="Arial" w:cs="Arial"/>
      <w:b w:val="false"/>
      <w:bCs w:val="false"/>
      <w:i w:val="false"/>
      <w:iCs w:val="false"/>
      <w:color w:val="000000"/>
      <w:sz w:val="18"/>
      <w:szCs w:val="18"/>
      <w:shd w:fill="auto" w:val="clear"/>
    </w:rPr>
  </w:style>
  <w:style w:type="character" w:styleId="Csf229d0ff62">
    <w:name w:val="csf229d0ff62"/>
    <w:qFormat/>
    <w:rPr>
      <w:rFonts w:ascii="Arial" w:hAnsi="Arial" w:cs="Arial"/>
      <w:b w:val="false"/>
      <w:bCs w:val="false"/>
      <w:i w:val="false"/>
      <w:iCs w:val="false"/>
      <w:color w:val="000000"/>
      <w:sz w:val="18"/>
      <w:szCs w:val="18"/>
      <w:shd w:fill="auto" w:val="clear"/>
    </w:rPr>
  </w:style>
  <w:style w:type="character" w:styleId="Csf229d0ff68">
    <w:name w:val="csf229d0ff68"/>
    <w:qFormat/>
    <w:rPr>
      <w:rFonts w:ascii="Arial" w:hAnsi="Arial" w:cs="Arial"/>
      <w:b w:val="false"/>
      <w:bCs w:val="false"/>
      <w:i w:val="false"/>
      <w:iCs w:val="false"/>
      <w:color w:val="000000"/>
      <w:sz w:val="18"/>
      <w:szCs w:val="18"/>
      <w:shd w:fill="auto" w:val="clear"/>
    </w:rPr>
  </w:style>
  <w:style w:type="character" w:styleId="Csf229d0ff138">
    <w:name w:val="csf229d0ff138"/>
    <w:qFormat/>
    <w:rPr>
      <w:rFonts w:ascii="Arial" w:hAnsi="Arial" w:cs="Arial"/>
      <w:b w:val="false"/>
      <w:bCs w:val="false"/>
      <w:i w:val="false"/>
      <w:iCs w:val="false"/>
      <w:color w:val="000000"/>
      <w:sz w:val="18"/>
      <w:szCs w:val="18"/>
      <w:shd w:fill="auto" w:val="clear"/>
    </w:rPr>
  </w:style>
  <w:style w:type="character" w:styleId="Csf229d0ff160">
    <w:name w:val="csf229d0ff160"/>
    <w:qFormat/>
    <w:rPr>
      <w:rFonts w:ascii="Arial" w:hAnsi="Arial" w:cs="Arial"/>
      <w:b w:val="false"/>
      <w:bCs w:val="false"/>
      <w:i w:val="false"/>
      <w:iCs w:val="false"/>
      <w:color w:val="000000"/>
      <w:sz w:val="18"/>
      <w:szCs w:val="18"/>
      <w:shd w:fill="auto" w:val="clear"/>
    </w:rPr>
  </w:style>
  <w:style w:type="character" w:styleId="Csf06730b61">
    <w:name w:val="csf06730b61"/>
    <w:qFormat/>
    <w:rPr>
      <w:rFonts w:ascii="Times New Roman" w:hAnsi="Times New Roman" w:cs="Times New Roman"/>
      <w:b/>
      <w:bCs/>
      <w:i w:val="false"/>
      <w:iCs w:val="false"/>
      <w:color w:val="000000"/>
      <w:sz w:val="16"/>
      <w:szCs w:val="16"/>
      <w:shd w:fill="auto" w:val="clear"/>
    </w:rPr>
  </w:style>
  <w:style w:type="character" w:styleId="Csab6e076955">
    <w:name w:val="csab6e076955"/>
    <w:qFormat/>
    <w:rPr>
      <w:rFonts w:ascii="Arial" w:hAnsi="Arial" w:cs="Arial"/>
      <w:b w:val="false"/>
      <w:bCs w:val="false"/>
      <w:i w:val="false"/>
      <w:iCs w:val="false"/>
      <w:color w:val="000000"/>
      <w:sz w:val="18"/>
      <w:szCs w:val="18"/>
      <w:shd w:fill="auto" w:val="clear"/>
    </w:rPr>
  </w:style>
  <w:style w:type="character" w:styleId="Csf229d0ff31">
    <w:name w:val="csf229d0ff31"/>
    <w:qFormat/>
    <w:rPr>
      <w:rFonts w:ascii="Arial" w:hAnsi="Arial" w:cs="Arial"/>
      <w:b w:val="false"/>
      <w:bCs w:val="false"/>
      <w:i w:val="false"/>
      <w:iCs w:val="false"/>
      <w:color w:val="000000"/>
      <w:sz w:val="18"/>
      <w:szCs w:val="18"/>
      <w:shd w:fill="auto" w:val="clear"/>
    </w:rPr>
  </w:style>
  <w:style w:type="character" w:styleId="Csb3e8c9cf66">
    <w:name w:val="csb3e8c9cf66"/>
    <w:qFormat/>
    <w:rPr>
      <w:rFonts w:ascii="Arial" w:hAnsi="Arial" w:cs="Arial"/>
      <w:b/>
      <w:bCs/>
      <w:i w:val="false"/>
      <w:iCs w:val="false"/>
      <w:color w:val="000000"/>
      <w:sz w:val="18"/>
      <w:szCs w:val="18"/>
      <w:shd w:fill="auto" w:val="clear"/>
    </w:rPr>
  </w:style>
  <w:style w:type="character" w:styleId="Arial9">
    <w:name w:val="Arial9(без отступов) Знак"/>
    <w:qFormat/>
    <w:rPr>
      <w:rFonts w:ascii="Arial" w:hAnsi="Arial" w:cs="Arial"/>
      <w:sz w:val="18"/>
      <w:szCs w:val="18"/>
      <w:lang w:val="ru-RU"/>
    </w:rPr>
  </w:style>
  <w:style w:type="character" w:styleId="Csf229d0ff178">
    <w:name w:val="csf229d0ff178"/>
    <w:qFormat/>
    <w:rPr>
      <w:rFonts w:ascii="Arial" w:hAnsi="Arial" w:cs="Arial"/>
      <w:b w:val="false"/>
      <w:bCs w:val="false"/>
      <w:i w:val="false"/>
      <w:iCs w:val="false"/>
      <w:color w:val="000000"/>
      <w:sz w:val="18"/>
      <w:szCs w:val="18"/>
      <w:shd w:fill="auto" w:val="clear"/>
    </w:rPr>
  </w:style>
  <w:style w:type="character" w:styleId="Csb3e8c9cf163">
    <w:name w:val="csb3e8c9cf163"/>
    <w:qFormat/>
    <w:rPr>
      <w:rFonts w:ascii="Arial" w:hAnsi="Arial" w:cs="Arial"/>
      <w:b/>
      <w:bCs/>
      <w:i w:val="false"/>
      <w:iCs w:val="false"/>
      <w:color w:val="000000"/>
      <w:sz w:val="18"/>
      <w:szCs w:val="18"/>
      <w:shd w:fill="auto" w:val="clear"/>
    </w:rPr>
  </w:style>
  <w:style w:type="character" w:styleId="Csf229d0ff8">
    <w:name w:val="csf229d0ff8"/>
    <w:qFormat/>
    <w:rPr>
      <w:rFonts w:ascii="Arial" w:hAnsi="Arial" w:cs="Arial"/>
      <w:b w:val="false"/>
      <w:bCs w:val="false"/>
      <w:i w:val="false"/>
      <w:iCs w:val="false"/>
      <w:color w:val="000000"/>
      <w:sz w:val="18"/>
      <w:szCs w:val="18"/>
      <w:shd w:fill="auto" w:val="clear"/>
    </w:rPr>
  </w:style>
  <w:style w:type="character" w:styleId="Cs9b006263">
    <w:name w:val="cs9b006263"/>
    <w:qFormat/>
    <w:rPr>
      <w:rFonts w:ascii="Arial" w:hAnsi="Arial" w:cs="Arial"/>
      <w:b/>
      <w:bCs/>
      <w:i w:val="false"/>
      <w:iCs w:val="false"/>
      <w:color w:val="000000"/>
      <w:sz w:val="20"/>
      <w:szCs w:val="20"/>
      <w:shd w:fill="auto" w:val="clear"/>
    </w:rPr>
  </w:style>
  <w:style w:type="character" w:styleId="Csf229d0ff36">
    <w:name w:val="csf229d0ff36"/>
    <w:qFormat/>
    <w:rPr>
      <w:rFonts w:ascii="Arial" w:hAnsi="Arial" w:cs="Arial"/>
      <w:b w:val="false"/>
      <w:bCs w:val="false"/>
      <w:i w:val="false"/>
      <w:iCs w:val="false"/>
      <w:color w:val="000000"/>
      <w:sz w:val="18"/>
      <w:szCs w:val="18"/>
      <w:shd w:fill="auto" w:val="clear"/>
    </w:rPr>
  </w:style>
  <w:style w:type="character" w:styleId="Csf229d0ff100">
    <w:name w:val="csf229d0ff100"/>
    <w:qFormat/>
    <w:rPr>
      <w:rFonts w:ascii="Arial" w:hAnsi="Arial" w:cs="Arial"/>
      <w:b w:val="false"/>
      <w:bCs w:val="false"/>
      <w:i w:val="false"/>
      <w:iCs w:val="false"/>
      <w:color w:val="000000"/>
      <w:sz w:val="18"/>
      <w:szCs w:val="18"/>
      <w:shd w:fill="auto" w:val="clear"/>
    </w:rPr>
  </w:style>
  <w:style w:type="character" w:styleId="Csf229d0ff110">
    <w:name w:val="csf229d0ff110"/>
    <w:qFormat/>
    <w:rPr>
      <w:rFonts w:ascii="Arial" w:hAnsi="Arial" w:cs="Arial"/>
      <w:b w:val="false"/>
      <w:bCs w:val="false"/>
      <w:i w:val="false"/>
      <w:iCs w:val="false"/>
      <w:color w:val="000000"/>
      <w:sz w:val="18"/>
      <w:szCs w:val="18"/>
      <w:shd w:fill="auto" w:val="clear"/>
    </w:rPr>
  </w:style>
  <w:style w:type="character" w:styleId="Csf229d0ff125">
    <w:name w:val="csf229d0ff125"/>
    <w:qFormat/>
    <w:rPr>
      <w:rFonts w:ascii="Arial" w:hAnsi="Arial" w:cs="Arial"/>
      <w:b w:val="false"/>
      <w:bCs w:val="false"/>
      <w:i w:val="false"/>
      <w:iCs w:val="false"/>
      <w:color w:val="000000"/>
      <w:sz w:val="18"/>
      <w:szCs w:val="18"/>
      <w:shd w:fill="auto" w:val="clear"/>
    </w:rPr>
  </w:style>
  <w:style w:type="character" w:styleId="Csf229d0ff80">
    <w:name w:val="csf229d0ff80"/>
    <w:qFormat/>
    <w:rPr>
      <w:rFonts w:ascii="Arial" w:hAnsi="Arial" w:cs="Arial"/>
      <w:b w:val="false"/>
      <w:bCs w:val="false"/>
      <w:i w:val="false"/>
      <w:iCs w:val="false"/>
      <w:color w:val="000000"/>
      <w:sz w:val="18"/>
      <w:szCs w:val="18"/>
      <w:shd w:fill="auto" w:val="clear"/>
    </w:rPr>
  </w:style>
  <w:style w:type="character" w:styleId="Csf229d0ff102">
    <w:name w:val="csf229d0ff102"/>
    <w:qFormat/>
    <w:rPr>
      <w:rFonts w:ascii="Arial" w:hAnsi="Arial" w:cs="Arial"/>
      <w:b w:val="false"/>
      <w:bCs w:val="false"/>
      <w:i w:val="false"/>
      <w:iCs w:val="false"/>
      <w:color w:val="000000"/>
      <w:sz w:val="18"/>
      <w:szCs w:val="18"/>
      <w:shd w:fill="auto" w:val="clear"/>
    </w:rPr>
  </w:style>
  <w:style w:type="character" w:styleId="Csf229d0ff49">
    <w:name w:val="csf229d0ff49"/>
    <w:qFormat/>
    <w:rPr>
      <w:rFonts w:ascii="Arial" w:hAnsi="Arial" w:cs="Arial"/>
      <w:b w:val="false"/>
      <w:bCs w:val="false"/>
      <w:i w:val="false"/>
      <w:iCs w:val="false"/>
      <w:color w:val="000000"/>
      <w:sz w:val="18"/>
      <w:szCs w:val="18"/>
      <w:shd w:fill="auto" w:val="clear"/>
    </w:rPr>
  </w:style>
  <w:style w:type="character" w:styleId="Csab6e076954">
    <w:name w:val="csab6e076954"/>
    <w:qFormat/>
    <w:rPr>
      <w:rFonts w:ascii="Arial" w:hAnsi="Arial" w:cs="Arial"/>
      <w:b w:val="false"/>
      <w:bCs w:val="false"/>
      <w:i w:val="false"/>
      <w:iCs w:val="false"/>
      <w:color w:val="000000"/>
      <w:sz w:val="18"/>
      <w:szCs w:val="18"/>
      <w:shd w:fill="auto" w:val="clear"/>
    </w:rPr>
  </w:style>
  <w:style w:type="character" w:styleId="Csf562b9295">
    <w:name w:val="csf562b9295"/>
    <w:qFormat/>
    <w:rPr>
      <w:rFonts w:ascii="Arial" w:hAnsi="Arial" w:cs="Arial"/>
      <w:b/>
      <w:bCs/>
      <w:i/>
      <w:iCs/>
      <w:color w:val="000000"/>
      <w:sz w:val="18"/>
      <w:szCs w:val="18"/>
      <w:shd w:fill="auto" w:val="clear"/>
    </w:rPr>
  </w:style>
  <w:style w:type="character" w:styleId="Csf229d0ff142">
    <w:name w:val="csf229d0ff142"/>
    <w:qFormat/>
    <w:rPr>
      <w:rFonts w:ascii="Arial" w:hAnsi="Arial" w:cs="Arial"/>
      <w:b w:val="false"/>
      <w:bCs w:val="false"/>
      <w:i w:val="false"/>
      <w:iCs w:val="false"/>
      <w:color w:val="000000"/>
      <w:sz w:val="18"/>
      <w:szCs w:val="18"/>
      <w:shd w:fill="auto" w:val="clear"/>
    </w:rPr>
  </w:style>
  <w:style w:type="character" w:styleId="Csf229d0ff152">
    <w:name w:val="csf229d0ff152"/>
    <w:qFormat/>
    <w:rPr>
      <w:rFonts w:ascii="Arial" w:hAnsi="Arial" w:cs="Arial"/>
      <w:b w:val="false"/>
      <w:bCs w:val="false"/>
      <w:i w:val="false"/>
      <w:iCs w:val="false"/>
      <w:color w:val="000000"/>
      <w:sz w:val="18"/>
      <w:szCs w:val="18"/>
      <w:shd w:fill="auto" w:val="clear"/>
    </w:rPr>
  </w:style>
  <w:style w:type="character" w:styleId="Csf229d0ff95">
    <w:name w:val="csf229d0ff95"/>
    <w:qFormat/>
    <w:rPr>
      <w:rFonts w:ascii="Arial" w:hAnsi="Arial" w:cs="Arial"/>
      <w:b w:val="false"/>
      <w:bCs w:val="false"/>
      <w:i w:val="false"/>
      <w:iCs w:val="false"/>
      <w:color w:val="000000"/>
      <w:sz w:val="18"/>
      <w:szCs w:val="18"/>
      <w:shd w:fill="auto" w:val="clear"/>
    </w:rPr>
  </w:style>
  <w:style w:type="character" w:styleId="Csab6e076992">
    <w:name w:val="csab6e076992"/>
    <w:qFormat/>
    <w:rPr>
      <w:rFonts w:ascii="Arial" w:hAnsi="Arial" w:cs="Arial"/>
      <w:b w:val="false"/>
      <w:bCs w:val="false"/>
      <w:i w:val="false"/>
      <w:iCs w:val="false"/>
      <w:color w:val="000000"/>
      <w:sz w:val="18"/>
      <w:szCs w:val="18"/>
      <w:shd w:fill="auto" w:val="clear"/>
    </w:rPr>
  </w:style>
  <w:style w:type="character" w:styleId="Csab6e076975">
    <w:name w:val="csab6e076975"/>
    <w:qFormat/>
    <w:rPr>
      <w:rFonts w:ascii="Arial" w:hAnsi="Arial" w:cs="Arial"/>
      <w:b w:val="false"/>
      <w:bCs w:val="false"/>
      <w:i w:val="false"/>
      <w:iCs w:val="false"/>
      <w:color w:val="000000"/>
      <w:sz w:val="18"/>
      <w:szCs w:val="18"/>
      <w:shd w:fill="auto" w:val="clear"/>
    </w:rPr>
  </w:style>
  <w:style w:type="character" w:styleId="Csf229d0ff23">
    <w:name w:val="csf229d0ff23"/>
    <w:qFormat/>
    <w:rPr>
      <w:rFonts w:ascii="Arial" w:hAnsi="Arial" w:cs="Arial"/>
      <w:b w:val="false"/>
      <w:bCs w:val="false"/>
      <w:i w:val="false"/>
      <w:iCs w:val="false"/>
      <w:color w:val="000000"/>
      <w:sz w:val="18"/>
      <w:szCs w:val="18"/>
      <w:shd w:fill="auto" w:val="clear"/>
    </w:rPr>
  </w:style>
  <w:style w:type="character" w:styleId="Csab6e076944">
    <w:name w:val="csab6e076944"/>
    <w:qFormat/>
    <w:rPr>
      <w:rFonts w:ascii="Arial" w:hAnsi="Arial" w:cs="Arial"/>
      <w:b w:val="false"/>
      <w:bCs w:val="false"/>
      <w:i w:val="false"/>
      <w:iCs w:val="false"/>
      <w:color w:val="000000"/>
      <w:sz w:val="18"/>
      <w:szCs w:val="18"/>
      <w:shd w:fill="auto" w:val="clear"/>
    </w:rPr>
  </w:style>
  <w:style w:type="character" w:styleId="Csab6e076946">
    <w:name w:val="csab6e076946"/>
    <w:qFormat/>
    <w:rPr>
      <w:rFonts w:ascii="Arial" w:hAnsi="Arial" w:cs="Arial"/>
      <w:b w:val="false"/>
      <w:bCs w:val="false"/>
      <w:i w:val="false"/>
      <w:iCs w:val="false"/>
      <w:color w:val="000000"/>
      <w:sz w:val="18"/>
      <w:szCs w:val="18"/>
      <w:shd w:fill="auto" w:val="clear"/>
    </w:rPr>
  </w:style>
  <w:style w:type="character" w:styleId="Csf229d0ff103">
    <w:name w:val="csf229d0ff103"/>
    <w:qFormat/>
    <w:rPr>
      <w:rFonts w:ascii="Arial" w:hAnsi="Arial" w:cs="Arial"/>
      <w:b w:val="false"/>
      <w:bCs w:val="false"/>
      <w:i w:val="false"/>
      <w:iCs w:val="false"/>
      <w:color w:val="000000"/>
      <w:sz w:val="18"/>
      <w:szCs w:val="18"/>
      <w:shd w:fill="auto" w:val="clear"/>
    </w:rPr>
  </w:style>
  <w:style w:type="character" w:styleId="Csf229d0ff82">
    <w:name w:val="csf229d0ff82"/>
    <w:qFormat/>
    <w:rPr>
      <w:rFonts w:ascii="Arial" w:hAnsi="Arial" w:cs="Arial"/>
      <w:b w:val="false"/>
      <w:bCs w:val="false"/>
      <w:i w:val="false"/>
      <w:iCs w:val="false"/>
      <w:color w:val="000000"/>
      <w:sz w:val="18"/>
      <w:szCs w:val="18"/>
      <w:shd w:fill="auto" w:val="clear"/>
    </w:rPr>
  </w:style>
  <w:style w:type="character" w:styleId="Csf229d0ff101">
    <w:name w:val="csf229d0ff101"/>
    <w:qFormat/>
    <w:rPr>
      <w:rFonts w:ascii="Arial" w:hAnsi="Arial" w:cs="Arial"/>
      <w:b w:val="false"/>
      <w:bCs w:val="false"/>
      <w:i w:val="false"/>
      <w:iCs w:val="false"/>
      <w:color w:val="000000"/>
      <w:sz w:val="18"/>
      <w:szCs w:val="18"/>
      <w:shd w:fill="auto" w:val="clear"/>
    </w:rPr>
  </w:style>
  <w:style w:type="character" w:styleId="Csb3e8c9cf108">
    <w:name w:val="csb3e8c9cf108"/>
    <w:qFormat/>
    <w:rPr>
      <w:rFonts w:ascii="Arial" w:hAnsi="Arial" w:cs="Arial"/>
      <w:b/>
      <w:bCs/>
      <w:i w:val="false"/>
      <w:iCs w:val="false"/>
      <w:color w:val="000000"/>
      <w:sz w:val="18"/>
      <w:szCs w:val="18"/>
      <w:shd w:fill="auto" w:val="clear"/>
    </w:rPr>
  </w:style>
  <w:style w:type="character" w:styleId="Csf229d0ff107">
    <w:name w:val="csf229d0ff107"/>
    <w:qFormat/>
    <w:rPr>
      <w:rFonts w:ascii="Arial" w:hAnsi="Arial" w:cs="Arial"/>
      <w:b w:val="false"/>
      <w:bCs w:val="false"/>
      <w:i w:val="false"/>
      <w:iCs w:val="false"/>
      <w:color w:val="000000"/>
      <w:sz w:val="18"/>
      <w:szCs w:val="18"/>
      <w:shd w:fill="auto" w:val="clear"/>
    </w:rPr>
  </w:style>
  <w:style w:type="character" w:styleId="Csf562b9291">
    <w:name w:val="csf562b9291"/>
    <w:qFormat/>
    <w:rPr>
      <w:rFonts w:ascii="Arial" w:hAnsi="Arial" w:cs="Arial"/>
      <w:b/>
      <w:bCs/>
      <w:i/>
      <w:iCs/>
      <w:color w:val="000000"/>
      <w:sz w:val="18"/>
      <w:szCs w:val="18"/>
      <w:shd w:fill="auto" w:val="clear"/>
    </w:rPr>
  </w:style>
  <w:style w:type="character" w:styleId="Csab6e076993">
    <w:name w:val="csab6e076993"/>
    <w:qFormat/>
    <w:rPr>
      <w:rFonts w:ascii="Arial" w:hAnsi="Arial" w:cs="Arial"/>
      <w:b w:val="false"/>
      <w:bCs w:val="false"/>
      <w:i w:val="false"/>
      <w:iCs w:val="false"/>
      <w:color w:val="000000"/>
      <w:sz w:val="18"/>
      <w:szCs w:val="18"/>
      <w:shd w:fill="auto" w:val="clear"/>
    </w:rPr>
  </w:style>
  <w:style w:type="character" w:styleId="Arial96">
    <w:name w:val="Arial9+6пт Знак"/>
    <w:qFormat/>
    <w:rPr>
      <w:rFonts w:ascii="Arial" w:hAnsi="Arial" w:cs="Arial"/>
      <w:sz w:val="18"/>
      <w:lang w:val="ru-RU"/>
    </w:rPr>
  </w:style>
  <w:style w:type="character" w:styleId="Csf229d0ff86">
    <w:name w:val="csf229d0ff86"/>
    <w:qFormat/>
    <w:rPr>
      <w:rFonts w:ascii="Arial" w:hAnsi="Arial" w:cs="Arial"/>
      <w:b w:val="false"/>
      <w:bCs w:val="false"/>
      <w:i w:val="false"/>
      <w:iCs w:val="false"/>
      <w:color w:val="000000"/>
      <w:sz w:val="18"/>
      <w:szCs w:val="18"/>
      <w:shd w:fill="auto" w:val="clear"/>
    </w:rPr>
  </w:style>
  <w:style w:type="character" w:styleId="Csba2942511">
    <w:name w:val="csba2942511"/>
    <w:qFormat/>
    <w:rPr>
      <w:rFonts w:ascii="Segoe UI" w:hAnsi="Segoe UI" w:cs="Segoe UI"/>
      <w:b/>
      <w:bCs/>
      <w:i/>
      <w:iCs/>
      <w:color w:val="102B56"/>
      <w:sz w:val="18"/>
      <w:szCs w:val="18"/>
      <w:shd w:fill="auto" w:val="clear"/>
    </w:rPr>
  </w:style>
  <w:style w:type="character" w:styleId="Csab6e076914">
    <w:name w:val="csab6e076914"/>
    <w:qFormat/>
    <w:rPr>
      <w:rFonts w:ascii="Arial" w:hAnsi="Arial" w:cs="Arial"/>
      <w:b w:val="false"/>
      <w:bCs w:val="false"/>
      <w:i w:val="false"/>
      <w:iCs w:val="false"/>
      <w:color w:val="000000"/>
      <w:sz w:val="18"/>
      <w:szCs w:val="18"/>
    </w:rPr>
  </w:style>
  <w:style w:type="character" w:styleId="Csf229d0ff134">
    <w:name w:val="csf229d0ff134"/>
    <w:qFormat/>
    <w:rPr>
      <w:rFonts w:ascii="Arial" w:hAnsi="Arial" w:cs="Arial"/>
      <w:b w:val="false"/>
      <w:bCs w:val="false"/>
      <w:i w:val="false"/>
      <w:iCs w:val="false"/>
      <w:color w:val="000000"/>
      <w:sz w:val="18"/>
      <w:szCs w:val="18"/>
      <w:shd w:fill="auto" w:val="clear"/>
    </w:rPr>
  </w:style>
  <w:style w:type="character" w:styleId="Csed36d4af2">
    <w:name w:val="csed36d4af2"/>
    <w:qFormat/>
    <w:rPr>
      <w:rFonts w:ascii="Arial" w:hAnsi="Arial" w:cs="Arial"/>
      <w:b/>
      <w:bCs/>
      <w:i/>
      <w:iCs/>
      <w:color w:val="000000"/>
      <w:sz w:val="20"/>
      <w:szCs w:val="20"/>
      <w:shd w:fill="auto" w:val="clear"/>
    </w:rPr>
  </w:style>
  <w:style w:type="character" w:styleId="VisitedInternetLink">
    <w:name w:val="Visited Internet Link"/>
    <w:rPr>
      <w:color w:val="954F72"/>
      <w:u w:val="single"/>
    </w:rPr>
  </w:style>
  <w:style w:type="character" w:styleId="Style17">
    <w:name w:val="Заголовок Знак"/>
    <w:qFormat/>
    <w:rPr>
      <w:rFonts w:ascii="Times New Roman" w:hAnsi="Times New Roman" w:cs="Times New Roman"/>
      <w:sz w:val="24"/>
      <w:szCs w:val="24"/>
    </w:rPr>
  </w:style>
  <w:style w:type="character" w:styleId="22">
    <w:name w:val="Основной текст 2 Знак"/>
    <w:qFormat/>
    <w:rPr>
      <w:rFonts w:ascii="Times New Roman" w:hAnsi="Times New Roman" w:cs="Times New Roman"/>
      <w:sz w:val="24"/>
      <w:szCs w:val="24"/>
    </w:rPr>
  </w:style>
  <w:style w:type="character" w:styleId="Style18">
    <w:name w:val="Название Знак"/>
    <w:qFormat/>
    <w:rPr>
      <w:rFonts w:ascii="Cambria" w:hAnsi="Cambria" w:cs="Cambria"/>
      <w:color w:val="17365D"/>
      <w:spacing w:val="5"/>
    </w:rPr>
  </w:style>
  <w:style w:type="character" w:styleId="Style19">
    <w:name w:val="Верхній колонтитул Знак"/>
    <w:qFormat/>
    <w:rPr/>
  </w:style>
  <w:style w:type="character" w:styleId="Style20">
    <w:name w:val="Нижній колонтитул Знак"/>
    <w:qFormat/>
    <w:rPr/>
  </w:style>
  <w:style w:type="character" w:styleId="Style21">
    <w:name w:val="Назва Знак"/>
    <w:qFormat/>
    <w:rPr>
      <w:rFonts w:ascii="Calibri Light" w:hAnsi="Calibri Light" w:cs="Calibri Light"/>
      <w:spacing w:val="-10"/>
    </w:rPr>
  </w:style>
  <w:style w:type="character" w:styleId="23">
    <w:name w:val="Основний текст 2 Знак"/>
    <w:qFormat/>
    <w:rPr/>
  </w:style>
  <w:style w:type="character" w:styleId="Style22">
    <w:name w:val="Текст у виносці Знак"/>
    <w:qFormat/>
    <w:rPr>
      <w:rFonts w:ascii="Segoe UI" w:hAnsi="Segoe UI" w:cs="Segoe UI"/>
    </w:rPr>
  </w:style>
  <w:style w:type="character" w:styleId="Emailstyle45">
    <w:name w:val="emailstyle45"/>
    <w:qFormat/>
    <w:rPr>
      <w:rFonts w:ascii="Calibri" w:hAnsi="Calibri" w:cs="Calibri"/>
      <w:color w:val="000000"/>
    </w:rPr>
  </w:style>
  <w:style w:type="character" w:styleId="Error">
    <w:name w:val="error"/>
    <w:qFormat/>
    <w:rPr/>
  </w:style>
  <w:style w:type="character" w:styleId="TimesNewRoman121">
    <w:name w:val="Стиль Times New Roman 12 пт1"/>
    <w:qFormat/>
    <w:rPr>
      <w:rFonts w:ascii="Times New Roman" w:hAnsi="Times New Roman" w:cs="Times New Roman"/>
    </w:rPr>
  </w:style>
  <w:style w:type="character" w:styleId="Cs95e872d03">
    <w:name w:val="cs95e872d03"/>
    <w:qFormat/>
    <w:rPr/>
  </w:style>
  <w:style w:type="character" w:styleId="Cs7a65ad241">
    <w:name w:val="cs7a65ad241"/>
    <w:qFormat/>
    <w:rPr>
      <w:rFonts w:ascii="Times New Roman" w:hAnsi="Times New Roman" w:cs="Times New Roman"/>
      <w:b/>
      <w:bCs/>
      <w:i w:val="false"/>
      <w:iCs w:val="false"/>
      <w:color w:val="000000"/>
      <w:sz w:val="26"/>
      <w:szCs w:val="26"/>
    </w:rPr>
  </w:style>
  <w:style w:type="character" w:styleId="Csccf5e31620">
    <w:name w:val="csccf5e31620"/>
    <w:qFormat/>
    <w:rPr>
      <w:rFonts w:ascii="Arial" w:hAnsi="Arial" w:cs="Arial"/>
      <w:b/>
      <w:bCs/>
      <w:i w:val="false"/>
      <w:iCs w:val="false"/>
      <w:color w:val="000000"/>
      <w:sz w:val="18"/>
      <w:szCs w:val="18"/>
      <w:shd w:fill="auto" w:val="clear"/>
    </w:rPr>
  </w:style>
  <w:style w:type="character" w:styleId="Cs9ff1b61120">
    <w:name w:val="cs9ff1b61120"/>
    <w:qFormat/>
    <w:rPr>
      <w:rFonts w:ascii="Arial" w:hAnsi="Arial" w:cs="Arial"/>
      <w:b w:val="false"/>
      <w:bCs w:val="false"/>
      <w:i w:val="false"/>
      <w:iCs w:val="false"/>
      <w:color w:val="000000"/>
      <w:sz w:val="18"/>
      <w:szCs w:val="18"/>
      <w:shd w:fill="auto" w:val="clear"/>
    </w:rPr>
  </w:style>
  <w:style w:type="character" w:styleId="Cs9ff1b61111">
    <w:name w:val="cs9ff1b61111"/>
    <w:qFormat/>
    <w:rPr>
      <w:rFonts w:ascii="Arial" w:hAnsi="Arial" w:cs="Arial"/>
      <w:b w:val="false"/>
      <w:bCs w:val="false"/>
      <w:i w:val="false"/>
      <w:iCs w:val="false"/>
      <w:color w:val="000000"/>
      <w:sz w:val="18"/>
      <w:szCs w:val="18"/>
      <w:shd w:fill="auto" w:val="clear"/>
    </w:rPr>
  </w:style>
  <w:style w:type="character" w:styleId="Cs9ff1b611205">
    <w:name w:val="cs9ff1b611205"/>
    <w:qFormat/>
    <w:rPr>
      <w:rFonts w:ascii="Arial" w:hAnsi="Arial" w:cs="Arial"/>
      <w:b w:val="false"/>
      <w:bCs w:val="false"/>
      <w:i w:val="false"/>
      <w:iCs w:val="false"/>
      <w:color w:val="000000"/>
      <w:sz w:val="18"/>
      <w:szCs w:val="18"/>
      <w:shd w:fill="auto" w:val="clear"/>
    </w:rPr>
  </w:style>
  <w:style w:type="character" w:styleId="Csab6e0769173">
    <w:name w:val="csab6e0769173"/>
    <w:qFormat/>
    <w:rPr>
      <w:rFonts w:ascii="Arial" w:hAnsi="Arial" w:cs="Arial"/>
      <w:b w:val="false"/>
      <w:bCs w:val="false"/>
      <w:i w:val="false"/>
      <w:iCs w:val="false"/>
      <w:color w:val="000000"/>
      <w:sz w:val="18"/>
      <w:szCs w:val="18"/>
      <w:shd w:fill="auto" w:val="clear"/>
    </w:rPr>
  </w:style>
  <w:style w:type="character" w:styleId="Cs9ff1b61121">
    <w:name w:val="cs9ff1b61121"/>
    <w:qFormat/>
    <w:rPr>
      <w:rFonts w:ascii="Arial" w:hAnsi="Arial" w:cs="Arial"/>
      <w:b w:val="false"/>
      <w:bCs w:val="false"/>
      <w:i w:val="false"/>
      <w:iCs w:val="false"/>
      <w:color w:val="000000"/>
      <w:sz w:val="18"/>
      <w:szCs w:val="18"/>
      <w:shd w:fill="auto" w:val="clear"/>
    </w:rPr>
  </w:style>
  <w:style w:type="character" w:styleId="Csccf5e316219">
    <w:name w:val="csccf5e316219"/>
    <w:qFormat/>
    <w:rPr>
      <w:rFonts w:ascii="Arial" w:hAnsi="Arial" w:cs="Arial"/>
      <w:b/>
      <w:bCs/>
      <w:i w:val="false"/>
      <w:iCs w:val="false"/>
      <w:color w:val="000000"/>
      <w:sz w:val="18"/>
      <w:szCs w:val="18"/>
      <w:shd w:fill="auto" w:val="clear"/>
    </w:rPr>
  </w:style>
  <w:style w:type="character" w:styleId="Cs9ff1b611210">
    <w:name w:val="cs9ff1b611210"/>
    <w:qFormat/>
    <w:rPr>
      <w:rFonts w:ascii="Arial" w:hAnsi="Arial" w:cs="Arial"/>
      <w:b w:val="false"/>
      <w:bCs w:val="false"/>
      <w:i w:val="false"/>
      <w:iCs w:val="false"/>
      <w:color w:val="000000"/>
      <w:sz w:val="18"/>
      <w:szCs w:val="18"/>
      <w:shd w:fill="auto" w:val="clear"/>
    </w:rPr>
  </w:style>
  <w:style w:type="character" w:styleId="Csab6e076970">
    <w:name w:val="csab6e076970"/>
    <w:qFormat/>
    <w:rPr>
      <w:rFonts w:ascii="Arial" w:hAnsi="Arial" w:cs="Arial"/>
      <w:b w:val="false"/>
      <w:bCs w:val="false"/>
      <w:i w:val="false"/>
      <w:iCs w:val="false"/>
      <w:color w:val="000000"/>
      <w:sz w:val="18"/>
      <w:szCs w:val="18"/>
      <w:shd w:fill="auto" w:val="clear"/>
    </w:rPr>
  </w:style>
  <w:style w:type="character" w:styleId="Cs9ff1b61152">
    <w:name w:val="cs9ff1b61152"/>
    <w:qFormat/>
    <w:rPr>
      <w:rFonts w:ascii="Arial" w:hAnsi="Arial" w:cs="Arial"/>
      <w:b w:val="false"/>
      <w:bCs w:val="false"/>
      <w:i w:val="false"/>
      <w:iCs w:val="false"/>
      <w:color w:val="000000"/>
      <w:sz w:val="18"/>
      <w:szCs w:val="18"/>
      <w:shd w:fill="auto" w:val="clear"/>
    </w:rPr>
  </w:style>
  <w:style w:type="character" w:styleId="Cse1a752c62">
    <w:name w:val="cse1a752c62"/>
    <w:qFormat/>
    <w:rPr>
      <w:rFonts w:ascii="Arial" w:hAnsi="Arial" w:cs="Arial"/>
      <w:b w:val="false"/>
      <w:bCs w:val="false"/>
      <w:i w:val="false"/>
      <w:iCs w:val="false"/>
      <w:color w:val="000000"/>
      <w:sz w:val="18"/>
      <w:szCs w:val="18"/>
      <w:shd w:fill="auto" w:val="clear"/>
    </w:rPr>
  </w:style>
  <w:style w:type="character" w:styleId="Cs9ff1b6119">
    <w:name w:val="cs9ff1b6119"/>
    <w:qFormat/>
    <w:rPr>
      <w:rFonts w:ascii="Arial" w:hAnsi="Arial" w:cs="Arial"/>
      <w:b w:val="false"/>
      <w:bCs w:val="false"/>
      <w:i w:val="false"/>
      <w:iCs w:val="false"/>
      <w:color w:val="000000"/>
      <w:sz w:val="18"/>
      <w:szCs w:val="18"/>
      <w:shd w:fill="auto" w:val="clear"/>
    </w:rPr>
  </w:style>
  <w:style w:type="character" w:styleId="Cs9ff1b61138">
    <w:name w:val="cs9ff1b61138"/>
    <w:qFormat/>
    <w:rPr>
      <w:rFonts w:ascii="Arial" w:hAnsi="Arial" w:cs="Arial"/>
      <w:b w:val="false"/>
      <w:bCs w:val="false"/>
      <w:i w:val="false"/>
      <w:iCs w:val="false"/>
      <w:color w:val="000000"/>
      <w:sz w:val="18"/>
      <w:szCs w:val="18"/>
      <w:shd w:fill="auto" w:val="clear"/>
    </w:rPr>
  </w:style>
  <w:style w:type="character" w:styleId="Csbd30b5e52">
    <w:name w:val="csbd30b5e52"/>
    <w:qFormat/>
    <w:rPr>
      <w:rFonts w:ascii="Times New Roman" w:hAnsi="Times New Roman" w:cs="Times New Roman"/>
      <w:b w:val="false"/>
      <w:bCs w:val="false"/>
      <w:i/>
      <w:iCs/>
      <w:color w:val="000000"/>
      <w:sz w:val="18"/>
      <w:szCs w:val="18"/>
    </w:rPr>
  </w:style>
  <w:style w:type="character" w:styleId="Cs176e94eb2">
    <w:name w:val="cs176e94eb2"/>
    <w:qFormat/>
    <w:rPr>
      <w:rFonts w:ascii="Times New Roman" w:hAnsi="Times New Roman" w:cs="Times New Roman"/>
      <w:b/>
      <w:bCs/>
      <w:i w:val="false"/>
      <w:iCs w:val="false"/>
      <w:color w:val="000000"/>
      <w:sz w:val="18"/>
      <w:szCs w:val="18"/>
    </w:rPr>
  </w:style>
  <w:style w:type="character" w:styleId="Cscc47389a2">
    <w:name w:val="cscc47389a2"/>
    <w:qFormat/>
    <w:rPr>
      <w:rFonts w:ascii="Times New Roman" w:hAnsi="Times New Roman" w:cs="Times New Roman"/>
      <w:b w:val="false"/>
      <w:bCs w:val="false"/>
      <w:i w:val="false"/>
      <w:iCs w:val="false"/>
      <w:color w:val="000000"/>
      <w:sz w:val="18"/>
      <w:szCs w:val="18"/>
    </w:rPr>
  </w:style>
  <w:style w:type="character" w:styleId="Csbd30b5e54">
    <w:name w:val="csbd30b5e54"/>
    <w:qFormat/>
    <w:rPr>
      <w:rFonts w:ascii="Times New Roman" w:hAnsi="Times New Roman" w:cs="Times New Roman"/>
      <w:b w:val="false"/>
      <w:bCs w:val="false"/>
      <w:i/>
      <w:iCs/>
      <w:color w:val="000000"/>
      <w:sz w:val="18"/>
      <w:szCs w:val="18"/>
    </w:rPr>
  </w:style>
  <w:style w:type="character" w:styleId="Cs176e94eb4">
    <w:name w:val="cs176e94eb4"/>
    <w:qFormat/>
    <w:rPr>
      <w:rFonts w:ascii="Times New Roman" w:hAnsi="Times New Roman" w:cs="Times New Roman"/>
      <w:b/>
      <w:bCs/>
      <w:i w:val="false"/>
      <w:iCs w:val="false"/>
      <w:color w:val="000000"/>
      <w:sz w:val="18"/>
      <w:szCs w:val="18"/>
    </w:rPr>
  </w:style>
  <w:style w:type="character" w:styleId="Cscc47389a4">
    <w:name w:val="cscc47389a4"/>
    <w:qFormat/>
    <w:rPr>
      <w:rFonts w:ascii="Times New Roman" w:hAnsi="Times New Roman" w:cs="Times New Roman"/>
      <w:b w:val="false"/>
      <w:bCs w:val="false"/>
      <w:i w:val="false"/>
      <w:iCs w:val="false"/>
      <w:color w:val="000000"/>
      <w:sz w:val="18"/>
      <w:szCs w:val="18"/>
    </w:rPr>
  </w:style>
  <w:style w:type="character" w:styleId="Cs786de70b1">
    <w:name w:val="cs786de70b1"/>
    <w:qFormat/>
    <w:rPr>
      <w:rFonts w:ascii="Segoe UI" w:hAnsi="Segoe UI" w:cs="Segoe UI"/>
      <w:b w:val="false"/>
      <w:bCs w:val="false"/>
      <w:i w:val="false"/>
      <w:iCs w:val="false"/>
      <w:color w:val="000000"/>
      <w:sz w:val="18"/>
      <w:szCs w:val="18"/>
    </w:rPr>
  </w:style>
  <w:style w:type="character" w:styleId="Csbd30b5e56">
    <w:name w:val="csbd30b5e56"/>
    <w:qFormat/>
    <w:rPr>
      <w:rFonts w:ascii="Times New Roman" w:hAnsi="Times New Roman" w:cs="Times New Roman"/>
      <w:b w:val="false"/>
      <w:bCs w:val="false"/>
      <w:i/>
      <w:iCs/>
      <w:color w:val="000000"/>
      <w:sz w:val="18"/>
      <w:szCs w:val="18"/>
    </w:rPr>
  </w:style>
  <w:style w:type="character" w:styleId="Cs176e94eb6">
    <w:name w:val="cs176e94eb6"/>
    <w:qFormat/>
    <w:rPr>
      <w:rFonts w:ascii="Times New Roman" w:hAnsi="Times New Roman" w:cs="Times New Roman"/>
      <w:b/>
      <w:bCs/>
      <w:i w:val="false"/>
      <w:iCs w:val="false"/>
      <w:color w:val="000000"/>
      <w:sz w:val="18"/>
      <w:szCs w:val="18"/>
    </w:rPr>
  </w:style>
  <w:style w:type="character" w:styleId="Cscc47389a6">
    <w:name w:val="cscc47389a6"/>
    <w:qFormat/>
    <w:rPr>
      <w:rFonts w:ascii="Times New Roman" w:hAnsi="Times New Roman" w:cs="Times New Roman"/>
      <w:b w:val="false"/>
      <w:bCs w:val="false"/>
      <w:i w:val="false"/>
      <w:iCs w:val="false"/>
      <w:color w:val="000000"/>
      <w:sz w:val="18"/>
      <w:szCs w:val="18"/>
    </w:rPr>
  </w:style>
  <w:style w:type="character" w:styleId="Cs9ff1b61195">
    <w:name w:val="cs9ff1b61195"/>
    <w:qFormat/>
    <w:rPr>
      <w:rFonts w:ascii="Arial" w:hAnsi="Arial" w:cs="Arial"/>
      <w:b w:val="false"/>
      <w:bCs w:val="false"/>
      <w:i w:val="false"/>
      <w:iCs w:val="false"/>
      <w:color w:val="000000"/>
      <w:sz w:val="18"/>
      <w:szCs w:val="18"/>
      <w:shd w:fill="auto" w:val="clear"/>
    </w:rPr>
  </w:style>
  <w:style w:type="character" w:styleId="Csab6e07698">
    <w:name w:val="csab6e07698"/>
    <w:qFormat/>
    <w:rPr>
      <w:rFonts w:ascii="Arial" w:hAnsi="Arial" w:cs="Arial"/>
      <w:b w:val="false"/>
      <w:bCs w:val="false"/>
      <w:i w:val="false"/>
      <w:iCs w:val="false"/>
      <w:color w:val="000000"/>
      <w:sz w:val="18"/>
      <w:szCs w:val="18"/>
      <w:shd w:fill="auto" w:val="clear"/>
    </w:rPr>
  </w:style>
  <w:style w:type="character" w:styleId="Csab6e07699">
    <w:name w:val="csab6e07699"/>
    <w:qFormat/>
    <w:rPr>
      <w:rFonts w:ascii="Arial" w:hAnsi="Arial" w:cs="Arial"/>
      <w:b w:val="false"/>
      <w:bCs w:val="false"/>
      <w:i w:val="false"/>
      <w:iCs w:val="false"/>
      <w:color w:val="000000"/>
      <w:sz w:val="18"/>
      <w:szCs w:val="18"/>
      <w:shd w:fill="auto" w:val="clear"/>
    </w:rPr>
  </w:style>
  <w:style w:type="character" w:styleId="Csafaf57419">
    <w:name w:val="csafaf57419"/>
    <w:qFormat/>
    <w:rPr>
      <w:rFonts w:ascii="Arial" w:hAnsi="Arial" w:cs="Arial"/>
      <w:b/>
      <w:bCs/>
      <w:i w:val="false"/>
      <w:iCs w:val="false"/>
      <w:color w:val="000000"/>
      <w:sz w:val="18"/>
      <w:szCs w:val="18"/>
      <w:shd w:fill="auto" w:val="clear"/>
    </w:rPr>
  </w:style>
  <w:style w:type="character" w:styleId="Csafaf574110">
    <w:name w:val="csafaf574110"/>
    <w:qFormat/>
    <w:rPr>
      <w:rFonts w:ascii="Arial" w:hAnsi="Arial" w:cs="Arial"/>
      <w:b/>
      <w:bCs/>
      <w:i w:val="false"/>
      <w:iCs w:val="false"/>
      <w:color w:val="000000"/>
      <w:sz w:val="18"/>
      <w:szCs w:val="18"/>
      <w:shd w:fill="auto" w:val="clear"/>
    </w:rPr>
  </w:style>
  <w:style w:type="character" w:styleId="Csab6e076911">
    <w:name w:val="csab6e076911"/>
    <w:qFormat/>
    <w:rPr>
      <w:rFonts w:ascii="Arial" w:hAnsi="Arial" w:cs="Arial"/>
      <w:b w:val="false"/>
      <w:bCs w:val="false"/>
      <w:i w:val="false"/>
      <w:iCs w:val="false"/>
      <w:color w:val="000000"/>
      <w:sz w:val="18"/>
      <w:szCs w:val="18"/>
      <w:shd w:fill="auto" w:val="clear"/>
    </w:rPr>
  </w:style>
  <w:style w:type="character" w:styleId="Csafaf574112">
    <w:name w:val="csafaf574112"/>
    <w:qFormat/>
    <w:rPr>
      <w:rFonts w:ascii="Arial" w:hAnsi="Arial" w:cs="Arial"/>
      <w:b/>
      <w:bCs/>
      <w:i w:val="false"/>
      <w:iCs w:val="false"/>
      <w:color w:val="000000"/>
      <w:sz w:val="18"/>
      <w:szCs w:val="18"/>
      <w:shd w:fill="auto" w:val="clear"/>
    </w:rPr>
  </w:style>
  <w:style w:type="character" w:styleId="Csab6e076912">
    <w:name w:val="csab6e076912"/>
    <w:qFormat/>
    <w:rPr>
      <w:rFonts w:ascii="Arial" w:hAnsi="Arial" w:cs="Arial"/>
      <w:b w:val="false"/>
      <w:bCs w:val="false"/>
      <w:i w:val="false"/>
      <w:iCs w:val="false"/>
      <w:color w:val="000000"/>
      <w:sz w:val="18"/>
      <w:szCs w:val="18"/>
      <w:shd w:fill="auto" w:val="clear"/>
    </w:rPr>
  </w:style>
  <w:style w:type="character" w:styleId="Csafaf574113">
    <w:name w:val="csafaf574113"/>
    <w:qFormat/>
    <w:rPr>
      <w:rFonts w:ascii="Arial" w:hAnsi="Arial" w:cs="Arial"/>
      <w:b/>
      <w:bCs/>
      <w:i w:val="false"/>
      <w:iCs w:val="false"/>
      <w:color w:val="000000"/>
      <w:sz w:val="18"/>
      <w:szCs w:val="18"/>
      <w:shd w:fill="auto" w:val="clear"/>
    </w:rPr>
  </w:style>
  <w:style w:type="character" w:styleId="Csab6e076913">
    <w:name w:val="csab6e076913"/>
    <w:qFormat/>
    <w:rPr>
      <w:rFonts w:ascii="Arial" w:hAnsi="Arial" w:cs="Arial"/>
      <w:b w:val="false"/>
      <w:bCs w:val="false"/>
      <w:i w:val="false"/>
      <w:iCs w:val="false"/>
      <w:color w:val="000000"/>
      <w:sz w:val="18"/>
      <w:szCs w:val="18"/>
      <w:shd w:fill="auto" w:val="clear"/>
    </w:rPr>
  </w:style>
  <w:style w:type="character" w:styleId="Csafaf574114">
    <w:name w:val="csafaf574114"/>
    <w:qFormat/>
    <w:rPr>
      <w:rFonts w:ascii="Arial" w:hAnsi="Arial" w:cs="Arial"/>
      <w:b/>
      <w:bCs/>
      <w:i w:val="false"/>
      <w:iCs w:val="false"/>
      <w:color w:val="000000"/>
      <w:sz w:val="18"/>
      <w:szCs w:val="18"/>
      <w:shd w:fill="auto" w:val="clear"/>
    </w:rPr>
  </w:style>
  <w:style w:type="character" w:styleId="Csafaf574115">
    <w:name w:val="csafaf574115"/>
    <w:qFormat/>
    <w:rPr>
      <w:rFonts w:ascii="Arial" w:hAnsi="Arial" w:cs="Arial"/>
      <w:b/>
      <w:bCs/>
      <w:i w:val="false"/>
      <w:iCs w:val="false"/>
      <w:color w:val="000000"/>
      <w:sz w:val="18"/>
      <w:szCs w:val="18"/>
      <w:shd w:fill="auto" w:val="clear"/>
    </w:rPr>
  </w:style>
  <w:style w:type="character" w:styleId="Csab6e076915">
    <w:name w:val="csab6e076915"/>
    <w:qFormat/>
    <w:rPr>
      <w:rFonts w:ascii="Arial" w:hAnsi="Arial" w:cs="Arial"/>
      <w:b w:val="false"/>
      <w:bCs w:val="false"/>
      <w:i w:val="false"/>
      <w:iCs w:val="false"/>
      <w:color w:val="000000"/>
      <w:sz w:val="18"/>
      <w:szCs w:val="18"/>
      <w:shd w:fill="auto" w:val="clear"/>
    </w:rPr>
  </w:style>
  <w:style w:type="character" w:styleId="Csafaf57415">
    <w:name w:val="csafaf57415"/>
    <w:qFormat/>
    <w:rPr>
      <w:rFonts w:ascii="Arial" w:hAnsi="Arial" w:cs="Arial"/>
      <w:b/>
      <w:bCs/>
      <w:i w:val="false"/>
      <w:iCs w:val="false"/>
      <w:color w:val="000000"/>
      <w:sz w:val="18"/>
      <w:szCs w:val="18"/>
      <w:shd w:fill="auto" w:val="clear"/>
    </w:rPr>
  </w:style>
  <w:style w:type="character" w:styleId="Csab6e07695">
    <w:name w:val="csab6e07695"/>
    <w:qFormat/>
    <w:rPr>
      <w:rFonts w:ascii="Arial" w:hAnsi="Arial" w:cs="Arial"/>
      <w:b w:val="false"/>
      <w:bCs w:val="false"/>
      <w:i w:val="false"/>
      <w:iCs w:val="false"/>
      <w:color w:val="000000"/>
      <w:sz w:val="18"/>
      <w:szCs w:val="18"/>
      <w:shd w:fill="auto" w:val="clear"/>
    </w:rPr>
  </w:style>
  <w:style w:type="character" w:styleId="Csafaf57416">
    <w:name w:val="csafaf57416"/>
    <w:qFormat/>
    <w:rPr>
      <w:rFonts w:ascii="Arial" w:hAnsi="Arial" w:cs="Arial"/>
      <w:b/>
      <w:bCs/>
      <w:i w:val="false"/>
      <w:iCs w:val="false"/>
      <w:color w:val="000000"/>
      <w:sz w:val="18"/>
      <w:szCs w:val="18"/>
      <w:shd w:fill="auto" w:val="clear"/>
    </w:rPr>
  </w:style>
  <w:style w:type="character" w:styleId="Csab6e07696">
    <w:name w:val="csab6e07696"/>
    <w:qFormat/>
    <w:rPr>
      <w:rFonts w:ascii="Arial" w:hAnsi="Arial" w:cs="Arial"/>
      <w:b w:val="false"/>
      <w:bCs w:val="false"/>
      <w:i w:val="false"/>
      <w:iCs w:val="false"/>
      <w:color w:val="000000"/>
      <w:sz w:val="18"/>
      <w:szCs w:val="18"/>
      <w:shd w:fill="auto" w:val="clear"/>
    </w:rPr>
  </w:style>
  <w:style w:type="character" w:styleId="Csafaf57417">
    <w:name w:val="csafaf57417"/>
    <w:qFormat/>
    <w:rPr>
      <w:rFonts w:ascii="Arial" w:hAnsi="Arial" w:cs="Arial"/>
      <w:b/>
      <w:bCs/>
      <w:i w:val="false"/>
      <w:iCs w:val="false"/>
      <w:color w:val="000000"/>
      <w:sz w:val="18"/>
      <w:szCs w:val="18"/>
      <w:shd w:fill="auto" w:val="clear"/>
    </w:rPr>
  </w:style>
  <w:style w:type="character" w:styleId="Csafaf57418">
    <w:name w:val="csafaf57418"/>
    <w:qFormat/>
    <w:rPr>
      <w:rFonts w:ascii="Arial" w:hAnsi="Arial" w:cs="Arial"/>
      <w:b/>
      <w:bCs/>
      <w:i w:val="false"/>
      <w:iCs w:val="false"/>
      <w:color w:val="000000"/>
      <w:sz w:val="18"/>
      <w:szCs w:val="18"/>
      <w:shd w:fill="auto" w:val="clear"/>
    </w:rPr>
  </w:style>
  <w:style w:type="character" w:styleId="Csccf5e316113">
    <w:name w:val="csccf5e316113"/>
    <w:qFormat/>
    <w:rPr>
      <w:rFonts w:ascii="Arial" w:hAnsi="Arial" w:cs="Arial"/>
      <w:b/>
      <w:bCs/>
      <w:i w:val="false"/>
      <w:iCs w:val="false"/>
      <w:color w:val="000000"/>
      <w:sz w:val="18"/>
      <w:szCs w:val="18"/>
      <w:shd w:fill="auto" w:val="clear"/>
    </w:rPr>
  </w:style>
  <w:style w:type="character" w:styleId="Cs9ff1b611113">
    <w:name w:val="cs9ff1b611113"/>
    <w:qFormat/>
    <w:rPr>
      <w:rFonts w:ascii="Arial" w:hAnsi="Arial" w:cs="Arial"/>
      <w:b w:val="false"/>
      <w:bCs w:val="false"/>
      <w:i w:val="false"/>
      <w:iCs w:val="false"/>
      <w:color w:val="000000"/>
      <w:sz w:val="18"/>
      <w:szCs w:val="18"/>
      <w:shd w:fill="auto" w:val="clear"/>
    </w:rPr>
  </w:style>
  <w:style w:type="character" w:styleId="Cs95bf81471">
    <w:name w:val="cs95bf81471"/>
    <w:qFormat/>
    <w:rPr>
      <w:rFonts w:ascii="Times New Roman" w:hAnsi="Times New Roman" w:cs="Times New Roman"/>
      <w:b w:val="false"/>
      <w:bCs w:val="false"/>
      <w:i w:val="false"/>
      <w:iCs w:val="false"/>
      <w:color w:val="000000"/>
      <w:sz w:val="26"/>
      <w:szCs w:val="26"/>
      <w:shd w:fill="auto" w:val="clear"/>
    </w:rPr>
  </w:style>
  <w:style w:type="character" w:styleId="Csab6e076921">
    <w:name w:val="csab6e076921"/>
    <w:qFormat/>
    <w:rPr>
      <w:rFonts w:ascii="Arial" w:hAnsi="Arial" w:cs="Arial"/>
      <w:b w:val="false"/>
      <w:bCs w:val="false"/>
      <w:i w:val="false"/>
      <w:iCs w:val="false"/>
      <w:color w:val="000000"/>
      <w:sz w:val="18"/>
      <w:szCs w:val="18"/>
      <w:shd w:fill="auto" w:val="clear"/>
    </w:rPr>
  </w:style>
  <w:style w:type="character" w:styleId="Cs9ff1b611140">
    <w:name w:val="cs9ff1b611140"/>
    <w:qFormat/>
    <w:rPr>
      <w:rFonts w:ascii="Arial" w:hAnsi="Arial" w:cs="Arial"/>
      <w:b w:val="false"/>
      <w:bCs w:val="false"/>
      <w:i w:val="false"/>
      <w:iCs w:val="false"/>
      <w:color w:val="000000"/>
      <w:sz w:val="18"/>
      <w:szCs w:val="18"/>
      <w:shd w:fill="auto" w:val="clear"/>
    </w:rPr>
  </w:style>
  <w:style w:type="character" w:styleId="Cs9ff1b611142">
    <w:name w:val="cs9ff1b611142"/>
    <w:qFormat/>
    <w:rPr>
      <w:rFonts w:ascii="Arial" w:hAnsi="Arial" w:cs="Arial"/>
      <w:b w:val="false"/>
      <w:bCs w:val="false"/>
      <w:i w:val="false"/>
      <w:iCs w:val="false"/>
      <w:color w:val="000000"/>
      <w:sz w:val="18"/>
      <w:szCs w:val="18"/>
      <w:shd w:fill="auto" w:val="clear"/>
    </w:rPr>
  </w:style>
  <w:style w:type="character" w:styleId="Cs9ff1b61159">
    <w:name w:val="cs9ff1b61159"/>
    <w:qFormat/>
    <w:rPr>
      <w:rFonts w:ascii="Arial" w:hAnsi="Arial" w:cs="Arial"/>
      <w:b w:val="false"/>
      <w:bCs w:val="false"/>
      <w:i w:val="false"/>
      <w:iCs w:val="false"/>
      <w:color w:val="000000"/>
      <w:sz w:val="18"/>
      <w:szCs w:val="18"/>
      <w:shd w:fill="auto" w:val="clear"/>
    </w:rPr>
  </w:style>
  <w:style w:type="character" w:styleId="Csab6e0769109">
    <w:name w:val="csab6e0769109"/>
    <w:qFormat/>
    <w:rPr>
      <w:rFonts w:ascii="Arial" w:hAnsi="Arial" w:cs="Arial"/>
      <w:b w:val="false"/>
      <w:bCs w:val="false"/>
      <w:i w:val="false"/>
      <w:iCs w:val="false"/>
      <w:color w:val="000000"/>
      <w:sz w:val="18"/>
      <w:szCs w:val="18"/>
      <w:shd w:fill="auto" w:val="clear"/>
    </w:rPr>
  </w:style>
  <w:style w:type="character" w:styleId="Cs9ff1b61143">
    <w:name w:val="cs9ff1b61143"/>
    <w:qFormat/>
    <w:rPr>
      <w:rFonts w:ascii="Arial" w:hAnsi="Arial" w:cs="Arial"/>
      <w:b w:val="false"/>
      <w:bCs w:val="false"/>
      <w:i w:val="false"/>
      <w:iCs w:val="false"/>
      <w:color w:val="000000"/>
      <w:sz w:val="18"/>
      <w:szCs w:val="18"/>
      <w:shd w:fill="auto" w:val="clear"/>
    </w:rPr>
  </w:style>
  <w:style w:type="character" w:styleId="Csb2c72e392">
    <w:name w:val="csb2c72e392"/>
    <w:qFormat/>
    <w:rPr>
      <w:rFonts w:ascii="Segoe UI" w:hAnsi="Segoe UI" w:cs="Segoe UI"/>
      <w:b/>
      <w:bCs/>
      <w:i w:val="false"/>
      <w:iCs w:val="false"/>
      <w:color w:val="000000"/>
      <w:sz w:val="24"/>
      <w:szCs w:val="24"/>
      <w:shd w:fill="auto" w:val="clear"/>
    </w:rPr>
  </w:style>
  <w:style w:type="character" w:styleId="Csab6e076924">
    <w:name w:val="csab6e076924"/>
    <w:qFormat/>
    <w:rPr>
      <w:rFonts w:ascii="Arial" w:hAnsi="Arial" w:cs="Arial"/>
      <w:b w:val="false"/>
      <w:bCs w:val="false"/>
      <w:i w:val="false"/>
      <w:iCs w:val="false"/>
      <w:color w:val="000000"/>
      <w:sz w:val="18"/>
      <w:szCs w:val="18"/>
      <w:shd w:fill="auto" w:val="clear"/>
    </w:rPr>
  </w:style>
  <w:style w:type="character" w:styleId="Csab6e076959">
    <w:name w:val="csab6e076959"/>
    <w:qFormat/>
    <w:rPr>
      <w:rFonts w:ascii="Arial" w:hAnsi="Arial" w:cs="Arial"/>
      <w:b w:val="false"/>
      <w:bCs w:val="false"/>
      <w:i w:val="false"/>
      <w:iCs w:val="false"/>
      <w:color w:val="000000"/>
      <w:sz w:val="18"/>
      <w:szCs w:val="18"/>
      <w:shd w:fill="auto" w:val="clear"/>
    </w:rPr>
  </w:style>
  <w:style w:type="character" w:styleId="Csccf5e3168">
    <w:name w:val="csccf5e3168"/>
    <w:qFormat/>
    <w:rPr>
      <w:rFonts w:ascii="Arial" w:hAnsi="Arial" w:cs="Arial"/>
      <w:b/>
      <w:bCs/>
      <w:i w:val="false"/>
      <w:iCs w:val="false"/>
      <w:color w:val="000000"/>
      <w:sz w:val="18"/>
      <w:szCs w:val="18"/>
      <w:shd w:fill="auto" w:val="clear"/>
    </w:rPr>
  </w:style>
  <w:style w:type="character" w:styleId="Csab6e0769127">
    <w:name w:val="csab6e0769127"/>
    <w:qFormat/>
    <w:rPr>
      <w:rFonts w:ascii="Arial" w:hAnsi="Arial" w:cs="Arial"/>
      <w:b w:val="false"/>
      <w:bCs w:val="false"/>
      <w:i w:val="false"/>
      <w:iCs w:val="false"/>
      <w:color w:val="000000"/>
      <w:sz w:val="18"/>
      <w:szCs w:val="18"/>
      <w:shd w:fill="auto" w:val="clear"/>
    </w:rPr>
  </w:style>
  <w:style w:type="character" w:styleId="Csccf5e31625">
    <w:name w:val="csccf5e31625"/>
    <w:qFormat/>
    <w:rPr>
      <w:rFonts w:ascii="Arial" w:hAnsi="Arial" w:cs="Arial"/>
      <w:b/>
      <w:bCs/>
      <w:i w:val="false"/>
      <w:iCs w:val="false"/>
      <w:color w:val="000000"/>
      <w:sz w:val="18"/>
      <w:szCs w:val="18"/>
      <w:shd w:fill="auto" w:val="clear"/>
    </w:rPr>
  </w:style>
  <w:style w:type="character" w:styleId="Cs9ff1b61124">
    <w:name w:val="cs9ff1b61124"/>
    <w:qFormat/>
    <w:rPr>
      <w:rFonts w:ascii="Arial" w:hAnsi="Arial" w:cs="Arial"/>
      <w:b w:val="false"/>
      <w:bCs w:val="false"/>
      <w:i w:val="false"/>
      <w:iCs w:val="false"/>
      <w:color w:val="000000"/>
      <w:sz w:val="18"/>
      <w:szCs w:val="18"/>
      <w:shd w:fill="auto" w:val="clear"/>
    </w:rPr>
  </w:style>
  <w:style w:type="character" w:styleId="Csab6e076916">
    <w:name w:val="csab6e076916"/>
    <w:qFormat/>
    <w:rPr>
      <w:rFonts w:ascii="Arial" w:hAnsi="Arial" w:cs="Arial"/>
      <w:b w:val="false"/>
      <w:bCs w:val="false"/>
      <w:i w:val="false"/>
      <w:iCs w:val="false"/>
      <w:color w:val="000000"/>
      <w:sz w:val="18"/>
      <w:szCs w:val="18"/>
      <w:shd w:fill="auto" w:val="clear"/>
    </w:rPr>
  </w:style>
  <w:style w:type="character" w:styleId="Cs2e2c6f9f1">
    <w:name w:val="cs2e2c6f9f1"/>
    <w:qFormat/>
    <w:rPr>
      <w:rFonts w:ascii="Arial" w:hAnsi="Arial" w:cs="Arial"/>
      <w:b/>
      <w:bCs/>
      <w:i/>
      <w:iCs/>
      <w:color w:val="000000"/>
      <w:sz w:val="18"/>
      <w:szCs w:val="18"/>
      <w:shd w:fill="auto" w:val="clear"/>
    </w:rPr>
  </w:style>
  <w:style w:type="character" w:styleId="Cs9ff1b61157">
    <w:name w:val="cs9ff1b61157"/>
    <w:qFormat/>
    <w:rPr>
      <w:rFonts w:ascii="Arial" w:hAnsi="Arial" w:cs="Arial"/>
      <w:b w:val="false"/>
      <w:bCs w:val="false"/>
      <w:i w:val="false"/>
      <w:iCs w:val="false"/>
      <w:color w:val="000000"/>
      <w:sz w:val="18"/>
      <w:szCs w:val="18"/>
      <w:shd w:fill="auto" w:val="clear"/>
    </w:rPr>
  </w:style>
  <w:style w:type="character" w:styleId="Cs9ff1b6114">
    <w:name w:val="cs9ff1b6114"/>
    <w:qFormat/>
    <w:rPr>
      <w:rFonts w:ascii="Arial" w:hAnsi="Arial" w:cs="Arial"/>
      <w:b w:val="false"/>
      <w:bCs w:val="false"/>
      <w:i w:val="false"/>
      <w:iCs w:val="false"/>
      <w:color w:val="000000"/>
      <w:sz w:val="18"/>
      <w:szCs w:val="18"/>
      <w:shd w:fill="auto" w:val="clear"/>
    </w:rPr>
  </w:style>
  <w:style w:type="character" w:styleId="Cs9ff1b61193">
    <w:name w:val="cs9ff1b61193"/>
    <w:qFormat/>
    <w:rPr>
      <w:rFonts w:ascii="Arial" w:hAnsi="Arial" w:cs="Arial"/>
      <w:b w:val="false"/>
      <w:bCs w:val="false"/>
      <w:i w:val="false"/>
      <w:iCs w:val="false"/>
      <w:color w:val="000000"/>
      <w:sz w:val="18"/>
      <w:szCs w:val="18"/>
      <w:shd w:fill="auto" w:val="clear"/>
    </w:rPr>
  </w:style>
  <w:style w:type="character" w:styleId="Cs9ff1b611101">
    <w:name w:val="cs9ff1b611101"/>
    <w:qFormat/>
    <w:rPr>
      <w:rFonts w:ascii="Arial" w:hAnsi="Arial" w:cs="Arial"/>
      <w:b w:val="false"/>
      <w:bCs w:val="false"/>
      <w:i w:val="false"/>
      <w:iCs w:val="false"/>
      <w:color w:val="000000"/>
      <w:sz w:val="18"/>
      <w:szCs w:val="18"/>
      <w:shd w:fill="auto" w:val="clear"/>
    </w:rPr>
  </w:style>
  <w:style w:type="character" w:styleId="Cs9ff1b61128">
    <w:name w:val="cs9ff1b61128"/>
    <w:qFormat/>
    <w:rPr>
      <w:rFonts w:ascii="Arial" w:hAnsi="Arial" w:cs="Arial"/>
      <w:b w:val="false"/>
      <w:bCs w:val="false"/>
      <w:i w:val="false"/>
      <w:iCs w:val="false"/>
      <w:color w:val="000000"/>
      <w:sz w:val="18"/>
      <w:szCs w:val="18"/>
      <w:shd w:fill="auto" w:val="clear"/>
    </w:rPr>
  </w:style>
  <w:style w:type="character" w:styleId="Cs95e872d02">
    <w:name w:val="cs95e872d02"/>
    <w:qFormat/>
    <w:rPr/>
  </w:style>
  <w:style w:type="character" w:styleId="Cs237f67f12">
    <w:name w:val="cs237f67f12"/>
    <w:qFormat/>
    <w:rPr>
      <w:rFonts w:ascii="Segoe UI" w:hAnsi="Segoe UI" w:cs="Segoe UI"/>
      <w:b w:val="false"/>
      <w:bCs w:val="false"/>
      <w:i w:val="false"/>
      <w:iCs w:val="false"/>
      <w:color w:val="000000"/>
      <w:sz w:val="24"/>
      <w:szCs w:val="24"/>
      <w:shd w:fill="auto" w:val="clear"/>
    </w:rPr>
  </w:style>
  <w:style w:type="character" w:styleId="Cs9ff1b6118">
    <w:name w:val="cs9ff1b6118"/>
    <w:qFormat/>
    <w:rPr>
      <w:rFonts w:ascii="Arial" w:hAnsi="Arial" w:cs="Arial"/>
      <w:b w:val="false"/>
      <w:bCs w:val="false"/>
      <w:i w:val="false"/>
      <w:iCs w:val="false"/>
      <w:color w:val="000000"/>
      <w:sz w:val="18"/>
      <w:szCs w:val="18"/>
      <w:shd w:fill="auto" w:val="clear"/>
    </w:rPr>
  </w:style>
  <w:style w:type="character" w:styleId="Arial91">
    <w:name w:val="arial9(жирнбез интерв) Знак"/>
    <w:qFormat/>
    <w:rPr>
      <w:rFonts w:ascii="Arial" w:hAnsi="Arial" w:cs="Arial"/>
      <w:b/>
      <w:sz w:val="18"/>
      <w:lang w:val="ru-RU"/>
    </w:rPr>
  </w:style>
  <w:style w:type="character" w:styleId="Csccf5e316151">
    <w:name w:val="csccf5e316151"/>
    <w:qFormat/>
    <w:rPr>
      <w:rFonts w:ascii="Arial" w:hAnsi="Arial" w:cs="Arial"/>
      <w:b/>
      <w:bCs/>
      <w:i w:val="false"/>
      <w:iCs w:val="false"/>
      <w:color w:val="000000"/>
      <w:sz w:val="18"/>
      <w:szCs w:val="18"/>
      <w:shd w:fill="auto" w:val="clear"/>
    </w:rPr>
  </w:style>
  <w:style w:type="character" w:styleId="Cs9ff1b611150">
    <w:name w:val="cs9ff1b611150"/>
    <w:qFormat/>
    <w:rPr>
      <w:rFonts w:ascii="Arial" w:hAnsi="Arial" w:cs="Arial"/>
      <w:b w:val="false"/>
      <w:bCs w:val="false"/>
      <w:i w:val="false"/>
      <w:iCs w:val="false"/>
      <w:color w:val="000000"/>
      <w:sz w:val="18"/>
      <w:szCs w:val="18"/>
      <w:shd w:fill="auto" w:val="clear"/>
    </w:rPr>
  </w:style>
  <w:style w:type="character" w:styleId="Csae0413f64">
    <w:name w:val="csae0413f64"/>
    <w:qFormat/>
    <w:rPr>
      <w:rFonts w:ascii="Arial" w:hAnsi="Arial" w:cs="Arial"/>
      <w:b/>
      <w:bCs/>
      <w:i w:val="false"/>
      <w:iCs w:val="false"/>
      <w:color w:val="000000"/>
      <w:sz w:val="18"/>
      <w:szCs w:val="18"/>
      <w:shd w:fill="auto" w:val="clear"/>
    </w:rPr>
  </w:style>
  <w:style w:type="character" w:styleId="Cs9ff1b61155">
    <w:name w:val="cs9ff1b61155"/>
    <w:qFormat/>
    <w:rPr>
      <w:rFonts w:ascii="Arial" w:hAnsi="Arial" w:cs="Arial"/>
      <w:b w:val="false"/>
      <w:bCs w:val="false"/>
      <w:i w:val="false"/>
      <w:iCs w:val="false"/>
      <w:color w:val="000000"/>
      <w:sz w:val="18"/>
      <w:szCs w:val="18"/>
      <w:shd w:fill="auto" w:val="clear"/>
    </w:rPr>
  </w:style>
  <w:style w:type="character" w:styleId="Cs9ff1b61182">
    <w:name w:val="cs9ff1b61182"/>
    <w:qFormat/>
    <w:rPr>
      <w:rFonts w:ascii="Arial" w:hAnsi="Arial" w:cs="Arial"/>
      <w:b w:val="false"/>
      <w:bCs w:val="false"/>
      <w:i w:val="false"/>
      <w:iCs w:val="false"/>
      <w:color w:val="000000"/>
      <w:sz w:val="18"/>
      <w:szCs w:val="18"/>
      <w:shd w:fill="auto" w:val="clear"/>
    </w:rPr>
  </w:style>
  <w:style w:type="character" w:styleId="Cs9ff1b61183">
    <w:name w:val="cs9ff1b61183"/>
    <w:qFormat/>
    <w:rPr>
      <w:rFonts w:ascii="Arial" w:hAnsi="Arial" w:cs="Arial"/>
      <w:b w:val="false"/>
      <w:bCs w:val="false"/>
      <w:i w:val="false"/>
      <w:iCs w:val="false"/>
      <w:color w:val="000000"/>
      <w:sz w:val="18"/>
      <w:szCs w:val="18"/>
      <w:shd w:fill="auto" w:val="clear"/>
    </w:rPr>
  </w:style>
  <w:style w:type="character" w:styleId="Spelle">
    <w:name w:val="spelle"/>
    <w:qFormat/>
    <w:rPr/>
  </w:style>
  <w:style w:type="character" w:styleId="Cs4df2502e8">
    <w:name w:val="cs4df2502e8"/>
    <w:qFormat/>
    <w:rPr>
      <w:rFonts w:ascii="Arial" w:hAnsi="Arial" w:cs="Arial"/>
      <w:b w:val="false"/>
      <w:bCs w:val="false"/>
      <w:i/>
      <w:iCs/>
      <w:color w:val="000000"/>
      <w:sz w:val="18"/>
      <w:szCs w:val="18"/>
      <w:shd w:fill="auto" w:val="clear"/>
    </w:rPr>
  </w:style>
  <w:style w:type="character" w:styleId="Cscc47389a1">
    <w:name w:val="cscc47389a1"/>
    <w:qFormat/>
    <w:rPr>
      <w:rFonts w:ascii="Times New Roman" w:hAnsi="Times New Roman" w:cs="Times New Roman"/>
      <w:b w:val="false"/>
      <w:bCs w:val="false"/>
      <w:i w:val="false"/>
      <w:iCs w:val="false"/>
      <w:color w:val="000000"/>
      <w:sz w:val="18"/>
      <w:szCs w:val="18"/>
      <w:shd w:fill="auto" w:val="clear"/>
    </w:rPr>
  </w:style>
  <w:style w:type="character" w:styleId="Cs176e94eb1">
    <w:name w:val="cs176e94eb1"/>
    <w:qFormat/>
    <w:rPr>
      <w:rFonts w:ascii="Times New Roman" w:hAnsi="Times New Roman" w:cs="Times New Roman"/>
      <w:b/>
      <w:bCs/>
      <w:i w:val="false"/>
      <w:iCs w:val="false"/>
      <w:color w:val="000000"/>
      <w:sz w:val="18"/>
      <w:szCs w:val="18"/>
      <w:shd w:fill="auto" w:val="clear"/>
    </w:rPr>
  </w:style>
  <w:style w:type="character" w:styleId="Csafaf574135">
    <w:name w:val="csafaf574135"/>
    <w:qFormat/>
    <w:rPr>
      <w:rFonts w:ascii="Arial" w:hAnsi="Arial" w:cs="Arial"/>
      <w:b/>
      <w:bCs/>
      <w:i w:val="false"/>
      <w:iCs w:val="false"/>
      <w:color w:val="000000"/>
      <w:sz w:val="18"/>
      <w:szCs w:val="18"/>
      <w:shd w:fill="auto" w:val="clear"/>
    </w:rPr>
  </w:style>
  <w:style w:type="character" w:styleId="Csafaf574136">
    <w:name w:val="csafaf574136"/>
    <w:qFormat/>
    <w:rPr>
      <w:rFonts w:ascii="Arial" w:hAnsi="Arial" w:cs="Arial"/>
      <w:b/>
      <w:bCs/>
      <w:i w:val="false"/>
      <w:iCs w:val="false"/>
      <w:color w:val="000000"/>
      <w:sz w:val="18"/>
      <w:szCs w:val="18"/>
      <w:shd w:fill="auto" w:val="clear"/>
    </w:rPr>
  </w:style>
  <w:style w:type="character" w:styleId="Csab6e076936">
    <w:name w:val="csab6e076936"/>
    <w:qFormat/>
    <w:rPr>
      <w:rFonts w:ascii="Arial" w:hAnsi="Arial" w:cs="Arial"/>
      <w:b w:val="false"/>
      <w:bCs w:val="false"/>
      <w:i w:val="false"/>
      <w:iCs w:val="false"/>
      <w:color w:val="000000"/>
      <w:sz w:val="18"/>
      <w:szCs w:val="18"/>
      <w:shd w:fill="auto" w:val="clear"/>
    </w:rPr>
  </w:style>
  <w:style w:type="character" w:styleId="Csafaf574137">
    <w:name w:val="csafaf574137"/>
    <w:qFormat/>
    <w:rPr>
      <w:rFonts w:ascii="Arial" w:hAnsi="Arial" w:cs="Arial"/>
      <w:b/>
      <w:bCs/>
      <w:i w:val="false"/>
      <w:iCs w:val="false"/>
      <w:color w:val="000000"/>
      <w:sz w:val="18"/>
      <w:szCs w:val="18"/>
      <w:shd w:fill="auto" w:val="clear"/>
    </w:rPr>
  </w:style>
  <w:style w:type="character" w:styleId="Csab6e076937">
    <w:name w:val="csab6e076937"/>
    <w:qFormat/>
    <w:rPr>
      <w:rFonts w:ascii="Arial" w:hAnsi="Arial" w:cs="Arial"/>
      <w:b w:val="false"/>
      <w:bCs w:val="false"/>
      <w:i w:val="false"/>
      <w:iCs w:val="false"/>
      <w:color w:val="000000"/>
      <w:sz w:val="18"/>
      <w:szCs w:val="18"/>
      <w:shd w:fill="auto" w:val="clear"/>
    </w:rPr>
  </w:style>
  <w:style w:type="character" w:styleId="Csafaf574138">
    <w:name w:val="csafaf574138"/>
    <w:qFormat/>
    <w:rPr>
      <w:rFonts w:ascii="Arial" w:hAnsi="Arial" w:cs="Arial"/>
      <w:b/>
      <w:bCs/>
      <w:i w:val="false"/>
      <w:iCs w:val="false"/>
      <w:color w:val="000000"/>
      <w:sz w:val="18"/>
      <w:szCs w:val="18"/>
      <w:shd w:fill="auto" w:val="clear"/>
    </w:rPr>
  </w:style>
  <w:style w:type="character" w:styleId="Csafaf574139">
    <w:name w:val="csafaf574139"/>
    <w:qFormat/>
    <w:rPr>
      <w:rFonts w:ascii="Arial" w:hAnsi="Arial" w:cs="Arial"/>
      <w:b/>
      <w:bCs/>
      <w:i w:val="false"/>
      <w:iCs w:val="false"/>
      <w:color w:val="000000"/>
      <w:sz w:val="18"/>
      <w:szCs w:val="18"/>
      <w:shd w:fill="auto" w:val="clear"/>
    </w:rPr>
  </w:style>
  <w:style w:type="character" w:styleId="Csafaf574140">
    <w:name w:val="csafaf574140"/>
    <w:qFormat/>
    <w:rPr>
      <w:rFonts w:ascii="Arial" w:hAnsi="Arial" w:cs="Arial"/>
      <w:b/>
      <w:bCs/>
      <w:i w:val="false"/>
      <w:iCs w:val="false"/>
      <w:color w:val="000000"/>
      <w:sz w:val="18"/>
      <w:szCs w:val="18"/>
      <w:shd w:fill="auto" w:val="clear"/>
    </w:rPr>
  </w:style>
  <w:style w:type="character" w:styleId="Csab6e076940">
    <w:name w:val="csab6e076940"/>
    <w:qFormat/>
    <w:rPr>
      <w:rFonts w:ascii="Arial" w:hAnsi="Arial" w:cs="Arial"/>
      <w:b w:val="false"/>
      <w:bCs w:val="false"/>
      <w:i w:val="false"/>
      <w:iCs w:val="false"/>
      <w:color w:val="000000"/>
      <w:sz w:val="18"/>
      <w:szCs w:val="18"/>
      <w:shd w:fill="auto" w:val="clear"/>
    </w:rPr>
  </w:style>
  <w:style w:type="character" w:styleId="Csafaf574141">
    <w:name w:val="csafaf574141"/>
    <w:qFormat/>
    <w:rPr>
      <w:rFonts w:ascii="Arial" w:hAnsi="Arial" w:cs="Arial"/>
      <w:b/>
      <w:bCs/>
      <w:i w:val="false"/>
      <w:iCs w:val="false"/>
      <w:color w:val="000000"/>
      <w:sz w:val="18"/>
      <w:szCs w:val="18"/>
      <w:shd w:fill="auto" w:val="clear"/>
    </w:rPr>
  </w:style>
  <w:style w:type="character" w:styleId="Csafaf574142">
    <w:name w:val="csafaf574142"/>
    <w:qFormat/>
    <w:rPr>
      <w:rFonts w:ascii="Arial" w:hAnsi="Arial" w:cs="Arial"/>
      <w:b/>
      <w:bCs/>
      <w:i w:val="false"/>
      <w:iCs w:val="false"/>
      <w:color w:val="000000"/>
      <w:sz w:val="18"/>
      <w:szCs w:val="18"/>
      <w:shd w:fill="auto" w:val="clear"/>
    </w:rPr>
  </w:style>
  <w:style w:type="character" w:styleId="Csab6e076942">
    <w:name w:val="csab6e076942"/>
    <w:qFormat/>
    <w:rPr>
      <w:rFonts w:ascii="Arial" w:hAnsi="Arial" w:cs="Arial"/>
      <w:b w:val="false"/>
      <w:bCs w:val="false"/>
      <w:i w:val="false"/>
      <w:iCs w:val="false"/>
      <w:color w:val="000000"/>
      <w:sz w:val="18"/>
      <w:szCs w:val="18"/>
      <w:shd w:fill="auto" w:val="clear"/>
    </w:rPr>
  </w:style>
  <w:style w:type="character" w:styleId="Csafaf574143">
    <w:name w:val="csafaf574143"/>
    <w:qFormat/>
    <w:rPr>
      <w:rFonts w:ascii="Arial" w:hAnsi="Arial" w:cs="Arial"/>
      <w:b/>
      <w:bCs/>
      <w:i w:val="false"/>
      <w:iCs w:val="false"/>
      <w:color w:val="000000"/>
      <w:sz w:val="18"/>
      <w:szCs w:val="18"/>
      <w:shd w:fill="auto" w:val="clear"/>
    </w:rPr>
  </w:style>
  <w:style w:type="character" w:styleId="Csab6e076943">
    <w:name w:val="csab6e076943"/>
    <w:qFormat/>
    <w:rPr>
      <w:rFonts w:ascii="Arial" w:hAnsi="Arial" w:cs="Arial"/>
      <w:b w:val="false"/>
      <w:bCs w:val="false"/>
      <w:i w:val="false"/>
      <w:iCs w:val="false"/>
      <w:color w:val="000000"/>
      <w:sz w:val="18"/>
      <w:szCs w:val="18"/>
      <w:shd w:fill="auto" w:val="clear"/>
    </w:rPr>
  </w:style>
  <w:style w:type="character" w:styleId="Csafaf574144">
    <w:name w:val="csafaf574144"/>
    <w:qFormat/>
    <w:rPr>
      <w:rFonts w:ascii="Arial" w:hAnsi="Arial" w:cs="Arial"/>
      <w:b/>
      <w:bCs/>
      <w:i w:val="false"/>
      <w:iCs w:val="false"/>
      <w:color w:val="000000"/>
      <w:sz w:val="18"/>
      <w:szCs w:val="18"/>
      <w:shd w:fill="auto" w:val="clear"/>
    </w:rPr>
  </w:style>
  <w:style w:type="character" w:styleId="Csafaf574145">
    <w:name w:val="csafaf574145"/>
    <w:qFormat/>
    <w:rPr>
      <w:rFonts w:ascii="Arial" w:hAnsi="Arial" w:cs="Arial"/>
      <w:b/>
      <w:bCs/>
      <w:i w:val="false"/>
      <w:iCs w:val="false"/>
      <w:color w:val="000000"/>
      <w:sz w:val="18"/>
      <w:szCs w:val="18"/>
      <w:shd w:fill="auto" w:val="clear"/>
    </w:rPr>
  </w:style>
  <w:style w:type="character" w:styleId="Csab6e076945">
    <w:name w:val="csab6e076945"/>
    <w:qFormat/>
    <w:rPr>
      <w:rFonts w:ascii="Arial" w:hAnsi="Arial" w:cs="Arial"/>
      <w:b w:val="false"/>
      <w:bCs w:val="false"/>
      <w:i w:val="false"/>
      <w:iCs w:val="false"/>
      <w:color w:val="000000"/>
      <w:sz w:val="18"/>
      <w:szCs w:val="18"/>
      <w:shd w:fill="auto" w:val="clear"/>
    </w:rPr>
  </w:style>
  <w:style w:type="character" w:styleId="Csafaf574146">
    <w:name w:val="csafaf574146"/>
    <w:qFormat/>
    <w:rPr>
      <w:rFonts w:ascii="Arial" w:hAnsi="Arial" w:cs="Arial"/>
      <w:b/>
      <w:bCs/>
      <w:i w:val="false"/>
      <w:iCs w:val="false"/>
      <w:color w:val="000000"/>
      <w:sz w:val="18"/>
      <w:szCs w:val="18"/>
      <w:shd w:fill="auto" w:val="clear"/>
    </w:rPr>
  </w:style>
  <w:style w:type="character" w:styleId="Csafaf574147">
    <w:name w:val="csafaf574147"/>
    <w:qFormat/>
    <w:rPr>
      <w:rFonts w:ascii="Arial" w:hAnsi="Arial" w:cs="Arial"/>
      <w:b/>
      <w:bCs/>
      <w:i w:val="false"/>
      <w:iCs w:val="false"/>
      <w:color w:val="000000"/>
      <w:sz w:val="18"/>
      <w:szCs w:val="18"/>
      <w:shd w:fill="auto" w:val="clear"/>
    </w:rPr>
  </w:style>
  <w:style w:type="character" w:styleId="Csafaf574148">
    <w:name w:val="csafaf574148"/>
    <w:qFormat/>
    <w:rPr>
      <w:rFonts w:ascii="Arial" w:hAnsi="Arial" w:cs="Arial"/>
      <w:b/>
      <w:bCs/>
      <w:i w:val="false"/>
      <w:iCs w:val="false"/>
      <w:color w:val="000000"/>
      <w:sz w:val="18"/>
      <w:szCs w:val="18"/>
      <w:shd w:fill="auto" w:val="clear"/>
    </w:rPr>
  </w:style>
  <w:style w:type="character" w:styleId="Csab6e076948">
    <w:name w:val="csab6e076948"/>
    <w:qFormat/>
    <w:rPr>
      <w:rFonts w:ascii="Arial" w:hAnsi="Arial" w:cs="Arial"/>
      <w:b w:val="false"/>
      <w:bCs w:val="false"/>
      <w:i w:val="false"/>
      <w:iCs w:val="false"/>
      <w:color w:val="000000"/>
      <w:sz w:val="18"/>
      <w:szCs w:val="18"/>
      <w:shd w:fill="auto" w:val="clear"/>
    </w:rPr>
  </w:style>
  <w:style w:type="character" w:styleId="Csafaf574149">
    <w:name w:val="csafaf574149"/>
    <w:qFormat/>
    <w:rPr>
      <w:rFonts w:ascii="Arial" w:hAnsi="Arial" w:cs="Arial"/>
      <w:b/>
      <w:bCs/>
      <w:i w:val="false"/>
      <w:iCs w:val="false"/>
      <w:color w:val="000000"/>
      <w:sz w:val="18"/>
      <w:szCs w:val="18"/>
      <w:shd w:fill="auto" w:val="clear"/>
    </w:rPr>
  </w:style>
  <w:style w:type="character" w:styleId="Csab6e076949">
    <w:name w:val="csab6e076949"/>
    <w:qFormat/>
    <w:rPr>
      <w:rFonts w:ascii="Arial" w:hAnsi="Arial" w:cs="Arial"/>
      <w:b w:val="false"/>
      <w:bCs w:val="false"/>
      <w:i w:val="false"/>
      <w:iCs w:val="false"/>
      <w:color w:val="000000"/>
      <w:sz w:val="18"/>
      <w:szCs w:val="18"/>
      <w:shd w:fill="auto" w:val="clear"/>
    </w:rPr>
  </w:style>
  <w:style w:type="character" w:styleId="Csafaf574150">
    <w:name w:val="csafaf574150"/>
    <w:qFormat/>
    <w:rPr>
      <w:rFonts w:ascii="Arial" w:hAnsi="Arial" w:cs="Arial"/>
      <w:b/>
      <w:bCs/>
      <w:i w:val="false"/>
      <w:iCs w:val="false"/>
      <w:color w:val="000000"/>
      <w:sz w:val="18"/>
      <w:szCs w:val="18"/>
      <w:shd w:fill="auto" w:val="clear"/>
    </w:rPr>
  </w:style>
  <w:style w:type="character" w:styleId="Csafaf574151">
    <w:name w:val="csafaf574151"/>
    <w:qFormat/>
    <w:rPr>
      <w:rFonts w:ascii="Arial" w:hAnsi="Arial" w:cs="Arial"/>
      <w:b/>
      <w:bCs/>
      <w:i w:val="false"/>
      <w:iCs w:val="false"/>
      <w:color w:val="000000"/>
      <w:sz w:val="18"/>
      <w:szCs w:val="18"/>
      <w:shd w:fill="auto" w:val="clear"/>
    </w:rPr>
  </w:style>
  <w:style w:type="character" w:styleId="Csafaf574152">
    <w:name w:val="csafaf574152"/>
    <w:qFormat/>
    <w:rPr>
      <w:rFonts w:ascii="Arial" w:hAnsi="Arial" w:cs="Arial"/>
      <w:b/>
      <w:bCs/>
      <w:i w:val="false"/>
      <w:iCs w:val="false"/>
      <w:color w:val="000000"/>
      <w:sz w:val="18"/>
      <w:szCs w:val="18"/>
      <w:shd w:fill="auto" w:val="clear"/>
    </w:rPr>
  </w:style>
  <w:style w:type="character" w:styleId="Csab6e076952">
    <w:name w:val="csab6e076952"/>
    <w:qFormat/>
    <w:rPr>
      <w:rFonts w:ascii="Arial" w:hAnsi="Arial" w:cs="Arial"/>
      <w:b w:val="false"/>
      <w:bCs w:val="false"/>
      <w:i w:val="false"/>
      <w:iCs w:val="false"/>
      <w:color w:val="000000"/>
      <w:sz w:val="18"/>
      <w:szCs w:val="18"/>
      <w:shd w:fill="auto" w:val="clear"/>
    </w:rPr>
  </w:style>
  <w:style w:type="character" w:styleId="Csafaf574153">
    <w:name w:val="csafaf574153"/>
    <w:qFormat/>
    <w:rPr>
      <w:rFonts w:ascii="Arial" w:hAnsi="Arial" w:cs="Arial"/>
      <w:b/>
      <w:bCs/>
      <w:i w:val="false"/>
      <w:iCs w:val="false"/>
      <w:color w:val="000000"/>
      <w:sz w:val="18"/>
      <w:szCs w:val="18"/>
      <w:shd w:fill="auto" w:val="clear"/>
    </w:rPr>
  </w:style>
  <w:style w:type="character" w:styleId="Csab6e076953">
    <w:name w:val="csab6e076953"/>
    <w:qFormat/>
    <w:rPr>
      <w:rFonts w:ascii="Arial" w:hAnsi="Arial" w:cs="Arial"/>
      <w:b w:val="false"/>
      <w:bCs w:val="false"/>
      <w:i w:val="false"/>
      <w:iCs w:val="false"/>
      <w:color w:val="000000"/>
      <w:sz w:val="18"/>
      <w:szCs w:val="18"/>
      <w:shd w:fill="auto" w:val="clear"/>
    </w:rPr>
  </w:style>
  <w:style w:type="character" w:styleId="Csafaf574154">
    <w:name w:val="csafaf574154"/>
    <w:qFormat/>
    <w:rPr>
      <w:rFonts w:ascii="Arial" w:hAnsi="Arial" w:cs="Arial"/>
      <w:b/>
      <w:bCs/>
      <w:i w:val="false"/>
      <w:iCs w:val="false"/>
      <w:color w:val="000000"/>
      <w:sz w:val="18"/>
      <w:szCs w:val="18"/>
      <w:shd w:fill="auto" w:val="clear"/>
    </w:rPr>
  </w:style>
  <w:style w:type="character" w:styleId="Csafaf574155">
    <w:name w:val="csafaf574155"/>
    <w:qFormat/>
    <w:rPr>
      <w:rFonts w:ascii="Arial" w:hAnsi="Arial" w:cs="Arial"/>
      <w:b/>
      <w:bCs/>
      <w:i w:val="false"/>
      <w:iCs w:val="false"/>
      <w:color w:val="000000"/>
      <w:sz w:val="18"/>
      <w:szCs w:val="18"/>
      <w:shd w:fill="auto" w:val="clear"/>
    </w:rPr>
  </w:style>
  <w:style w:type="character" w:styleId="Csafaf574156">
    <w:name w:val="csafaf574156"/>
    <w:qFormat/>
    <w:rPr>
      <w:rFonts w:ascii="Arial" w:hAnsi="Arial" w:cs="Arial"/>
      <w:b/>
      <w:bCs/>
      <w:i w:val="false"/>
      <w:iCs w:val="false"/>
      <w:color w:val="000000"/>
      <w:sz w:val="18"/>
      <w:szCs w:val="18"/>
      <w:shd w:fill="auto" w:val="clear"/>
    </w:rPr>
  </w:style>
  <w:style w:type="character" w:styleId="Csab6e076956">
    <w:name w:val="csab6e076956"/>
    <w:qFormat/>
    <w:rPr>
      <w:rFonts w:ascii="Arial" w:hAnsi="Arial" w:cs="Arial"/>
      <w:b w:val="false"/>
      <w:bCs w:val="false"/>
      <w:i w:val="false"/>
      <w:iCs w:val="false"/>
      <w:color w:val="000000"/>
      <w:sz w:val="18"/>
      <w:szCs w:val="18"/>
      <w:shd w:fill="auto" w:val="clear"/>
    </w:rPr>
  </w:style>
  <w:style w:type="character" w:styleId="Csafaf574157">
    <w:name w:val="csafaf574157"/>
    <w:qFormat/>
    <w:rPr>
      <w:rFonts w:ascii="Arial" w:hAnsi="Arial" w:cs="Arial"/>
      <w:b/>
      <w:bCs/>
      <w:i w:val="false"/>
      <w:iCs w:val="false"/>
      <w:color w:val="000000"/>
      <w:sz w:val="18"/>
      <w:szCs w:val="18"/>
      <w:shd w:fill="auto" w:val="clear"/>
    </w:rPr>
  </w:style>
  <w:style w:type="character" w:styleId="Csafaf574158">
    <w:name w:val="csafaf574158"/>
    <w:qFormat/>
    <w:rPr>
      <w:rFonts w:ascii="Arial" w:hAnsi="Arial" w:cs="Arial"/>
      <w:b/>
      <w:bCs/>
      <w:i w:val="false"/>
      <w:iCs w:val="false"/>
      <w:color w:val="000000"/>
      <w:sz w:val="18"/>
      <w:szCs w:val="18"/>
      <w:shd w:fill="auto" w:val="clear"/>
    </w:rPr>
  </w:style>
  <w:style w:type="character" w:styleId="Csab6e076958">
    <w:name w:val="csab6e076958"/>
    <w:qFormat/>
    <w:rPr>
      <w:rFonts w:ascii="Arial" w:hAnsi="Arial" w:cs="Arial"/>
      <w:b w:val="false"/>
      <w:bCs w:val="false"/>
      <w:i w:val="false"/>
      <w:iCs w:val="false"/>
      <w:color w:val="000000"/>
      <w:sz w:val="18"/>
      <w:szCs w:val="18"/>
      <w:shd w:fill="auto" w:val="clear"/>
    </w:rPr>
  </w:style>
  <w:style w:type="character" w:styleId="Csafaf574159">
    <w:name w:val="csafaf574159"/>
    <w:qFormat/>
    <w:rPr>
      <w:rFonts w:ascii="Arial" w:hAnsi="Arial" w:cs="Arial"/>
      <w:b/>
      <w:bCs/>
      <w:i w:val="false"/>
      <w:iCs w:val="false"/>
      <w:color w:val="000000"/>
      <w:sz w:val="18"/>
      <w:szCs w:val="18"/>
      <w:shd w:fill="auto" w:val="clear"/>
    </w:rPr>
  </w:style>
  <w:style w:type="character" w:styleId="Csafaf574160">
    <w:name w:val="csafaf574160"/>
    <w:qFormat/>
    <w:rPr>
      <w:rFonts w:ascii="Arial" w:hAnsi="Arial" w:cs="Arial"/>
      <w:b/>
      <w:bCs/>
      <w:i w:val="false"/>
      <w:iCs w:val="false"/>
      <w:color w:val="000000"/>
      <w:sz w:val="18"/>
      <w:szCs w:val="18"/>
      <w:shd w:fill="auto" w:val="clear"/>
    </w:rPr>
  </w:style>
  <w:style w:type="character" w:styleId="Csab6e076960">
    <w:name w:val="csab6e076960"/>
    <w:qFormat/>
    <w:rPr>
      <w:rFonts w:ascii="Arial" w:hAnsi="Arial" w:cs="Arial"/>
      <w:b w:val="false"/>
      <w:bCs w:val="false"/>
      <w:i w:val="false"/>
      <w:iCs w:val="false"/>
      <w:color w:val="000000"/>
      <w:sz w:val="18"/>
      <w:szCs w:val="18"/>
      <w:shd w:fill="auto" w:val="clear"/>
    </w:rPr>
  </w:style>
  <w:style w:type="character" w:styleId="Csafaf574163">
    <w:name w:val="csafaf574163"/>
    <w:qFormat/>
    <w:rPr>
      <w:rFonts w:ascii="Arial" w:hAnsi="Arial" w:cs="Arial"/>
      <w:b/>
      <w:bCs/>
      <w:i w:val="false"/>
      <w:iCs w:val="false"/>
      <w:color w:val="000000"/>
      <w:sz w:val="18"/>
      <w:szCs w:val="18"/>
      <w:shd w:fill="auto" w:val="clear"/>
    </w:rPr>
  </w:style>
  <w:style w:type="character" w:styleId="Csab6e076963">
    <w:name w:val="csab6e076963"/>
    <w:qFormat/>
    <w:rPr>
      <w:rFonts w:ascii="Arial" w:hAnsi="Arial" w:cs="Arial"/>
      <w:b w:val="false"/>
      <w:bCs w:val="false"/>
      <w:i w:val="false"/>
      <w:iCs w:val="false"/>
      <w:color w:val="000000"/>
      <w:sz w:val="18"/>
      <w:szCs w:val="18"/>
      <w:shd w:fill="auto" w:val="clear"/>
    </w:rPr>
  </w:style>
  <w:style w:type="character" w:styleId="Csafaf574164">
    <w:name w:val="csafaf574164"/>
    <w:qFormat/>
    <w:rPr>
      <w:rFonts w:ascii="Arial" w:hAnsi="Arial" w:cs="Arial"/>
      <w:b/>
      <w:bCs/>
      <w:i w:val="false"/>
      <w:iCs w:val="false"/>
      <w:color w:val="000000"/>
      <w:sz w:val="18"/>
      <w:szCs w:val="18"/>
      <w:shd w:fill="auto" w:val="clear"/>
    </w:rPr>
  </w:style>
  <w:style w:type="character" w:styleId="Csab6e076964">
    <w:name w:val="csab6e076964"/>
    <w:qFormat/>
    <w:rPr>
      <w:rFonts w:ascii="Arial" w:hAnsi="Arial" w:cs="Arial"/>
      <w:b w:val="false"/>
      <w:bCs w:val="false"/>
      <w:i w:val="false"/>
      <w:iCs w:val="false"/>
      <w:color w:val="000000"/>
      <w:sz w:val="18"/>
      <w:szCs w:val="18"/>
      <w:shd w:fill="auto" w:val="clear"/>
    </w:rPr>
  </w:style>
  <w:style w:type="character" w:styleId="Csafaf574165">
    <w:name w:val="csafaf574165"/>
    <w:qFormat/>
    <w:rPr>
      <w:rFonts w:ascii="Arial" w:hAnsi="Arial" w:cs="Arial"/>
      <w:b/>
      <w:bCs/>
      <w:i w:val="false"/>
      <w:iCs w:val="false"/>
      <w:color w:val="000000"/>
      <w:sz w:val="18"/>
      <w:szCs w:val="18"/>
      <w:shd w:fill="auto" w:val="clear"/>
    </w:rPr>
  </w:style>
  <w:style w:type="character" w:styleId="Csafaf574166">
    <w:name w:val="csafaf574166"/>
    <w:qFormat/>
    <w:rPr>
      <w:rFonts w:ascii="Arial" w:hAnsi="Arial" w:cs="Arial"/>
      <w:b/>
      <w:bCs/>
      <w:i w:val="false"/>
      <w:iCs w:val="false"/>
      <w:color w:val="000000"/>
      <w:sz w:val="18"/>
      <w:szCs w:val="18"/>
      <w:shd w:fill="auto" w:val="clear"/>
    </w:rPr>
  </w:style>
  <w:style w:type="character" w:styleId="Csab6e076966">
    <w:name w:val="csab6e076966"/>
    <w:qFormat/>
    <w:rPr>
      <w:rFonts w:ascii="Arial" w:hAnsi="Arial" w:cs="Arial"/>
      <w:b w:val="false"/>
      <w:bCs w:val="false"/>
      <w:i w:val="false"/>
      <w:iCs w:val="false"/>
      <w:color w:val="000000"/>
      <w:sz w:val="18"/>
      <w:szCs w:val="18"/>
      <w:shd w:fill="auto" w:val="clear"/>
    </w:rPr>
  </w:style>
  <w:style w:type="character" w:styleId="Csafaf574167">
    <w:name w:val="csafaf574167"/>
    <w:qFormat/>
    <w:rPr>
      <w:rFonts w:ascii="Arial" w:hAnsi="Arial" w:cs="Arial"/>
      <w:b/>
      <w:bCs/>
      <w:i w:val="false"/>
      <w:iCs w:val="false"/>
      <w:color w:val="000000"/>
      <w:sz w:val="18"/>
      <w:szCs w:val="18"/>
      <w:shd w:fill="auto" w:val="clear"/>
    </w:rPr>
  </w:style>
  <w:style w:type="character" w:styleId="Csab6e076967">
    <w:name w:val="csab6e076967"/>
    <w:qFormat/>
    <w:rPr>
      <w:rFonts w:ascii="Arial" w:hAnsi="Arial" w:cs="Arial"/>
      <w:b w:val="false"/>
      <w:bCs w:val="false"/>
      <w:i w:val="false"/>
      <w:iCs w:val="false"/>
      <w:color w:val="000000"/>
      <w:sz w:val="18"/>
      <w:szCs w:val="18"/>
      <w:shd w:fill="auto" w:val="clear"/>
    </w:rPr>
  </w:style>
  <w:style w:type="character" w:styleId="Csafaf574168">
    <w:name w:val="csafaf574168"/>
    <w:qFormat/>
    <w:rPr>
      <w:rFonts w:ascii="Arial" w:hAnsi="Arial" w:cs="Arial"/>
      <w:b/>
      <w:bCs/>
      <w:i w:val="false"/>
      <w:iCs w:val="false"/>
      <w:color w:val="000000"/>
      <w:sz w:val="18"/>
      <w:szCs w:val="18"/>
      <w:shd w:fill="auto" w:val="clear"/>
    </w:rPr>
  </w:style>
  <w:style w:type="character" w:styleId="Csab6e076968">
    <w:name w:val="csab6e076968"/>
    <w:qFormat/>
    <w:rPr>
      <w:rFonts w:ascii="Arial" w:hAnsi="Arial" w:cs="Arial"/>
      <w:b w:val="false"/>
      <w:bCs w:val="false"/>
      <w:i w:val="false"/>
      <w:iCs w:val="false"/>
      <w:color w:val="000000"/>
      <w:sz w:val="18"/>
      <w:szCs w:val="18"/>
      <w:shd w:fill="auto" w:val="clear"/>
    </w:rPr>
  </w:style>
  <w:style w:type="character" w:styleId="Csafaf574169">
    <w:name w:val="csafaf574169"/>
    <w:qFormat/>
    <w:rPr>
      <w:rFonts w:ascii="Arial" w:hAnsi="Arial" w:cs="Arial"/>
      <w:b/>
      <w:bCs/>
      <w:i w:val="false"/>
      <w:iCs w:val="false"/>
      <w:color w:val="000000"/>
      <w:sz w:val="18"/>
      <w:szCs w:val="18"/>
      <w:shd w:fill="auto" w:val="clear"/>
    </w:rPr>
  </w:style>
  <w:style w:type="character" w:styleId="Csab6e076969">
    <w:name w:val="csab6e076969"/>
    <w:qFormat/>
    <w:rPr>
      <w:rFonts w:ascii="Arial" w:hAnsi="Arial" w:cs="Arial"/>
      <w:b w:val="false"/>
      <w:bCs w:val="false"/>
      <w:i w:val="false"/>
      <w:iCs w:val="false"/>
      <w:color w:val="000000"/>
      <w:sz w:val="18"/>
      <w:szCs w:val="18"/>
      <w:shd w:fill="auto" w:val="clear"/>
    </w:rPr>
  </w:style>
  <w:style w:type="character" w:styleId="Csafaf574170">
    <w:name w:val="csafaf574170"/>
    <w:qFormat/>
    <w:rPr>
      <w:rFonts w:ascii="Arial" w:hAnsi="Arial" w:cs="Arial"/>
      <w:b/>
      <w:bCs/>
      <w:i w:val="false"/>
      <w:iCs w:val="false"/>
      <w:color w:val="000000"/>
      <w:sz w:val="18"/>
      <w:szCs w:val="18"/>
      <w:shd w:fill="auto" w:val="clear"/>
    </w:rPr>
  </w:style>
  <w:style w:type="character" w:styleId="Csafaf574171">
    <w:name w:val="csafaf574171"/>
    <w:qFormat/>
    <w:rPr>
      <w:rFonts w:ascii="Arial" w:hAnsi="Arial" w:cs="Arial"/>
      <w:b/>
      <w:bCs/>
      <w:i w:val="false"/>
      <w:iCs w:val="false"/>
      <w:color w:val="000000"/>
      <w:sz w:val="18"/>
      <w:szCs w:val="18"/>
      <w:shd w:fill="auto" w:val="clear"/>
    </w:rPr>
  </w:style>
  <w:style w:type="character" w:styleId="Csab6e076971">
    <w:name w:val="csab6e076971"/>
    <w:qFormat/>
    <w:rPr>
      <w:rFonts w:ascii="Arial" w:hAnsi="Arial" w:cs="Arial"/>
      <w:b w:val="false"/>
      <w:bCs w:val="false"/>
      <w:i w:val="false"/>
      <w:iCs w:val="false"/>
      <w:color w:val="000000"/>
      <w:sz w:val="18"/>
      <w:szCs w:val="18"/>
      <w:shd w:fill="auto" w:val="clear"/>
    </w:rPr>
  </w:style>
  <w:style w:type="character" w:styleId="Csafaf574172">
    <w:name w:val="csafaf574172"/>
    <w:qFormat/>
    <w:rPr>
      <w:rFonts w:ascii="Arial" w:hAnsi="Arial" w:cs="Arial"/>
      <w:b/>
      <w:bCs/>
      <w:i w:val="false"/>
      <w:iCs w:val="false"/>
      <w:color w:val="000000"/>
      <w:sz w:val="18"/>
      <w:szCs w:val="18"/>
      <w:shd w:fill="auto" w:val="clear"/>
    </w:rPr>
  </w:style>
  <w:style w:type="character" w:styleId="Csab6e076972">
    <w:name w:val="csab6e076972"/>
    <w:qFormat/>
    <w:rPr>
      <w:rFonts w:ascii="Arial" w:hAnsi="Arial" w:cs="Arial"/>
      <w:b w:val="false"/>
      <w:bCs w:val="false"/>
      <w:i w:val="false"/>
      <w:iCs w:val="false"/>
      <w:color w:val="000000"/>
      <w:sz w:val="18"/>
      <w:szCs w:val="18"/>
      <w:shd w:fill="auto" w:val="clear"/>
    </w:rPr>
  </w:style>
  <w:style w:type="character" w:styleId="Csafaf574173">
    <w:name w:val="csafaf574173"/>
    <w:qFormat/>
    <w:rPr>
      <w:rFonts w:ascii="Arial" w:hAnsi="Arial" w:cs="Arial"/>
      <w:b/>
      <w:bCs/>
      <w:i w:val="false"/>
      <w:iCs w:val="false"/>
      <w:color w:val="000000"/>
      <w:sz w:val="18"/>
      <w:szCs w:val="18"/>
      <w:shd w:fill="auto" w:val="clear"/>
    </w:rPr>
  </w:style>
  <w:style w:type="character" w:styleId="Csab6e076973">
    <w:name w:val="csab6e076973"/>
    <w:qFormat/>
    <w:rPr>
      <w:rFonts w:ascii="Arial" w:hAnsi="Arial" w:cs="Arial"/>
      <w:b w:val="false"/>
      <w:bCs w:val="false"/>
      <w:i w:val="false"/>
      <w:iCs w:val="false"/>
      <w:color w:val="000000"/>
      <w:sz w:val="18"/>
      <w:szCs w:val="18"/>
      <w:shd w:fill="auto" w:val="clear"/>
    </w:rPr>
  </w:style>
  <w:style w:type="character" w:styleId="Csafaf574174">
    <w:name w:val="csafaf574174"/>
    <w:qFormat/>
    <w:rPr>
      <w:rFonts w:ascii="Arial" w:hAnsi="Arial" w:cs="Arial"/>
      <w:b/>
      <w:bCs/>
      <w:i w:val="false"/>
      <w:iCs w:val="false"/>
      <w:color w:val="000000"/>
      <w:sz w:val="18"/>
      <w:szCs w:val="18"/>
      <w:shd w:fill="auto" w:val="clear"/>
    </w:rPr>
  </w:style>
  <w:style w:type="character" w:styleId="Csab6e076974">
    <w:name w:val="csab6e076974"/>
    <w:qFormat/>
    <w:rPr>
      <w:rFonts w:ascii="Arial" w:hAnsi="Arial" w:cs="Arial"/>
      <w:b w:val="false"/>
      <w:bCs w:val="false"/>
      <w:i w:val="false"/>
      <w:iCs w:val="false"/>
      <w:color w:val="000000"/>
      <w:sz w:val="18"/>
      <w:szCs w:val="18"/>
      <w:shd w:fill="auto" w:val="clear"/>
    </w:rPr>
  </w:style>
  <w:style w:type="character" w:styleId="Csafaf574175">
    <w:name w:val="csafaf574175"/>
    <w:qFormat/>
    <w:rPr>
      <w:rFonts w:ascii="Arial" w:hAnsi="Arial" w:cs="Arial"/>
      <w:b/>
      <w:bCs/>
      <w:i w:val="false"/>
      <w:iCs w:val="false"/>
      <w:color w:val="000000"/>
      <w:sz w:val="18"/>
      <w:szCs w:val="18"/>
      <w:shd w:fill="auto" w:val="clear"/>
    </w:rPr>
  </w:style>
  <w:style w:type="character" w:styleId="Csafaf574176">
    <w:name w:val="csafaf574176"/>
    <w:qFormat/>
    <w:rPr>
      <w:rFonts w:ascii="Arial" w:hAnsi="Arial" w:cs="Arial"/>
      <w:b/>
      <w:bCs/>
      <w:i w:val="false"/>
      <w:iCs w:val="false"/>
      <w:color w:val="000000"/>
      <w:sz w:val="18"/>
      <w:szCs w:val="18"/>
      <w:shd w:fill="auto" w:val="clear"/>
    </w:rPr>
  </w:style>
  <w:style w:type="character" w:styleId="Csafaf574177">
    <w:name w:val="csafaf574177"/>
    <w:qFormat/>
    <w:rPr>
      <w:rFonts w:ascii="Arial" w:hAnsi="Arial" w:cs="Arial"/>
      <w:b/>
      <w:bCs/>
      <w:i w:val="false"/>
      <w:iCs w:val="false"/>
      <w:color w:val="000000"/>
      <w:sz w:val="18"/>
      <w:szCs w:val="18"/>
      <w:shd w:fill="auto" w:val="clear"/>
    </w:rPr>
  </w:style>
  <w:style w:type="character" w:styleId="Cs9ff1b61169">
    <w:name w:val="cs9ff1b61169"/>
    <w:qFormat/>
    <w:rPr>
      <w:rFonts w:ascii="Arial" w:hAnsi="Arial" w:cs="Arial"/>
      <w:b w:val="false"/>
      <w:bCs w:val="false"/>
      <w:i w:val="false"/>
      <w:iCs w:val="false"/>
      <w:color w:val="000000"/>
      <w:sz w:val="18"/>
      <w:szCs w:val="18"/>
      <w:shd w:fill="auto" w:val="clear"/>
    </w:rPr>
  </w:style>
  <w:style w:type="character" w:styleId="Csa16174ba1">
    <w:name w:val="csa16174ba1"/>
    <w:qFormat/>
    <w:rPr>
      <w:rFonts w:ascii="Arial" w:hAnsi="Arial" w:cs="Arial"/>
      <w:b w:val="false"/>
      <w:bCs w:val="false"/>
      <w:i w:val="false"/>
      <w:iCs w:val="false"/>
      <w:color w:val="000000"/>
      <w:sz w:val="20"/>
      <w:szCs w:val="20"/>
      <w:shd w:fill="auto" w:val="clear"/>
    </w:rPr>
  </w:style>
  <w:style w:type="character" w:styleId="Csafaf574161">
    <w:name w:val="csafaf574161"/>
    <w:qFormat/>
    <w:rPr>
      <w:rFonts w:ascii="Arial" w:hAnsi="Arial" w:cs="Arial"/>
      <w:b/>
      <w:bCs/>
      <w:i w:val="false"/>
      <w:iCs w:val="false"/>
      <w:color w:val="000000"/>
      <w:sz w:val="18"/>
      <w:szCs w:val="18"/>
      <w:shd w:fill="auto" w:val="clear"/>
    </w:rPr>
  </w:style>
  <w:style w:type="character" w:styleId="Csafaf574162">
    <w:name w:val="csafaf574162"/>
    <w:qFormat/>
    <w:rPr>
      <w:rFonts w:ascii="Arial" w:hAnsi="Arial" w:cs="Arial"/>
      <w:b/>
      <w:bCs/>
      <w:i w:val="false"/>
      <w:iCs w:val="false"/>
      <w:color w:val="000000"/>
      <w:sz w:val="18"/>
      <w:szCs w:val="18"/>
      <w:shd w:fill="auto" w:val="clear"/>
    </w:rPr>
  </w:style>
  <w:style w:type="character" w:styleId="Csab6e076962">
    <w:name w:val="csab6e076962"/>
    <w:qFormat/>
    <w:rPr>
      <w:rFonts w:ascii="Arial" w:hAnsi="Arial" w:cs="Arial"/>
      <w:b w:val="false"/>
      <w:bCs w:val="false"/>
      <w:i w:val="false"/>
      <w:iCs w:val="false"/>
      <w:color w:val="000000"/>
      <w:sz w:val="18"/>
      <w:szCs w:val="18"/>
      <w:shd w:fill="auto" w:val="clear"/>
    </w:rPr>
  </w:style>
  <w:style w:type="character" w:styleId="Cs9ff1b61133">
    <w:name w:val="cs9ff1b61133"/>
    <w:qFormat/>
    <w:rPr>
      <w:rFonts w:ascii="Arial" w:hAnsi="Arial" w:cs="Arial"/>
      <w:b w:val="false"/>
      <w:bCs w:val="false"/>
      <w:i w:val="false"/>
      <w:iCs w:val="false"/>
      <w:color w:val="000000"/>
      <w:sz w:val="18"/>
      <w:szCs w:val="18"/>
      <w:shd w:fill="auto" w:val="clear"/>
    </w:rPr>
  </w:style>
  <w:style w:type="character" w:styleId="Csccf5e31629">
    <w:name w:val="csccf5e31629"/>
    <w:qFormat/>
    <w:rPr>
      <w:rFonts w:ascii="Arial" w:hAnsi="Arial" w:cs="Arial"/>
      <w:b/>
      <w:bCs/>
      <w:i w:val="false"/>
      <w:iCs w:val="false"/>
      <w:color w:val="000000"/>
      <w:sz w:val="18"/>
      <w:szCs w:val="18"/>
      <w:shd w:fill="auto" w:val="clear"/>
    </w:rPr>
  </w:style>
  <w:style w:type="character" w:styleId="Cs9ff1b61129">
    <w:name w:val="cs9ff1b61129"/>
    <w:qFormat/>
    <w:rPr>
      <w:rFonts w:ascii="Arial" w:hAnsi="Arial" w:cs="Arial"/>
      <w:b w:val="false"/>
      <w:bCs w:val="false"/>
      <w:i w:val="false"/>
      <w:iCs w:val="false"/>
      <w:color w:val="000000"/>
      <w:sz w:val="18"/>
      <w:szCs w:val="18"/>
      <w:shd w:fill="auto" w:val="clear"/>
    </w:rPr>
  </w:style>
  <w:style w:type="character" w:styleId="Cs9ff1b61117">
    <w:name w:val="cs9ff1b61117"/>
    <w:qFormat/>
    <w:rPr>
      <w:rFonts w:ascii="Arial" w:hAnsi="Arial" w:cs="Arial"/>
      <w:b w:val="false"/>
      <w:bCs w:val="false"/>
      <w:i w:val="false"/>
      <w:iCs w:val="false"/>
      <w:color w:val="000000"/>
      <w:sz w:val="18"/>
      <w:szCs w:val="18"/>
      <w:shd w:fill="auto" w:val="clear"/>
    </w:rPr>
  </w:style>
  <w:style w:type="character" w:styleId="Csccf5e31631">
    <w:name w:val="csccf5e31631"/>
    <w:qFormat/>
    <w:rPr>
      <w:rFonts w:ascii="Arial" w:hAnsi="Arial" w:cs="Arial"/>
      <w:b/>
      <w:bCs/>
      <w:i w:val="false"/>
      <w:iCs w:val="false"/>
      <w:color w:val="000000"/>
      <w:sz w:val="18"/>
      <w:szCs w:val="18"/>
      <w:shd w:fill="auto" w:val="clear"/>
    </w:rPr>
  </w:style>
  <w:style w:type="character" w:styleId="Cs9ff1b61131">
    <w:name w:val="cs9ff1b61131"/>
    <w:qFormat/>
    <w:rPr>
      <w:rFonts w:ascii="Arial" w:hAnsi="Arial" w:cs="Arial"/>
      <w:b w:val="false"/>
      <w:bCs w:val="false"/>
      <w:i w:val="false"/>
      <w:iCs w:val="false"/>
      <w:color w:val="000000"/>
      <w:sz w:val="18"/>
      <w:szCs w:val="18"/>
      <w:shd w:fill="auto" w:val="clear"/>
    </w:rPr>
  </w:style>
  <w:style w:type="paragraph" w:styleId="Heading">
    <w:name w:val="Heading"/>
    <w:basedOn w:val="Normal"/>
    <w:next w:val="TextBody"/>
    <w:qFormat/>
    <w:pPr/>
    <w:rPr>
      <w:sz w:val="24"/>
      <w:szCs w:val="24"/>
      <w:lang w:val="en-US"/>
    </w:rPr>
  </w:style>
  <w:style w:type="paragraph" w:styleId="TextBody">
    <w:name w:val="Body Text"/>
    <w:basedOn w:val="Normal"/>
    <w:pPr>
      <w:spacing w:lineRule="auto" w:line="288"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TML1">
    <w:name w:val="Стандартный HTML"/>
    <w:basedOn w:val="Normal"/>
    <w:qFormat/>
    <w:pPr/>
    <w:rPr>
      <w:rFonts w:ascii="Courier New" w:hAnsi="Courier New" w:cs="Courier New"/>
      <w:color w:val="000000"/>
      <w:sz w:val="21"/>
      <w:szCs w:val="21"/>
    </w:rPr>
  </w:style>
  <w:style w:type="paragraph" w:styleId="33">
    <w:name w:val="Основной текст с отступом 3"/>
    <w:basedOn w:val="Normal"/>
    <w:qFormat/>
    <w:pPr>
      <w:spacing w:before="0" w:after="120"/>
      <w:ind w:left="283" w:hanging="0"/>
    </w:pPr>
    <w:rPr>
      <w:sz w:val="16"/>
      <w:szCs w:val="16"/>
    </w:rPr>
  </w:style>
  <w:style w:type="paragraph" w:styleId="Header">
    <w:name w:val="Header"/>
    <w:basedOn w:val="Normal"/>
    <w:pPr/>
    <w:rPr/>
  </w:style>
  <w:style w:type="paragraph" w:styleId="Footer">
    <w:name w:val="Footer"/>
    <w:basedOn w:val="Normal"/>
    <w:pPr/>
    <w:rPr/>
  </w:style>
  <w:style w:type="paragraph" w:styleId="11">
    <w:name w:val="Обычный1"/>
    <w:basedOn w:val="Normal"/>
    <w:qFormat/>
    <w:pPr/>
    <w:rPr>
      <w:rFonts w:eastAsia="Times New Roman"/>
      <w:sz w:val="24"/>
      <w:szCs w:val="24"/>
      <w:lang w:val="uk-UA"/>
    </w:rPr>
  </w:style>
  <w:style w:type="paragraph" w:styleId="111">
    <w:name w:val="Обычный11"/>
    <w:basedOn w:val="Normal"/>
    <w:qFormat/>
    <w:pPr/>
    <w:rPr>
      <w:rFonts w:eastAsia="Times New Roman"/>
      <w:sz w:val="24"/>
      <w:szCs w:val="24"/>
      <w:lang w:val="uk-UA"/>
    </w:rPr>
  </w:style>
  <w:style w:type="paragraph" w:styleId="Msolistparagraph">
    <w:name w:val="msolistparagraph"/>
    <w:basedOn w:val="Normal"/>
    <w:qFormat/>
    <w:pPr>
      <w:spacing w:before="0" w:after="0"/>
      <w:ind w:left="720" w:hanging="0"/>
      <w:contextualSpacing/>
    </w:pPr>
    <w:rPr>
      <w:rFonts w:eastAsia="Times New Roman"/>
      <w:sz w:val="24"/>
      <w:szCs w:val="24"/>
      <w:lang w:val="uk-UA"/>
    </w:rPr>
  </w:style>
  <w:style w:type="paragraph" w:styleId="Encryption">
    <w:name w:val="Encryption"/>
    <w:basedOn w:val="Normal"/>
    <w:qFormat/>
    <w:pPr>
      <w:jc w:val="both"/>
    </w:pPr>
    <w:rPr>
      <w:rFonts w:eastAsia="Times New Roman"/>
      <w:b/>
      <w:bCs/>
      <w:i/>
      <w:iCs/>
      <w:sz w:val="24"/>
      <w:szCs w:val="24"/>
      <w:lang w:val="uk-UA"/>
    </w:rPr>
  </w:style>
  <w:style w:type="paragraph" w:styleId="211">
    <w:name w:val="Заголовок 21"/>
    <w:basedOn w:val="Normal"/>
    <w:qFormat/>
    <w:pPr/>
    <w:rPr>
      <w:rFonts w:ascii="Arial" w:hAnsi="Arial" w:eastAsia="Times New Roman" w:cs="Arial"/>
      <w:b/>
      <w:caps/>
      <w:sz w:val="16"/>
    </w:rPr>
  </w:style>
  <w:style w:type="paragraph" w:styleId="411">
    <w:name w:val="Заголовок 41"/>
    <w:basedOn w:val="Normal"/>
    <w:qFormat/>
    <w:pPr/>
    <w:rPr>
      <w:rFonts w:ascii="Arial" w:hAnsi="Arial" w:eastAsia="Times New Roman" w:cs="Arial"/>
      <w:b/>
    </w:rPr>
  </w:style>
  <w:style w:type="paragraph" w:styleId="Style23">
    <w:name w:val="Текст выноски"/>
    <w:basedOn w:val="Normal"/>
    <w:qFormat/>
    <w:pPr/>
    <w:rPr>
      <w:rFonts w:ascii="Tahoma" w:hAnsi="Tahoma" w:eastAsia="Times New Roman" w:cs="Tahoma"/>
      <w:sz w:val="16"/>
      <w:szCs w:val="16"/>
    </w:rPr>
  </w:style>
  <w:style w:type="paragraph" w:styleId="BodyTextIndent2">
    <w:name w:val="Body Text Indent2"/>
    <w:basedOn w:val="Normal"/>
    <w:qFormat/>
    <w:pPr>
      <w:jc w:val="center"/>
    </w:pPr>
    <w:rPr>
      <w:rFonts w:ascii="Arial" w:hAnsi="Arial" w:eastAsia="Times New Roman" w:cs="Arial"/>
      <w:b/>
      <w:i/>
      <w:sz w:val="18"/>
      <w:lang w:val="uk-UA"/>
    </w:rPr>
  </w:style>
  <w:style w:type="paragraph" w:styleId="12">
    <w:name w:val="Основной текст с отступом1"/>
    <w:basedOn w:val="Normal"/>
    <w:qFormat/>
    <w:pPr>
      <w:spacing w:before="120" w:after="120"/>
    </w:pPr>
    <w:rPr>
      <w:rFonts w:ascii="Arial" w:hAnsi="Arial" w:eastAsia="Times New Roman" w:cs="Arial"/>
      <w:sz w:val="18"/>
    </w:rPr>
  </w:style>
  <w:style w:type="paragraph" w:styleId="Cs95e872d0">
    <w:name w:val="cs95e872d0"/>
    <w:basedOn w:val="Normal"/>
    <w:qFormat/>
    <w:pPr/>
    <w:rPr>
      <w:rFonts w:eastAsia="Times New Roman"/>
      <w:sz w:val="24"/>
      <w:szCs w:val="24"/>
    </w:rPr>
  </w:style>
  <w:style w:type="paragraph" w:styleId="TextBodyIndent">
    <w:name w:val="Body Text Indent"/>
    <w:basedOn w:val="Normal"/>
    <w:pPr>
      <w:spacing w:before="0" w:after="120"/>
      <w:ind w:left="283" w:hanging="0"/>
    </w:pPr>
    <w:rPr>
      <w:rFonts w:eastAsia="Times New Roman"/>
      <w:sz w:val="24"/>
      <w:szCs w:val="24"/>
    </w:rPr>
  </w:style>
  <w:style w:type="paragraph" w:styleId="34">
    <w:name w:val="Основной текст 3"/>
    <w:basedOn w:val="Normal"/>
    <w:qFormat/>
    <w:pPr>
      <w:spacing w:before="0" w:after="120"/>
    </w:pPr>
    <w:rPr>
      <w:rFonts w:eastAsia="Times New Roman"/>
      <w:sz w:val="16"/>
      <w:szCs w:val="16"/>
      <w:lang w:val="uk-UA"/>
    </w:rPr>
  </w:style>
  <w:style w:type="paragraph" w:styleId="24">
    <w:name w:val="Основной текст с отступом2"/>
    <w:basedOn w:val="Normal"/>
    <w:qFormat/>
    <w:pPr>
      <w:ind w:firstLine="708"/>
      <w:jc w:val="both"/>
    </w:pPr>
    <w:rPr>
      <w:rFonts w:ascii="Arial" w:hAnsi="Arial" w:eastAsia="Times New Roman" w:cs="Arial"/>
      <w:b/>
      <w:sz w:val="18"/>
      <w:lang w:val="uk-UA"/>
    </w:rPr>
  </w:style>
  <w:style w:type="paragraph" w:styleId="35">
    <w:name w:val="Основной текст с отступом3"/>
    <w:basedOn w:val="Normal"/>
    <w:qFormat/>
    <w:pPr>
      <w:ind w:firstLine="708"/>
      <w:jc w:val="both"/>
    </w:pPr>
    <w:rPr>
      <w:rFonts w:ascii="Arial" w:hAnsi="Arial" w:eastAsia="Times New Roman" w:cs="Arial"/>
      <w:b/>
      <w:sz w:val="18"/>
      <w:lang w:val="uk-UA"/>
    </w:rPr>
  </w:style>
  <w:style w:type="paragraph" w:styleId="42">
    <w:name w:val="Основной текст с отступом4"/>
    <w:basedOn w:val="Normal"/>
    <w:qFormat/>
    <w:pPr>
      <w:ind w:firstLine="708"/>
      <w:jc w:val="both"/>
    </w:pPr>
    <w:rPr>
      <w:rFonts w:ascii="Arial" w:hAnsi="Arial" w:eastAsia="Times New Roman" w:cs="Arial"/>
      <w:b/>
      <w:sz w:val="18"/>
      <w:lang w:val="uk-UA"/>
    </w:rPr>
  </w:style>
  <w:style w:type="paragraph" w:styleId="5">
    <w:name w:val="Основной текст с отступом5"/>
    <w:basedOn w:val="Normal"/>
    <w:qFormat/>
    <w:pPr>
      <w:ind w:firstLine="708"/>
      <w:jc w:val="both"/>
    </w:pPr>
    <w:rPr>
      <w:rFonts w:ascii="Arial" w:hAnsi="Arial" w:eastAsia="Times New Roman" w:cs="Arial"/>
      <w:b/>
      <w:sz w:val="18"/>
      <w:lang w:val="uk-UA"/>
    </w:rPr>
  </w:style>
  <w:style w:type="paragraph" w:styleId="Cse71256d6">
    <w:name w:val="cse71256d6"/>
    <w:basedOn w:val="Normal"/>
    <w:qFormat/>
    <w:pPr>
      <w:ind w:left="1440" w:hanging="0"/>
    </w:pPr>
    <w:rPr>
      <w:rFonts w:eastAsia="Times New Roman"/>
      <w:sz w:val="24"/>
      <w:szCs w:val="24"/>
      <w:lang w:val="uk-UA"/>
    </w:rPr>
  </w:style>
  <w:style w:type="paragraph" w:styleId="61">
    <w:name w:val="Основной текст с отступом6"/>
    <w:basedOn w:val="Normal"/>
    <w:qFormat/>
    <w:pPr>
      <w:ind w:firstLine="708"/>
      <w:jc w:val="both"/>
    </w:pPr>
    <w:rPr>
      <w:rFonts w:ascii="Arial" w:hAnsi="Arial" w:eastAsia="Times New Roman" w:cs="Arial"/>
      <w:b/>
      <w:sz w:val="18"/>
      <w:lang w:val="uk-UA"/>
    </w:rPr>
  </w:style>
  <w:style w:type="paragraph" w:styleId="7">
    <w:name w:val="Основной текст с отступом7"/>
    <w:basedOn w:val="Normal"/>
    <w:qFormat/>
    <w:pPr>
      <w:ind w:firstLine="708"/>
      <w:jc w:val="both"/>
    </w:pPr>
    <w:rPr>
      <w:rFonts w:ascii="Arial" w:hAnsi="Arial" w:eastAsia="Times New Roman" w:cs="Arial"/>
      <w:b/>
      <w:sz w:val="18"/>
      <w:lang w:val="uk-UA"/>
    </w:rPr>
  </w:style>
  <w:style w:type="paragraph" w:styleId="8">
    <w:name w:val="Основной текст с отступом8"/>
    <w:basedOn w:val="Normal"/>
    <w:qFormat/>
    <w:pPr>
      <w:ind w:firstLine="708"/>
      <w:jc w:val="both"/>
    </w:pPr>
    <w:rPr>
      <w:rFonts w:ascii="Arial" w:hAnsi="Arial" w:eastAsia="Times New Roman" w:cs="Arial"/>
      <w:b/>
      <w:sz w:val="18"/>
      <w:lang w:val="uk-UA"/>
    </w:rPr>
  </w:style>
  <w:style w:type="paragraph" w:styleId="9">
    <w:name w:val="Основной текст с отступом9"/>
    <w:basedOn w:val="Normal"/>
    <w:qFormat/>
    <w:pPr>
      <w:ind w:firstLine="708"/>
      <w:jc w:val="both"/>
    </w:pPr>
    <w:rPr>
      <w:rFonts w:ascii="Arial" w:hAnsi="Arial" w:eastAsia="Times New Roman" w:cs="Arial"/>
      <w:b/>
      <w:sz w:val="18"/>
      <w:lang w:val="uk-UA"/>
    </w:rPr>
  </w:style>
  <w:style w:type="paragraph" w:styleId="112">
    <w:name w:val="Основной текст с отступом11"/>
    <w:basedOn w:val="Normal"/>
    <w:qFormat/>
    <w:pPr>
      <w:ind w:firstLine="708"/>
      <w:jc w:val="both"/>
    </w:pPr>
    <w:rPr>
      <w:rFonts w:ascii="Arial" w:hAnsi="Arial" w:eastAsia="Times New Roman" w:cs="Arial"/>
      <w:b/>
      <w:sz w:val="18"/>
      <w:lang w:val="uk-UA"/>
    </w:rPr>
  </w:style>
  <w:style w:type="paragraph" w:styleId="10">
    <w:name w:val="Основной текст с отступом10"/>
    <w:basedOn w:val="Normal"/>
    <w:qFormat/>
    <w:pPr>
      <w:ind w:firstLine="708"/>
      <w:jc w:val="both"/>
    </w:pPr>
    <w:rPr>
      <w:rFonts w:ascii="Arial" w:hAnsi="Arial" w:eastAsia="Times New Roman" w:cs="Arial"/>
      <w:b/>
      <w:sz w:val="18"/>
      <w:lang w:val="uk-UA"/>
    </w:rPr>
  </w:style>
  <w:style w:type="paragraph" w:styleId="110">
    <w:name w:val="Основной текст с отступом110"/>
    <w:basedOn w:val="Normal"/>
    <w:qFormat/>
    <w:pPr>
      <w:ind w:firstLine="708"/>
      <w:jc w:val="both"/>
    </w:pPr>
    <w:rPr>
      <w:rFonts w:ascii="Arial" w:hAnsi="Arial" w:eastAsia="Times New Roman" w:cs="Arial"/>
      <w:b/>
      <w:sz w:val="18"/>
      <w:szCs w:val="22"/>
      <w:lang w:val="uk-UA"/>
    </w:rPr>
  </w:style>
  <w:style w:type="paragraph" w:styleId="121">
    <w:name w:val="Основной текст с отступом12"/>
    <w:basedOn w:val="Normal"/>
    <w:qFormat/>
    <w:pPr>
      <w:ind w:firstLine="708"/>
      <w:jc w:val="both"/>
    </w:pPr>
    <w:rPr>
      <w:rFonts w:ascii="Arial" w:hAnsi="Arial" w:eastAsia="Times New Roman" w:cs="Arial"/>
      <w:b/>
      <w:sz w:val="18"/>
      <w:lang w:val="uk-UA"/>
    </w:rPr>
  </w:style>
  <w:style w:type="paragraph" w:styleId="13">
    <w:name w:val="Основной текст с отступом13"/>
    <w:basedOn w:val="Normal"/>
    <w:qFormat/>
    <w:pPr>
      <w:ind w:firstLine="708"/>
      <w:jc w:val="both"/>
    </w:pPr>
    <w:rPr>
      <w:rFonts w:ascii="Arial" w:hAnsi="Arial" w:eastAsia="Times New Roman" w:cs="Arial"/>
      <w:b/>
      <w:sz w:val="18"/>
      <w:lang w:val="uk-UA"/>
    </w:rPr>
  </w:style>
  <w:style w:type="paragraph" w:styleId="141">
    <w:name w:val="Основной текст с отступом14"/>
    <w:basedOn w:val="Normal"/>
    <w:qFormat/>
    <w:pPr>
      <w:ind w:firstLine="708"/>
      <w:jc w:val="both"/>
    </w:pPr>
    <w:rPr>
      <w:rFonts w:ascii="Arial" w:hAnsi="Arial" w:eastAsia="Times New Roman" w:cs="Arial"/>
      <w:b/>
      <w:sz w:val="18"/>
      <w:lang w:val="uk-UA"/>
    </w:rPr>
  </w:style>
  <w:style w:type="paragraph" w:styleId="15">
    <w:name w:val="Основной текст с отступом15"/>
    <w:basedOn w:val="Normal"/>
    <w:qFormat/>
    <w:pPr>
      <w:ind w:firstLine="708"/>
      <w:jc w:val="both"/>
    </w:pPr>
    <w:rPr>
      <w:rFonts w:ascii="Arial" w:hAnsi="Arial" w:eastAsia="Times New Roman" w:cs="Arial"/>
      <w:b/>
      <w:sz w:val="18"/>
      <w:lang w:val="uk-UA"/>
    </w:rPr>
  </w:style>
  <w:style w:type="paragraph" w:styleId="16">
    <w:name w:val="Основной текст с отступом16"/>
    <w:basedOn w:val="Normal"/>
    <w:qFormat/>
    <w:pPr>
      <w:ind w:firstLine="708"/>
      <w:jc w:val="both"/>
    </w:pPr>
    <w:rPr>
      <w:rFonts w:ascii="Arial" w:hAnsi="Arial" w:eastAsia="Times New Roman" w:cs="Arial"/>
      <w:b/>
      <w:sz w:val="18"/>
      <w:lang w:val="uk-UA"/>
    </w:rPr>
  </w:style>
  <w:style w:type="paragraph" w:styleId="17">
    <w:name w:val="Основной текст с отступом17"/>
    <w:basedOn w:val="Normal"/>
    <w:qFormat/>
    <w:pPr>
      <w:ind w:firstLine="708"/>
      <w:jc w:val="both"/>
    </w:pPr>
    <w:rPr>
      <w:rFonts w:ascii="Arial" w:hAnsi="Arial" w:eastAsia="Times New Roman" w:cs="Arial"/>
      <w:b/>
      <w:sz w:val="18"/>
      <w:lang w:val="uk-UA"/>
    </w:rPr>
  </w:style>
  <w:style w:type="paragraph" w:styleId="18">
    <w:name w:val="Основной текст с отступом18"/>
    <w:basedOn w:val="Normal"/>
    <w:qFormat/>
    <w:pPr>
      <w:ind w:firstLine="708"/>
      <w:jc w:val="both"/>
    </w:pPr>
    <w:rPr>
      <w:rFonts w:ascii="Arial" w:hAnsi="Arial" w:eastAsia="Times New Roman" w:cs="Arial"/>
      <w:b/>
      <w:sz w:val="18"/>
      <w:lang w:val="uk-UA"/>
    </w:rPr>
  </w:style>
  <w:style w:type="paragraph" w:styleId="19">
    <w:name w:val="Основной текст с отступом19"/>
    <w:basedOn w:val="Normal"/>
    <w:qFormat/>
    <w:pPr>
      <w:ind w:firstLine="708"/>
      <w:jc w:val="both"/>
    </w:pPr>
    <w:rPr>
      <w:rFonts w:ascii="Arial" w:hAnsi="Arial" w:eastAsia="Times New Roman" w:cs="Arial"/>
      <w:b/>
      <w:sz w:val="18"/>
      <w:lang w:val="uk-UA"/>
    </w:rPr>
  </w:style>
  <w:style w:type="paragraph" w:styleId="20">
    <w:name w:val="Основной текст с отступом20"/>
    <w:basedOn w:val="Normal"/>
    <w:qFormat/>
    <w:pPr>
      <w:ind w:firstLine="708"/>
      <w:jc w:val="both"/>
    </w:pPr>
    <w:rPr>
      <w:rFonts w:ascii="Arial" w:hAnsi="Arial" w:eastAsia="Times New Roman" w:cs="Arial"/>
      <w:b/>
      <w:sz w:val="18"/>
      <w:lang w:val="uk-UA"/>
    </w:rPr>
  </w:style>
  <w:style w:type="paragraph" w:styleId="Cs80d9435b">
    <w:name w:val="cs80d9435b"/>
    <w:basedOn w:val="Normal"/>
    <w:qFormat/>
    <w:pPr>
      <w:jc w:val="both"/>
    </w:pPr>
    <w:rPr>
      <w:rFonts w:ascii="Arial" w:hAnsi="Arial" w:eastAsia="Times New Roman" w:cs="Arial"/>
      <w:sz w:val="24"/>
      <w:szCs w:val="24"/>
      <w:lang w:val="uk-UA"/>
    </w:rPr>
  </w:style>
  <w:style w:type="paragraph" w:styleId="212">
    <w:name w:val="Основной текст с отступом21"/>
    <w:basedOn w:val="Normal"/>
    <w:qFormat/>
    <w:pPr>
      <w:ind w:firstLine="708"/>
      <w:jc w:val="both"/>
    </w:pPr>
    <w:rPr>
      <w:rFonts w:ascii="Arial" w:hAnsi="Arial" w:eastAsia="Times New Roman" w:cs="Arial"/>
      <w:b/>
      <w:sz w:val="18"/>
      <w:lang w:val="uk-UA"/>
    </w:rPr>
  </w:style>
  <w:style w:type="paragraph" w:styleId="231">
    <w:name w:val="Основной текст с отступом23"/>
    <w:basedOn w:val="Normal"/>
    <w:qFormat/>
    <w:pPr>
      <w:ind w:firstLine="708"/>
      <w:jc w:val="both"/>
    </w:pPr>
    <w:rPr>
      <w:rFonts w:ascii="Arial" w:hAnsi="Arial" w:eastAsia="Times New Roman" w:cs="Arial"/>
      <w:b/>
      <w:sz w:val="18"/>
      <w:lang w:val="uk-UA"/>
    </w:rPr>
  </w:style>
  <w:style w:type="paragraph" w:styleId="26">
    <w:name w:val="Основной текст с отступом26"/>
    <w:basedOn w:val="Normal"/>
    <w:qFormat/>
    <w:pPr>
      <w:ind w:firstLine="708"/>
      <w:jc w:val="both"/>
    </w:pPr>
    <w:rPr>
      <w:rFonts w:ascii="Arial" w:hAnsi="Arial" w:eastAsia="Times New Roman" w:cs="Arial"/>
      <w:b/>
      <w:sz w:val="18"/>
      <w:lang w:val="uk-UA"/>
    </w:rPr>
  </w:style>
  <w:style w:type="paragraph" w:styleId="28">
    <w:name w:val="Основной текст с отступом28"/>
    <w:basedOn w:val="Normal"/>
    <w:qFormat/>
    <w:pPr>
      <w:ind w:firstLine="708"/>
      <w:jc w:val="both"/>
    </w:pPr>
    <w:rPr>
      <w:rFonts w:ascii="Arial" w:hAnsi="Arial" w:eastAsia="Times New Roman" w:cs="Arial"/>
      <w:b/>
      <w:sz w:val="18"/>
      <w:lang w:val="uk-UA"/>
    </w:rPr>
  </w:style>
  <w:style w:type="paragraph" w:styleId="29">
    <w:name w:val="Основной текст с отступом29"/>
    <w:basedOn w:val="Normal"/>
    <w:qFormat/>
    <w:pPr>
      <w:ind w:firstLine="708"/>
      <w:jc w:val="both"/>
    </w:pPr>
    <w:rPr>
      <w:rFonts w:ascii="Arial" w:hAnsi="Arial" w:eastAsia="Times New Roman" w:cs="Arial"/>
      <w:b/>
      <w:sz w:val="18"/>
      <w:lang w:val="uk-UA"/>
    </w:rPr>
  </w:style>
  <w:style w:type="paragraph" w:styleId="311">
    <w:name w:val="Основной текст с отступом31"/>
    <w:basedOn w:val="Normal"/>
    <w:qFormat/>
    <w:pPr>
      <w:ind w:firstLine="708"/>
      <w:jc w:val="both"/>
    </w:pPr>
    <w:rPr>
      <w:rFonts w:ascii="Arial" w:hAnsi="Arial" w:eastAsia="Times New Roman" w:cs="Arial"/>
      <w:b/>
      <w:sz w:val="18"/>
      <w:lang w:val="uk-UA"/>
    </w:rPr>
  </w:style>
  <w:style w:type="paragraph" w:styleId="321">
    <w:name w:val="Основной текст с отступом32"/>
    <w:basedOn w:val="Normal"/>
    <w:qFormat/>
    <w:pPr>
      <w:ind w:firstLine="708"/>
      <w:jc w:val="both"/>
    </w:pPr>
    <w:rPr>
      <w:rFonts w:ascii="Arial" w:hAnsi="Arial" w:eastAsia="Times New Roman" w:cs="Arial"/>
      <w:b/>
      <w:sz w:val="18"/>
      <w:lang w:val="uk-UA"/>
    </w:rPr>
  </w:style>
  <w:style w:type="paragraph" w:styleId="331">
    <w:name w:val="Основной текст с отступом33"/>
    <w:basedOn w:val="Normal"/>
    <w:qFormat/>
    <w:pPr>
      <w:ind w:firstLine="708"/>
      <w:jc w:val="both"/>
    </w:pPr>
    <w:rPr>
      <w:rFonts w:ascii="Arial" w:hAnsi="Arial" w:eastAsia="Times New Roman" w:cs="Arial"/>
      <w:b/>
      <w:sz w:val="18"/>
      <w:lang w:val="uk-UA"/>
    </w:rPr>
  </w:style>
  <w:style w:type="paragraph" w:styleId="351">
    <w:name w:val="Основной текст с отступом35"/>
    <w:basedOn w:val="Normal"/>
    <w:qFormat/>
    <w:pPr>
      <w:ind w:firstLine="708"/>
      <w:jc w:val="both"/>
    </w:pPr>
    <w:rPr>
      <w:rFonts w:ascii="Arial" w:hAnsi="Arial" w:eastAsia="Times New Roman" w:cs="Arial"/>
      <w:b/>
      <w:sz w:val="18"/>
      <w:lang w:val="uk-UA"/>
    </w:rPr>
  </w:style>
  <w:style w:type="paragraph" w:styleId="341">
    <w:name w:val="Основной текст с отступом34"/>
    <w:basedOn w:val="Normal"/>
    <w:qFormat/>
    <w:pPr>
      <w:ind w:firstLine="708"/>
      <w:jc w:val="both"/>
    </w:pPr>
    <w:rPr>
      <w:rFonts w:ascii="Arial" w:hAnsi="Arial" w:eastAsia="Times New Roman" w:cs="Arial"/>
      <w:b/>
      <w:sz w:val="18"/>
      <w:lang w:val="uk-UA"/>
    </w:rPr>
  </w:style>
  <w:style w:type="paragraph" w:styleId="36">
    <w:name w:val="Основной текст с отступом36"/>
    <w:basedOn w:val="Normal"/>
    <w:qFormat/>
    <w:pPr>
      <w:ind w:firstLine="708"/>
      <w:jc w:val="both"/>
    </w:pPr>
    <w:rPr>
      <w:rFonts w:ascii="Arial" w:hAnsi="Arial" w:eastAsia="Times New Roman" w:cs="Arial"/>
      <w:b/>
      <w:sz w:val="18"/>
      <w:lang w:val="uk-UA"/>
    </w:rPr>
  </w:style>
  <w:style w:type="paragraph" w:styleId="37">
    <w:name w:val="Основной текст с отступом37"/>
    <w:basedOn w:val="Normal"/>
    <w:qFormat/>
    <w:pPr>
      <w:ind w:firstLine="708"/>
      <w:jc w:val="both"/>
    </w:pPr>
    <w:rPr>
      <w:rFonts w:ascii="Arial" w:hAnsi="Arial" w:eastAsia="Times New Roman" w:cs="Arial"/>
      <w:b/>
      <w:sz w:val="18"/>
      <w:lang w:val="uk-UA"/>
    </w:rPr>
  </w:style>
  <w:style w:type="paragraph" w:styleId="Style24">
    <w:name w:val="Текст примечания"/>
    <w:basedOn w:val="Normal"/>
    <w:qFormat/>
    <w:pPr/>
    <w:rPr>
      <w:rFonts w:eastAsia="Times New Roman"/>
      <w:lang w:val="uk-UA"/>
    </w:rPr>
  </w:style>
  <w:style w:type="paragraph" w:styleId="Style25">
    <w:name w:val="Тема примечания"/>
    <w:basedOn w:val="Style24"/>
    <w:next w:val="Style24"/>
    <w:qFormat/>
    <w:pPr/>
    <w:rPr>
      <w:b/>
      <w:bCs/>
    </w:rPr>
  </w:style>
  <w:style w:type="paragraph" w:styleId="Style26">
    <w:name w:val="Рецензия"/>
    <w:qFormat/>
    <w:pPr>
      <w:widowControl/>
    </w:pPr>
    <w:rPr>
      <w:rFonts w:ascii="Times New Roman" w:hAnsi="Times New Roman" w:eastAsia="Times New Roman" w:cs="Times New Roman"/>
      <w:color w:val="auto"/>
      <w:sz w:val="24"/>
      <w:szCs w:val="24"/>
      <w:lang w:val="uk-UA" w:bidi="ar-SA" w:eastAsia="zh-CN"/>
    </w:rPr>
  </w:style>
  <w:style w:type="paragraph" w:styleId="Csfeeeeb43">
    <w:name w:val="csfeeeeb43"/>
    <w:basedOn w:val="Normal"/>
    <w:qFormat/>
    <w:pPr/>
    <w:rPr>
      <w:rFonts w:ascii="Arial" w:hAnsi="Arial" w:eastAsia="Times New Roman" w:cs="Arial"/>
      <w:sz w:val="24"/>
      <w:szCs w:val="24"/>
      <w:lang w:val="uk-UA"/>
    </w:rPr>
  </w:style>
  <w:style w:type="paragraph" w:styleId="38">
    <w:name w:val="Основной текст с отступом38"/>
    <w:basedOn w:val="Normal"/>
    <w:qFormat/>
    <w:pPr>
      <w:ind w:firstLine="708"/>
      <w:jc w:val="both"/>
    </w:pPr>
    <w:rPr>
      <w:rFonts w:ascii="Arial" w:hAnsi="Arial" w:eastAsia="Times New Roman" w:cs="Arial"/>
      <w:b/>
      <w:sz w:val="18"/>
      <w:lang w:val="uk-UA"/>
    </w:rPr>
  </w:style>
  <w:style w:type="paragraph" w:styleId="39">
    <w:name w:val="Основной текст с отступом39"/>
    <w:basedOn w:val="Normal"/>
    <w:qFormat/>
    <w:pPr>
      <w:ind w:firstLine="708"/>
      <w:jc w:val="both"/>
    </w:pPr>
    <w:rPr>
      <w:rFonts w:ascii="Arial" w:hAnsi="Arial" w:eastAsia="Times New Roman" w:cs="Arial"/>
      <w:b/>
      <w:sz w:val="18"/>
      <w:lang w:val="uk-UA"/>
    </w:rPr>
  </w:style>
  <w:style w:type="paragraph" w:styleId="40">
    <w:name w:val="Основной текст с отступом40"/>
    <w:basedOn w:val="Normal"/>
    <w:qFormat/>
    <w:pPr>
      <w:ind w:firstLine="708"/>
      <w:jc w:val="both"/>
    </w:pPr>
    <w:rPr>
      <w:rFonts w:ascii="Arial" w:hAnsi="Arial" w:eastAsia="Times New Roman" w:cs="Arial"/>
      <w:b/>
      <w:sz w:val="18"/>
      <w:lang w:val="uk-UA"/>
    </w:rPr>
  </w:style>
  <w:style w:type="paragraph" w:styleId="412">
    <w:name w:val="Основной текст с отступом41"/>
    <w:basedOn w:val="Normal"/>
    <w:qFormat/>
    <w:pPr>
      <w:ind w:firstLine="708"/>
      <w:jc w:val="both"/>
    </w:pPr>
    <w:rPr>
      <w:rFonts w:ascii="Arial" w:hAnsi="Arial" w:eastAsia="Times New Roman" w:cs="Arial"/>
      <w:b/>
      <w:sz w:val="18"/>
      <w:lang w:val="uk-UA"/>
    </w:rPr>
  </w:style>
  <w:style w:type="paragraph" w:styleId="421">
    <w:name w:val="Основной текст с отступом42"/>
    <w:basedOn w:val="Normal"/>
    <w:qFormat/>
    <w:pPr>
      <w:ind w:firstLine="708"/>
      <w:jc w:val="both"/>
    </w:pPr>
    <w:rPr>
      <w:rFonts w:ascii="Arial" w:hAnsi="Arial" w:eastAsia="Times New Roman" w:cs="Arial"/>
      <w:b/>
      <w:sz w:val="18"/>
      <w:lang w:val="uk-UA"/>
    </w:rPr>
  </w:style>
  <w:style w:type="paragraph" w:styleId="43">
    <w:name w:val="Основной текст с отступом43"/>
    <w:basedOn w:val="Normal"/>
    <w:qFormat/>
    <w:pPr>
      <w:ind w:firstLine="708"/>
      <w:jc w:val="both"/>
    </w:pPr>
    <w:rPr>
      <w:rFonts w:ascii="Arial" w:hAnsi="Arial" w:eastAsia="Times New Roman" w:cs="Arial"/>
      <w:b/>
      <w:sz w:val="18"/>
      <w:lang w:val="uk-UA"/>
    </w:rPr>
  </w:style>
  <w:style w:type="paragraph" w:styleId="44">
    <w:name w:val="Основной текст с отступом44"/>
    <w:basedOn w:val="Normal"/>
    <w:qFormat/>
    <w:pPr>
      <w:ind w:firstLine="708"/>
      <w:jc w:val="both"/>
    </w:pPr>
    <w:rPr>
      <w:rFonts w:ascii="Arial" w:hAnsi="Arial" w:eastAsia="Times New Roman" w:cs="Arial"/>
      <w:b/>
      <w:sz w:val="18"/>
      <w:lang w:val="uk-UA"/>
    </w:rPr>
  </w:style>
  <w:style w:type="paragraph" w:styleId="45">
    <w:name w:val="Основной текст с отступом45"/>
    <w:basedOn w:val="Normal"/>
    <w:qFormat/>
    <w:pPr>
      <w:ind w:firstLine="708"/>
      <w:jc w:val="both"/>
    </w:pPr>
    <w:rPr>
      <w:rFonts w:ascii="Arial" w:hAnsi="Arial" w:eastAsia="Times New Roman" w:cs="Arial"/>
      <w:b/>
      <w:sz w:val="18"/>
      <w:lang w:val="uk-UA"/>
    </w:rPr>
  </w:style>
  <w:style w:type="paragraph" w:styleId="46">
    <w:name w:val="Основной текст с отступом46"/>
    <w:basedOn w:val="Normal"/>
    <w:qFormat/>
    <w:pPr>
      <w:ind w:firstLine="708"/>
      <w:jc w:val="both"/>
    </w:pPr>
    <w:rPr>
      <w:rFonts w:ascii="Arial" w:hAnsi="Arial" w:eastAsia="Times New Roman" w:cs="Arial"/>
      <w:b/>
      <w:sz w:val="18"/>
      <w:lang w:val="uk-UA"/>
    </w:rPr>
  </w:style>
  <w:style w:type="paragraph" w:styleId="47">
    <w:name w:val="Основной текст с отступом47"/>
    <w:basedOn w:val="Normal"/>
    <w:qFormat/>
    <w:pPr>
      <w:ind w:firstLine="708"/>
      <w:jc w:val="both"/>
    </w:pPr>
    <w:rPr>
      <w:rFonts w:ascii="Arial" w:hAnsi="Arial" w:eastAsia="Times New Roman" w:cs="Arial"/>
      <w:b/>
      <w:sz w:val="18"/>
      <w:lang w:val="uk-UA"/>
    </w:rPr>
  </w:style>
  <w:style w:type="paragraph" w:styleId="48">
    <w:name w:val="Основной текст с отступом48"/>
    <w:basedOn w:val="Normal"/>
    <w:qFormat/>
    <w:pPr>
      <w:ind w:firstLine="708"/>
      <w:jc w:val="both"/>
    </w:pPr>
    <w:rPr>
      <w:rFonts w:ascii="Arial" w:hAnsi="Arial" w:eastAsia="Times New Roman" w:cs="Arial"/>
      <w:b/>
      <w:sz w:val="18"/>
      <w:lang w:val="uk-UA"/>
    </w:rPr>
  </w:style>
  <w:style w:type="paragraph" w:styleId="49">
    <w:name w:val="Основной текст с отступом49"/>
    <w:basedOn w:val="Normal"/>
    <w:qFormat/>
    <w:pPr>
      <w:ind w:firstLine="708"/>
      <w:jc w:val="both"/>
    </w:pPr>
    <w:rPr>
      <w:rFonts w:ascii="Arial" w:hAnsi="Arial" w:eastAsia="Times New Roman" w:cs="Arial"/>
      <w:b/>
      <w:sz w:val="18"/>
      <w:lang w:val="uk-UA"/>
    </w:rPr>
  </w:style>
  <w:style w:type="paragraph" w:styleId="50">
    <w:name w:val="Основной текст с отступом50"/>
    <w:basedOn w:val="Normal"/>
    <w:qFormat/>
    <w:pPr>
      <w:ind w:firstLine="708"/>
      <w:jc w:val="both"/>
    </w:pPr>
    <w:rPr>
      <w:rFonts w:ascii="Arial" w:hAnsi="Arial" w:eastAsia="Times New Roman" w:cs="Arial"/>
      <w:b/>
      <w:sz w:val="18"/>
      <w:lang w:val="uk-UA"/>
    </w:rPr>
  </w:style>
  <w:style w:type="paragraph" w:styleId="52">
    <w:name w:val="Основной текст с отступом52"/>
    <w:basedOn w:val="Normal"/>
    <w:qFormat/>
    <w:pPr>
      <w:ind w:firstLine="708"/>
      <w:jc w:val="both"/>
    </w:pPr>
    <w:rPr>
      <w:rFonts w:ascii="Arial" w:hAnsi="Arial" w:eastAsia="Times New Roman" w:cs="Arial"/>
      <w:b/>
      <w:sz w:val="18"/>
      <w:lang w:val="uk-UA"/>
    </w:rPr>
  </w:style>
  <w:style w:type="paragraph" w:styleId="53">
    <w:name w:val="Основной текст с отступом53"/>
    <w:basedOn w:val="Normal"/>
    <w:qFormat/>
    <w:pPr>
      <w:ind w:firstLine="708"/>
      <w:jc w:val="both"/>
    </w:pPr>
    <w:rPr>
      <w:rFonts w:ascii="Arial" w:hAnsi="Arial" w:eastAsia="Times New Roman" w:cs="Arial"/>
      <w:b/>
      <w:sz w:val="18"/>
      <w:lang w:val="uk-UA"/>
    </w:rPr>
  </w:style>
  <w:style w:type="paragraph" w:styleId="54">
    <w:name w:val="Основной текст с отступом54"/>
    <w:basedOn w:val="Normal"/>
    <w:qFormat/>
    <w:pPr>
      <w:ind w:firstLine="708"/>
      <w:jc w:val="both"/>
    </w:pPr>
    <w:rPr>
      <w:rFonts w:ascii="Arial" w:hAnsi="Arial" w:eastAsia="Times New Roman" w:cs="Arial"/>
      <w:b/>
      <w:sz w:val="18"/>
      <w:lang w:val="uk-UA"/>
    </w:rPr>
  </w:style>
  <w:style w:type="paragraph" w:styleId="57">
    <w:name w:val="Основной текст с отступом57"/>
    <w:basedOn w:val="Normal"/>
    <w:qFormat/>
    <w:pPr>
      <w:ind w:firstLine="708"/>
      <w:jc w:val="both"/>
    </w:pPr>
    <w:rPr>
      <w:rFonts w:ascii="Arial" w:hAnsi="Arial" w:eastAsia="Times New Roman" w:cs="Arial"/>
      <w:b/>
      <w:sz w:val="18"/>
      <w:lang w:val="uk-UA"/>
    </w:rPr>
  </w:style>
  <w:style w:type="paragraph" w:styleId="59">
    <w:name w:val="Основной текст с отступом59"/>
    <w:basedOn w:val="Normal"/>
    <w:qFormat/>
    <w:pPr>
      <w:ind w:firstLine="708"/>
      <w:jc w:val="both"/>
    </w:pPr>
    <w:rPr>
      <w:rFonts w:ascii="Arial" w:hAnsi="Arial" w:eastAsia="Times New Roman" w:cs="Arial"/>
      <w:b/>
      <w:sz w:val="18"/>
      <w:lang w:val="uk-UA"/>
    </w:rPr>
  </w:style>
  <w:style w:type="paragraph" w:styleId="60">
    <w:name w:val="Основной текст с отступом60"/>
    <w:basedOn w:val="Normal"/>
    <w:qFormat/>
    <w:pPr>
      <w:ind w:firstLine="708"/>
      <w:jc w:val="both"/>
    </w:pPr>
    <w:rPr>
      <w:rFonts w:ascii="Arial" w:hAnsi="Arial" w:eastAsia="Times New Roman" w:cs="Arial"/>
      <w:b/>
      <w:sz w:val="18"/>
      <w:lang w:val="uk-UA"/>
    </w:rPr>
  </w:style>
  <w:style w:type="paragraph" w:styleId="611">
    <w:name w:val="Основной текст с отступом61"/>
    <w:basedOn w:val="Normal"/>
    <w:qFormat/>
    <w:pPr>
      <w:ind w:firstLine="708"/>
      <w:jc w:val="both"/>
    </w:pPr>
    <w:rPr>
      <w:rFonts w:ascii="Arial" w:hAnsi="Arial" w:eastAsia="Times New Roman" w:cs="Arial"/>
      <w:b/>
      <w:sz w:val="18"/>
      <w:lang w:val="uk-UA"/>
    </w:rPr>
  </w:style>
  <w:style w:type="paragraph" w:styleId="25">
    <w:name w:val="Обычный2"/>
    <w:qFormat/>
    <w:pPr>
      <w:widowControl/>
    </w:pPr>
    <w:rPr>
      <w:rFonts w:ascii="Times New Roman" w:hAnsi="Times New Roman" w:eastAsia="Times New Roman" w:cs="Times New Roman"/>
      <w:color w:val="auto"/>
      <w:sz w:val="24"/>
      <w:szCs w:val="20"/>
      <w:lang w:val="uk-UA" w:bidi="ar-SA" w:eastAsia="zh-CN"/>
    </w:rPr>
  </w:style>
  <w:style w:type="paragraph" w:styleId="221">
    <w:name w:val="Основной текст с отступом22"/>
    <w:basedOn w:val="Normal"/>
    <w:qFormat/>
    <w:pPr>
      <w:spacing w:before="120" w:after="120"/>
    </w:pPr>
    <w:rPr>
      <w:rFonts w:ascii="Arial" w:hAnsi="Arial" w:eastAsia="Times New Roman" w:cs="Arial"/>
      <w:sz w:val="18"/>
    </w:rPr>
  </w:style>
  <w:style w:type="paragraph" w:styleId="222">
    <w:name w:val="Заголовок 22"/>
    <w:basedOn w:val="Normal"/>
    <w:qFormat/>
    <w:pPr/>
    <w:rPr>
      <w:rFonts w:ascii="Arial" w:hAnsi="Arial" w:eastAsia="Times New Roman" w:cs="Arial"/>
      <w:b/>
      <w:caps/>
      <w:sz w:val="16"/>
    </w:rPr>
  </w:style>
  <w:style w:type="paragraph" w:styleId="422">
    <w:name w:val="Заголовок 42"/>
    <w:basedOn w:val="Normal"/>
    <w:qFormat/>
    <w:pPr/>
    <w:rPr>
      <w:rFonts w:ascii="Arial" w:hAnsi="Arial" w:eastAsia="Times New Roman" w:cs="Arial"/>
      <w:b/>
    </w:rPr>
  </w:style>
  <w:style w:type="paragraph" w:styleId="310">
    <w:name w:val="Обычный3"/>
    <w:qFormat/>
    <w:pPr>
      <w:widowControl/>
    </w:pPr>
    <w:rPr>
      <w:rFonts w:ascii="Times New Roman" w:hAnsi="Times New Roman" w:eastAsia="Times New Roman" w:cs="Times New Roman"/>
      <w:color w:val="auto"/>
      <w:sz w:val="24"/>
      <w:szCs w:val="20"/>
      <w:lang w:val="uk-UA" w:bidi="ar-SA" w:eastAsia="zh-CN"/>
    </w:rPr>
  </w:style>
  <w:style w:type="paragraph" w:styleId="241">
    <w:name w:val="Основной текст с отступом24"/>
    <w:basedOn w:val="Normal"/>
    <w:qFormat/>
    <w:pPr>
      <w:spacing w:before="120" w:after="120"/>
    </w:pPr>
    <w:rPr>
      <w:rFonts w:ascii="Arial" w:hAnsi="Arial" w:eastAsia="Times New Roman" w:cs="Arial"/>
      <w:sz w:val="18"/>
    </w:rPr>
  </w:style>
  <w:style w:type="paragraph" w:styleId="232">
    <w:name w:val="Заголовок 23"/>
    <w:basedOn w:val="Normal"/>
    <w:qFormat/>
    <w:pPr/>
    <w:rPr>
      <w:rFonts w:ascii="Arial" w:hAnsi="Arial" w:eastAsia="Times New Roman" w:cs="Arial"/>
      <w:b/>
      <w:caps/>
      <w:sz w:val="16"/>
    </w:rPr>
  </w:style>
  <w:style w:type="paragraph" w:styleId="431">
    <w:name w:val="Заголовок 43"/>
    <w:basedOn w:val="Normal"/>
    <w:qFormat/>
    <w:pPr/>
    <w:rPr>
      <w:rFonts w:ascii="Arial" w:hAnsi="Arial" w:eastAsia="Times New Roman" w:cs="Arial"/>
      <w:b/>
    </w:rPr>
  </w:style>
  <w:style w:type="paragraph" w:styleId="BodyTextIndent">
    <w:name w:val="Body Text Indent"/>
    <w:basedOn w:val="Normal"/>
    <w:qFormat/>
    <w:pPr>
      <w:spacing w:before="120" w:after="120"/>
    </w:pPr>
    <w:rPr>
      <w:rFonts w:ascii="Arial" w:hAnsi="Arial" w:eastAsia="Times New Roman" w:cs="Arial"/>
      <w:sz w:val="18"/>
    </w:rPr>
  </w:style>
  <w:style w:type="paragraph" w:styleId="WWHeading2">
    <w:name w:val="WW-Heading 2"/>
    <w:basedOn w:val="Normal"/>
    <w:qFormat/>
    <w:pPr/>
    <w:rPr>
      <w:rFonts w:ascii="Arial" w:hAnsi="Arial" w:eastAsia="Times New Roman" w:cs="Arial"/>
      <w:b/>
      <w:caps/>
      <w:sz w:val="16"/>
    </w:rPr>
  </w:style>
  <w:style w:type="paragraph" w:styleId="WWHeading4">
    <w:name w:val="WW-Heading 4"/>
    <w:basedOn w:val="Normal"/>
    <w:qFormat/>
    <w:pPr/>
    <w:rPr>
      <w:rFonts w:ascii="Arial" w:hAnsi="Arial" w:eastAsia="Times New Roman" w:cs="Arial"/>
      <w:b/>
    </w:rPr>
  </w:style>
  <w:style w:type="paragraph" w:styleId="62">
    <w:name w:val="Основной текст с отступом62"/>
    <w:basedOn w:val="Normal"/>
    <w:qFormat/>
    <w:pPr>
      <w:ind w:firstLine="708"/>
      <w:jc w:val="both"/>
    </w:pPr>
    <w:rPr>
      <w:rFonts w:ascii="Arial" w:hAnsi="Arial" w:eastAsia="Times New Roman" w:cs="Arial"/>
      <w:b/>
      <w:sz w:val="18"/>
      <w:lang w:val="uk-UA"/>
    </w:rPr>
  </w:style>
  <w:style w:type="paragraph" w:styleId="64">
    <w:name w:val="Основной текст с отступом64"/>
    <w:basedOn w:val="Normal"/>
    <w:qFormat/>
    <w:pPr>
      <w:ind w:firstLine="708"/>
      <w:jc w:val="both"/>
    </w:pPr>
    <w:rPr>
      <w:rFonts w:ascii="Arial" w:hAnsi="Arial" w:eastAsia="Times New Roman" w:cs="Arial"/>
      <w:b/>
      <w:sz w:val="18"/>
      <w:lang w:val="uk-UA"/>
    </w:rPr>
  </w:style>
  <w:style w:type="paragraph" w:styleId="63">
    <w:name w:val="Основной текст с отступом63"/>
    <w:basedOn w:val="Normal"/>
    <w:qFormat/>
    <w:pPr>
      <w:ind w:firstLine="708"/>
      <w:jc w:val="both"/>
    </w:pPr>
    <w:rPr>
      <w:rFonts w:ascii="Arial" w:hAnsi="Arial" w:eastAsia="Times New Roman" w:cs="Arial"/>
      <w:b/>
      <w:sz w:val="18"/>
      <w:lang w:val="uk-UA"/>
    </w:rPr>
  </w:style>
  <w:style w:type="paragraph" w:styleId="65">
    <w:name w:val="Основной текст с отступом65"/>
    <w:basedOn w:val="Normal"/>
    <w:qFormat/>
    <w:pPr>
      <w:ind w:firstLine="708"/>
      <w:jc w:val="both"/>
    </w:pPr>
    <w:rPr>
      <w:rFonts w:ascii="Arial" w:hAnsi="Arial" w:eastAsia="Times New Roman" w:cs="Arial"/>
      <w:b/>
      <w:sz w:val="18"/>
      <w:lang w:val="uk-UA"/>
    </w:rPr>
  </w:style>
  <w:style w:type="paragraph" w:styleId="66">
    <w:name w:val="Основной текст с отступом66"/>
    <w:basedOn w:val="Normal"/>
    <w:qFormat/>
    <w:pPr>
      <w:ind w:firstLine="708"/>
      <w:jc w:val="both"/>
    </w:pPr>
    <w:rPr>
      <w:rFonts w:ascii="Arial" w:hAnsi="Arial" w:eastAsia="Times New Roman" w:cs="Arial"/>
      <w:b/>
      <w:sz w:val="18"/>
      <w:lang w:val="uk-UA"/>
    </w:rPr>
  </w:style>
  <w:style w:type="paragraph" w:styleId="67">
    <w:name w:val="Основной текст с отступом67"/>
    <w:basedOn w:val="Normal"/>
    <w:qFormat/>
    <w:pPr>
      <w:ind w:firstLine="708"/>
      <w:jc w:val="both"/>
    </w:pPr>
    <w:rPr>
      <w:rFonts w:ascii="Arial" w:hAnsi="Arial" w:eastAsia="Times New Roman" w:cs="Arial"/>
      <w:b/>
      <w:sz w:val="18"/>
      <w:lang w:val="uk-UA"/>
    </w:rPr>
  </w:style>
  <w:style w:type="paragraph" w:styleId="68">
    <w:name w:val="Основной текст с отступом68"/>
    <w:basedOn w:val="Normal"/>
    <w:qFormat/>
    <w:pPr>
      <w:ind w:firstLine="708"/>
      <w:jc w:val="both"/>
    </w:pPr>
    <w:rPr>
      <w:rFonts w:ascii="Arial" w:hAnsi="Arial" w:eastAsia="Times New Roman" w:cs="Arial"/>
      <w:b/>
      <w:sz w:val="18"/>
      <w:lang w:val="uk-UA"/>
    </w:rPr>
  </w:style>
  <w:style w:type="paragraph" w:styleId="69">
    <w:name w:val="Основной текст с отступом69"/>
    <w:basedOn w:val="Normal"/>
    <w:qFormat/>
    <w:pPr>
      <w:ind w:firstLine="708"/>
      <w:jc w:val="both"/>
    </w:pPr>
    <w:rPr>
      <w:rFonts w:ascii="Arial" w:hAnsi="Arial" w:eastAsia="Times New Roman" w:cs="Arial"/>
      <w:b/>
      <w:sz w:val="18"/>
      <w:lang w:val="uk-UA"/>
    </w:rPr>
  </w:style>
  <w:style w:type="paragraph" w:styleId="70">
    <w:name w:val="Основной текст с отступом70"/>
    <w:basedOn w:val="Normal"/>
    <w:qFormat/>
    <w:pPr>
      <w:ind w:firstLine="708"/>
      <w:jc w:val="both"/>
    </w:pPr>
    <w:rPr>
      <w:rFonts w:ascii="Arial" w:hAnsi="Arial" w:eastAsia="Times New Roman" w:cs="Arial"/>
      <w:b/>
      <w:sz w:val="18"/>
      <w:lang w:val="uk-UA"/>
    </w:rPr>
  </w:style>
  <w:style w:type="paragraph" w:styleId="71">
    <w:name w:val="Основной текст с отступом71"/>
    <w:basedOn w:val="Normal"/>
    <w:qFormat/>
    <w:pPr>
      <w:ind w:firstLine="708"/>
      <w:jc w:val="both"/>
    </w:pPr>
    <w:rPr>
      <w:rFonts w:ascii="Arial" w:hAnsi="Arial" w:eastAsia="Times New Roman" w:cs="Arial"/>
      <w:b/>
      <w:sz w:val="18"/>
      <w:lang w:val="uk-UA"/>
    </w:rPr>
  </w:style>
  <w:style w:type="paragraph" w:styleId="72">
    <w:name w:val="Основной текст с отступом72"/>
    <w:basedOn w:val="Normal"/>
    <w:qFormat/>
    <w:pPr>
      <w:ind w:firstLine="708"/>
      <w:jc w:val="both"/>
    </w:pPr>
    <w:rPr>
      <w:rFonts w:ascii="Arial" w:hAnsi="Arial" w:eastAsia="Times New Roman" w:cs="Arial"/>
      <w:b/>
      <w:sz w:val="18"/>
      <w:lang w:val="uk-UA"/>
    </w:rPr>
  </w:style>
  <w:style w:type="paragraph" w:styleId="142">
    <w:name w:val="Основной текст (14)"/>
    <w:basedOn w:val="Normal"/>
    <w:qFormat/>
    <w:pPr>
      <w:widowControl w:val="false"/>
      <w:shd w:fill="FFFFFF" w:val="clear"/>
      <w:spacing w:lineRule="exact" w:line="278"/>
      <w:jc w:val="center"/>
    </w:pPr>
    <w:rPr>
      <w:sz w:val="21"/>
      <w:szCs w:val="21"/>
      <w:lang w:val="en-US"/>
    </w:rPr>
  </w:style>
  <w:style w:type="paragraph" w:styleId="73">
    <w:name w:val="Основной текст с отступом73"/>
    <w:basedOn w:val="Normal"/>
    <w:qFormat/>
    <w:pPr>
      <w:ind w:firstLine="708"/>
      <w:jc w:val="both"/>
    </w:pPr>
    <w:rPr>
      <w:rFonts w:ascii="Arial" w:hAnsi="Arial" w:eastAsia="Times New Roman" w:cs="Arial"/>
      <w:b/>
      <w:sz w:val="18"/>
      <w:lang w:val="uk-UA"/>
    </w:rPr>
  </w:style>
  <w:style w:type="paragraph" w:styleId="74">
    <w:name w:val="Основной текст с отступом74"/>
    <w:basedOn w:val="Normal"/>
    <w:qFormat/>
    <w:pPr>
      <w:ind w:firstLine="708"/>
      <w:jc w:val="both"/>
    </w:pPr>
    <w:rPr>
      <w:rFonts w:ascii="Arial" w:hAnsi="Arial" w:eastAsia="Times New Roman" w:cs="Arial"/>
      <w:b/>
      <w:sz w:val="18"/>
      <w:lang w:val="uk-UA"/>
    </w:rPr>
  </w:style>
  <w:style w:type="paragraph" w:styleId="75">
    <w:name w:val="Основной текст с отступом75"/>
    <w:basedOn w:val="Normal"/>
    <w:qFormat/>
    <w:pPr>
      <w:ind w:firstLine="708"/>
      <w:jc w:val="both"/>
    </w:pPr>
    <w:rPr>
      <w:rFonts w:ascii="Arial" w:hAnsi="Arial" w:eastAsia="Times New Roman" w:cs="Arial"/>
      <w:b/>
      <w:sz w:val="18"/>
      <w:lang w:val="uk-UA"/>
    </w:rPr>
  </w:style>
  <w:style w:type="paragraph" w:styleId="76">
    <w:name w:val="Основной текст с отступом76"/>
    <w:basedOn w:val="Normal"/>
    <w:qFormat/>
    <w:pPr>
      <w:ind w:firstLine="708"/>
      <w:jc w:val="both"/>
    </w:pPr>
    <w:rPr>
      <w:rFonts w:ascii="Arial" w:hAnsi="Arial" w:eastAsia="Times New Roman" w:cs="Arial"/>
      <w:b/>
      <w:sz w:val="18"/>
      <w:lang w:val="uk-UA"/>
    </w:rPr>
  </w:style>
  <w:style w:type="paragraph" w:styleId="77">
    <w:name w:val="Основной текст с отступом77"/>
    <w:basedOn w:val="Normal"/>
    <w:qFormat/>
    <w:pPr>
      <w:ind w:firstLine="708"/>
      <w:jc w:val="both"/>
    </w:pPr>
    <w:rPr>
      <w:rFonts w:ascii="Arial" w:hAnsi="Arial" w:eastAsia="Times New Roman" w:cs="Arial"/>
      <w:b/>
      <w:sz w:val="18"/>
      <w:lang w:val="uk-UA"/>
    </w:rPr>
  </w:style>
  <w:style w:type="paragraph" w:styleId="78">
    <w:name w:val="Основной текст с отступом78"/>
    <w:basedOn w:val="Normal"/>
    <w:qFormat/>
    <w:pPr>
      <w:ind w:firstLine="708"/>
      <w:jc w:val="both"/>
    </w:pPr>
    <w:rPr>
      <w:rFonts w:ascii="Arial" w:hAnsi="Arial" w:eastAsia="Times New Roman" w:cs="Arial"/>
      <w:b/>
      <w:sz w:val="18"/>
      <w:lang w:val="uk-UA"/>
    </w:rPr>
  </w:style>
  <w:style w:type="paragraph" w:styleId="79">
    <w:name w:val="Основной текст с отступом79"/>
    <w:basedOn w:val="Normal"/>
    <w:qFormat/>
    <w:pPr>
      <w:ind w:firstLine="708"/>
      <w:jc w:val="both"/>
    </w:pPr>
    <w:rPr>
      <w:rFonts w:ascii="Arial" w:hAnsi="Arial" w:eastAsia="Times New Roman" w:cs="Arial"/>
      <w:b/>
      <w:sz w:val="18"/>
      <w:lang w:val="uk-UA"/>
    </w:rPr>
  </w:style>
  <w:style w:type="paragraph" w:styleId="81">
    <w:name w:val="Основной текст с отступом81"/>
    <w:basedOn w:val="Normal"/>
    <w:qFormat/>
    <w:pPr>
      <w:ind w:firstLine="708"/>
      <w:jc w:val="both"/>
    </w:pPr>
    <w:rPr>
      <w:rFonts w:ascii="Arial" w:hAnsi="Arial" w:eastAsia="Times New Roman" w:cs="Arial"/>
      <w:b/>
      <w:sz w:val="18"/>
      <w:lang w:val="uk-UA"/>
    </w:rPr>
  </w:style>
  <w:style w:type="paragraph" w:styleId="82">
    <w:name w:val="Основной текст с отступом82"/>
    <w:basedOn w:val="Normal"/>
    <w:qFormat/>
    <w:pPr>
      <w:ind w:firstLine="708"/>
      <w:jc w:val="both"/>
    </w:pPr>
    <w:rPr>
      <w:rFonts w:ascii="Arial" w:hAnsi="Arial" w:eastAsia="Times New Roman" w:cs="Arial"/>
      <w:b/>
      <w:sz w:val="18"/>
      <w:lang w:val="uk-UA"/>
    </w:rPr>
  </w:style>
  <w:style w:type="paragraph" w:styleId="84">
    <w:name w:val="Основной текст с отступом84"/>
    <w:basedOn w:val="Normal"/>
    <w:qFormat/>
    <w:pPr>
      <w:ind w:firstLine="708"/>
      <w:jc w:val="both"/>
    </w:pPr>
    <w:rPr>
      <w:rFonts w:ascii="Arial" w:hAnsi="Arial" w:eastAsia="Times New Roman" w:cs="Arial"/>
      <w:b/>
      <w:sz w:val="18"/>
      <w:lang w:val="uk-UA"/>
    </w:rPr>
  </w:style>
  <w:style w:type="paragraph" w:styleId="85">
    <w:name w:val="Основной текст с отступом85"/>
    <w:basedOn w:val="Normal"/>
    <w:qFormat/>
    <w:pPr>
      <w:ind w:firstLine="708"/>
      <w:jc w:val="both"/>
    </w:pPr>
    <w:rPr>
      <w:rFonts w:ascii="Arial" w:hAnsi="Arial" w:eastAsia="Times New Roman" w:cs="Arial"/>
      <w:b/>
      <w:sz w:val="18"/>
      <w:lang w:val="uk-UA"/>
    </w:rPr>
  </w:style>
  <w:style w:type="paragraph" w:styleId="86">
    <w:name w:val="Основной текст с отступом86"/>
    <w:basedOn w:val="Normal"/>
    <w:qFormat/>
    <w:pPr>
      <w:ind w:firstLine="708"/>
      <w:jc w:val="both"/>
    </w:pPr>
    <w:rPr>
      <w:rFonts w:ascii="Arial" w:hAnsi="Arial" w:eastAsia="Times New Roman" w:cs="Arial"/>
      <w:b/>
      <w:sz w:val="18"/>
      <w:lang w:val="uk-UA"/>
    </w:rPr>
  </w:style>
  <w:style w:type="paragraph" w:styleId="87">
    <w:name w:val="Основной текст с отступом87"/>
    <w:basedOn w:val="Normal"/>
    <w:qFormat/>
    <w:pPr>
      <w:ind w:firstLine="708"/>
      <w:jc w:val="both"/>
    </w:pPr>
    <w:rPr>
      <w:rFonts w:ascii="Arial" w:hAnsi="Arial" w:eastAsia="Times New Roman" w:cs="Arial"/>
      <w:b/>
      <w:sz w:val="18"/>
      <w:lang w:val="uk-UA"/>
    </w:rPr>
  </w:style>
  <w:style w:type="paragraph" w:styleId="88">
    <w:name w:val="Основной текст с отступом88"/>
    <w:basedOn w:val="Normal"/>
    <w:qFormat/>
    <w:pPr>
      <w:ind w:firstLine="708"/>
      <w:jc w:val="both"/>
    </w:pPr>
    <w:rPr>
      <w:rFonts w:ascii="Arial" w:hAnsi="Arial" w:eastAsia="Times New Roman" w:cs="Arial"/>
      <w:b/>
      <w:sz w:val="18"/>
      <w:lang w:val="uk-UA"/>
    </w:rPr>
  </w:style>
  <w:style w:type="paragraph" w:styleId="89">
    <w:name w:val="Основной текст с отступом89"/>
    <w:basedOn w:val="Normal"/>
    <w:qFormat/>
    <w:pPr>
      <w:ind w:firstLine="708"/>
      <w:jc w:val="both"/>
    </w:pPr>
    <w:rPr>
      <w:rFonts w:ascii="Arial" w:hAnsi="Arial" w:eastAsia="Times New Roman" w:cs="Arial"/>
      <w:b/>
      <w:sz w:val="18"/>
      <w:lang w:val="uk-UA"/>
    </w:rPr>
  </w:style>
  <w:style w:type="paragraph" w:styleId="91">
    <w:name w:val="Основной текст с отступом91"/>
    <w:basedOn w:val="Normal"/>
    <w:qFormat/>
    <w:pPr>
      <w:ind w:firstLine="708"/>
      <w:jc w:val="both"/>
    </w:pPr>
    <w:rPr>
      <w:rFonts w:ascii="Arial" w:hAnsi="Arial" w:eastAsia="Times New Roman" w:cs="Arial"/>
      <w:b/>
      <w:sz w:val="18"/>
      <w:lang w:val="uk-UA"/>
    </w:rPr>
  </w:style>
  <w:style w:type="paragraph" w:styleId="92">
    <w:name w:val="Основной текст с отступом92"/>
    <w:basedOn w:val="Normal"/>
    <w:qFormat/>
    <w:pPr>
      <w:ind w:firstLine="708"/>
      <w:jc w:val="both"/>
    </w:pPr>
    <w:rPr>
      <w:rFonts w:ascii="Arial" w:hAnsi="Arial" w:eastAsia="Times New Roman" w:cs="Arial"/>
      <w:b/>
      <w:sz w:val="18"/>
      <w:lang w:val="uk-UA"/>
    </w:rPr>
  </w:style>
  <w:style w:type="paragraph" w:styleId="93">
    <w:name w:val="Основной текст с отступом93"/>
    <w:basedOn w:val="Normal"/>
    <w:qFormat/>
    <w:pPr>
      <w:ind w:firstLine="708"/>
      <w:jc w:val="both"/>
    </w:pPr>
    <w:rPr>
      <w:rFonts w:ascii="Arial" w:hAnsi="Arial" w:eastAsia="Times New Roman" w:cs="Arial"/>
      <w:b/>
      <w:sz w:val="18"/>
      <w:lang w:val="uk-UA"/>
    </w:rPr>
  </w:style>
  <w:style w:type="paragraph" w:styleId="94">
    <w:name w:val="Основной текст с отступом94"/>
    <w:basedOn w:val="Normal"/>
    <w:qFormat/>
    <w:pPr>
      <w:ind w:firstLine="708"/>
      <w:jc w:val="both"/>
    </w:pPr>
    <w:rPr>
      <w:rFonts w:ascii="Arial" w:hAnsi="Arial" w:eastAsia="Times New Roman" w:cs="Arial"/>
      <w:b/>
      <w:sz w:val="18"/>
      <w:lang w:val="uk-UA"/>
    </w:rPr>
  </w:style>
  <w:style w:type="paragraph" w:styleId="95">
    <w:name w:val="Основной текст с отступом95"/>
    <w:basedOn w:val="Normal"/>
    <w:qFormat/>
    <w:pPr>
      <w:ind w:firstLine="708"/>
      <w:jc w:val="both"/>
    </w:pPr>
    <w:rPr>
      <w:rFonts w:ascii="Arial" w:hAnsi="Arial" w:eastAsia="Times New Roman" w:cs="Arial"/>
      <w:b/>
      <w:sz w:val="18"/>
      <w:lang w:val="uk-UA"/>
    </w:rPr>
  </w:style>
  <w:style w:type="paragraph" w:styleId="97">
    <w:name w:val="Основной текст с отступом97"/>
    <w:basedOn w:val="Normal"/>
    <w:qFormat/>
    <w:pPr>
      <w:ind w:firstLine="708"/>
      <w:jc w:val="both"/>
    </w:pPr>
    <w:rPr>
      <w:rFonts w:ascii="Arial" w:hAnsi="Arial" w:eastAsia="Times New Roman" w:cs="Arial"/>
      <w:b/>
      <w:sz w:val="18"/>
      <w:lang w:val="uk-UA"/>
    </w:rPr>
  </w:style>
  <w:style w:type="paragraph" w:styleId="99">
    <w:name w:val="Основной текст с отступом99"/>
    <w:basedOn w:val="Normal"/>
    <w:qFormat/>
    <w:pPr>
      <w:ind w:firstLine="708"/>
      <w:jc w:val="both"/>
    </w:pPr>
    <w:rPr>
      <w:rFonts w:ascii="Arial" w:hAnsi="Arial" w:eastAsia="Times New Roman" w:cs="Arial"/>
      <w:b/>
      <w:sz w:val="18"/>
      <w:lang w:val="uk-UA"/>
    </w:rPr>
  </w:style>
  <w:style w:type="paragraph" w:styleId="100">
    <w:name w:val="Основной текст с отступом100"/>
    <w:basedOn w:val="Normal"/>
    <w:qFormat/>
    <w:pPr>
      <w:ind w:firstLine="708"/>
      <w:jc w:val="both"/>
    </w:pPr>
    <w:rPr>
      <w:rFonts w:ascii="Arial" w:hAnsi="Arial" w:eastAsia="Times New Roman" w:cs="Arial"/>
      <w:b/>
      <w:sz w:val="18"/>
      <w:lang w:val="uk-UA"/>
    </w:rPr>
  </w:style>
  <w:style w:type="paragraph" w:styleId="101">
    <w:name w:val="Основной текст с отступом101"/>
    <w:basedOn w:val="Normal"/>
    <w:qFormat/>
    <w:pPr>
      <w:ind w:firstLine="708"/>
      <w:jc w:val="both"/>
    </w:pPr>
    <w:rPr>
      <w:rFonts w:ascii="Arial" w:hAnsi="Arial" w:eastAsia="Times New Roman" w:cs="Arial"/>
      <w:b/>
      <w:sz w:val="18"/>
      <w:lang w:val="uk-UA"/>
    </w:rPr>
  </w:style>
  <w:style w:type="paragraph" w:styleId="102">
    <w:name w:val="Основной текст с отступом102"/>
    <w:basedOn w:val="Normal"/>
    <w:qFormat/>
    <w:pPr>
      <w:ind w:firstLine="708"/>
      <w:jc w:val="both"/>
    </w:pPr>
    <w:rPr>
      <w:rFonts w:ascii="Arial" w:hAnsi="Arial" w:eastAsia="Times New Roman" w:cs="Arial"/>
      <w:b/>
      <w:sz w:val="18"/>
      <w:lang w:val="uk-UA"/>
    </w:rPr>
  </w:style>
  <w:style w:type="paragraph" w:styleId="103">
    <w:name w:val="Основной текст с отступом103"/>
    <w:basedOn w:val="Normal"/>
    <w:qFormat/>
    <w:pPr>
      <w:ind w:firstLine="708"/>
      <w:jc w:val="both"/>
    </w:pPr>
    <w:rPr>
      <w:rFonts w:ascii="Arial" w:hAnsi="Arial" w:eastAsia="Times New Roman" w:cs="Arial"/>
      <w:b/>
      <w:sz w:val="18"/>
      <w:lang w:val="uk-UA"/>
    </w:rPr>
  </w:style>
  <w:style w:type="paragraph" w:styleId="104">
    <w:name w:val="Основной текст с отступом104"/>
    <w:basedOn w:val="Normal"/>
    <w:qFormat/>
    <w:pPr>
      <w:ind w:firstLine="708"/>
      <w:jc w:val="both"/>
    </w:pPr>
    <w:rPr>
      <w:rFonts w:ascii="Arial" w:hAnsi="Arial" w:eastAsia="Times New Roman" w:cs="Arial"/>
      <w:b/>
      <w:sz w:val="18"/>
      <w:lang w:val="uk-UA"/>
    </w:rPr>
  </w:style>
  <w:style w:type="paragraph" w:styleId="105">
    <w:name w:val="Основной текст с отступом105"/>
    <w:basedOn w:val="Normal"/>
    <w:qFormat/>
    <w:pPr>
      <w:ind w:firstLine="708"/>
      <w:jc w:val="both"/>
    </w:pPr>
    <w:rPr>
      <w:rFonts w:ascii="Arial" w:hAnsi="Arial" w:eastAsia="Times New Roman" w:cs="Arial"/>
      <w:b/>
      <w:sz w:val="18"/>
      <w:lang w:val="uk-UA"/>
    </w:rPr>
  </w:style>
  <w:style w:type="paragraph" w:styleId="107">
    <w:name w:val="Основной текст с отступом107"/>
    <w:basedOn w:val="Normal"/>
    <w:qFormat/>
    <w:pPr>
      <w:ind w:firstLine="708"/>
      <w:jc w:val="both"/>
    </w:pPr>
    <w:rPr>
      <w:rFonts w:ascii="Arial" w:hAnsi="Arial" w:eastAsia="Times New Roman" w:cs="Arial"/>
      <w:b/>
      <w:sz w:val="18"/>
      <w:lang w:val="uk-UA"/>
    </w:rPr>
  </w:style>
  <w:style w:type="paragraph" w:styleId="109">
    <w:name w:val="Основной текст с отступом109"/>
    <w:basedOn w:val="Normal"/>
    <w:qFormat/>
    <w:pPr>
      <w:ind w:firstLine="708"/>
      <w:jc w:val="both"/>
    </w:pPr>
    <w:rPr>
      <w:rFonts w:ascii="Arial" w:hAnsi="Arial" w:eastAsia="Times New Roman" w:cs="Arial"/>
      <w:b/>
      <w:sz w:val="18"/>
      <w:lang w:val="uk-UA"/>
    </w:rPr>
  </w:style>
  <w:style w:type="paragraph" w:styleId="1111">
    <w:name w:val="Основной текст с отступом111"/>
    <w:basedOn w:val="Normal"/>
    <w:qFormat/>
    <w:pPr>
      <w:ind w:firstLine="708"/>
      <w:jc w:val="both"/>
    </w:pPr>
    <w:rPr>
      <w:rFonts w:ascii="Arial" w:hAnsi="Arial" w:eastAsia="Times New Roman" w:cs="Arial"/>
      <w:b/>
      <w:sz w:val="18"/>
      <w:lang w:val="uk-UA"/>
    </w:rPr>
  </w:style>
  <w:style w:type="paragraph" w:styleId="1121">
    <w:name w:val="Основной текст с отступом112"/>
    <w:basedOn w:val="Normal"/>
    <w:qFormat/>
    <w:pPr>
      <w:ind w:firstLine="708"/>
      <w:jc w:val="both"/>
    </w:pPr>
    <w:rPr>
      <w:rFonts w:ascii="Arial" w:hAnsi="Arial" w:eastAsia="Times New Roman" w:cs="Arial"/>
      <w:b/>
      <w:sz w:val="18"/>
      <w:lang w:val="uk-UA"/>
    </w:rPr>
  </w:style>
  <w:style w:type="paragraph" w:styleId="113">
    <w:name w:val="Основной текст с отступом113"/>
    <w:basedOn w:val="Normal"/>
    <w:qFormat/>
    <w:pPr>
      <w:ind w:firstLine="708"/>
      <w:jc w:val="both"/>
    </w:pPr>
    <w:rPr>
      <w:rFonts w:ascii="Arial" w:hAnsi="Arial" w:eastAsia="Times New Roman" w:cs="Arial"/>
      <w:b/>
      <w:sz w:val="18"/>
      <w:lang w:val="uk-UA"/>
    </w:rPr>
  </w:style>
  <w:style w:type="paragraph" w:styleId="114">
    <w:name w:val="Основной текст с отступом114"/>
    <w:basedOn w:val="Normal"/>
    <w:qFormat/>
    <w:pPr>
      <w:ind w:firstLine="708"/>
      <w:jc w:val="both"/>
    </w:pPr>
    <w:rPr>
      <w:rFonts w:ascii="Arial" w:hAnsi="Arial" w:eastAsia="Times New Roman" w:cs="Arial"/>
      <w:b/>
      <w:sz w:val="18"/>
      <w:lang w:val="uk-UA"/>
    </w:rPr>
  </w:style>
  <w:style w:type="paragraph" w:styleId="115">
    <w:name w:val="Основной текст с отступом115"/>
    <w:basedOn w:val="Normal"/>
    <w:qFormat/>
    <w:pPr>
      <w:ind w:firstLine="708"/>
      <w:jc w:val="both"/>
    </w:pPr>
    <w:rPr>
      <w:rFonts w:ascii="Arial" w:hAnsi="Arial" w:eastAsia="Times New Roman" w:cs="Arial"/>
      <w:b/>
      <w:sz w:val="18"/>
      <w:lang w:val="uk-UA"/>
    </w:rPr>
  </w:style>
  <w:style w:type="paragraph" w:styleId="116">
    <w:name w:val="Основной текст с отступом116"/>
    <w:basedOn w:val="Normal"/>
    <w:qFormat/>
    <w:pPr>
      <w:ind w:firstLine="708"/>
      <w:jc w:val="both"/>
    </w:pPr>
    <w:rPr>
      <w:rFonts w:ascii="Arial" w:hAnsi="Arial" w:eastAsia="Times New Roman" w:cs="Arial"/>
      <w:b/>
      <w:sz w:val="18"/>
      <w:lang w:val="uk-UA"/>
    </w:rPr>
  </w:style>
  <w:style w:type="paragraph" w:styleId="117">
    <w:name w:val="Основной текст с отступом117"/>
    <w:basedOn w:val="Normal"/>
    <w:qFormat/>
    <w:pPr>
      <w:ind w:firstLine="708"/>
      <w:jc w:val="both"/>
    </w:pPr>
    <w:rPr>
      <w:rFonts w:ascii="Arial" w:hAnsi="Arial" w:eastAsia="Times New Roman" w:cs="Arial"/>
      <w:b/>
      <w:sz w:val="18"/>
      <w:lang w:val="uk-UA"/>
    </w:rPr>
  </w:style>
  <w:style w:type="paragraph" w:styleId="118">
    <w:name w:val="Основной текст с отступом118"/>
    <w:basedOn w:val="Normal"/>
    <w:qFormat/>
    <w:pPr>
      <w:ind w:firstLine="708"/>
      <w:jc w:val="both"/>
    </w:pPr>
    <w:rPr>
      <w:rFonts w:ascii="Arial" w:hAnsi="Arial" w:eastAsia="Times New Roman" w:cs="Arial"/>
      <w:b/>
      <w:sz w:val="18"/>
      <w:lang w:val="uk-UA"/>
    </w:rPr>
  </w:style>
  <w:style w:type="paragraph" w:styleId="119">
    <w:name w:val="Основной текст с отступом119"/>
    <w:basedOn w:val="Normal"/>
    <w:qFormat/>
    <w:pPr>
      <w:ind w:firstLine="708"/>
      <w:jc w:val="both"/>
    </w:pPr>
    <w:rPr>
      <w:rFonts w:ascii="Arial" w:hAnsi="Arial" w:eastAsia="Times New Roman" w:cs="Arial"/>
      <w:b/>
      <w:sz w:val="18"/>
      <w:lang w:val="uk-UA"/>
    </w:rPr>
  </w:style>
  <w:style w:type="paragraph" w:styleId="120">
    <w:name w:val="Основной текст с отступом120"/>
    <w:basedOn w:val="Normal"/>
    <w:qFormat/>
    <w:pPr>
      <w:ind w:firstLine="708"/>
      <w:jc w:val="both"/>
    </w:pPr>
    <w:rPr>
      <w:rFonts w:ascii="Arial" w:hAnsi="Arial" w:eastAsia="Times New Roman" w:cs="Arial"/>
      <w:b/>
      <w:sz w:val="18"/>
      <w:lang w:val="uk-UA"/>
    </w:rPr>
  </w:style>
  <w:style w:type="paragraph" w:styleId="1211">
    <w:name w:val="Основной текст с отступом121"/>
    <w:basedOn w:val="Normal"/>
    <w:qFormat/>
    <w:pPr>
      <w:ind w:firstLine="708"/>
      <w:jc w:val="both"/>
    </w:pPr>
    <w:rPr>
      <w:rFonts w:ascii="Arial" w:hAnsi="Arial" w:eastAsia="Times New Roman" w:cs="Arial"/>
      <w:b/>
      <w:sz w:val="18"/>
      <w:lang w:val="uk-UA"/>
    </w:rPr>
  </w:style>
  <w:style w:type="paragraph" w:styleId="122">
    <w:name w:val="Основной текст с отступом122"/>
    <w:basedOn w:val="Normal"/>
    <w:qFormat/>
    <w:pPr>
      <w:ind w:firstLine="708"/>
      <w:jc w:val="both"/>
    </w:pPr>
    <w:rPr>
      <w:rFonts w:ascii="Arial" w:hAnsi="Arial" w:eastAsia="Times New Roman" w:cs="Arial"/>
      <w:b/>
      <w:sz w:val="18"/>
      <w:lang w:val="uk-UA"/>
    </w:rPr>
  </w:style>
  <w:style w:type="paragraph" w:styleId="125">
    <w:name w:val="Основной текст с отступом125"/>
    <w:basedOn w:val="Normal"/>
    <w:qFormat/>
    <w:pPr>
      <w:ind w:firstLine="708"/>
      <w:jc w:val="both"/>
    </w:pPr>
    <w:rPr>
      <w:rFonts w:ascii="Arial" w:hAnsi="Arial" w:eastAsia="Times New Roman" w:cs="Arial"/>
      <w:b/>
      <w:sz w:val="18"/>
      <w:lang w:val="uk-UA"/>
    </w:rPr>
  </w:style>
  <w:style w:type="paragraph" w:styleId="124">
    <w:name w:val="Основной текст с отступом124"/>
    <w:basedOn w:val="Normal"/>
    <w:qFormat/>
    <w:pPr>
      <w:ind w:firstLine="708"/>
      <w:jc w:val="both"/>
    </w:pPr>
    <w:rPr>
      <w:rFonts w:ascii="Arial" w:hAnsi="Arial" w:eastAsia="Times New Roman" w:cs="Arial"/>
      <w:b/>
      <w:sz w:val="18"/>
      <w:lang w:val="uk-UA"/>
    </w:rPr>
  </w:style>
  <w:style w:type="paragraph" w:styleId="126">
    <w:name w:val="Основной текст с отступом126"/>
    <w:basedOn w:val="Normal"/>
    <w:qFormat/>
    <w:pPr>
      <w:ind w:firstLine="708"/>
      <w:jc w:val="both"/>
    </w:pPr>
    <w:rPr>
      <w:rFonts w:ascii="Arial" w:hAnsi="Arial" w:eastAsia="Times New Roman" w:cs="Arial"/>
      <w:b/>
      <w:sz w:val="18"/>
      <w:lang w:val="uk-UA"/>
    </w:rPr>
  </w:style>
  <w:style w:type="paragraph" w:styleId="127">
    <w:name w:val="Основной текст с отступом127"/>
    <w:basedOn w:val="Normal"/>
    <w:qFormat/>
    <w:pPr>
      <w:ind w:firstLine="708"/>
      <w:jc w:val="both"/>
    </w:pPr>
    <w:rPr>
      <w:rFonts w:ascii="Arial" w:hAnsi="Arial" w:eastAsia="Times New Roman" w:cs="Arial"/>
      <w:b/>
      <w:sz w:val="18"/>
      <w:lang w:val="uk-UA"/>
    </w:rPr>
  </w:style>
  <w:style w:type="paragraph" w:styleId="128">
    <w:name w:val="Основной текст с отступом128"/>
    <w:basedOn w:val="Normal"/>
    <w:qFormat/>
    <w:pPr>
      <w:ind w:firstLine="708"/>
      <w:jc w:val="both"/>
    </w:pPr>
    <w:rPr>
      <w:rFonts w:ascii="Arial" w:hAnsi="Arial" w:eastAsia="Times New Roman" w:cs="Arial"/>
      <w:b/>
      <w:sz w:val="18"/>
      <w:lang w:val="uk-UA"/>
    </w:rPr>
  </w:style>
  <w:style w:type="paragraph" w:styleId="129">
    <w:name w:val="Основной текст с отступом129"/>
    <w:basedOn w:val="Normal"/>
    <w:qFormat/>
    <w:pPr>
      <w:ind w:firstLine="708"/>
      <w:jc w:val="both"/>
    </w:pPr>
    <w:rPr>
      <w:rFonts w:ascii="Arial" w:hAnsi="Arial" w:eastAsia="Times New Roman" w:cs="Arial"/>
      <w:b/>
      <w:sz w:val="18"/>
      <w:lang w:val="uk-UA"/>
    </w:rPr>
  </w:style>
  <w:style w:type="paragraph" w:styleId="130">
    <w:name w:val="Основной текст с отступом130"/>
    <w:basedOn w:val="Normal"/>
    <w:qFormat/>
    <w:pPr>
      <w:ind w:firstLine="708"/>
      <w:jc w:val="both"/>
    </w:pPr>
    <w:rPr>
      <w:rFonts w:ascii="Arial" w:hAnsi="Arial" w:eastAsia="Times New Roman" w:cs="Arial"/>
      <w:b/>
      <w:sz w:val="18"/>
      <w:lang w:val="uk-UA"/>
    </w:rPr>
  </w:style>
  <w:style w:type="paragraph" w:styleId="131">
    <w:name w:val="Основной текст с отступом131"/>
    <w:basedOn w:val="Normal"/>
    <w:qFormat/>
    <w:pPr>
      <w:ind w:firstLine="708"/>
      <w:jc w:val="both"/>
    </w:pPr>
    <w:rPr>
      <w:rFonts w:ascii="Arial" w:hAnsi="Arial" w:eastAsia="Times New Roman" w:cs="Arial"/>
      <w:b/>
      <w:sz w:val="18"/>
      <w:lang w:val="uk-UA"/>
    </w:rPr>
  </w:style>
  <w:style w:type="paragraph" w:styleId="133">
    <w:name w:val="Основной текст с отступом133"/>
    <w:basedOn w:val="Normal"/>
    <w:qFormat/>
    <w:pPr>
      <w:ind w:firstLine="708"/>
      <w:jc w:val="both"/>
    </w:pPr>
    <w:rPr>
      <w:rFonts w:ascii="Arial" w:hAnsi="Arial" w:eastAsia="Times New Roman" w:cs="Arial"/>
      <w:b/>
      <w:sz w:val="18"/>
      <w:lang w:val="uk-UA"/>
    </w:rPr>
  </w:style>
  <w:style w:type="paragraph" w:styleId="132">
    <w:name w:val="Основной текст с отступом132"/>
    <w:basedOn w:val="Normal"/>
    <w:qFormat/>
    <w:pPr>
      <w:ind w:firstLine="708"/>
      <w:jc w:val="both"/>
    </w:pPr>
    <w:rPr>
      <w:rFonts w:ascii="Arial" w:hAnsi="Arial" w:eastAsia="Times New Roman" w:cs="Arial"/>
      <w:b/>
      <w:sz w:val="18"/>
      <w:lang w:val="uk-UA"/>
    </w:rPr>
  </w:style>
  <w:style w:type="paragraph" w:styleId="135">
    <w:name w:val="Основной текст с отступом135"/>
    <w:basedOn w:val="Normal"/>
    <w:qFormat/>
    <w:pPr>
      <w:ind w:firstLine="708"/>
      <w:jc w:val="both"/>
    </w:pPr>
    <w:rPr>
      <w:rFonts w:ascii="Arial" w:hAnsi="Arial" w:eastAsia="Times New Roman" w:cs="Arial"/>
      <w:b/>
      <w:sz w:val="18"/>
      <w:lang w:val="uk-UA"/>
    </w:rPr>
  </w:style>
  <w:style w:type="paragraph" w:styleId="136">
    <w:name w:val="Основной текст с отступом136"/>
    <w:basedOn w:val="Normal"/>
    <w:qFormat/>
    <w:pPr>
      <w:ind w:firstLine="708"/>
      <w:jc w:val="both"/>
    </w:pPr>
    <w:rPr>
      <w:rFonts w:ascii="Arial" w:hAnsi="Arial" w:eastAsia="Times New Roman" w:cs="Arial"/>
      <w:b/>
      <w:sz w:val="18"/>
      <w:lang w:val="uk-UA"/>
    </w:rPr>
  </w:style>
  <w:style w:type="paragraph" w:styleId="137">
    <w:name w:val="Основной текст с отступом137"/>
    <w:basedOn w:val="Normal"/>
    <w:qFormat/>
    <w:pPr>
      <w:ind w:firstLine="708"/>
      <w:jc w:val="both"/>
    </w:pPr>
    <w:rPr>
      <w:rFonts w:ascii="Arial" w:hAnsi="Arial" w:eastAsia="Times New Roman" w:cs="Arial"/>
      <w:b/>
      <w:sz w:val="18"/>
      <w:lang w:val="uk-UA"/>
    </w:rPr>
  </w:style>
  <w:style w:type="paragraph" w:styleId="138">
    <w:name w:val="Основной текст с отступом138"/>
    <w:basedOn w:val="Normal"/>
    <w:qFormat/>
    <w:pPr>
      <w:ind w:firstLine="708"/>
      <w:jc w:val="both"/>
    </w:pPr>
    <w:rPr>
      <w:rFonts w:ascii="Arial" w:hAnsi="Arial" w:eastAsia="Times New Roman" w:cs="Arial"/>
      <w:b/>
      <w:sz w:val="18"/>
      <w:lang w:val="uk-UA"/>
    </w:rPr>
  </w:style>
  <w:style w:type="paragraph" w:styleId="139">
    <w:name w:val="Основной текст с отступом139"/>
    <w:basedOn w:val="Normal"/>
    <w:qFormat/>
    <w:pPr>
      <w:ind w:firstLine="708"/>
      <w:jc w:val="both"/>
    </w:pPr>
    <w:rPr>
      <w:rFonts w:ascii="Arial" w:hAnsi="Arial" w:eastAsia="Times New Roman" w:cs="Arial"/>
      <w:b/>
      <w:sz w:val="18"/>
      <w:lang w:val="uk-UA"/>
    </w:rPr>
  </w:style>
  <w:style w:type="paragraph" w:styleId="140">
    <w:name w:val="Основной текст с отступом140"/>
    <w:basedOn w:val="Normal"/>
    <w:qFormat/>
    <w:pPr>
      <w:ind w:firstLine="708"/>
      <w:jc w:val="both"/>
    </w:pPr>
    <w:rPr>
      <w:rFonts w:ascii="Arial" w:hAnsi="Arial" w:eastAsia="Times New Roman" w:cs="Arial"/>
      <w:b/>
      <w:sz w:val="18"/>
      <w:lang w:val="uk-UA"/>
    </w:rPr>
  </w:style>
  <w:style w:type="paragraph" w:styleId="1411">
    <w:name w:val="Основной текст с отступом141"/>
    <w:basedOn w:val="Normal"/>
    <w:qFormat/>
    <w:pPr>
      <w:ind w:firstLine="708"/>
      <w:jc w:val="both"/>
    </w:pPr>
    <w:rPr>
      <w:rFonts w:ascii="Arial" w:hAnsi="Arial" w:eastAsia="Times New Roman" w:cs="Arial"/>
      <w:b/>
      <w:sz w:val="18"/>
      <w:lang w:val="uk-UA"/>
    </w:rPr>
  </w:style>
  <w:style w:type="paragraph" w:styleId="Arial92">
    <w:name w:val="Arial9(без отступов)"/>
    <w:qFormat/>
    <w:pPr>
      <w:widowControl/>
      <w:ind w:left="-113" w:hanging="0"/>
    </w:pPr>
    <w:rPr>
      <w:rFonts w:ascii="Arial" w:hAnsi="Arial" w:eastAsia="Calibri" w:cs="Arial"/>
      <w:color w:val="auto"/>
      <w:sz w:val="18"/>
      <w:szCs w:val="18"/>
      <w:lang w:val="ru-RU" w:bidi="ar-SA" w:eastAsia="zh-CN"/>
    </w:rPr>
  </w:style>
  <w:style w:type="paragraph" w:styleId="Style27">
    <w:name w:val="Абзац списка"/>
    <w:basedOn w:val="Normal"/>
    <w:qFormat/>
    <w:pPr>
      <w:snapToGrid w:val="false"/>
      <w:spacing w:before="0" w:after="0"/>
      <w:ind w:left="720" w:hanging="0"/>
      <w:contextualSpacing/>
    </w:pPr>
    <w:rPr>
      <w:rFonts w:ascii="Arial" w:hAnsi="Arial" w:eastAsia="Times New Roman" w:cs="Arial"/>
      <w:sz w:val="28"/>
    </w:rPr>
  </w:style>
  <w:style w:type="paragraph" w:styleId="Arial93">
    <w:name w:val="Arial9(жирн)"/>
    <w:qFormat/>
    <w:pPr>
      <w:keepNext w:val="true"/>
      <w:widowControl/>
      <w:tabs>
        <w:tab w:val="left" w:pos="210" w:leader="none"/>
      </w:tabs>
      <w:autoSpaceDE w:val="false"/>
      <w:spacing w:before="120" w:after="0"/>
    </w:pPr>
    <w:rPr>
      <w:rFonts w:ascii="Arial" w:hAnsi="Arial" w:eastAsia="Times New Roman" w:cs="Arial"/>
      <w:b/>
      <w:bCs/>
      <w:color w:val="auto"/>
      <w:sz w:val="18"/>
      <w:szCs w:val="20"/>
      <w:lang w:val="en-US" w:bidi="ar-SA" w:eastAsia="zh-CN"/>
    </w:rPr>
  </w:style>
  <w:style w:type="paragraph" w:styleId="Arial961">
    <w:name w:val="Arial9+6пт"/>
    <w:basedOn w:val="Normal"/>
    <w:qFormat/>
    <w:pPr>
      <w:snapToGrid w:val="false"/>
      <w:spacing w:before="120" w:after="0"/>
    </w:pPr>
    <w:rPr>
      <w:rFonts w:ascii="Arial" w:hAnsi="Arial" w:cs="Arial"/>
      <w:sz w:val="18"/>
      <w:lang w:val="ru-RU"/>
    </w:rPr>
  </w:style>
  <w:style w:type="paragraph" w:styleId="Msonormal">
    <w:name w:val="msonormal"/>
    <w:basedOn w:val="Normal"/>
    <w:qFormat/>
    <w:pPr>
      <w:spacing w:before="280" w:after="280"/>
    </w:pPr>
    <w:rPr>
      <w:sz w:val="24"/>
      <w:szCs w:val="24"/>
      <w:lang w:val="en-US"/>
    </w:rPr>
  </w:style>
  <w:style w:type="paragraph" w:styleId="27">
    <w:name w:val="Основной текст 2"/>
    <w:basedOn w:val="Normal"/>
    <w:qFormat/>
    <w:pPr/>
    <w:rPr>
      <w:sz w:val="24"/>
      <w:szCs w:val="24"/>
      <w:lang w:val="en-US"/>
    </w:rPr>
  </w:style>
  <w:style w:type="paragraph" w:styleId="Style28">
    <w:name w:val="Название"/>
    <w:basedOn w:val="Normal"/>
    <w:qFormat/>
    <w:pPr/>
    <w:rPr>
      <w:rFonts w:ascii="Cambria" w:hAnsi="Cambria" w:cs="Cambria"/>
      <w:color w:val="17365D"/>
      <w:spacing w:val="5"/>
      <w:lang w:val="en-US"/>
    </w:rPr>
  </w:style>
  <w:style w:type="paragraph" w:styleId="210">
    <w:name w:val="Верхній колонтитул2"/>
    <w:basedOn w:val="Normal"/>
    <w:qFormat/>
    <w:pPr/>
    <w:rPr>
      <w:rFonts w:ascii="Calibri" w:hAnsi="Calibri" w:cs="Calibri"/>
      <w:lang w:val="en-US"/>
    </w:rPr>
  </w:style>
  <w:style w:type="paragraph" w:styleId="213">
    <w:name w:val="Нижній колонтитул2"/>
    <w:basedOn w:val="Normal"/>
    <w:qFormat/>
    <w:pPr/>
    <w:rPr>
      <w:rFonts w:ascii="Calibri" w:hAnsi="Calibri" w:cs="Calibri"/>
      <w:lang w:val="en-US"/>
    </w:rPr>
  </w:style>
  <w:style w:type="paragraph" w:styleId="214">
    <w:name w:val="Назва2"/>
    <w:basedOn w:val="Normal"/>
    <w:qFormat/>
    <w:pPr/>
    <w:rPr>
      <w:rFonts w:ascii="Calibri Light" w:hAnsi="Calibri Light" w:cs="Calibri Light"/>
      <w:spacing w:val="-10"/>
      <w:lang w:val="en-US"/>
    </w:rPr>
  </w:style>
  <w:style w:type="paragraph" w:styleId="223">
    <w:name w:val="Основний текст 22"/>
    <w:basedOn w:val="Normal"/>
    <w:qFormat/>
    <w:pPr/>
    <w:rPr>
      <w:rFonts w:ascii="Calibri" w:hAnsi="Calibri" w:cs="Calibri"/>
      <w:lang w:val="en-US"/>
    </w:rPr>
  </w:style>
  <w:style w:type="paragraph" w:styleId="215">
    <w:name w:val="Текст у виносці2"/>
    <w:basedOn w:val="Normal"/>
    <w:qFormat/>
    <w:pPr/>
    <w:rPr>
      <w:rFonts w:ascii="Segoe UI" w:hAnsi="Segoe UI" w:cs="Segoe UI"/>
      <w:lang w:val="en-US"/>
    </w:rPr>
  </w:style>
  <w:style w:type="paragraph" w:styleId="143">
    <w:name w:val="Основной текст с отступом143"/>
    <w:basedOn w:val="Normal"/>
    <w:qFormat/>
    <w:pPr>
      <w:ind w:firstLine="708"/>
      <w:jc w:val="both"/>
    </w:pPr>
    <w:rPr>
      <w:rFonts w:ascii="Arial" w:hAnsi="Arial" w:eastAsia="Times New Roman" w:cs="Arial"/>
      <w:b/>
      <w:sz w:val="18"/>
      <w:lang w:val="en-US"/>
    </w:rPr>
  </w:style>
  <w:style w:type="paragraph" w:styleId="144">
    <w:name w:val="Основной текст с отступом144"/>
    <w:basedOn w:val="Normal"/>
    <w:qFormat/>
    <w:pPr>
      <w:ind w:firstLine="708"/>
      <w:jc w:val="both"/>
    </w:pPr>
    <w:rPr>
      <w:rFonts w:ascii="Arial" w:hAnsi="Arial" w:eastAsia="Times New Roman" w:cs="Arial"/>
      <w:b/>
      <w:sz w:val="18"/>
      <w:lang w:val="en-US"/>
    </w:rPr>
  </w:style>
  <w:style w:type="paragraph" w:styleId="145">
    <w:name w:val="Основной текст с отступом145"/>
    <w:basedOn w:val="Normal"/>
    <w:qFormat/>
    <w:pPr>
      <w:ind w:firstLine="708"/>
      <w:jc w:val="both"/>
    </w:pPr>
    <w:rPr>
      <w:rFonts w:ascii="Arial" w:hAnsi="Arial" w:eastAsia="Times New Roman" w:cs="Arial"/>
      <w:b/>
      <w:sz w:val="18"/>
      <w:lang w:val="en-US"/>
    </w:rPr>
  </w:style>
  <w:style w:type="paragraph" w:styleId="147">
    <w:name w:val="Основной текст с отступом147"/>
    <w:basedOn w:val="Normal"/>
    <w:qFormat/>
    <w:pPr>
      <w:ind w:firstLine="708"/>
      <w:jc w:val="both"/>
    </w:pPr>
    <w:rPr>
      <w:rFonts w:ascii="Arial" w:hAnsi="Arial" w:eastAsia="Times New Roman" w:cs="Arial"/>
      <w:b/>
      <w:sz w:val="18"/>
      <w:lang w:val="en-US"/>
    </w:rPr>
  </w:style>
  <w:style w:type="paragraph" w:styleId="148">
    <w:name w:val="Основной текст с отступом148"/>
    <w:basedOn w:val="Normal"/>
    <w:qFormat/>
    <w:pPr>
      <w:ind w:firstLine="708"/>
      <w:jc w:val="both"/>
    </w:pPr>
    <w:rPr>
      <w:rFonts w:ascii="Arial" w:hAnsi="Arial" w:eastAsia="Times New Roman" w:cs="Arial"/>
      <w:b/>
      <w:sz w:val="18"/>
      <w:lang w:val="en-US"/>
    </w:rPr>
  </w:style>
  <w:style w:type="paragraph" w:styleId="149">
    <w:name w:val="Основной текст с отступом149"/>
    <w:basedOn w:val="Normal"/>
    <w:qFormat/>
    <w:pPr>
      <w:ind w:firstLine="708"/>
      <w:jc w:val="both"/>
    </w:pPr>
    <w:rPr>
      <w:rFonts w:ascii="Arial" w:hAnsi="Arial" w:eastAsia="Times New Roman" w:cs="Arial"/>
      <w:b/>
      <w:sz w:val="18"/>
      <w:lang w:val="en-US"/>
    </w:rPr>
  </w:style>
  <w:style w:type="paragraph" w:styleId="Arial94">
    <w:name w:val="Стиль Arial9(жирн) + не полужирный"/>
    <w:basedOn w:val="Normal"/>
    <w:qFormat/>
    <w:pPr>
      <w:keepNext w:val="true"/>
      <w:tabs>
        <w:tab w:val="left" w:pos="210" w:leader="none"/>
      </w:tabs>
      <w:autoSpaceDE w:val="false"/>
      <w:spacing w:before="120" w:after="0"/>
    </w:pPr>
    <w:rPr>
      <w:rFonts w:ascii="Arial" w:hAnsi="Arial" w:cs="Arial"/>
      <w:b/>
      <w:sz w:val="18"/>
      <w:lang w:val="en-US"/>
    </w:rPr>
  </w:style>
  <w:style w:type="paragraph" w:styleId="150">
    <w:name w:val="Основной текст с отступом150"/>
    <w:basedOn w:val="Normal"/>
    <w:qFormat/>
    <w:pPr>
      <w:ind w:firstLine="708"/>
      <w:jc w:val="both"/>
    </w:pPr>
    <w:rPr>
      <w:rFonts w:ascii="Arial" w:hAnsi="Arial" w:eastAsia="Times New Roman" w:cs="Arial"/>
      <w:b/>
      <w:sz w:val="18"/>
      <w:lang w:val="en-US"/>
    </w:rPr>
  </w:style>
  <w:style w:type="paragraph" w:styleId="156">
    <w:name w:val="Основной текст с отступом156"/>
    <w:basedOn w:val="Normal"/>
    <w:qFormat/>
    <w:pPr>
      <w:ind w:firstLine="708"/>
      <w:jc w:val="both"/>
    </w:pPr>
    <w:rPr>
      <w:rFonts w:ascii="Arial" w:hAnsi="Arial" w:eastAsia="Times New Roman" w:cs="Arial"/>
      <w:b/>
      <w:sz w:val="18"/>
      <w:lang w:val="en-US"/>
    </w:rPr>
  </w:style>
  <w:style w:type="paragraph" w:styleId="157">
    <w:name w:val="Основной текст с отступом157"/>
    <w:basedOn w:val="Normal"/>
    <w:qFormat/>
    <w:pPr>
      <w:ind w:firstLine="708"/>
      <w:jc w:val="both"/>
    </w:pPr>
    <w:rPr>
      <w:rFonts w:ascii="Arial" w:hAnsi="Arial" w:eastAsia="Times New Roman" w:cs="Arial"/>
      <w:b/>
      <w:sz w:val="18"/>
      <w:lang w:val="en-US"/>
    </w:rPr>
  </w:style>
  <w:style w:type="paragraph" w:styleId="162">
    <w:name w:val="Основной текст с отступом162"/>
    <w:basedOn w:val="Normal"/>
    <w:qFormat/>
    <w:pPr>
      <w:ind w:firstLine="708"/>
      <w:jc w:val="both"/>
    </w:pPr>
    <w:rPr>
      <w:rFonts w:ascii="Arial" w:hAnsi="Arial" w:eastAsia="Times New Roman" w:cs="Arial"/>
      <w:b/>
      <w:sz w:val="18"/>
      <w:lang w:val="en-US"/>
    </w:rPr>
  </w:style>
  <w:style w:type="paragraph" w:styleId="163">
    <w:name w:val="Основной текст с отступом163"/>
    <w:basedOn w:val="Normal"/>
    <w:qFormat/>
    <w:pPr>
      <w:ind w:firstLine="708"/>
      <w:jc w:val="both"/>
    </w:pPr>
    <w:rPr>
      <w:rFonts w:ascii="Arial" w:hAnsi="Arial" w:eastAsia="Times New Roman" w:cs="Arial"/>
      <w:b/>
      <w:sz w:val="18"/>
      <w:lang w:val="en-US"/>
    </w:rPr>
  </w:style>
  <w:style w:type="paragraph" w:styleId="165">
    <w:name w:val="Основной текст с отступом165"/>
    <w:basedOn w:val="Normal"/>
    <w:qFormat/>
    <w:pPr>
      <w:ind w:firstLine="708"/>
      <w:jc w:val="both"/>
    </w:pPr>
    <w:rPr>
      <w:rFonts w:ascii="Arial" w:hAnsi="Arial" w:eastAsia="Times New Roman" w:cs="Arial"/>
      <w:b/>
      <w:sz w:val="18"/>
      <w:lang w:val="en-US"/>
    </w:rPr>
  </w:style>
  <w:style w:type="paragraph" w:styleId="168">
    <w:name w:val="Основной текст с отступом168"/>
    <w:basedOn w:val="Normal"/>
    <w:qFormat/>
    <w:pPr>
      <w:ind w:firstLine="708"/>
      <w:jc w:val="both"/>
    </w:pPr>
    <w:rPr>
      <w:rFonts w:ascii="Arial" w:hAnsi="Arial" w:eastAsia="Times New Roman" w:cs="Arial"/>
      <w:b/>
      <w:sz w:val="18"/>
      <w:lang w:val="en-US"/>
    </w:rPr>
  </w:style>
  <w:style w:type="paragraph" w:styleId="169">
    <w:name w:val="Основной текст с отступом169"/>
    <w:basedOn w:val="Normal"/>
    <w:qFormat/>
    <w:pPr>
      <w:ind w:firstLine="708"/>
      <w:jc w:val="both"/>
    </w:pPr>
    <w:rPr>
      <w:rFonts w:ascii="Arial" w:hAnsi="Arial" w:eastAsia="Times New Roman" w:cs="Arial"/>
      <w:b/>
      <w:sz w:val="18"/>
      <w:lang w:val="en-US"/>
    </w:rPr>
  </w:style>
  <w:style w:type="paragraph" w:styleId="170">
    <w:name w:val="Основной текст с отступом170"/>
    <w:basedOn w:val="Normal"/>
    <w:qFormat/>
    <w:pPr>
      <w:ind w:firstLine="708"/>
      <w:jc w:val="both"/>
    </w:pPr>
    <w:rPr>
      <w:rFonts w:ascii="Arial" w:hAnsi="Arial" w:eastAsia="Times New Roman" w:cs="Arial"/>
      <w:b/>
      <w:sz w:val="18"/>
      <w:lang w:val="en-US"/>
    </w:rPr>
  </w:style>
  <w:style w:type="paragraph" w:styleId="171">
    <w:name w:val="Основной текст с отступом171"/>
    <w:basedOn w:val="Normal"/>
    <w:qFormat/>
    <w:pPr>
      <w:ind w:firstLine="708"/>
      <w:jc w:val="both"/>
    </w:pPr>
    <w:rPr>
      <w:rFonts w:ascii="Arial" w:hAnsi="Arial" w:eastAsia="Times New Roman" w:cs="Arial"/>
      <w:b/>
      <w:sz w:val="18"/>
      <w:lang w:val="en-US"/>
    </w:rPr>
  </w:style>
  <w:style w:type="paragraph" w:styleId="172">
    <w:name w:val="Основной текст с отступом172"/>
    <w:basedOn w:val="Normal"/>
    <w:qFormat/>
    <w:pPr>
      <w:ind w:firstLine="708"/>
      <w:jc w:val="both"/>
    </w:pPr>
    <w:rPr>
      <w:rFonts w:ascii="Arial" w:hAnsi="Arial" w:eastAsia="Times New Roman" w:cs="Arial"/>
      <w:b/>
      <w:sz w:val="18"/>
      <w:lang w:val="en-US"/>
    </w:rPr>
  </w:style>
  <w:style w:type="paragraph" w:styleId="173">
    <w:name w:val="Основной текст с отступом173"/>
    <w:basedOn w:val="Normal"/>
    <w:qFormat/>
    <w:pPr>
      <w:ind w:firstLine="708"/>
      <w:jc w:val="both"/>
    </w:pPr>
    <w:rPr>
      <w:rFonts w:ascii="Arial" w:hAnsi="Arial" w:eastAsia="Times New Roman" w:cs="Arial"/>
      <w:b/>
      <w:sz w:val="18"/>
      <w:lang w:val="en-US"/>
    </w:rPr>
  </w:style>
  <w:style w:type="paragraph" w:styleId="174">
    <w:name w:val="Основной текст с отступом174"/>
    <w:basedOn w:val="Normal"/>
    <w:qFormat/>
    <w:pPr>
      <w:ind w:firstLine="708"/>
      <w:jc w:val="both"/>
    </w:pPr>
    <w:rPr>
      <w:rFonts w:ascii="Arial" w:hAnsi="Arial" w:eastAsia="Times New Roman" w:cs="Arial"/>
      <w:b/>
      <w:sz w:val="18"/>
      <w:lang w:val="en-US"/>
    </w:rPr>
  </w:style>
  <w:style w:type="paragraph" w:styleId="175">
    <w:name w:val="Основной текст с отступом175"/>
    <w:basedOn w:val="Normal"/>
    <w:qFormat/>
    <w:pPr>
      <w:ind w:firstLine="708"/>
      <w:jc w:val="both"/>
    </w:pPr>
    <w:rPr>
      <w:rFonts w:ascii="Arial" w:hAnsi="Arial" w:eastAsia="Times New Roman" w:cs="Arial"/>
      <w:b/>
      <w:sz w:val="18"/>
      <w:lang w:val="en-US"/>
    </w:rPr>
  </w:style>
  <w:style w:type="paragraph" w:styleId="176">
    <w:name w:val="Основной текст с отступом176"/>
    <w:basedOn w:val="Normal"/>
    <w:qFormat/>
    <w:pPr>
      <w:ind w:firstLine="708"/>
      <w:jc w:val="both"/>
    </w:pPr>
    <w:rPr>
      <w:rFonts w:ascii="Arial" w:hAnsi="Arial" w:eastAsia="Times New Roman" w:cs="Arial"/>
      <w:b/>
      <w:sz w:val="18"/>
      <w:lang w:val="en-US"/>
    </w:rPr>
  </w:style>
  <w:style w:type="paragraph" w:styleId="177">
    <w:name w:val="Основной текст с отступом177"/>
    <w:basedOn w:val="Normal"/>
    <w:qFormat/>
    <w:pPr>
      <w:ind w:firstLine="708"/>
      <w:jc w:val="both"/>
    </w:pPr>
    <w:rPr>
      <w:rFonts w:ascii="Arial" w:hAnsi="Arial" w:eastAsia="Times New Roman" w:cs="Arial"/>
      <w:b/>
      <w:sz w:val="18"/>
      <w:lang w:val="en-US"/>
    </w:rPr>
  </w:style>
  <w:style w:type="paragraph" w:styleId="178">
    <w:name w:val="Основной текст с отступом178"/>
    <w:basedOn w:val="Normal"/>
    <w:qFormat/>
    <w:pPr>
      <w:ind w:firstLine="708"/>
      <w:jc w:val="both"/>
    </w:pPr>
    <w:rPr>
      <w:rFonts w:ascii="Arial" w:hAnsi="Arial" w:eastAsia="Times New Roman" w:cs="Arial"/>
      <w:b/>
      <w:sz w:val="18"/>
      <w:lang w:val="en-US"/>
    </w:rPr>
  </w:style>
  <w:style w:type="paragraph" w:styleId="179">
    <w:name w:val="Основной текст с отступом179"/>
    <w:basedOn w:val="Normal"/>
    <w:qFormat/>
    <w:pPr>
      <w:ind w:firstLine="708"/>
      <w:jc w:val="both"/>
    </w:pPr>
    <w:rPr>
      <w:rFonts w:ascii="Arial" w:hAnsi="Arial" w:eastAsia="Times New Roman" w:cs="Arial"/>
      <w:b/>
      <w:sz w:val="18"/>
      <w:lang w:val="en-US"/>
    </w:rPr>
  </w:style>
  <w:style w:type="paragraph" w:styleId="180">
    <w:name w:val="Основной текст с отступом180"/>
    <w:basedOn w:val="Normal"/>
    <w:qFormat/>
    <w:pPr>
      <w:ind w:firstLine="708"/>
      <w:jc w:val="both"/>
    </w:pPr>
    <w:rPr>
      <w:rFonts w:ascii="Arial" w:hAnsi="Arial" w:eastAsia="Times New Roman" w:cs="Arial"/>
      <w:b/>
      <w:sz w:val="18"/>
      <w:lang w:val="en-US"/>
    </w:rPr>
  </w:style>
  <w:style w:type="paragraph" w:styleId="181">
    <w:name w:val="Основной текст с отступом181"/>
    <w:basedOn w:val="Normal"/>
    <w:qFormat/>
    <w:pPr>
      <w:ind w:firstLine="708"/>
      <w:jc w:val="both"/>
    </w:pPr>
    <w:rPr>
      <w:rFonts w:ascii="Arial" w:hAnsi="Arial" w:eastAsia="Times New Roman" w:cs="Arial"/>
      <w:b/>
      <w:sz w:val="18"/>
      <w:lang w:val="en-US"/>
    </w:rPr>
  </w:style>
  <w:style w:type="paragraph" w:styleId="182">
    <w:name w:val="Основной текст с отступом182"/>
    <w:basedOn w:val="Normal"/>
    <w:qFormat/>
    <w:pPr>
      <w:ind w:firstLine="708"/>
      <w:jc w:val="both"/>
    </w:pPr>
    <w:rPr>
      <w:rFonts w:ascii="Arial" w:hAnsi="Arial" w:eastAsia="Times New Roman" w:cs="Arial"/>
      <w:b/>
      <w:sz w:val="18"/>
      <w:lang w:val="en-US"/>
    </w:rPr>
  </w:style>
  <w:style w:type="paragraph" w:styleId="123">
    <w:name w:val="Верхній колонтитул1"/>
    <w:basedOn w:val="Normal"/>
    <w:qFormat/>
    <w:pPr/>
    <w:rPr>
      <w:rFonts w:ascii="Calibri" w:hAnsi="Calibri" w:cs="Calibri"/>
      <w:lang w:val="en-US"/>
    </w:rPr>
  </w:style>
  <w:style w:type="paragraph" w:styleId="134">
    <w:name w:val="Нижній колонтитул1"/>
    <w:basedOn w:val="Normal"/>
    <w:qFormat/>
    <w:pPr/>
    <w:rPr>
      <w:rFonts w:ascii="Calibri" w:hAnsi="Calibri" w:cs="Calibri"/>
      <w:lang w:val="en-US"/>
    </w:rPr>
  </w:style>
  <w:style w:type="paragraph" w:styleId="146">
    <w:name w:val="Назва1"/>
    <w:basedOn w:val="Normal"/>
    <w:qFormat/>
    <w:pPr/>
    <w:rPr>
      <w:rFonts w:ascii="Calibri Light" w:hAnsi="Calibri Light" w:cs="Calibri Light"/>
      <w:spacing w:val="-10"/>
      <w:lang w:val="en-US"/>
    </w:rPr>
  </w:style>
  <w:style w:type="paragraph" w:styleId="216">
    <w:name w:val="Основний текст 21"/>
    <w:basedOn w:val="Normal"/>
    <w:qFormat/>
    <w:pPr/>
    <w:rPr>
      <w:rFonts w:ascii="Calibri" w:hAnsi="Calibri" w:cs="Calibri"/>
      <w:lang w:val="en-US"/>
    </w:rPr>
  </w:style>
  <w:style w:type="paragraph" w:styleId="151">
    <w:name w:val="Текст у виносці1"/>
    <w:basedOn w:val="Normal"/>
    <w:qFormat/>
    <w:pPr/>
    <w:rPr>
      <w:rFonts w:ascii="Segoe UI" w:hAnsi="Segoe UI" w:cs="Segoe UI"/>
      <w:lang w:val="en-US"/>
    </w:rPr>
  </w:style>
  <w:style w:type="paragraph" w:styleId="164">
    <w:name w:val="Основной текст с отступом164"/>
    <w:basedOn w:val="Normal"/>
    <w:qFormat/>
    <w:pPr>
      <w:ind w:firstLine="708"/>
      <w:jc w:val="both"/>
    </w:pPr>
    <w:rPr>
      <w:rFonts w:ascii="Arial" w:hAnsi="Arial" w:eastAsia="Times New Roman" w:cs="Arial"/>
      <w:b/>
      <w:sz w:val="18"/>
      <w:lang w:val="en-US"/>
    </w:rPr>
  </w:style>
  <w:style w:type="paragraph" w:styleId="Arial95">
    <w:name w:val="arial9(жирнбез интерв)"/>
    <w:basedOn w:val="Normal"/>
    <w:qFormat/>
    <w:pPr/>
    <w:rPr>
      <w:rFonts w:ascii="Arial" w:hAnsi="Arial" w:cs="Arial"/>
      <w:b/>
      <w:sz w:val="18"/>
    </w:rPr>
  </w:style>
  <w:style w:type="paragraph" w:styleId="203">
    <w:name w:val="Основной текст с отступом203"/>
    <w:basedOn w:val="Normal"/>
    <w:qFormat/>
    <w:pPr>
      <w:ind w:firstLine="708"/>
      <w:jc w:val="both"/>
    </w:pPr>
    <w:rPr>
      <w:rFonts w:ascii="Arial" w:hAnsi="Arial" w:eastAsia="Times New Roman" w:cs="Arial"/>
      <w:b/>
      <w:sz w:val="18"/>
      <w:lang w:val="en-US"/>
    </w:rPr>
  </w:style>
  <w:style w:type="paragraph" w:styleId="204">
    <w:name w:val="Основной текст с отступом204"/>
    <w:basedOn w:val="Normal"/>
    <w:qFormat/>
    <w:pPr>
      <w:ind w:firstLine="708"/>
      <w:jc w:val="both"/>
    </w:pPr>
    <w:rPr>
      <w:rFonts w:ascii="Arial" w:hAnsi="Arial" w:eastAsia="Times New Roman" w:cs="Arial"/>
      <w:b/>
      <w:sz w:val="18"/>
      <w:lang w:val="en-US"/>
    </w:rPr>
  </w:style>
  <w:style w:type="paragraph" w:styleId="217">
    <w:name w:val="Основний текст з відступом2"/>
    <w:basedOn w:val="Normal"/>
    <w:qFormat/>
    <w:pPr>
      <w:ind w:firstLine="708"/>
      <w:jc w:val="both"/>
    </w:pPr>
    <w:rPr>
      <w:rFonts w:ascii="Arial" w:hAnsi="Arial" w:eastAsia="Times New Roman" w:cs="Arial"/>
      <w:b/>
      <w:sz w:val="18"/>
      <w:lang w:val="en-US"/>
    </w:rPr>
  </w:style>
  <w:style w:type="paragraph" w:styleId="152">
    <w:name w:val="Основний текст з відступом1"/>
    <w:basedOn w:val="Normal"/>
    <w:qFormat/>
    <w:pPr>
      <w:ind w:firstLine="708"/>
      <w:jc w:val="both"/>
    </w:pPr>
    <w:rPr>
      <w:rFonts w:ascii="Arial" w:hAnsi="Arial" w:eastAsia="Times New Roman" w:cs="Arial"/>
      <w:b/>
      <w:sz w:val="18"/>
      <w:lang w:val="en-US"/>
    </w:rPr>
  </w:style>
  <w:style w:type="paragraph" w:styleId="207">
    <w:name w:val="Основной текст с отступом207"/>
    <w:basedOn w:val="Normal"/>
    <w:qFormat/>
    <w:pPr>
      <w:ind w:firstLine="708"/>
      <w:jc w:val="both"/>
    </w:pPr>
    <w:rPr>
      <w:rFonts w:ascii="Arial" w:hAnsi="Arial" w:eastAsia="Times New Roman" w:cs="Arial"/>
      <w:b/>
      <w:sz w:val="18"/>
      <w:lang w:val="en-US"/>
    </w:rPr>
  </w:style>
  <w:style w:type="paragraph" w:styleId="2101">
    <w:name w:val="Основной текст с отступом210"/>
    <w:basedOn w:val="Normal"/>
    <w:qFormat/>
    <w:pPr>
      <w:ind w:firstLine="708"/>
      <w:jc w:val="both"/>
    </w:pPr>
    <w:rPr>
      <w:rFonts w:ascii="Arial" w:hAnsi="Arial" w:eastAsia="Times New Roman" w:cs="Arial"/>
      <w:b/>
      <w:sz w:val="18"/>
      <w:lang w:val="en-US"/>
    </w:rPr>
  </w:style>
  <w:style w:type="paragraph" w:styleId="312">
    <w:name w:val="Основний текст з відступом3"/>
    <w:basedOn w:val="Normal"/>
    <w:qFormat/>
    <w:pPr>
      <w:ind w:firstLine="708"/>
      <w:jc w:val="both"/>
    </w:pPr>
    <w:rPr>
      <w:rFonts w:ascii="Arial" w:hAnsi="Arial" w:eastAsia="Times New Roman" w:cs="Arial"/>
      <w:b/>
      <w:sz w:val="18"/>
      <w:lang w:val="en-US"/>
    </w:rPr>
  </w:style>
  <w:style w:type="paragraph" w:styleId="2171">
    <w:name w:val="Основной текст с отступом217"/>
    <w:basedOn w:val="Normal"/>
    <w:qFormat/>
    <w:pPr>
      <w:ind w:firstLine="708"/>
      <w:jc w:val="both"/>
    </w:pPr>
    <w:rPr>
      <w:rFonts w:ascii="Arial" w:hAnsi="Arial" w:eastAsia="Times New Roman" w:cs="Arial"/>
      <w:b/>
      <w:sz w:val="18"/>
      <w:lang w:val="en-US"/>
    </w:rPr>
  </w:style>
  <w:style w:type="paragraph" w:styleId="218">
    <w:name w:val="Основной текст с отступом218"/>
    <w:basedOn w:val="Normal"/>
    <w:qFormat/>
    <w:pPr>
      <w:ind w:firstLine="708"/>
      <w:jc w:val="both"/>
    </w:pPr>
    <w:rPr>
      <w:rFonts w:ascii="Arial" w:hAnsi="Arial" w:eastAsia="Times New Roman" w:cs="Arial"/>
      <w:b/>
      <w:sz w:val="18"/>
      <w:lang w:val="en-US"/>
    </w:rPr>
  </w:style>
  <w:style w:type="paragraph" w:styleId="219">
    <w:name w:val="Основной текст с отступом219"/>
    <w:basedOn w:val="Normal"/>
    <w:qFormat/>
    <w:pPr>
      <w:ind w:firstLine="708"/>
      <w:jc w:val="both"/>
    </w:pPr>
    <w:rPr>
      <w:rFonts w:ascii="Arial" w:hAnsi="Arial" w:eastAsia="Times New Roman" w:cs="Arial"/>
      <w:b/>
      <w:sz w:val="18"/>
      <w:lang w:val="en-US"/>
    </w:rPr>
  </w:style>
  <w:style w:type="paragraph" w:styleId="220">
    <w:name w:val="Основной текст с отступом220"/>
    <w:basedOn w:val="Normal"/>
    <w:qFormat/>
    <w:pPr>
      <w:ind w:firstLine="708"/>
      <w:jc w:val="both"/>
    </w:pPr>
    <w:rPr>
      <w:rFonts w:ascii="Arial" w:hAnsi="Arial" w:eastAsia="Times New Roman" w:cs="Arial"/>
      <w:b/>
      <w:sz w:val="18"/>
      <w:lang w:val="en-US"/>
    </w:rPr>
  </w:style>
  <w:style w:type="paragraph" w:styleId="Style29">
    <w:name w:val="Без интервала"/>
    <w:qFormat/>
    <w:pPr>
      <w:widowControl/>
    </w:pPr>
    <w:rPr>
      <w:rFonts w:ascii="Times New Roman" w:hAnsi="Times New Roman" w:eastAsia="Times New Roman" w:cs="Times New Roman"/>
      <w:color w:val="auto"/>
      <w:sz w:val="24"/>
      <w:szCs w:val="24"/>
      <w:lang w:val="ru-RU" w:bidi="ar-SA" w:eastAsia="zh-CN"/>
    </w:rPr>
  </w:style>
  <w:style w:type="paragraph" w:styleId="2211">
    <w:name w:val="Основной текст с отступом221"/>
    <w:basedOn w:val="Normal"/>
    <w:qFormat/>
    <w:pPr>
      <w:ind w:firstLine="708"/>
      <w:jc w:val="both"/>
    </w:pPr>
    <w:rPr>
      <w:rFonts w:ascii="Arial" w:hAnsi="Arial" w:eastAsia="Times New Roman" w:cs="Arial"/>
      <w:b/>
      <w:sz w:val="18"/>
      <w:lang w:val="en-US"/>
    </w:rPr>
  </w:style>
  <w:style w:type="paragraph" w:styleId="2231">
    <w:name w:val="Основной текст с отступом223"/>
    <w:basedOn w:val="Normal"/>
    <w:qFormat/>
    <w:pPr>
      <w:ind w:firstLine="708"/>
      <w:jc w:val="both"/>
    </w:pPr>
    <w:rPr>
      <w:rFonts w:ascii="Arial" w:hAnsi="Arial" w:eastAsia="Times New Roman" w:cs="Arial"/>
      <w:b/>
      <w:sz w:val="18"/>
      <w:lang w:val="en-U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hyperlink" Target="https://www.whocc.no/atc_ddd_index/" TargetMode="Externa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hyperlink" Target="https://www.whocc.no/atc_ddd_index/" TargetMode="External"/><Relationship Id="rId13" Type="http://schemas.openxmlformats.org/officeDocument/2006/relationships/header" Target="header5.xml"/><Relationship Id="rId14" Type="http://schemas.openxmlformats.org/officeDocument/2006/relationships/header" Target="header6.xml"/><Relationship Id="rId15" Type="http://schemas.openxmlformats.org/officeDocument/2006/relationships/footer" Target="footer5.xml"/><Relationship Id="rId16" Type="http://schemas.openxmlformats.org/officeDocument/2006/relationships/footer" Target="footer6.xml"/><Relationship Id="rId17" Type="http://schemas.openxmlformats.org/officeDocument/2006/relationships/hyperlink" Target="https://www.whocc.no/atc_ddd_index/" TargetMode="External"/><Relationship Id="rId18" Type="http://schemas.openxmlformats.org/officeDocument/2006/relationships/header" Target="header7.xml"/><Relationship Id="rId19" Type="http://schemas.openxmlformats.org/officeDocument/2006/relationships/header" Target="header8.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header" Target="header9.xml"/><Relationship Id="rId23" Type="http://schemas.openxmlformats.org/officeDocument/2006/relationships/header" Target="header10.xml"/><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numbering" Target="numbering.xml"/><Relationship Id="rId27" Type="http://schemas.openxmlformats.org/officeDocument/2006/relationships/fontTable" Target="fontTable.xml"/><Relationship Id="rId2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36</TotalTime>
  <Application>LibreOffice/5.3.6.1$Linux_X86_64 LibreOffice_project/30$Build-1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2026-10-01T14:04:00Z</dcterms:created>
  <dc:creator>Valentina</dc:creator>
  <dc:description/>
  <dc:language>ru-RU</dc:language>
  <cp:lastModifiedBy>Кунцевич Олена Іванівна</cp:lastModifiedBy>
  <cp:lastPrinted>2024-04-04T11:09:00Z</cp:lastPrinted>
  <dcterms:modified xsi:type="dcterms:W3CDTF">2026-10-01T15:34:00Z</dcterms:modified>
  <cp:revision>13</cp:revision>
  <dc:subject/>
  <dc:title/>
</cp:coreProperties>
</file>