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4.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4.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20"/>
        <w:jc w:val="center"/>
        <w:rPr>
          <w:rFonts w:ascii="Times New Roman CYR" w:hAnsi="Times New Roman CYR" w:cs="Times New Roman CYR"/>
          <w:lang w:val="uk-UA"/>
        </w:rPr>
      </w:pPr>
      <w:r>
        <w:rPr>
          <w:rFonts w:cs="Times New Roman CYR" w:ascii="Times New Roman CYR" w:hAnsi="Times New Roman CYR"/>
          <w:lang w:val="uk-UA" w:eastAsia="ru-RU"/>
        </w:rPr>
        <w:drawing>
          <wp:inline distT="0" distB="0" distL="0" distR="0">
            <wp:extent cx="403225" cy="56451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89" t="-64" r="-89" b="-64"/>
                    <a:stretch>
                      <a:fillRect/>
                    </a:stretch>
                  </pic:blipFill>
                  <pic:spPr bwMode="auto">
                    <a:xfrm>
                      <a:off x="0" y="0"/>
                      <a:ext cx="403225" cy="564515"/>
                    </a:xfrm>
                    <a:prstGeom prst="rect">
                      <a:avLst/>
                    </a:prstGeom>
                  </pic:spPr>
                </pic:pic>
              </a:graphicData>
            </a:graphic>
          </wp:inline>
        </w:drawing>
      </w:r>
    </w:p>
    <w:p>
      <w:pPr>
        <w:pStyle w:val="Normal"/>
        <w:numPr>
          <w:ilvl w:val="0"/>
          <w:numId w:val="0"/>
        </w:numPr>
        <w:jc w:val="center"/>
        <w:outlineLvl w:val="0"/>
        <w:rPr>
          <w:b/>
          <w:b/>
          <w:sz w:val="32"/>
          <w:szCs w:val="32"/>
          <w:lang w:val="uk-UA"/>
        </w:rPr>
      </w:pPr>
      <w:r>
        <w:rPr>
          <w:b/>
          <w:sz w:val="32"/>
          <w:szCs w:val="32"/>
          <w:lang w:val="uk-UA"/>
        </w:rPr>
        <w:t>МІНІСТЕРСТВО ОХОРОНИ ЗДОРОВ’Я УКРАЇНИ</w:t>
      </w:r>
    </w:p>
    <w:p>
      <w:pPr>
        <w:pStyle w:val="Normal"/>
        <w:rPr>
          <w:b/>
          <w:b/>
          <w:sz w:val="32"/>
          <w:szCs w:val="32"/>
          <w:lang w:val="uk-UA"/>
        </w:rPr>
      </w:pPr>
      <w:r>
        <w:rPr>
          <w:b/>
          <w:sz w:val="32"/>
          <w:szCs w:val="32"/>
          <w:lang w:val="uk-UA"/>
        </w:rPr>
      </w:r>
    </w:p>
    <w:p>
      <w:pPr>
        <w:pStyle w:val="Normal"/>
        <w:numPr>
          <w:ilvl w:val="0"/>
          <w:numId w:val="0"/>
        </w:numPr>
        <w:jc w:val="center"/>
        <w:outlineLvl w:val="0"/>
        <w:rPr>
          <w:b/>
          <w:b/>
          <w:spacing w:val="60"/>
          <w:sz w:val="30"/>
          <w:szCs w:val="30"/>
          <w:lang w:val="uk-UA"/>
        </w:rPr>
      </w:pPr>
      <w:r>
        <w:rPr>
          <w:b/>
          <w:spacing w:val="60"/>
          <w:sz w:val="30"/>
          <w:szCs w:val="30"/>
          <w:lang w:val="uk-UA"/>
        </w:rPr>
        <w:t>НАКАЗ</w:t>
      </w:r>
    </w:p>
    <w:p>
      <w:pPr>
        <w:pStyle w:val="Normal"/>
        <w:rPr>
          <w:b/>
          <w:b/>
          <w:spacing w:val="60"/>
          <w:sz w:val="30"/>
          <w:szCs w:val="30"/>
          <w:lang w:val="uk-UA"/>
        </w:rPr>
      </w:pPr>
      <w:r>
        <w:rPr>
          <w:b/>
          <w:spacing w:val="60"/>
          <w:sz w:val="30"/>
          <w:szCs w:val="30"/>
          <w:lang w:val="uk-UA"/>
        </w:rPr>
      </w:r>
    </w:p>
    <w:tbl>
      <w:tblPr>
        <w:tblW w:w="10183" w:type="dxa"/>
        <w:jc w:val="left"/>
        <w:tblInd w:w="-72" w:type="dxa"/>
        <w:tblBorders/>
        <w:tblCellMar>
          <w:top w:w="0" w:type="dxa"/>
          <w:left w:w="108" w:type="dxa"/>
          <w:bottom w:w="0" w:type="dxa"/>
          <w:right w:w="108" w:type="dxa"/>
        </w:tblCellMar>
      </w:tblPr>
      <w:tblGrid>
        <w:gridCol w:w="3271"/>
        <w:gridCol w:w="2129"/>
        <w:gridCol w:w="4783"/>
      </w:tblGrid>
      <w:tr>
        <w:trPr/>
        <w:tc>
          <w:tcPr>
            <w:tcW w:w="3271" w:type="dxa"/>
            <w:tcBorders/>
            <w:shd w:fill="auto" w:val="clear"/>
          </w:tcPr>
          <w:p>
            <w:pPr>
              <w:pStyle w:val="Normal"/>
              <w:rPr>
                <w:sz w:val="28"/>
                <w:szCs w:val="28"/>
                <w:lang w:val="uk-UA"/>
              </w:rPr>
            </w:pPr>
            <w:r>
              <w:rPr>
                <w:rFonts w:eastAsia="Times New Roman"/>
                <w:sz w:val="28"/>
                <w:szCs w:val="28"/>
                <w:lang w:val="uk-UA"/>
              </w:rPr>
              <w:t xml:space="preserve">  </w:t>
            </w:r>
          </w:p>
          <w:p>
            <w:pPr>
              <w:pStyle w:val="Normal"/>
              <w:rPr>
                <w:sz w:val="28"/>
                <w:szCs w:val="28"/>
                <w:lang w:val="uk-UA"/>
              </w:rPr>
            </w:pPr>
            <w:r>
              <w:rPr>
                <w:sz w:val="28"/>
                <w:szCs w:val="28"/>
                <w:lang w:val="uk-UA"/>
              </w:rPr>
              <w:t>31 липня 2026 року</w:t>
            </w:r>
          </w:p>
        </w:tc>
        <w:tc>
          <w:tcPr>
            <w:tcW w:w="2129" w:type="dxa"/>
            <w:tcBorders/>
            <w:shd w:fill="auto" w:val="clear"/>
          </w:tcPr>
          <w:p>
            <w:pPr>
              <w:pStyle w:val="Normal"/>
              <w:jc w:val="center"/>
              <w:rPr/>
            </w:pPr>
            <w:r>
              <w:rPr>
                <w:rFonts w:eastAsia="Times New Roman"/>
                <w:sz w:val="24"/>
                <w:szCs w:val="24"/>
                <w:lang w:val="uk-UA"/>
              </w:rPr>
              <w:t xml:space="preserve">                    </w:t>
            </w:r>
            <w:r>
              <w:rPr>
                <w:sz w:val="24"/>
                <w:szCs w:val="24"/>
                <w:lang w:val="uk-UA"/>
              </w:rPr>
              <w:t>Київ</w:t>
            </w:r>
          </w:p>
        </w:tc>
        <w:tc>
          <w:tcPr>
            <w:tcW w:w="4783" w:type="dxa"/>
            <w:tcBorders/>
            <w:shd w:fill="auto" w:val="clear"/>
          </w:tcPr>
          <w:p>
            <w:pPr>
              <w:pStyle w:val="Normal"/>
              <w:snapToGrid w:val="false"/>
              <w:ind w:firstLine="72"/>
              <w:jc w:val="center"/>
              <w:rPr>
                <w:sz w:val="28"/>
                <w:szCs w:val="28"/>
                <w:lang w:val="uk-UA"/>
              </w:rPr>
            </w:pPr>
            <w:r>
              <w:rPr>
                <w:sz w:val="28"/>
                <w:szCs w:val="28"/>
                <w:lang w:val="uk-UA"/>
              </w:rPr>
            </w:r>
          </w:p>
          <w:p>
            <w:pPr>
              <w:pStyle w:val="Normal"/>
              <w:ind w:firstLine="72"/>
              <w:jc w:val="center"/>
              <w:rPr>
                <w:sz w:val="28"/>
                <w:szCs w:val="28"/>
                <w:lang w:val="uk-UA"/>
              </w:rPr>
            </w:pPr>
            <w:r>
              <w:rPr>
                <w:rFonts w:eastAsia="Times New Roman"/>
                <w:sz w:val="28"/>
                <w:szCs w:val="28"/>
                <w:lang w:val="uk-UA"/>
              </w:rPr>
              <w:t xml:space="preserve">                                            </w:t>
            </w:r>
            <w:r>
              <w:rPr>
                <w:sz w:val="28"/>
                <w:szCs w:val="28"/>
                <w:lang w:val="uk-UA"/>
              </w:rPr>
              <w:t>№</w:t>
            </w:r>
            <w:r>
              <w:rPr>
                <w:rFonts w:eastAsia="Times New Roman"/>
                <w:sz w:val="28"/>
                <w:szCs w:val="28"/>
                <w:lang w:val="uk-UA"/>
              </w:rPr>
              <w:t xml:space="preserve"> </w:t>
            </w:r>
            <w:r>
              <w:rPr>
                <w:sz w:val="28"/>
                <w:szCs w:val="28"/>
                <w:lang w:val="uk-UA"/>
              </w:rPr>
              <w:t xml:space="preserve">1060                                           </w:t>
            </w:r>
          </w:p>
          <w:p>
            <w:pPr>
              <w:pStyle w:val="Normal"/>
              <w:ind w:firstLine="72"/>
              <w:jc w:val="center"/>
              <w:rPr>
                <w:sz w:val="28"/>
                <w:szCs w:val="28"/>
                <w:lang w:val="uk-UA"/>
              </w:rPr>
            </w:pPr>
            <w:r>
              <w:rPr>
                <w:sz w:val="28"/>
                <w:szCs w:val="28"/>
                <w:lang w:val="uk-UA"/>
              </w:rPr>
            </w:r>
          </w:p>
        </w:tc>
      </w:tr>
    </w:tbl>
    <w:p>
      <w:pPr>
        <w:pStyle w:val="Normal"/>
        <w:jc w:val="both"/>
        <w:rPr>
          <w:b/>
          <w:b/>
          <w:sz w:val="28"/>
          <w:szCs w:val="28"/>
          <w:lang w:val="uk-UA"/>
        </w:rPr>
      </w:pPr>
      <w:r>
        <w:rPr>
          <w:b/>
          <w:sz w:val="28"/>
          <w:szCs w:val="28"/>
          <w:lang w:val="uk-UA"/>
        </w:rPr>
      </w:r>
    </w:p>
    <w:p>
      <w:pPr>
        <w:pStyle w:val="Normal"/>
        <w:jc w:val="both"/>
        <w:rPr>
          <w:b/>
          <w:b/>
          <w:sz w:val="28"/>
          <w:szCs w:val="28"/>
          <w:lang w:val="uk-UA"/>
        </w:rPr>
      </w:pPr>
      <w:r>
        <w:rPr>
          <w:b/>
          <w:sz w:val="28"/>
          <w:szCs w:val="28"/>
          <w:lang w:val="uk-UA"/>
        </w:rPr>
        <w:t>Про державну реєстрацію лікарських засобів (медичних імунобіологічних препаратів) та внесення змін до реєстраційних матеріалів</w:t>
      </w:r>
    </w:p>
    <w:p>
      <w:pPr>
        <w:pStyle w:val="Normal"/>
        <w:ind w:firstLine="720"/>
        <w:jc w:val="both"/>
        <w:rPr>
          <w:b/>
          <w:b/>
          <w:sz w:val="16"/>
          <w:szCs w:val="16"/>
          <w:lang w:val="uk-UA"/>
        </w:rPr>
      </w:pPr>
      <w:r>
        <w:rPr>
          <w:b/>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HTML1"/>
        <w:ind w:firstLine="72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експертизи реєстраційних матеріалів лікарських засобів (медичних імунобіологічних препаратів), що подані на державну 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лікарського засобу, що пропонується до державної реєстрації, щодо внесення змін до реєстраційних матеріалів та рекомендації його до державної реєстрації або внесення змін до реєстраційних матеріалів,</w:t>
      </w:r>
      <w:r>
        <w:rPr>
          <w:sz w:val="28"/>
          <w:szCs w:val="28"/>
          <w:lang w:val="uk-UA"/>
        </w:rPr>
        <w:t xml:space="preserve"> </w:t>
      </w:r>
      <w:r>
        <w:rPr>
          <w:rFonts w:cs="Times New Roman" w:ascii="Times New Roman" w:hAnsi="Times New Roman"/>
          <w:sz w:val="28"/>
          <w:szCs w:val="28"/>
          <w:lang w:val="uk-UA"/>
        </w:rPr>
        <w:t>що надійшли до Міністерства охорони здоров’я України листом державного підприємства «Державний експертний центр Міністерства охорони здоров’я України» від 24 липня 2026 року № 3165/22.2-26,</w:t>
      </w:r>
    </w:p>
    <w:p>
      <w:pPr>
        <w:pStyle w:val="HTML1"/>
        <w:ind w:firstLine="72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HTML1"/>
        <w:ind w:firstLine="720"/>
        <w:jc w:val="both"/>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33"/>
        <w:ind w:left="0" w:hanging="0"/>
        <w:rPr>
          <w:b/>
          <w:b/>
          <w:bCs/>
          <w:sz w:val="28"/>
          <w:szCs w:val="28"/>
          <w:lang w:val="uk-UA"/>
        </w:rPr>
      </w:pPr>
      <w:r>
        <w:rPr>
          <w:b/>
          <w:bCs/>
          <w:sz w:val="28"/>
          <w:szCs w:val="28"/>
          <w:lang w:val="uk-UA"/>
        </w:rPr>
        <w:t>НАКАЗУЮ:</w:t>
      </w:r>
    </w:p>
    <w:p>
      <w:pPr>
        <w:pStyle w:val="33"/>
        <w:ind w:left="0" w:hanging="0"/>
        <w:rPr>
          <w:b/>
          <w:b/>
          <w:bCs/>
          <w:sz w:val="28"/>
          <w:szCs w:val="28"/>
          <w:lang w:val="uk-UA"/>
        </w:rPr>
      </w:pPr>
      <w:r>
        <w:rPr>
          <w:b/>
          <w:bCs/>
          <w:sz w:val="28"/>
          <w:szCs w:val="28"/>
          <w:lang w:val="uk-UA"/>
        </w:rPr>
      </w:r>
    </w:p>
    <w:p>
      <w:pPr>
        <w:pStyle w:val="Normal"/>
        <w:tabs>
          <w:tab w:val="left" w:pos="1080" w:leader="none"/>
        </w:tabs>
        <w:ind w:firstLine="720"/>
        <w:jc w:val="both"/>
        <w:rPr/>
      </w:pPr>
      <w:r>
        <w:rPr>
          <w:sz w:val="28"/>
          <w:szCs w:val="28"/>
          <w:lang w:val="uk-UA"/>
        </w:rPr>
        <w:t xml:space="preserve">1. Зареєструвати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1.</w:t>
      </w:r>
    </w:p>
    <w:p>
      <w:pPr>
        <w:pStyle w:val="Normal"/>
        <w:tabs>
          <w:tab w:val="left" w:pos="1080" w:leader="none"/>
        </w:tabs>
        <w:ind w:firstLine="720"/>
        <w:jc w:val="both"/>
        <w:rPr>
          <w:sz w:val="28"/>
          <w:szCs w:val="28"/>
          <w:lang w:val="uk-UA"/>
        </w:rPr>
      </w:pPr>
      <w:r>
        <w:rPr>
          <w:sz w:val="28"/>
          <w:szCs w:val="28"/>
          <w:lang w:val="uk-UA"/>
        </w:rPr>
      </w:r>
    </w:p>
    <w:p>
      <w:pPr>
        <w:pStyle w:val="Normal"/>
        <w:tabs>
          <w:tab w:val="left" w:pos="1080" w:leader="none"/>
        </w:tabs>
        <w:ind w:firstLine="720"/>
        <w:jc w:val="both"/>
        <w:rPr>
          <w:sz w:val="28"/>
          <w:szCs w:val="28"/>
          <w:lang w:val="uk-UA"/>
        </w:rPr>
      </w:pPr>
      <w:r>
        <w:rPr>
          <w:sz w:val="28"/>
          <w:szCs w:val="28"/>
          <w:lang w:val="uk-UA"/>
        </w:rPr>
        <w:t xml:space="preserve">2. Внести зміни до реєстраційних матеріалів на </w:t>
      </w:r>
      <w:r>
        <w:rPr>
          <w:sz w:val="28"/>
          <w:szCs w:val="28"/>
          <w:lang w:val="uk-UA" w:eastAsia="ru-RU"/>
        </w:rPr>
        <w:t>лікарські засоби</w:t>
      </w:r>
      <w:r>
        <w:rPr>
          <w:sz w:val="28"/>
          <w:szCs w:val="28"/>
          <w:lang w:val="uk-UA"/>
        </w:rPr>
        <w:t xml:space="preserve"> (медичні імунобіологічні препарати) та до Державного реєстру лікарських засобів згідно з додатком 2.</w:t>
      </w:r>
    </w:p>
    <w:p>
      <w:pPr>
        <w:pStyle w:val="Normal"/>
        <w:tabs>
          <w:tab w:val="left" w:pos="720" w:leader="none"/>
          <w:tab w:val="left" w:pos="993" w:leader="none"/>
        </w:tabs>
        <w:ind w:firstLine="720"/>
        <w:jc w:val="both"/>
        <w:rPr>
          <w:sz w:val="28"/>
          <w:szCs w:val="28"/>
          <w:lang w:val="uk-UA"/>
        </w:rPr>
      </w:pPr>
      <w:r>
        <w:rPr>
          <w:sz w:val="28"/>
          <w:szCs w:val="28"/>
          <w:lang w:val="uk-UA"/>
        </w:rPr>
      </w:r>
    </w:p>
    <w:p>
      <w:pPr>
        <w:pStyle w:val="Normal"/>
        <w:tabs>
          <w:tab w:val="left" w:pos="720" w:leader="none"/>
          <w:tab w:val="left" w:pos="993" w:leader="none"/>
        </w:tabs>
        <w:ind w:firstLine="720"/>
        <w:jc w:val="both"/>
        <w:rPr>
          <w:sz w:val="28"/>
          <w:szCs w:val="28"/>
          <w:lang w:val="uk-UA"/>
        </w:rPr>
      </w:pPr>
      <w:r>
        <w:rPr>
          <w:sz w:val="28"/>
          <w:szCs w:val="28"/>
          <w:lang w:val="uk-UA"/>
        </w:rPr>
        <w:t>3. Фармацевтичному управлінню (Людмилі Ярко) забезпечити оприлюднення цього наказу на офіційному вебсайті Міністерства охорони здоров’я України.</w:t>
      </w:r>
    </w:p>
    <w:p>
      <w:pPr>
        <w:pStyle w:val="Normal"/>
        <w:tabs>
          <w:tab w:val="left" w:pos="1080" w:leader="none"/>
        </w:tabs>
        <w:ind w:firstLine="720"/>
        <w:jc w:val="both"/>
        <w:rPr>
          <w:sz w:val="28"/>
          <w:szCs w:val="28"/>
          <w:lang w:val="uk-UA"/>
        </w:rPr>
      </w:pPr>
      <w:r>
        <w:rPr>
          <w:sz w:val="28"/>
          <w:szCs w:val="28"/>
          <w:lang w:val="uk-UA"/>
        </w:rPr>
      </w:r>
    </w:p>
    <w:p>
      <w:pPr>
        <w:pStyle w:val="Normal"/>
        <w:tabs>
          <w:tab w:val="left" w:pos="720" w:leader="none"/>
          <w:tab w:val="left" w:pos="1080" w:leader="none"/>
        </w:tabs>
        <w:ind w:firstLine="720"/>
        <w:jc w:val="both"/>
        <w:rPr>
          <w:sz w:val="28"/>
          <w:szCs w:val="28"/>
          <w:lang w:val="uk-UA"/>
        </w:rPr>
      </w:pPr>
      <w:r>
        <w:rPr>
          <w:sz w:val="28"/>
          <w:szCs w:val="28"/>
          <w:lang w:val="uk-UA"/>
        </w:rPr>
        <w:t>4. Контроль за виконанням цього наказу покласти на заступника Міністра Євгенія Гончара.</w:t>
      </w:r>
    </w:p>
    <w:p>
      <w:pPr>
        <w:pStyle w:val="33"/>
        <w:spacing w:before="0" w:after="0"/>
        <w:rPr>
          <w:sz w:val="28"/>
          <w:szCs w:val="28"/>
          <w:lang w:val="uk-UA"/>
        </w:rPr>
      </w:pPr>
      <w:r>
        <w:rPr>
          <w:sz w:val="28"/>
          <w:szCs w:val="28"/>
          <w:lang w:val="uk-UA"/>
        </w:rPr>
      </w:r>
    </w:p>
    <w:p>
      <w:pPr>
        <w:pStyle w:val="33"/>
        <w:spacing w:before="0" w:after="0"/>
        <w:rPr>
          <w:sz w:val="28"/>
          <w:szCs w:val="28"/>
          <w:lang w:val="uk-UA"/>
        </w:rPr>
      </w:pPr>
      <w:r>
        <w:rPr>
          <w:sz w:val="28"/>
          <w:szCs w:val="28"/>
          <w:lang w:val="uk-UA"/>
        </w:rPr>
      </w:r>
    </w:p>
    <w:p>
      <w:pPr>
        <w:pStyle w:val="Normal"/>
        <w:rPr>
          <w:b/>
          <w:b/>
          <w:sz w:val="28"/>
          <w:szCs w:val="28"/>
          <w:lang w:val="uk-UA"/>
        </w:rPr>
      </w:pPr>
      <w:r>
        <w:rPr>
          <w:b/>
          <w:sz w:val="28"/>
          <w:szCs w:val="28"/>
          <w:lang w:val="uk-UA"/>
        </w:rPr>
        <w:t>Міністр                                                                                            Віктор ЛЯШКО</w:t>
      </w:r>
    </w:p>
    <w:p>
      <w:pPr>
        <w:sectPr>
          <w:headerReference w:type="default" r:id="rId3"/>
          <w:headerReference w:type="first" r:id="rId4"/>
          <w:footerReference w:type="default" r:id="rId5"/>
          <w:footerReference w:type="first" r:id="rId6"/>
          <w:type w:val="nextPage"/>
          <w:pgSz w:w="11906" w:h="16838"/>
          <w:pgMar w:left="1701" w:right="567" w:header="709" w:top="899" w:footer="709" w:bottom="1701" w:gutter="0"/>
          <w:pgNumType w:fmt="decimal"/>
          <w:formProt w:val="false"/>
          <w:titlePg/>
          <w:textDirection w:val="lrTb"/>
          <w:docGrid w:type="default" w:linePitch="360" w:charSpace="0"/>
        </w:sectPr>
        <w:pStyle w:val="Normal"/>
        <w:rPr>
          <w:lang w:val="uk-UA"/>
        </w:rPr>
      </w:pPr>
      <w:r>
        <w:rPr>
          <w:rFonts w:eastAsia="Times New Roman"/>
          <w:b/>
          <w:sz w:val="28"/>
          <w:szCs w:val="28"/>
          <w:lang w:val="uk-UA"/>
        </w:rPr>
        <w:t xml:space="preserve">  </w:t>
      </w:r>
    </w:p>
    <w:tbl>
      <w:tblPr>
        <w:tblW w:w="3825" w:type="dxa"/>
        <w:jc w:val="left"/>
        <w:tblInd w:w="11448" w:type="dxa"/>
        <w:tblBorders/>
        <w:tblCellMar>
          <w:top w:w="0" w:type="dxa"/>
          <w:left w:w="108" w:type="dxa"/>
          <w:bottom w:w="0" w:type="dxa"/>
          <w:right w:w="108" w:type="dxa"/>
        </w:tblCellMar>
      </w:tblPr>
      <w:tblGrid>
        <w:gridCol w:w="3825"/>
      </w:tblGrid>
      <w:tr>
        <w:trPr>
          <w:trHeight w:val="711" w:hRule="atLeast"/>
        </w:trPr>
        <w:tc>
          <w:tcPr>
            <w:tcW w:w="3825" w:type="dxa"/>
            <w:tcBorders/>
            <w:shd w:fill="auto" w:val="clear"/>
          </w:tcPr>
          <w:p>
            <w:pPr>
              <w:pStyle w:val="Heading4"/>
              <w:numPr>
                <w:ilvl w:val="3"/>
                <w:numId w:val="1"/>
              </w:numPr>
              <w:tabs>
                <w:tab w:val="left" w:pos="12600" w:leader="none"/>
              </w:tabs>
              <w:spacing w:before="0" w:after="0"/>
              <w:rPr>
                <w:sz w:val="18"/>
                <w:szCs w:val="18"/>
                <w:lang w:val="uk-UA"/>
              </w:rPr>
            </w:pPr>
            <w:r>
              <w:rPr>
                <w:sz w:val="18"/>
                <w:szCs w:val="18"/>
                <w:lang w:val="uk-UA"/>
              </w:rPr>
              <w:t>Додаток 1</w:t>
            </w:r>
          </w:p>
          <w:p>
            <w:pPr>
              <w:pStyle w:val="Heading4"/>
              <w:numPr>
                <w:ilvl w:val="3"/>
                <w:numId w:val="1"/>
              </w:numPr>
              <w:tabs>
                <w:tab w:val="left" w:pos="12600" w:leader="none"/>
              </w:tabs>
              <w:spacing w:before="0" w:after="0"/>
              <w:rPr>
                <w:sz w:val="18"/>
                <w:szCs w:val="18"/>
                <w:lang w:val="uk-UA"/>
              </w:rPr>
            </w:pPr>
            <w:r>
              <w:rPr>
                <w:sz w:val="18"/>
                <w:szCs w:val="18"/>
                <w:lang w:val="uk-UA"/>
              </w:rPr>
              <w:t>до наказу Міністерства охорони</w:t>
            </w:r>
          </w:p>
          <w:p>
            <w:pPr>
              <w:pStyle w:val="Heading4"/>
              <w:numPr>
                <w:ilvl w:val="3"/>
                <w:numId w:val="1"/>
              </w:numPr>
              <w:tabs>
                <w:tab w:val="left" w:pos="12600" w:leader="none"/>
              </w:tabs>
              <w:spacing w:before="0" w:after="0"/>
              <w:rPr>
                <w:sz w:val="18"/>
                <w:szCs w:val="18"/>
                <w:lang w:val="uk-UA"/>
              </w:rPr>
            </w:pPr>
            <w:r>
              <w:rPr>
                <w:sz w:val="18"/>
                <w:szCs w:val="18"/>
                <w:lang w:val="uk-UA"/>
              </w:rPr>
              <w:t>здоров’я України «Про державну реєстрацію лікарських засобів (медичних імунобіологічних препаратів) та внесення змін до реєстраційних матеріалів»</w:t>
            </w:r>
          </w:p>
          <w:p>
            <w:pPr>
              <w:pStyle w:val="Heading4"/>
              <w:numPr>
                <w:ilvl w:val="3"/>
                <w:numId w:val="1"/>
              </w:numPr>
              <w:tabs>
                <w:tab w:val="left" w:pos="12600" w:leader="none"/>
              </w:tabs>
              <w:spacing w:before="0" w:after="0"/>
              <w:rPr>
                <w:rFonts w:cs="Arial"/>
                <w:sz w:val="16"/>
                <w:szCs w:val="16"/>
              </w:rPr>
            </w:pPr>
            <w:r>
              <w:rPr>
                <w:bCs w:val="false"/>
                <w:iCs/>
                <w:sz w:val="18"/>
                <w:szCs w:val="18"/>
                <w:u w:val="single"/>
              </w:rPr>
              <w:t>від 31 липня 2026 року № 1060</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b/>
          <w:b/>
          <w:sz w:val="28"/>
          <w:szCs w:val="28"/>
        </w:rPr>
      </w:pPr>
      <w:r>
        <w:rPr>
          <w:b/>
          <w:caps/>
          <w:sz w:val="28"/>
          <w:szCs w:val="28"/>
        </w:rPr>
        <w:t>ПЕРЕЛІК</w:t>
      </w:r>
    </w:p>
    <w:p>
      <w:pPr>
        <w:pStyle w:val="Normal"/>
        <w:keepNext w:val="true"/>
        <w:numPr>
          <w:ilvl w:val="0"/>
          <w:numId w:val="0"/>
        </w:numPr>
        <w:jc w:val="center"/>
        <w:outlineLvl w:val="3"/>
        <w:rPr>
          <w:rFonts w:ascii="Arial" w:hAnsi="Arial" w:cs="Arial"/>
          <w:b/>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pPr>
        <w:pStyle w:val="Normal"/>
        <w:keepNext w:val="true"/>
        <w:numPr>
          <w:ilvl w:val="0"/>
          <w:numId w:val="0"/>
        </w:numPr>
        <w:jc w:val="center"/>
        <w:outlineLvl w:val="3"/>
        <w:rPr>
          <w:rFonts w:ascii="Arial" w:hAnsi="Arial" w:cs="Arial"/>
          <w:b/>
          <w:b/>
          <w:caps/>
        </w:rPr>
      </w:pPr>
      <w:r>
        <w:rPr>
          <w:rFonts w:cs="Arial" w:ascii="Arial" w:hAnsi="Arial"/>
          <w:b/>
          <w:caps/>
        </w:rPr>
      </w:r>
    </w:p>
    <w:tbl>
      <w:tblPr>
        <w:tblW w:w="16028" w:type="dxa"/>
        <w:jc w:val="left"/>
        <w:tblInd w:w="-1173"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1134"/>
        <w:gridCol w:w="992"/>
        <w:gridCol w:w="709"/>
        <w:gridCol w:w="1418"/>
        <w:gridCol w:w="992"/>
        <w:gridCol w:w="992"/>
        <w:gridCol w:w="1276"/>
        <w:gridCol w:w="992"/>
        <w:gridCol w:w="2126"/>
        <w:gridCol w:w="1134"/>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12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АТОРИС® ПЛЮС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atorvastatin and ezetimibe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езетиміб та аторвастатину кальцію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C10BA05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10 мг/10 мг; по 10 таблеток у блістері; по 3 або по 9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1.0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АТОРИС® ПЛЮС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atorvastatin and ezetimibe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езетиміб та аторвастатину кальцію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C10BA05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10 мг/20 мг; по 10 таблеток у блістері; по 3 або по 9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1.0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UA/21380/01/02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АТОРИС® ПЛЮС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atorvastatin and ezetimibe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езетиміб та аторвастатину кальцію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C10BA05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10 мг/40 мг; по 10 таблеток у блістері; по 3 або по 9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1.0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UA/21380/01/03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АТОРИС® ПЛЮС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atorvastatin and ezetimibe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езетиміб та аторвастатину кальцію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C10BA05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10 мг/80 мг; по 10 таблеток у блістері; по 3 або по 9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1.0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UA/21380/01/04</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ДАРЕСТІЯ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dienogest and 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естрадіолу валерат, дієногест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G03AB08</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 мг, 3 мг, 2 мг/2 мг, 2 мг/3 мг, плацебо, по 28 таблеток, вкритих плівковою оболонкою (2 таблетки темно-жовтого кольору, 5 таблеток рожевого кольору, 17 таблеток світло-жовтого кольору, 2 таблетки коричневого кольору, 2 таблетки плацебо білого кольору)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та контроль стабільності для всіх дозувань:</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Лабораторіос Сінфа С.А., Іспанiя;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та контроль якості (окрім мікробіолобічної чистоти) для таблеток із дозування 2 мг/3 мг:</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Лабораторіос Леон Фарма, С.А., Іспанiя;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(мікробіолобічна чистота) для таблеток із дозування 2 мг/3 мг:</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Лабораторіо Ечеварне, С.А., Іспанiя;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(таблеток із дозуванням 1 мг, 3 мг та 2 мг/2 мг), пакування, контроль якості, контроль стабільності та випуск серії:</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Сіндіа Фарма С.Л., 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 xml:space="preserve">Резюме Плану управління рзиками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UA/21381/01/01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ДІКЛОМАКС ФОРТЕ</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диклофенаку диетиламін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M02AA15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23,2 мг/г, по 50 г або 100 г у тубі, по 1 тубі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"ІНФАРМА Трейдінг"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 xml:space="preserve">Керн Фарма С.Л. </w:t>
              <w:br/>
              <w:t xml:space="preserve">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UA/21382/01/01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ЛОРНАДО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lornoxicam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лорноксикам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M01AC05</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8 мг, ліофілізат для розчину для ін'єкцій у флаконі в комплекті з 2 мл розчинника (вода для ін'єкцій ) в ампулі; 1 флакон з ліофілізатом для розчину для ін'єкцій та 1 ампула розчинника в картонній коробці; 3 флакони з ліофілізатом для розчину для ін'єкцій та 3 ампули розчинника в контурній чарунковій упаковці, 1 контурна чарункова упаковка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УОРЛД МЕДИЦИН ІЛАЧ САН. ВЕ ТІДЖ. A.Ш.</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плану управління ризиками версія 3.0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МІКРОМОКС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moxifloxacin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моксифлоксацину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S01AE07</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0,5%, по 5 мл у флаконі-крапельниці, по 1 флакону-крапельниці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Мікро Лабс Лімітед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UA/21384/01/01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СТРЕПСІЛС® ХЕРБАЛ СИРОП ПОДОРОЖНИКА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подорожника ланцетолистого листя екстракт сухий (Plantago lanceolata L., folium)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 xml:space="preserve">R05CA </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0,030 г/мл; по 100 мл, 200 мл у флаконах; по 1 флакону разом з мірною ложкою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Фітофарм Кленка С.А.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UA/21385/01/01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ТОБРАМІЦИНУ СУЛЬФАТ</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tobramycin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тобраміцин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алюмінієвих пляшках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Лівзон Груп Фучжоу Фуксін Фармасьютікал Ко., Лтд.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Проєкт МКЯ (версія документа 0002)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UA/21386/01/01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ТОФІНІБ</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tofacitinib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тофацитинібу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L04AF01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Інструкція для медичного застосування лікарського засобу (eCTD верія 0003) Текст маркування упаковки лікарського засобу (eCTD верія 0004) Методи контролю якості лікарського засобу (eCTD версія 0005) Звіт згідно додатку 29 Порядку (eCTD верcія 0000) Звіт згідно додатку 30 Порядку (eCTD верcія 0000) План управління ризиками версія 1.0 погоджена (eCTD послідовність № 0000).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UA/21387/01/02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color w:val="000000"/>
                <w:sz w:val="16"/>
                <w:szCs w:val="16"/>
              </w:rPr>
            </w:pPr>
            <w:r>
              <w:rPr>
                <w:rFonts w:cs="Arial" w:ascii="Arial" w:hAnsi="Arial"/>
                <w:b/>
                <w:color w:val="000000"/>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ТОФІНІБ</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tofacitinib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тофацитинібу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L04AF01</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у блістері, по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Інструкція для медичного застосування лікарського засобу (eCTD верія 0003) Текст маркування упаковки лікарського засобу (eCTD верія 0004) Методи контролю якості лікарського засобу (eCTD версія 0005) Звіт згідно додатку 29 Порядку (eCTD верcія 0000) Звіт згідно додатку 30 Порядку (eCTD верcія 0000) План управління ризиками версія 1.0 погоджена (eCTD послідовність № 0000).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UA/21387/01/01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3"/>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УРОФЛОКС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суміші розмарину листя (Rosmarini folia), любистку кореня (Lеvіstісі rаdіх), золототисячника трави (Сеntаurіі hеrbа)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100 мл у флаконі, по 1 флакону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t>Резюме ПУР версія 0.2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UA/21249/02/01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7">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rStyle w:val="InternetLink"/>
          <w:rFonts w:ascii="Arial" w:hAnsi="Arial" w:cs="Arial"/>
          <w:i/>
          <w:i/>
          <w:color w:val="000000"/>
          <w:szCs w:val="16"/>
        </w:rPr>
      </w:pPr>
      <w:r>
        <w:rPr/>
      </w:r>
    </w:p>
    <w:p>
      <w:pPr>
        <w:pStyle w:val="Normal"/>
        <w:rPr>
          <w:b/>
          <w:b/>
          <w:bCs/>
          <w:sz w:val="28"/>
          <w:szCs w:val="28"/>
        </w:rPr>
      </w:pPr>
      <w:r>
        <w:rPr>
          <w:b/>
          <w:bCs/>
          <w:sz w:val="28"/>
          <w:szCs w:val="28"/>
        </w:rPr>
        <w:t>В.о. начальника</w:t>
      </w:r>
    </w:p>
    <w:p>
      <w:pPr>
        <w:pStyle w:val="Normal"/>
        <w:rPr>
          <w:b/>
          <w:b/>
          <w:bCs/>
          <w:sz w:val="28"/>
          <w:szCs w:val="28"/>
        </w:rPr>
      </w:pPr>
      <w:r>
        <w:rPr>
          <w:b/>
          <w:bCs/>
          <w:sz w:val="28"/>
          <w:szCs w:val="28"/>
        </w:rPr>
        <w:t>Фармацевтичного управління                                                                                                                   Людмила ЯРКО</w:t>
      </w:r>
    </w:p>
    <w:p>
      <w:pPr>
        <w:pStyle w:val="Normal"/>
        <w:ind w:right="20" w:hanging="0"/>
        <w:rPr>
          <w:rStyle w:val="Cs7864ebcf1"/>
          <w:color w:val="000000"/>
          <w:sz w:val="16"/>
          <w:szCs w:val="16"/>
        </w:rPr>
      </w:pPr>
      <w:r>
        <w:rPr>
          <w:b/>
          <w:bCs/>
          <w:sz w:val="28"/>
          <w:szCs w:val="28"/>
        </w:rPr>
      </w:r>
      <w:r>
        <w:br w:type="page"/>
      </w:r>
    </w:p>
    <w:p>
      <w:pPr>
        <w:pStyle w:val="33"/>
        <w:spacing w:before="0" w:after="0"/>
        <w:ind w:left="0" w:hanging="0"/>
        <w:rPr>
          <w:rStyle w:val="Cs7864ebcf1"/>
          <w:b/>
          <w:b/>
          <w:color w:val="000000"/>
          <w:sz w:val="28"/>
          <w:szCs w:val="28"/>
        </w:rPr>
      </w:pPr>
      <w:r>
        <w:rPr/>
      </w:r>
    </w:p>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Normal"/>
              <w:keepNext w:val="true"/>
              <w:numPr>
                <w:ilvl w:val="0"/>
                <w:numId w:val="0"/>
              </w:numPr>
              <w:tabs>
                <w:tab w:val="left" w:pos="12600" w:leader="none"/>
              </w:tabs>
              <w:snapToGrid w:val="false"/>
              <w:outlineLvl w:val="3"/>
              <w:rPr>
                <w:rFonts w:ascii="Arial" w:hAnsi="Arial" w:cs="Arial"/>
                <w:b/>
                <w:b/>
                <w:sz w:val="16"/>
                <w:szCs w:val="16"/>
              </w:rPr>
            </w:pPr>
            <w:r>
              <w:rPr>
                <w:rFonts w:cs="Arial" w:ascii="Arial" w:hAnsi="Arial"/>
                <w:b/>
                <w:sz w:val="16"/>
                <w:szCs w:val="16"/>
              </w:rPr>
            </w:r>
          </w:p>
          <w:p>
            <w:pPr>
              <w:pStyle w:val="Normal"/>
              <w:keepNext w:val="true"/>
              <w:numPr>
                <w:ilvl w:val="0"/>
                <w:numId w:val="0"/>
              </w:numPr>
              <w:tabs>
                <w:tab w:val="left" w:pos="12600" w:leader="none"/>
              </w:tabs>
              <w:outlineLvl w:val="3"/>
              <w:rPr>
                <w:rFonts w:ascii="Arial" w:hAnsi="Arial" w:cs="Arial"/>
                <w:b/>
                <w:b/>
                <w:sz w:val="16"/>
                <w:szCs w:val="16"/>
              </w:rPr>
            </w:pPr>
            <w:r>
              <w:rPr>
                <w:rFonts w:cs="Arial" w:ascii="Arial" w:hAnsi="Arial"/>
                <w:b/>
                <w:sz w:val="16"/>
                <w:szCs w:val="16"/>
              </w:rPr>
              <w:t>Додаток 2</w:t>
            </w:r>
          </w:p>
          <w:p>
            <w:pPr>
              <w:pStyle w:val="Heading4"/>
              <w:numPr>
                <w:ilvl w:val="3"/>
                <w:numId w:val="1"/>
              </w:numPr>
              <w:tabs>
                <w:tab w:val="left" w:pos="12600" w:leader="none"/>
              </w:tabs>
              <w:spacing w:before="0" w:after="0"/>
              <w:rPr>
                <w:iCs/>
                <w:sz w:val="18"/>
                <w:szCs w:val="18"/>
              </w:rPr>
            </w:pPr>
            <w:r>
              <w:rPr>
                <w:iCs/>
                <w:sz w:val="18"/>
                <w:szCs w:val="18"/>
              </w:rPr>
              <w:t>до наказу Міністерства охорони</w:t>
            </w:r>
          </w:p>
          <w:p>
            <w:pPr>
              <w:pStyle w:val="Heading4"/>
              <w:numPr>
                <w:ilvl w:val="3"/>
                <w:numId w:val="1"/>
              </w:numPr>
              <w:tabs>
                <w:tab w:val="left" w:pos="12600" w:leader="none"/>
              </w:tabs>
              <w:spacing w:before="0" w:after="0"/>
              <w:rPr/>
            </w:pPr>
            <w:r>
              <w:rPr>
                <w:iCs/>
                <w:sz w:val="18"/>
                <w:szCs w:val="18"/>
              </w:rPr>
              <w:t>здоров’я України «Про державну реєстрацію лікарських засобів (медичних імунобіологічних препаратів) та внесення змін до реєстраційних матеріалів»</w:t>
            </w:r>
          </w:p>
          <w:p>
            <w:pPr>
              <w:pStyle w:val="Normal"/>
              <w:tabs>
                <w:tab w:val="left" w:pos="12600" w:leader="none"/>
              </w:tabs>
              <w:rPr>
                <w:rFonts w:ascii="Arial" w:hAnsi="Arial" w:cs="Arial"/>
                <w:b/>
                <w:b/>
                <w:sz w:val="16"/>
                <w:szCs w:val="16"/>
              </w:rPr>
            </w:pPr>
            <w:r>
              <w:rPr>
                <w:b/>
                <w:iCs/>
                <w:sz w:val="18"/>
                <w:szCs w:val="18"/>
                <w:u w:val="single"/>
              </w:rPr>
              <w:t>від 31 липня 2026 року № 1060</w:t>
            </w:r>
          </w:p>
        </w:tc>
      </w:tr>
    </w:tbl>
    <w:p>
      <w:pPr>
        <w:pStyle w:val="Normal"/>
        <w:tabs>
          <w:tab w:val="left" w:pos="12600" w:leader="none"/>
        </w:tabs>
        <w:jc w:val="center"/>
        <w:rPr>
          <w:rFonts w:ascii="Arial" w:hAnsi="Arial" w:cs="Arial"/>
          <w:sz w:val="16"/>
          <w:szCs w:val="16"/>
          <w:u w:val="single"/>
        </w:rPr>
      </w:pPr>
      <w:r>
        <w:rPr>
          <w:rFonts w:cs="Arial" w:ascii="Arial" w:hAnsi="Arial"/>
          <w:sz w:val="16"/>
          <w:szCs w:val="16"/>
          <w:u w:val="single"/>
        </w:rPr>
      </w:r>
    </w:p>
    <w:p>
      <w:pPr>
        <w:pStyle w:val="310"/>
        <w:jc w:val="center"/>
        <w:rPr>
          <w:b/>
          <w:b/>
          <w:caps/>
          <w:sz w:val="28"/>
          <w:szCs w:val="28"/>
          <w:lang w:eastAsia="uk-UA"/>
        </w:rPr>
      </w:pPr>
      <w:r>
        <w:rPr>
          <w:b/>
          <w:caps/>
          <w:sz w:val="28"/>
          <w:szCs w:val="28"/>
          <w:lang w:eastAsia="uk-UA"/>
        </w:rPr>
        <w:t>ПЕРЕЛІК</w:t>
      </w:r>
    </w:p>
    <w:p>
      <w:pPr>
        <w:pStyle w:val="12"/>
        <w:jc w:val="center"/>
        <w:rPr>
          <w:b/>
          <w:b/>
          <w:caps/>
          <w:sz w:val="28"/>
          <w:szCs w:val="28"/>
        </w:rPr>
      </w:pPr>
      <w:r>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pPr>
        <w:pStyle w:val="12"/>
        <w:jc w:val="center"/>
        <w:rPr>
          <w:rFonts w:ascii="Arial" w:hAnsi="Arial" w:cs="Arial"/>
        </w:rPr>
      </w:pPr>
      <w:r>
        <w:rPr>
          <w:rFonts w:cs="Arial" w:ascii="Arial" w:hAnsi="Arial"/>
        </w:rPr>
      </w:r>
    </w:p>
    <w:tbl>
      <w:tblPr>
        <w:tblW w:w="16312" w:type="dxa"/>
        <w:jc w:val="left"/>
        <w:tblInd w:w="-131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6"/>
        <w:gridCol w:w="1277"/>
        <w:gridCol w:w="993"/>
        <w:gridCol w:w="850"/>
        <w:gridCol w:w="709"/>
        <w:gridCol w:w="1559"/>
        <w:gridCol w:w="1134"/>
        <w:gridCol w:w="851"/>
        <w:gridCol w:w="1559"/>
        <w:gridCol w:w="850"/>
        <w:gridCol w:w="2835"/>
        <w:gridCol w:w="992"/>
        <w:gridCol w:w="709"/>
        <w:gridCol w:w="1428"/>
      </w:tblGrid>
      <w:tr>
        <w:trPr>
          <w:tblHeader w:val="true"/>
        </w:trPr>
        <w:tc>
          <w:tcPr>
            <w:tcW w:w="56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55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55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83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i/>
                <w:i/>
                <w:sz w:val="16"/>
                <w:szCs w:val="16"/>
              </w:rPr>
            </w:pPr>
            <w:r>
              <w:rPr>
                <w:rFonts w:cs="Arial" w:ascii="Arial" w:hAnsi="Arial"/>
                <w:b/>
                <w:i/>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АГЕРП</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ацикловір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D06BB03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5 %, по 2 г в тубі; по 1 тубі в пеналі; по 1 пеналу в пачці з картону, по 2,5 г або 10 г в тубі; по 1 тубі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t>повний цикл виробництва, випуск серії;</w:t>
              <w:br/>
              <w:t>контроль якості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Виробнича дільниця та всі виробничі операції залишаються незмінними. Зміни внесені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UA/12909/01/01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АДЖОВІ™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fremanezumab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фреманезумаб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N02CD03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225 мг/1,5 мл; по 1,5 мл розчину в попередньо наповненому шприці; по 1 або 3 шприци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пакування, вторинне пакування, контроль якості лікарського засобу:</w:t>
              <w:br/>
              <w:t>Веттер Фарма-Фертігунг ГмбХ та Ко. КГ, Німеччина; контроль якості лікарського засобу: Веттер Фарма-Фертігунг ГмбХ та Ко. КГ, Німеччина; контроль якості лікарського засобу: Веттер Фарма-Фертігунг ГмбХ та Ко. КГ, Німеччина; контроль якості лікарського засобу (лише сила зсуву та сила ковзання після вторинного пакування): Веттер Фарма-Фертігунг ГмбХ та Ко. КГ, Німеччина; контроль якості лікарського засобу (випробування клітинної активності лікарського засобу): АТ Фармацевтичний завод Тева, Угорщина; контроль якості лікарського засобу (цілісність системи контейнер/закупорювальний засіб після вторинного пакування): Пейс Аналітікал Лайф Саєнс, ЛЛС, США; вторинне пакування: Меркле ГмбХ, Німеччина; вторинне пакування:</w:t>
              <w:br/>
              <w:t>Трансфарм Логістік ГмбХ, Німеччина; дозвіл на випуск серії: Меркле ГмбХ, Німеччина; контроль якості лікарського засобу (випробування клітинної активності лікарського засобу): ЗАТ Тева Балтікс , Литва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Угорщина/ США/ Литва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та узгодження адреси виробничої дільниці відповідальної за контроль якості лікарського засобу (цілісність системи контейнер/закупорювальний засіб після вторинного пакування). Виробнича дільниця та усі виробничі операції залишаються незмінними. Також внесені редакційні зміни до розділів 3.2.Р.3.1 та 2.3.Р.3. Введення змін протягом 6-ти місяців після затвердження. Зміни І типу - Зміни з якості. Готовий лікарський засіб. Система контейнер/закупорювальний засіб (інші зміни). Оновлення сертифікату якості на ковпачки поршня попередньо наповненого шприца. Зміна подається у зв'язку із додаванням параметрів у внутрішню специфікацію виробника (West) при випуску стерилізованих ковпачків поршня (stopper), які використовуються в системі первинного пакування контейнерів попередньо наповнених шприців ЛЗ.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АЕРТАЛ®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aceclofenac</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ацеклофенак</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M01AB16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10 таблеток у блістері; по 2 або по 6 блістерів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UA/5359/01/01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АЗИТЕР®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азитроміцину дигідрат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S01AA26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15 мг/г; по 250 мг у однодозовому контейнері, по 6 однодозових контейнерів у саше, №6 (1 саше)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ЛАБОРАТУАР ТЕА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ЛАБОРАТУАР ЮНІТЕР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випробування за показником «Вміст води», а саме збільшення розміру зразка для контролю вмісту води із 100 мг на 2 г. проєкт МКЯ ЛЗ (0002).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UA/16891/01/01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АЗИТЕР®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азитроміцину дигідрат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S01AA26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15 мг/г, по 250 мг у однодозовому контейнері, по 6 однодозових контейнерів у саше, №6 (1 саше)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ЛАБОРАТУАР ТЕА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ЛАБОРАТУАР ЮНІТЕР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внесення змін в розділ «Марування» МКЯ ЛЗ </w:t>
              <w:br/>
              <w:t>Затверджено: Маркування Додається. Запропоновано: Маркування Відповідає затвердженому тексту маркування проєкт МКЯ ЛЗ (0003)</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UA/16891/01/01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АЛЬБЕНЗІ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albendazole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альбендазол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P02CA03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200 мг/5 мл,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Євро Лайфкер Прайвіт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Індоко Ремедіс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UA/18079/02/01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АМБІТ®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ketorolac</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кеторолаку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1 або 10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 xml:space="preserve">подання нового сертифіката відповідності Європейській фармакопеї № R1-CEP 2014-369-Rev 00 для діючої речовини Ketorolac trometamol від нового виробника VASUDHA PHARMA CHEM LIMITED, Індія (доповнення).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 R1-CEP 2008-069 - Rev 05 для діючої речовини Ketorolac trometamol від нового виробника DR. </w:t>
            </w:r>
            <w:r>
              <w:rPr>
                <w:rFonts w:cs="Arial" w:ascii="Arial" w:hAnsi="Arial"/>
                <w:color w:val="000000"/>
                <w:sz w:val="16"/>
                <w:szCs w:val="16"/>
                <w:lang w:val="en-US"/>
              </w:rPr>
              <w:t xml:space="preserve">REDDY'S LABORATORIES LIMITED, </w:t>
            </w:r>
            <w:r>
              <w:rPr>
                <w:rFonts w:cs="Arial" w:ascii="Arial" w:hAnsi="Arial"/>
                <w:color w:val="000000"/>
                <w:sz w:val="16"/>
                <w:szCs w:val="16"/>
              </w:rPr>
              <w:t>Індія</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параметрах</w:t>
            </w:r>
            <w:r>
              <w:rPr>
                <w:rFonts w:cs="Arial" w:ascii="Arial" w:hAnsi="Arial"/>
                <w:color w:val="000000"/>
                <w:sz w:val="16"/>
                <w:szCs w:val="16"/>
                <w:lang w:val="en-US"/>
              </w:rPr>
              <w:t xml:space="preserve"> </w:t>
            </w:r>
            <w:r>
              <w:rPr>
                <w:rFonts w:cs="Arial" w:ascii="Arial" w:hAnsi="Arial"/>
                <w:color w:val="000000"/>
                <w:sz w:val="16"/>
                <w:szCs w:val="16"/>
              </w:rPr>
              <w:t>специфікацій</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допустимих</w:t>
            </w:r>
            <w:r>
              <w:rPr>
                <w:rFonts w:cs="Arial" w:ascii="Arial" w:hAnsi="Arial"/>
                <w:color w:val="000000"/>
                <w:sz w:val="16"/>
                <w:szCs w:val="16"/>
                <w:lang w:val="en-US"/>
              </w:rPr>
              <w:t xml:space="preserve"> </w:t>
            </w:r>
            <w:r>
              <w:rPr>
                <w:rFonts w:cs="Arial" w:ascii="Arial" w:hAnsi="Arial"/>
                <w:color w:val="000000"/>
                <w:sz w:val="16"/>
                <w:szCs w:val="16"/>
              </w:rPr>
              <w:t>меж</w:t>
            </w:r>
            <w:r>
              <w:rPr>
                <w:rFonts w:cs="Arial" w:ascii="Arial" w:hAnsi="Arial"/>
                <w:color w:val="000000"/>
                <w:sz w:val="16"/>
                <w:szCs w:val="16"/>
                <w:lang w:val="en-US"/>
              </w:rPr>
              <w:t xml:space="preserve">, </w:t>
            </w:r>
            <w:r>
              <w:rPr>
                <w:rFonts w:cs="Arial" w:ascii="Arial" w:hAnsi="Arial"/>
                <w:color w:val="000000"/>
                <w:sz w:val="16"/>
                <w:szCs w:val="16"/>
              </w:rPr>
              <w:t>визначених</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специфікаціях</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вихідний</w:t>
            </w:r>
            <w:r>
              <w:rPr>
                <w:rFonts w:cs="Arial" w:ascii="Arial" w:hAnsi="Arial"/>
                <w:color w:val="000000"/>
                <w:sz w:val="16"/>
                <w:szCs w:val="16"/>
                <w:lang w:val="en-US"/>
              </w:rPr>
              <w:t>/</w:t>
            </w:r>
            <w:r>
              <w:rPr>
                <w:rFonts w:cs="Arial" w:ascii="Arial" w:hAnsi="Arial"/>
                <w:color w:val="000000"/>
                <w:sz w:val="16"/>
                <w:szCs w:val="16"/>
              </w:rPr>
              <w:t>проміжний</w:t>
            </w:r>
            <w:r>
              <w:rPr>
                <w:rFonts w:cs="Arial" w:ascii="Arial" w:hAnsi="Arial"/>
                <w:color w:val="000000"/>
                <w:sz w:val="16"/>
                <w:szCs w:val="16"/>
                <w:lang w:val="en-US"/>
              </w:rPr>
              <w:t xml:space="preserve"> </w:t>
            </w:r>
            <w:r>
              <w:rPr>
                <w:rFonts w:cs="Arial" w:ascii="Arial" w:hAnsi="Arial"/>
                <w:color w:val="000000"/>
                <w:sz w:val="16"/>
                <w:szCs w:val="16"/>
              </w:rPr>
              <w:t>продукт</w:t>
            </w:r>
            <w:r>
              <w:rPr>
                <w:rFonts w:cs="Arial" w:ascii="Arial" w:hAnsi="Arial"/>
                <w:color w:val="000000"/>
                <w:sz w:val="16"/>
                <w:szCs w:val="16"/>
                <w:lang w:val="en-US"/>
              </w:rPr>
              <w:t>/</w:t>
            </w:r>
            <w:r>
              <w:rPr>
                <w:rFonts w:cs="Arial" w:ascii="Arial" w:hAnsi="Arial"/>
                <w:color w:val="000000"/>
                <w:sz w:val="16"/>
                <w:szCs w:val="16"/>
              </w:rPr>
              <w:t>реагент</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використовуються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процесі</w:t>
            </w:r>
            <w:r>
              <w:rPr>
                <w:rFonts w:cs="Arial" w:ascii="Arial" w:hAnsi="Arial"/>
                <w:color w:val="000000"/>
                <w:sz w:val="16"/>
                <w:szCs w:val="16"/>
                <w:lang w:val="en-US"/>
              </w:rPr>
              <w:t xml:space="preserve"> </w:t>
            </w:r>
            <w:r>
              <w:rPr>
                <w:rFonts w:cs="Arial" w:ascii="Arial" w:hAnsi="Arial"/>
                <w:color w:val="000000"/>
                <w:sz w:val="16"/>
                <w:szCs w:val="16"/>
              </w:rPr>
              <w:t>виробництва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специфікації</w:t>
            </w:r>
            <w:r>
              <w:rPr>
                <w:rFonts w:cs="Arial" w:ascii="Arial" w:hAnsi="Arial"/>
                <w:color w:val="000000"/>
                <w:sz w:val="16"/>
                <w:szCs w:val="16"/>
                <w:lang w:val="en-US"/>
              </w:rPr>
              <w:t xml:space="preserve"> </w:t>
            </w:r>
            <w:r>
              <w:rPr>
                <w:rFonts w:cs="Arial" w:ascii="Arial" w:hAnsi="Arial"/>
                <w:color w:val="000000"/>
                <w:sz w:val="16"/>
                <w:szCs w:val="16"/>
              </w:rPr>
              <w:t>вхідного</w:t>
            </w:r>
            <w:r>
              <w:rPr>
                <w:rFonts w:cs="Arial" w:ascii="Arial" w:hAnsi="Arial"/>
                <w:color w:val="000000"/>
                <w:sz w:val="16"/>
                <w:szCs w:val="16"/>
                <w:lang w:val="en-US"/>
              </w:rPr>
              <w:t xml:space="preserve"> </w:t>
            </w:r>
            <w:r>
              <w:rPr>
                <w:rFonts w:cs="Arial" w:ascii="Arial" w:hAnsi="Arial"/>
                <w:color w:val="000000"/>
                <w:sz w:val="16"/>
                <w:szCs w:val="16"/>
              </w:rPr>
              <w:t>контролю</w:t>
            </w:r>
            <w:r>
              <w:rPr>
                <w:rFonts w:cs="Arial" w:ascii="Arial" w:hAnsi="Arial"/>
                <w:color w:val="000000"/>
                <w:sz w:val="16"/>
                <w:szCs w:val="16"/>
                <w:lang w:val="en-US"/>
              </w:rPr>
              <w:t xml:space="preserve"> </w:t>
            </w:r>
            <w:r>
              <w:rPr>
                <w:rFonts w:cs="Arial" w:ascii="Arial" w:hAnsi="Arial"/>
                <w:color w:val="000000"/>
                <w:sz w:val="16"/>
                <w:szCs w:val="16"/>
              </w:rPr>
              <w:t>діючої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кеторолаку</w:t>
            </w:r>
            <w:r>
              <w:rPr>
                <w:rFonts w:cs="Arial" w:ascii="Arial" w:hAnsi="Arial"/>
                <w:color w:val="000000"/>
                <w:sz w:val="16"/>
                <w:szCs w:val="16"/>
                <w:lang w:val="en-US"/>
              </w:rPr>
              <w:t xml:space="preserve"> </w:t>
            </w:r>
            <w:r>
              <w:rPr>
                <w:rFonts w:cs="Arial" w:ascii="Arial" w:hAnsi="Arial"/>
                <w:color w:val="000000"/>
                <w:sz w:val="16"/>
                <w:szCs w:val="16"/>
              </w:rPr>
              <w:t>трометамол</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показником</w:t>
            </w:r>
            <w:r>
              <w:rPr>
                <w:rFonts w:cs="Arial" w:ascii="Arial" w:hAnsi="Arial"/>
                <w:color w:val="000000"/>
                <w:sz w:val="16"/>
                <w:szCs w:val="16"/>
                <w:lang w:val="en-US"/>
              </w:rPr>
              <w:t xml:space="preserve"> «</w:t>
            </w:r>
            <w:r>
              <w:rPr>
                <w:rFonts w:cs="Arial" w:ascii="Arial" w:hAnsi="Arial"/>
                <w:color w:val="000000"/>
                <w:sz w:val="16"/>
                <w:szCs w:val="16"/>
              </w:rPr>
              <w:t>Ідентифікація</w:t>
            </w:r>
            <w:r>
              <w:rPr>
                <w:rFonts w:cs="Arial" w:ascii="Arial" w:hAnsi="Arial"/>
                <w:color w:val="000000"/>
                <w:sz w:val="16"/>
                <w:szCs w:val="16"/>
                <w:lang w:val="en-US"/>
              </w:rPr>
              <w:t xml:space="preserve">», </w:t>
            </w:r>
            <w:r>
              <w:rPr>
                <w:rFonts w:cs="Arial" w:ascii="Arial" w:hAnsi="Arial"/>
                <w:color w:val="000000"/>
                <w:sz w:val="16"/>
                <w:szCs w:val="16"/>
              </w:rPr>
              <w:t>зокрема</w:t>
            </w:r>
            <w:r>
              <w:rPr>
                <w:rFonts w:cs="Arial" w:ascii="Arial" w:hAnsi="Arial"/>
                <w:color w:val="000000"/>
                <w:sz w:val="16"/>
                <w:szCs w:val="16"/>
                <w:lang w:val="en-US"/>
              </w:rPr>
              <w:t xml:space="preserve"> </w:t>
            </w:r>
            <w:r>
              <w:rPr>
                <w:rFonts w:cs="Arial" w:ascii="Arial" w:hAnsi="Arial"/>
                <w:color w:val="000000"/>
                <w:sz w:val="16"/>
                <w:szCs w:val="16"/>
              </w:rPr>
              <w:t>доповнення</w:t>
            </w:r>
            <w:r>
              <w:rPr>
                <w:rFonts w:cs="Arial" w:ascii="Arial" w:hAnsi="Arial"/>
                <w:color w:val="000000"/>
                <w:sz w:val="16"/>
                <w:szCs w:val="16"/>
                <w:lang w:val="en-US"/>
              </w:rPr>
              <w:t xml:space="preserve"> </w:t>
            </w:r>
            <w:r>
              <w:rPr>
                <w:rFonts w:cs="Arial" w:ascii="Arial" w:hAnsi="Arial"/>
                <w:color w:val="000000"/>
                <w:sz w:val="16"/>
                <w:szCs w:val="16"/>
              </w:rPr>
              <w:t>специфікації</w:t>
            </w:r>
            <w:r>
              <w:rPr>
                <w:rFonts w:cs="Arial" w:ascii="Arial" w:hAnsi="Arial"/>
                <w:color w:val="000000"/>
                <w:sz w:val="16"/>
                <w:szCs w:val="16"/>
                <w:lang w:val="en-US"/>
              </w:rPr>
              <w:t xml:space="preserve"> </w:t>
            </w:r>
            <w:r>
              <w:rPr>
                <w:rFonts w:cs="Arial" w:ascii="Arial" w:hAnsi="Arial"/>
                <w:color w:val="000000"/>
                <w:sz w:val="16"/>
                <w:szCs w:val="16"/>
              </w:rPr>
              <w:t>примітками</w:t>
            </w:r>
            <w:r>
              <w:rPr>
                <w:rFonts w:cs="Arial" w:ascii="Arial" w:hAnsi="Arial"/>
                <w:color w:val="000000"/>
                <w:sz w:val="16"/>
                <w:szCs w:val="16"/>
                <w:lang w:val="en-US"/>
              </w:rPr>
              <w:t xml:space="preserve">: </w:t>
              <w:br/>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виробників</w:t>
            </w:r>
            <w:r>
              <w:rPr>
                <w:rFonts w:cs="Arial" w:ascii="Arial" w:hAnsi="Arial"/>
                <w:color w:val="000000"/>
                <w:sz w:val="16"/>
                <w:szCs w:val="16"/>
                <w:lang w:val="en-US"/>
              </w:rPr>
              <w:t xml:space="preserve"> VASUDHA PHARMA CHEM LIMITED, </w:t>
            </w:r>
            <w:r>
              <w:rPr>
                <w:rFonts w:cs="Arial" w:ascii="Arial" w:hAnsi="Arial"/>
                <w:color w:val="000000"/>
                <w:sz w:val="16"/>
                <w:szCs w:val="16"/>
              </w:rPr>
              <w:t>Індія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DR. REDDY'S LABORATORIES LIMITED, </w:t>
            </w:r>
            <w:r>
              <w:rPr>
                <w:rFonts w:cs="Arial" w:ascii="Arial" w:hAnsi="Arial"/>
                <w:color w:val="000000"/>
                <w:sz w:val="16"/>
                <w:szCs w:val="16"/>
              </w:rPr>
              <w:t>Індія</w:t>
            </w:r>
            <w:r>
              <w:rPr>
                <w:rFonts w:cs="Arial" w:ascii="Arial" w:hAnsi="Arial"/>
                <w:color w:val="000000"/>
                <w:sz w:val="16"/>
                <w:szCs w:val="16"/>
                <w:lang w:val="en-US"/>
              </w:rPr>
              <w:t xml:space="preserve">: </w:t>
              <w:br/>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методу</w:t>
            </w:r>
            <w:r>
              <w:rPr>
                <w:rFonts w:cs="Arial" w:ascii="Arial" w:hAnsi="Arial"/>
                <w:color w:val="000000"/>
                <w:sz w:val="16"/>
                <w:szCs w:val="16"/>
                <w:lang w:val="en-US"/>
              </w:rPr>
              <w:t xml:space="preserve"> </w:t>
            </w:r>
            <w:r>
              <w:rPr>
                <w:rFonts w:cs="Arial" w:ascii="Arial" w:hAnsi="Arial"/>
                <w:color w:val="000000"/>
                <w:sz w:val="16"/>
                <w:szCs w:val="16"/>
              </w:rPr>
              <w:t>Романівської</w:t>
            </w:r>
            <w:r>
              <w:rPr>
                <w:rFonts w:cs="Arial" w:ascii="Arial" w:hAnsi="Arial"/>
                <w:color w:val="000000"/>
                <w:sz w:val="16"/>
                <w:szCs w:val="16"/>
                <w:lang w:val="en-US"/>
              </w:rPr>
              <w:t xml:space="preserve"> </w:t>
            </w:r>
            <w:r>
              <w:rPr>
                <w:rFonts w:cs="Arial" w:ascii="Arial" w:hAnsi="Arial"/>
                <w:color w:val="000000"/>
                <w:sz w:val="16"/>
                <w:szCs w:val="16"/>
              </w:rPr>
              <w:t>спектрометрії</w:t>
            </w:r>
            <w:r>
              <w:rPr>
                <w:rFonts w:cs="Arial" w:ascii="Arial" w:hAnsi="Arial"/>
                <w:color w:val="000000"/>
                <w:sz w:val="16"/>
                <w:szCs w:val="16"/>
                <w:lang w:val="en-US"/>
              </w:rPr>
              <w:t xml:space="preserve"> (2.2.48) </w:t>
            </w:r>
            <w:r>
              <w:rPr>
                <w:rFonts w:cs="Arial" w:ascii="Arial" w:hAnsi="Arial"/>
                <w:color w:val="000000"/>
                <w:sz w:val="16"/>
                <w:szCs w:val="16"/>
              </w:rPr>
              <w:t>ДФУ</w:t>
            </w:r>
            <w:r>
              <w:rPr>
                <w:rFonts w:cs="Arial" w:ascii="Arial" w:hAnsi="Arial"/>
                <w:color w:val="000000"/>
                <w:sz w:val="16"/>
                <w:szCs w:val="16"/>
                <w:lang w:val="en-US"/>
              </w:rPr>
              <w:t>*</w:t>
            </w:r>
            <w:r>
              <w:rPr>
                <w:rFonts w:cs="Arial" w:ascii="Arial" w:hAnsi="Arial"/>
                <w:color w:val="000000"/>
                <w:sz w:val="16"/>
                <w:szCs w:val="16"/>
              </w:rPr>
              <w:t>ЕР</w:t>
            </w:r>
            <w:r>
              <w:rPr>
                <w:rFonts w:cs="Arial" w:ascii="Arial" w:hAnsi="Arial"/>
                <w:color w:val="000000"/>
                <w:sz w:val="16"/>
                <w:szCs w:val="16"/>
                <w:lang w:val="en-US"/>
              </w:rPr>
              <w:t>* ** «</w:t>
            </w:r>
            <w:r>
              <w:rPr>
                <w:rFonts w:cs="Arial" w:ascii="Arial" w:hAnsi="Arial"/>
                <w:color w:val="000000"/>
                <w:sz w:val="16"/>
                <w:szCs w:val="16"/>
              </w:rPr>
              <w:t>Ідентифікація</w:t>
            </w:r>
            <w:r>
              <w:rPr>
                <w:rFonts w:cs="Arial" w:ascii="Arial" w:hAnsi="Arial"/>
                <w:color w:val="000000"/>
                <w:sz w:val="16"/>
                <w:szCs w:val="16"/>
                <w:lang w:val="en-US"/>
              </w:rPr>
              <w:t xml:space="preserve"> </w:t>
            </w:r>
            <w:r>
              <w:rPr>
                <w:rFonts w:cs="Arial" w:ascii="Arial" w:hAnsi="Arial"/>
                <w:color w:val="000000"/>
                <w:sz w:val="16"/>
                <w:szCs w:val="16"/>
              </w:rPr>
              <w:t>проводиться</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кожної</w:t>
            </w:r>
            <w:r>
              <w:rPr>
                <w:rFonts w:cs="Arial" w:ascii="Arial" w:hAnsi="Arial"/>
                <w:color w:val="000000"/>
                <w:sz w:val="16"/>
                <w:szCs w:val="16"/>
                <w:lang w:val="en-US"/>
              </w:rPr>
              <w:t xml:space="preserve"> </w:t>
            </w:r>
            <w:r>
              <w:rPr>
                <w:rFonts w:cs="Arial" w:ascii="Arial" w:hAnsi="Arial"/>
                <w:color w:val="000000"/>
                <w:sz w:val="16"/>
                <w:szCs w:val="16"/>
              </w:rPr>
              <w:t>тарної</w:t>
            </w:r>
            <w:r>
              <w:rPr>
                <w:rFonts w:cs="Arial" w:ascii="Arial" w:hAnsi="Arial"/>
                <w:color w:val="000000"/>
                <w:sz w:val="16"/>
                <w:szCs w:val="16"/>
                <w:lang w:val="en-US"/>
              </w:rPr>
              <w:t xml:space="preserve"> </w:t>
            </w:r>
            <w:r>
              <w:rPr>
                <w:rFonts w:cs="Arial" w:ascii="Arial" w:hAnsi="Arial"/>
                <w:color w:val="000000"/>
                <w:sz w:val="16"/>
                <w:szCs w:val="16"/>
              </w:rPr>
              <w:t>ємності</w:t>
            </w:r>
            <w:r>
              <w:rPr>
                <w:rFonts w:cs="Arial" w:ascii="Arial" w:hAnsi="Arial"/>
                <w:color w:val="000000"/>
                <w:sz w:val="16"/>
                <w:szCs w:val="16"/>
                <w:lang w:val="en-US"/>
              </w:rPr>
              <w:t xml:space="preserve">»; </w:t>
              <w:br/>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методу</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зазначений</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монографії</w:t>
            </w:r>
            <w:r>
              <w:rPr>
                <w:rFonts w:cs="Arial" w:ascii="Arial" w:hAnsi="Arial"/>
                <w:color w:val="000000"/>
                <w:sz w:val="16"/>
                <w:szCs w:val="16"/>
                <w:lang w:val="en-US"/>
              </w:rPr>
              <w:t xml:space="preserve"> (2.2.24 </w:t>
            </w:r>
            <w:r>
              <w:rPr>
                <w:rFonts w:cs="Arial" w:ascii="Arial" w:hAnsi="Arial"/>
                <w:color w:val="000000"/>
                <w:sz w:val="16"/>
                <w:szCs w:val="16"/>
              </w:rPr>
              <w:t>ДФУ</w:t>
            </w:r>
            <w:r>
              <w:rPr>
                <w:rFonts w:cs="Arial" w:ascii="Arial" w:hAnsi="Arial"/>
                <w:color w:val="000000"/>
                <w:sz w:val="16"/>
                <w:szCs w:val="16"/>
                <w:lang w:val="en-US"/>
              </w:rPr>
              <w:t xml:space="preserve">*, </w:t>
            </w:r>
            <w:r>
              <w:rPr>
                <w:rFonts w:cs="Arial" w:ascii="Arial" w:hAnsi="Arial"/>
                <w:color w:val="000000"/>
                <w:sz w:val="16"/>
                <w:szCs w:val="16"/>
              </w:rPr>
              <w:t>ЕР</w:t>
            </w:r>
            <w:r>
              <w:rPr>
                <w:rFonts w:cs="Arial" w:ascii="Arial" w:hAnsi="Arial"/>
                <w:color w:val="000000"/>
                <w:sz w:val="16"/>
                <w:szCs w:val="16"/>
                <w:lang w:val="en-US"/>
              </w:rPr>
              <w:t>*)-*** «</w:t>
            </w:r>
            <w:r>
              <w:rPr>
                <w:rFonts w:cs="Arial" w:ascii="Arial" w:hAnsi="Arial"/>
                <w:color w:val="000000"/>
                <w:sz w:val="16"/>
                <w:szCs w:val="16"/>
              </w:rPr>
              <w:t>Ідентифікація</w:t>
            </w:r>
            <w:r>
              <w:rPr>
                <w:rFonts w:cs="Arial" w:ascii="Arial" w:hAnsi="Arial"/>
                <w:color w:val="000000"/>
                <w:sz w:val="16"/>
                <w:szCs w:val="16"/>
                <w:lang w:val="en-US"/>
              </w:rPr>
              <w:t xml:space="preserve"> </w:t>
            </w:r>
            <w:r>
              <w:rPr>
                <w:rFonts w:cs="Arial" w:ascii="Arial" w:hAnsi="Arial"/>
                <w:color w:val="000000"/>
                <w:sz w:val="16"/>
                <w:szCs w:val="16"/>
              </w:rPr>
              <w:t>проводиться</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середній</w:t>
            </w:r>
            <w:r>
              <w:rPr>
                <w:rFonts w:cs="Arial" w:ascii="Arial" w:hAnsi="Arial"/>
                <w:color w:val="000000"/>
                <w:sz w:val="16"/>
                <w:szCs w:val="16"/>
                <w:lang w:val="en-US"/>
              </w:rPr>
              <w:t xml:space="preserve"> </w:t>
            </w:r>
            <w:r>
              <w:rPr>
                <w:rFonts w:cs="Arial" w:ascii="Arial" w:hAnsi="Arial"/>
                <w:color w:val="000000"/>
                <w:sz w:val="16"/>
                <w:szCs w:val="16"/>
              </w:rPr>
              <w:t>пробі</w:t>
            </w:r>
            <w:r>
              <w:rPr>
                <w:rFonts w:cs="Arial" w:ascii="Arial" w:hAnsi="Arial"/>
                <w:color w:val="000000"/>
                <w:sz w:val="16"/>
                <w:szCs w:val="16"/>
                <w:lang w:val="en-US"/>
              </w:rPr>
              <w:t xml:space="preserve">» </w:t>
              <w:br/>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Quimica Sintetica S.A., </w:t>
            </w:r>
            <w:r>
              <w:rPr>
                <w:rFonts w:cs="Arial" w:ascii="Arial" w:hAnsi="Arial"/>
                <w:color w:val="000000"/>
                <w:sz w:val="16"/>
                <w:szCs w:val="16"/>
              </w:rPr>
              <w:t>Іспанія</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методу</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зазначений</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монографії</w:t>
            </w:r>
            <w:r>
              <w:rPr>
                <w:rFonts w:cs="Arial" w:ascii="Arial" w:hAnsi="Arial"/>
                <w:color w:val="000000"/>
                <w:sz w:val="16"/>
                <w:szCs w:val="16"/>
                <w:lang w:val="en-US"/>
              </w:rPr>
              <w:t xml:space="preserve"> (2.2.24 </w:t>
            </w:r>
            <w:r>
              <w:rPr>
                <w:rFonts w:cs="Arial" w:ascii="Arial" w:hAnsi="Arial"/>
                <w:color w:val="000000"/>
                <w:sz w:val="16"/>
                <w:szCs w:val="16"/>
              </w:rPr>
              <w:t>ДФУ</w:t>
            </w:r>
            <w:r>
              <w:rPr>
                <w:rFonts w:cs="Arial" w:ascii="Arial" w:hAnsi="Arial"/>
                <w:color w:val="000000"/>
                <w:sz w:val="16"/>
                <w:szCs w:val="16"/>
                <w:lang w:val="en-US"/>
              </w:rPr>
              <w:t xml:space="preserve">*, </w:t>
            </w:r>
            <w:r>
              <w:rPr>
                <w:rFonts w:cs="Arial" w:ascii="Arial" w:hAnsi="Arial"/>
                <w:color w:val="000000"/>
                <w:sz w:val="16"/>
                <w:szCs w:val="16"/>
              </w:rPr>
              <w:t>ЕР</w:t>
            </w:r>
            <w:r>
              <w:rPr>
                <w:rFonts w:cs="Arial" w:ascii="Arial" w:hAnsi="Arial"/>
                <w:color w:val="000000"/>
                <w:sz w:val="16"/>
                <w:szCs w:val="16"/>
                <w:lang w:val="en-US"/>
              </w:rPr>
              <w:t>*)-** «</w:t>
            </w:r>
            <w:r>
              <w:rPr>
                <w:rFonts w:cs="Arial" w:ascii="Arial" w:hAnsi="Arial"/>
                <w:color w:val="000000"/>
                <w:sz w:val="16"/>
                <w:szCs w:val="16"/>
              </w:rPr>
              <w:t>Визначення</w:t>
            </w:r>
            <w:r>
              <w:rPr>
                <w:rFonts w:cs="Arial" w:ascii="Arial" w:hAnsi="Arial"/>
                <w:color w:val="000000"/>
                <w:sz w:val="16"/>
                <w:szCs w:val="16"/>
                <w:lang w:val="en-US"/>
              </w:rPr>
              <w:t xml:space="preserve"> </w:t>
            </w:r>
            <w:r>
              <w:rPr>
                <w:rFonts w:cs="Arial" w:ascii="Arial" w:hAnsi="Arial"/>
                <w:color w:val="000000"/>
                <w:sz w:val="16"/>
                <w:szCs w:val="16"/>
              </w:rPr>
              <w:t>ідентифікації</w:t>
            </w:r>
            <w:r>
              <w:rPr>
                <w:rFonts w:cs="Arial" w:ascii="Arial" w:hAnsi="Arial"/>
                <w:color w:val="000000"/>
                <w:sz w:val="16"/>
                <w:szCs w:val="16"/>
                <w:lang w:val="en-US"/>
              </w:rPr>
              <w:t xml:space="preserve"> </w:t>
            </w:r>
            <w:r>
              <w:rPr>
                <w:rFonts w:cs="Arial" w:ascii="Arial" w:hAnsi="Arial"/>
                <w:color w:val="000000"/>
                <w:sz w:val="16"/>
                <w:szCs w:val="16"/>
              </w:rPr>
              <w:t>проводять</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середній</w:t>
            </w:r>
            <w:r>
              <w:rPr>
                <w:rFonts w:cs="Arial" w:ascii="Arial" w:hAnsi="Arial"/>
                <w:color w:val="000000"/>
                <w:sz w:val="16"/>
                <w:szCs w:val="16"/>
                <w:lang w:val="en-US"/>
              </w:rPr>
              <w:t xml:space="preserve"> </w:t>
            </w:r>
            <w:r>
              <w:rPr>
                <w:rFonts w:cs="Arial" w:ascii="Arial" w:hAnsi="Arial"/>
                <w:color w:val="000000"/>
                <w:sz w:val="16"/>
                <w:szCs w:val="16"/>
              </w:rPr>
              <w:t>пробі</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методу</w:t>
            </w:r>
            <w:r>
              <w:rPr>
                <w:rFonts w:cs="Arial" w:ascii="Arial" w:hAnsi="Arial"/>
                <w:color w:val="000000"/>
                <w:sz w:val="16"/>
                <w:szCs w:val="16"/>
                <w:lang w:val="en-US"/>
              </w:rPr>
              <w:t xml:space="preserve"> </w:t>
            </w:r>
            <w:r>
              <w:rPr>
                <w:rFonts w:cs="Arial" w:ascii="Arial" w:hAnsi="Arial"/>
                <w:color w:val="000000"/>
                <w:sz w:val="16"/>
                <w:szCs w:val="16"/>
              </w:rPr>
              <w:t>Романівської</w:t>
            </w:r>
            <w:r>
              <w:rPr>
                <w:rFonts w:cs="Arial" w:ascii="Arial" w:hAnsi="Arial"/>
                <w:color w:val="000000"/>
                <w:sz w:val="16"/>
                <w:szCs w:val="16"/>
                <w:lang w:val="en-US"/>
              </w:rPr>
              <w:t xml:space="preserve"> </w:t>
            </w:r>
            <w:r>
              <w:rPr>
                <w:rFonts w:cs="Arial" w:ascii="Arial" w:hAnsi="Arial"/>
                <w:color w:val="000000"/>
                <w:sz w:val="16"/>
                <w:szCs w:val="16"/>
              </w:rPr>
              <w:t>спектрометрії</w:t>
            </w:r>
            <w:r>
              <w:rPr>
                <w:rFonts w:cs="Arial" w:ascii="Arial" w:hAnsi="Arial"/>
                <w:color w:val="000000"/>
                <w:sz w:val="16"/>
                <w:szCs w:val="16"/>
                <w:lang w:val="en-US"/>
              </w:rPr>
              <w:t xml:space="preserve"> (2.2.48) </w:t>
            </w:r>
            <w:r>
              <w:rPr>
                <w:rFonts w:cs="Arial" w:ascii="Arial" w:hAnsi="Arial"/>
                <w:color w:val="000000"/>
                <w:sz w:val="16"/>
                <w:szCs w:val="16"/>
              </w:rPr>
              <w:t>ДФУ</w:t>
            </w:r>
            <w:r>
              <w:rPr>
                <w:rFonts w:cs="Arial" w:ascii="Arial" w:hAnsi="Arial"/>
                <w:color w:val="000000"/>
                <w:sz w:val="16"/>
                <w:szCs w:val="16"/>
                <w:lang w:val="en-US"/>
              </w:rPr>
              <w:t>*</w:t>
            </w:r>
            <w:r>
              <w:rPr>
                <w:rFonts w:cs="Arial" w:ascii="Arial" w:hAnsi="Arial"/>
                <w:color w:val="000000"/>
                <w:sz w:val="16"/>
                <w:szCs w:val="16"/>
              </w:rPr>
              <w:t>ЕР</w:t>
            </w:r>
            <w:r>
              <w:rPr>
                <w:rFonts w:cs="Arial" w:ascii="Arial" w:hAnsi="Arial"/>
                <w:color w:val="000000"/>
                <w:sz w:val="16"/>
                <w:szCs w:val="16"/>
                <w:lang w:val="en-US"/>
              </w:rPr>
              <w:t>*- *** «</w:t>
            </w:r>
            <w:r>
              <w:rPr>
                <w:rFonts w:cs="Arial" w:ascii="Arial" w:hAnsi="Arial"/>
                <w:color w:val="000000"/>
                <w:sz w:val="16"/>
                <w:szCs w:val="16"/>
              </w:rPr>
              <w:t>Допускається</w:t>
            </w:r>
            <w:r>
              <w:rPr>
                <w:rFonts w:cs="Arial" w:ascii="Arial" w:hAnsi="Arial"/>
                <w:color w:val="000000"/>
                <w:sz w:val="16"/>
                <w:szCs w:val="16"/>
                <w:lang w:val="en-US"/>
              </w:rPr>
              <w:t xml:space="preserve"> </w:t>
            </w:r>
            <w:r>
              <w:rPr>
                <w:rFonts w:cs="Arial" w:ascii="Arial" w:hAnsi="Arial"/>
                <w:color w:val="000000"/>
                <w:sz w:val="16"/>
                <w:szCs w:val="16"/>
              </w:rPr>
              <w:t>визначення</w:t>
            </w:r>
            <w:r>
              <w:rPr>
                <w:rFonts w:cs="Arial" w:ascii="Arial" w:hAnsi="Arial"/>
                <w:color w:val="000000"/>
                <w:sz w:val="16"/>
                <w:szCs w:val="16"/>
                <w:lang w:val="en-US"/>
              </w:rPr>
              <w:t xml:space="preserve"> </w:t>
            </w:r>
            <w:r>
              <w:rPr>
                <w:rFonts w:cs="Arial" w:ascii="Arial" w:hAnsi="Arial"/>
                <w:color w:val="000000"/>
                <w:sz w:val="16"/>
                <w:szCs w:val="16"/>
              </w:rPr>
              <w:t>ідентифікації</w:t>
            </w:r>
            <w:r>
              <w:rPr>
                <w:rFonts w:cs="Arial" w:ascii="Arial" w:hAnsi="Arial"/>
                <w:color w:val="000000"/>
                <w:sz w:val="16"/>
                <w:szCs w:val="16"/>
                <w:lang w:val="en-US"/>
              </w:rPr>
              <w:t xml:space="preserve"> </w:t>
            </w:r>
            <w:r>
              <w:rPr>
                <w:rFonts w:cs="Arial" w:ascii="Arial" w:hAnsi="Arial"/>
                <w:color w:val="000000"/>
                <w:sz w:val="16"/>
                <w:szCs w:val="16"/>
              </w:rPr>
              <w:t>кожного</w:t>
            </w:r>
            <w:r>
              <w:rPr>
                <w:rFonts w:cs="Arial" w:ascii="Arial" w:hAnsi="Arial"/>
                <w:color w:val="000000"/>
                <w:sz w:val="16"/>
                <w:szCs w:val="16"/>
                <w:lang w:val="en-US"/>
              </w:rPr>
              <w:t xml:space="preserve"> </w:t>
            </w:r>
            <w:r>
              <w:rPr>
                <w:rFonts w:cs="Arial" w:ascii="Arial" w:hAnsi="Arial"/>
                <w:color w:val="000000"/>
                <w:sz w:val="16"/>
                <w:szCs w:val="16"/>
              </w:rPr>
              <w:t>тарного</w:t>
            </w:r>
            <w:r>
              <w:rPr>
                <w:rFonts w:cs="Arial" w:ascii="Arial" w:hAnsi="Arial"/>
                <w:color w:val="000000"/>
                <w:sz w:val="16"/>
                <w:szCs w:val="16"/>
                <w:lang w:val="en-US"/>
              </w:rPr>
              <w:t xml:space="preserve"> </w:t>
            </w:r>
            <w:r>
              <w:rPr>
                <w:rFonts w:cs="Arial" w:ascii="Arial" w:hAnsi="Arial"/>
                <w:color w:val="000000"/>
                <w:sz w:val="16"/>
                <w:szCs w:val="16"/>
              </w:rPr>
              <w:t>місця</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параметрах</w:t>
            </w:r>
            <w:r>
              <w:rPr>
                <w:rFonts w:cs="Arial" w:ascii="Arial" w:hAnsi="Arial"/>
                <w:color w:val="000000"/>
                <w:sz w:val="16"/>
                <w:szCs w:val="16"/>
                <w:lang w:val="en-US"/>
              </w:rPr>
              <w:t xml:space="preserve"> </w:t>
            </w:r>
            <w:r>
              <w:rPr>
                <w:rFonts w:cs="Arial" w:ascii="Arial" w:hAnsi="Arial"/>
                <w:color w:val="000000"/>
                <w:sz w:val="16"/>
                <w:szCs w:val="16"/>
              </w:rPr>
              <w:t>специфікацій</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допустимих</w:t>
            </w:r>
            <w:r>
              <w:rPr>
                <w:rFonts w:cs="Arial" w:ascii="Arial" w:hAnsi="Arial"/>
                <w:color w:val="000000"/>
                <w:sz w:val="16"/>
                <w:szCs w:val="16"/>
                <w:lang w:val="en-US"/>
              </w:rPr>
              <w:t xml:space="preserve"> </w:t>
            </w:r>
            <w:r>
              <w:rPr>
                <w:rFonts w:cs="Arial" w:ascii="Arial" w:hAnsi="Arial"/>
                <w:color w:val="000000"/>
                <w:sz w:val="16"/>
                <w:szCs w:val="16"/>
              </w:rPr>
              <w:t>меж</w:t>
            </w:r>
            <w:r>
              <w:rPr>
                <w:rFonts w:cs="Arial" w:ascii="Arial" w:hAnsi="Arial"/>
                <w:color w:val="000000"/>
                <w:sz w:val="16"/>
                <w:szCs w:val="16"/>
                <w:lang w:val="en-US"/>
              </w:rPr>
              <w:t xml:space="preserve">, </w:t>
            </w:r>
            <w:r>
              <w:rPr>
                <w:rFonts w:cs="Arial" w:ascii="Arial" w:hAnsi="Arial"/>
                <w:color w:val="000000"/>
                <w:sz w:val="16"/>
                <w:szCs w:val="16"/>
              </w:rPr>
              <w:t>визначених</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специфікаціях</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вихідний</w:t>
            </w:r>
            <w:r>
              <w:rPr>
                <w:rFonts w:cs="Arial" w:ascii="Arial" w:hAnsi="Arial"/>
                <w:color w:val="000000"/>
                <w:sz w:val="16"/>
                <w:szCs w:val="16"/>
                <w:lang w:val="en-US"/>
              </w:rPr>
              <w:t>/</w:t>
            </w:r>
            <w:r>
              <w:rPr>
                <w:rFonts w:cs="Arial" w:ascii="Arial" w:hAnsi="Arial"/>
                <w:color w:val="000000"/>
                <w:sz w:val="16"/>
                <w:szCs w:val="16"/>
              </w:rPr>
              <w:t>проміжний</w:t>
            </w:r>
            <w:r>
              <w:rPr>
                <w:rFonts w:cs="Arial" w:ascii="Arial" w:hAnsi="Arial"/>
                <w:color w:val="000000"/>
                <w:sz w:val="16"/>
                <w:szCs w:val="16"/>
                <w:lang w:val="en-US"/>
              </w:rPr>
              <w:t xml:space="preserve"> </w:t>
            </w:r>
            <w:r>
              <w:rPr>
                <w:rFonts w:cs="Arial" w:ascii="Arial" w:hAnsi="Arial"/>
                <w:color w:val="000000"/>
                <w:sz w:val="16"/>
                <w:szCs w:val="16"/>
              </w:rPr>
              <w:t>продукт</w:t>
            </w:r>
            <w:r>
              <w:rPr>
                <w:rFonts w:cs="Arial" w:ascii="Arial" w:hAnsi="Arial"/>
                <w:color w:val="000000"/>
                <w:sz w:val="16"/>
                <w:szCs w:val="16"/>
                <w:lang w:val="en-US"/>
              </w:rPr>
              <w:t>/</w:t>
            </w:r>
            <w:r>
              <w:rPr>
                <w:rFonts w:cs="Arial" w:ascii="Arial" w:hAnsi="Arial"/>
                <w:color w:val="000000"/>
                <w:sz w:val="16"/>
                <w:szCs w:val="16"/>
              </w:rPr>
              <w:t>реагент</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використовуються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процесі</w:t>
            </w:r>
            <w:r>
              <w:rPr>
                <w:rFonts w:cs="Arial" w:ascii="Arial" w:hAnsi="Arial"/>
                <w:color w:val="000000"/>
                <w:sz w:val="16"/>
                <w:szCs w:val="16"/>
                <w:lang w:val="en-US"/>
              </w:rPr>
              <w:t xml:space="preserve"> </w:t>
            </w:r>
            <w:r>
              <w:rPr>
                <w:rFonts w:cs="Arial" w:ascii="Arial" w:hAnsi="Arial"/>
                <w:color w:val="000000"/>
                <w:sz w:val="16"/>
                <w:szCs w:val="16"/>
              </w:rPr>
              <w:t>виробництва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доповнення</w:t>
            </w:r>
            <w:r>
              <w:rPr>
                <w:rFonts w:cs="Arial" w:ascii="Arial" w:hAnsi="Arial"/>
                <w:color w:val="000000"/>
                <w:sz w:val="16"/>
                <w:szCs w:val="16"/>
                <w:lang w:val="en-US"/>
              </w:rPr>
              <w:t xml:space="preserve"> </w:t>
            </w:r>
            <w:r>
              <w:rPr>
                <w:rFonts w:cs="Arial" w:ascii="Arial" w:hAnsi="Arial"/>
                <w:color w:val="000000"/>
                <w:sz w:val="16"/>
                <w:szCs w:val="16"/>
              </w:rPr>
              <w:t>специфікації</w:t>
            </w:r>
            <w:r>
              <w:rPr>
                <w:rFonts w:cs="Arial" w:ascii="Arial" w:hAnsi="Arial"/>
                <w:color w:val="000000"/>
                <w:sz w:val="16"/>
                <w:szCs w:val="16"/>
                <w:lang w:val="en-US"/>
              </w:rPr>
              <w:t xml:space="preserve"> </w:t>
            </w:r>
            <w:r>
              <w:rPr>
                <w:rFonts w:cs="Arial" w:ascii="Arial" w:hAnsi="Arial"/>
                <w:color w:val="000000"/>
                <w:sz w:val="16"/>
                <w:szCs w:val="16"/>
              </w:rPr>
              <w:t>новим</w:t>
            </w:r>
            <w:r>
              <w:rPr>
                <w:rFonts w:cs="Arial" w:ascii="Arial" w:hAnsi="Arial"/>
                <w:color w:val="000000"/>
                <w:sz w:val="16"/>
                <w:szCs w:val="16"/>
                <w:lang w:val="en-US"/>
              </w:rPr>
              <w:t xml:space="preserve"> </w:t>
            </w:r>
            <w:r>
              <w:rPr>
                <w:rFonts w:cs="Arial" w:ascii="Arial" w:hAnsi="Arial"/>
                <w:color w:val="000000"/>
                <w:sz w:val="16"/>
                <w:szCs w:val="16"/>
              </w:rPr>
              <w:t>показником</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відповідним</w:t>
            </w:r>
            <w:r>
              <w:rPr>
                <w:rFonts w:cs="Arial" w:ascii="Arial" w:hAnsi="Arial"/>
                <w:color w:val="000000"/>
                <w:sz w:val="16"/>
                <w:szCs w:val="16"/>
                <w:lang w:val="en-US"/>
              </w:rPr>
              <w:t xml:space="preserve"> </w:t>
            </w:r>
            <w:r>
              <w:rPr>
                <w:rFonts w:cs="Arial" w:ascii="Arial" w:hAnsi="Arial"/>
                <w:color w:val="000000"/>
                <w:sz w:val="16"/>
                <w:szCs w:val="16"/>
              </w:rPr>
              <w:t>методом</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доповнення</w:t>
            </w:r>
            <w:r>
              <w:rPr>
                <w:rFonts w:cs="Arial" w:ascii="Arial" w:hAnsi="Arial"/>
                <w:color w:val="000000"/>
                <w:sz w:val="16"/>
                <w:szCs w:val="16"/>
                <w:lang w:val="en-US"/>
              </w:rPr>
              <w:t xml:space="preserve"> </w:t>
            </w:r>
            <w:r>
              <w:rPr>
                <w:rFonts w:cs="Arial" w:ascii="Arial" w:hAnsi="Arial"/>
                <w:color w:val="000000"/>
                <w:sz w:val="16"/>
                <w:szCs w:val="16"/>
              </w:rPr>
              <w:t>специфікації</w:t>
            </w:r>
            <w:r>
              <w:rPr>
                <w:rFonts w:cs="Arial" w:ascii="Arial" w:hAnsi="Arial"/>
                <w:color w:val="000000"/>
                <w:sz w:val="16"/>
                <w:szCs w:val="16"/>
                <w:lang w:val="en-US"/>
              </w:rPr>
              <w:t xml:space="preserve"> </w:t>
            </w:r>
            <w:r>
              <w:rPr>
                <w:rFonts w:cs="Arial" w:ascii="Arial" w:hAnsi="Arial"/>
                <w:color w:val="000000"/>
                <w:sz w:val="16"/>
                <w:szCs w:val="16"/>
              </w:rPr>
              <w:t>вхідного</w:t>
            </w:r>
            <w:r>
              <w:rPr>
                <w:rFonts w:cs="Arial" w:ascii="Arial" w:hAnsi="Arial"/>
                <w:color w:val="000000"/>
                <w:sz w:val="16"/>
                <w:szCs w:val="16"/>
                <w:lang w:val="en-US"/>
              </w:rPr>
              <w:t xml:space="preserve"> </w:t>
            </w:r>
            <w:r>
              <w:rPr>
                <w:rFonts w:cs="Arial" w:ascii="Arial" w:hAnsi="Arial"/>
                <w:color w:val="000000"/>
                <w:sz w:val="16"/>
                <w:szCs w:val="16"/>
              </w:rPr>
              <w:t>контролю</w:t>
            </w:r>
            <w:r>
              <w:rPr>
                <w:rFonts w:cs="Arial" w:ascii="Arial" w:hAnsi="Arial"/>
                <w:color w:val="000000"/>
                <w:sz w:val="16"/>
                <w:szCs w:val="16"/>
                <w:lang w:val="en-US"/>
              </w:rPr>
              <w:t xml:space="preserve"> </w:t>
            </w:r>
            <w:r>
              <w:rPr>
                <w:rFonts w:cs="Arial" w:ascii="Arial" w:hAnsi="Arial"/>
                <w:color w:val="000000"/>
                <w:sz w:val="16"/>
                <w:szCs w:val="16"/>
              </w:rPr>
              <w:t>діючої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кеторолаку</w:t>
            </w:r>
            <w:r>
              <w:rPr>
                <w:rFonts w:cs="Arial" w:ascii="Arial" w:hAnsi="Arial"/>
                <w:color w:val="000000"/>
                <w:sz w:val="16"/>
                <w:szCs w:val="16"/>
                <w:lang w:val="en-US"/>
              </w:rPr>
              <w:t xml:space="preserve"> </w:t>
            </w:r>
            <w:r>
              <w:rPr>
                <w:rFonts w:cs="Arial" w:ascii="Arial" w:hAnsi="Arial"/>
                <w:color w:val="000000"/>
                <w:sz w:val="16"/>
                <w:szCs w:val="16"/>
              </w:rPr>
              <w:t>трометамол</w:t>
            </w:r>
            <w:r>
              <w:rPr>
                <w:rFonts w:cs="Arial" w:ascii="Arial" w:hAnsi="Arial"/>
                <w:color w:val="000000"/>
                <w:sz w:val="16"/>
                <w:szCs w:val="16"/>
                <w:lang w:val="en-US"/>
              </w:rPr>
              <w:t xml:space="preserve"> </w:t>
            </w:r>
            <w:r>
              <w:rPr>
                <w:rFonts w:cs="Arial" w:ascii="Arial" w:hAnsi="Arial"/>
                <w:color w:val="000000"/>
                <w:sz w:val="16"/>
                <w:szCs w:val="16"/>
              </w:rPr>
              <w:t>виробництва</w:t>
            </w:r>
            <w:r>
              <w:rPr>
                <w:rFonts w:cs="Arial" w:ascii="Arial" w:hAnsi="Arial"/>
                <w:color w:val="000000"/>
                <w:sz w:val="16"/>
                <w:szCs w:val="16"/>
                <w:lang w:val="en-US"/>
              </w:rPr>
              <w:t xml:space="preserve"> VASUDHA PHARMA CHEM LIMITED, </w:t>
            </w:r>
            <w:r>
              <w:rPr>
                <w:rFonts w:cs="Arial" w:ascii="Arial" w:hAnsi="Arial"/>
                <w:color w:val="000000"/>
                <w:sz w:val="16"/>
                <w:szCs w:val="16"/>
              </w:rPr>
              <w:t>Індія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DR. REDDY'S LABORATORIES LIMITED, </w:t>
            </w:r>
            <w:r>
              <w:rPr>
                <w:rFonts w:cs="Arial" w:ascii="Arial" w:hAnsi="Arial"/>
                <w:color w:val="000000"/>
                <w:sz w:val="16"/>
                <w:szCs w:val="16"/>
              </w:rPr>
              <w:t>Індія</w:t>
            </w:r>
            <w:r>
              <w:rPr>
                <w:rFonts w:cs="Arial" w:ascii="Arial" w:hAnsi="Arial"/>
                <w:color w:val="000000"/>
                <w:sz w:val="16"/>
                <w:szCs w:val="16"/>
                <w:lang w:val="en-US"/>
              </w:rPr>
              <w:t xml:space="preserve"> </w:t>
            </w:r>
            <w:r>
              <w:rPr>
                <w:rFonts w:cs="Arial" w:ascii="Arial" w:hAnsi="Arial"/>
                <w:color w:val="000000"/>
                <w:sz w:val="16"/>
                <w:szCs w:val="16"/>
              </w:rPr>
              <w:t>новим</w:t>
            </w:r>
            <w:r>
              <w:rPr>
                <w:rFonts w:cs="Arial" w:ascii="Arial" w:hAnsi="Arial"/>
                <w:color w:val="000000"/>
                <w:sz w:val="16"/>
                <w:szCs w:val="16"/>
                <w:lang w:val="en-US"/>
              </w:rPr>
              <w:t xml:space="preserve"> </w:t>
            </w:r>
            <w:r>
              <w:rPr>
                <w:rFonts w:cs="Arial" w:ascii="Arial" w:hAnsi="Arial"/>
                <w:color w:val="000000"/>
                <w:sz w:val="16"/>
                <w:szCs w:val="16"/>
              </w:rPr>
              <w:t>показником</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Мікробіологічна</w:t>
            </w:r>
            <w:r>
              <w:rPr>
                <w:rFonts w:cs="Arial" w:ascii="Arial" w:hAnsi="Arial"/>
                <w:color w:val="000000"/>
                <w:sz w:val="16"/>
                <w:szCs w:val="16"/>
                <w:lang w:val="en-US"/>
              </w:rPr>
              <w:t xml:space="preserve"> </w:t>
            </w:r>
            <w:r>
              <w:rPr>
                <w:rFonts w:cs="Arial" w:ascii="Arial" w:hAnsi="Arial"/>
                <w:color w:val="000000"/>
                <w:sz w:val="16"/>
                <w:szCs w:val="16"/>
              </w:rPr>
              <w:t>чистота</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критеріями</w:t>
            </w:r>
            <w:r>
              <w:rPr>
                <w:rFonts w:cs="Arial" w:ascii="Arial" w:hAnsi="Arial"/>
                <w:color w:val="000000"/>
                <w:sz w:val="16"/>
                <w:szCs w:val="16"/>
                <w:lang w:val="en-US"/>
              </w:rPr>
              <w:t xml:space="preserve"> </w:t>
            </w:r>
            <w:r>
              <w:rPr>
                <w:rFonts w:cs="Arial" w:ascii="Arial" w:hAnsi="Arial"/>
                <w:color w:val="000000"/>
                <w:sz w:val="16"/>
                <w:szCs w:val="16"/>
              </w:rPr>
              <w:t>прийнятності</w:t>
            </w:r>
            <w:r>
              <w:rPr>
                <w:rFonts w:cs="Arial" w:ascii="Arial" w:hAnsi="Arial"/>
                <w:color w:val="000000"/>
                <w:sz w:val="16"/>
                <w:szCs w:val="16"/>
                <w:lang w:val="en-US"/>
              </w:rPr>
              <w:t xml:space="preserve">: </w:t>
            </w:r>
            <w:r>
              <w:rPr>
                <w:rFonts w:cs="Arial" w:ascii="Arial" w:hAnsi="Arial"/>
                <w:color w:val="000000"/>
                <w:sz w:val="16"/>
                <w:szCs w:val="16"/>
              </w:rPr>
              <w:t>Загальне</w:t>
            </w:r>
            <w:r>
              <w:rPr>
                <w:rFonts w:cs="Arial" w:ascii="Arial" w:hAnsi="Arial"/>
                <w:color w:val="000000"/>
                <w:sz w:val="16"/>
                <w:szCs w:val="16"/>
                <w:lang w:val="en-US"/>
              </w:rPr>
              <w:t xml:space="preserve"> </w:t>
            </w:r>
            <w:r>
              <w:rPr>
                <w:rFonts w:cs="Arial" w:ascii="Arial" w:hAnsi="Arial"/>
                <w:color w:val="000000"/>
                <w:sz w:val="16"/>
                <w:szCs w:val="16"/>
              </w:rPr>
              <w:t>число</w:t>
            </w:r>
            <w:r>
              <w:rPr>
                <w:rFonts w:cs="Arial" w:ascii="Arial" w:hAnsi="Arial"/>
                <w:color w:val="000000"/>
                <w:sz w:val="16"/>
                <w:szCs w:val="16"/>
                <w:lang w:val="en-US"/>
              </w:rPr>
              <w:t xml:space="preserve"> </w:t>
            </w:r>
            <w:r>
              <w:rPr>
                <w:rFonts w:cs="Arial" w:ascii="Arial" w:hAnsi="Arial"/>
                <w:color w:val="000000"/>
                <w:sz w:val="16"/>
                <w:szCs w:val="16"/>
              </w:rPr>
              <w:t>аеробних</w:t>
            </w:r>
            <w:r>
              <w:rPr>
                <w:rFonts w:cs="Arial" w:ascii="Arial" w:hAnsi="Arial"/>
                <w:color w:val="000000"/>
                <w:sz w:val="16"/>
                <w:szCs w:val="16"/>
                <w:lang w:val="en-US"/>
              </w:rPr>
              <w:t xml:space="preserve"> </w:t>
            </w:r>
            <w:r>
              <w:rPr>
                <w:rFonts w:cs="Arial" w:ascii="Arial" w:hAnsi="Arial"/>
                <w:color w:val="000000"/>
                <w:sz w:val="16"/>
                <w:szCs w:val="16"/>
              </w:rPr>
              <w:t>мікроорганізмів</w:t>
            </w:r>
            <w:r>
              <w:rPr>
                <w:rFonts w:cs="Arial" w:ascii="Arial" w:hAnsi="Arial"/>
                <w:color w:val="000000"/>
                <w:sz w:val="16"/>
                <w:szCs w:val="16"/>
                <w:lang w:val="en-US"/>
              </w:rPr>
              <w:t xml:space="preserve"> (</w:t>
            </w:r>
            <w:r>
              <w:rPr>
                <w:rFonts w:cs="Arial" w:ascii="Arial" w:hAnsi="Arial"/>
                <w:color w:val="000000"/>
                <w:sz w:val="16"/>
                <w:szCs w:val="16"/>
              </w:rPr>
              <w:t>ТАМС</w:t>
            </w:r>
            <w:r>
              <w:rPr>
                <w:rFonts w:cs="Arial" w:ascii="Arial" w:hAnsi="Arial"/>
                <w:color w:val="000000"/>
                <w:sz w:val="16"/>
                <w:szCs w:val="16"/>
                <w:lang w:val="en-US"/>
              </w:rPr>
              <w:t>)-10 3</w:t>
            </w:r>
            <w:r>
              <w:rPr>
                <w:rFonts w:cs="Arial" w:ascii="Arial" w:hAnsi="Arial"/>
                <w:color w:val="000000"/>
                <w:sz w:val="16"/>
                <w:szCs w:val="16"/>
              </w:rPr>
              <w:t>КУО</w:t>
            </w:r>
            <w:r>
              <w:rPr>
                <w:rFonts w:cs="Arial" w:ascii="Arial" w:hAnsi="Arial"/>
                <w:color w:val="000000"/>
                <w:sz w:val="16"/>
                <w:szCs w:val="16"/>
                <w:lang w:val="en-US"/>
              </w:rPr>
              <w:t>/</w:t>
            </w:r>
            <w:r>
              <w:rPr>
                <w:rFonts w:cs="Arial" w:ascii="Arial" w:hAnsi="Arial"/>
                <w:color w:val="000000"/>
                <w:sz w:val="16"/>
                <w:szCs w:val="16"/>
              </w:rPr>
              <w:t>г</w:t>
            </w:r>
            <w:r>
              <w:rPr>
                <w:rFonts w:cs="Arial" w:ascii="Arial" w:hAnsi="Arial"/>
                <w:color w:val="000000"/>
                <w:sz w:val="16"/>
                <w:szCs w:val="16"/>
                <w:lang w:val="en-US"/>
              </w:rPr>
              <w:t xml:space="preserve">. </w:t>
            </w:r>
            <w:r>
              <w:rPr>
                <w:rFonts w:cs="Arial" w:ascii="Arial" w:hAnsi="Arial"/>
                <w:color w:val="000000"/>
                <w:sz w:val="16"/>
                <w:szCs w:val="16"/>
              </w:rPr>
              <w:t>Загальне</w:t>
            </w:r>
            <w:r>
              <w:rPr>
                <w:rFonts w:cs="Arial" w:ascii="Arial" w:hAnsi="Arial"/>
                <w:color w:val="000000"/>
                <w:sz w:val="16"/>
                <w:szCs w:val="16"/>
                <w:lang w:val="en-US"/>
              </w:rPr>
              <w:t xml:space="preserve"> </w:t>
            </w:r>
            <w:r>
              <w:rPr>
                <w:rFonts w:cs="Arial" w:ascii="Arial" w:hAnsi="Arial"/>
                <w:color w:val="000000"/>
                <w:sz w:val="16"/>
                <w:szCs w:val="16"/>
              </w:rPr>
              <w:t>число</w:t>
            </w:r>
            <w:r>
              <w:rPr>
                <w:rFonts w:cs="Arial" w:ascii="Arial" w:hAnsi="Arial"/>
                <w:color w:val="000000"/>
                <w:sz w:val="16"/>
                <w:szCs w:val="16"/>
                <w:lang w:val="en-US"/>
              </w:rPr>
              <w:t xml:space="preserve"> </w:t>
            </w:r>
            <w:r>
              <w:rPr>
                <w:rFonts w:cs="Arial" w:ascii="Arial" w:hAnsi="Arial"/>
                <w:color w:val="000000"/>
                <w:sz w:val="16"/>
                <w:szCs w:val="16"/>
              </w:rPr>
              <w:t>дріжджових</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плісеневих</w:t>
            </w:r>
            <w:r>
              <w:rPr>
                <w:rFonts w:cs="Arial" w:ascii="Arial" w:hAnsi="Arial"/>
                <w:color w:val="000000"/>
                <w:sz w:val="16"/>
                <w:szCs w:val="16"/>
                <w:lang w:val="en-US"/>
              </w:rPr>
              <w:t xml:space="preserve"> </w:t>
            </w:r>
            <w:r>
              <w:rPr>
                <w:rFonts w:cs="Arial" w:ascii="Arial" w:hAnsi="Arial"/>
                <w:color w:val="000000"/>
                <w:sz w:val="16"/>
                <w:szCs w:val="16"/>
              </w:rPr>
              <w:t>грибів</w:t>
            </w:r>
            <w:r>
              <w:rPr>
                <w:rFonts w:cs="Arial" w:ascii="Arial" w:hAnsi="Arial"/>
                <w:color w:val="000000"/>
                <w:sz w:val="16"/>
                <w:szCs w:val="16"/>
                <w:lang w:val="en-US"/>
              </w:rPr>
              <w:t xml:space="preserve"> (TYMC) -10 2 </w:t>
            </w:r>
            <w:r>
              <w:rPr>
                <w:rFonts w:cs="Arial" w:ascii="Arial" w:hAnsi="Arial"/>
                <w:color w:val="000000"/>
                <w:sz w:val="16"/>
                <w:szCs w:val="16"/>
              </w:rPr>
              <w:t>КУО</w:t>
            </w:r>
            <w:r>
              <w:rPr>
                <w:rFonts w:cs="Arial" w:ascii="Arial" w:hAnsi="Arial"/>
                <w:color w:val="000000"/>
                <w:sz w:val="16"/>
                <w:szCs w:val="16"/>
                <w:lang w:val="en-US"/>
              </w:rPr>
              <w:t>/</w:t>
            </w:r>
            <w:r>
              <w:rPr>
                <w:rFonts w:cs="Arial" w:ascii="Arial" w:hAnsi="Arial"/>
                <w:color w:val="000000"/>
                <w:sz w:val="16"/>
                <w:szCs w:val="16"/>
              </w:rPr>
              <w:t>г</w:t>
            </w:r>
            <w:r>
              <w:rPr>
                <w:rFonts w:cs="Arial" w:ascii="Arial" w:hAnsi="Arial"/>
                <w:color w:val="000000"/>
                <w:sz w:val="16"/>
                <w:szCs w:val="16"/>
                <w:lang w:val="en-US"/>
              </w:rPr>
              <w:t>. (</w:t>
            </w:r>
            <w:r>
              <w:rPr>
                <w:rFonts w:cs="Arial" w:ascii="Arial" w:hAnsi="Arial"/>
                <w:color w:val="000000"/>
                <w:sz w:val="16"/>
                <w:szCs w:val="16"/>
              </w:rPr>
              <w:t>ДФУ</w:t>
            </w:r>
            <w:r>
              <w:rPr>
                <w:rFonts w:cs="Arial" w:ascii="Arial" w:hAnsi="Arial"/>
                <w:color w:val="000000"/>
                <w:sz w:val="16"/>
                <w:szCs w:val="16"/>
                <w:lang w:val="en-US"/>
              </w:rPr>
              <w:t xml:space="preserve">, </w:t>
            </w:r>
            <w:r>
              <w:rPr>
                <w:rFonts w:cs="Arial" w:ascii="Arial" w:hAnsi="Arial"/>
                <w:color w:val="000000"/>
                <w:sz w:val="16"/>
                <w:szCs w:val="16"/>
              </w:rPr>
              <w:t>ЄФ</w:t>
            </w:r>
            <w:r>
              <w:rPr>
                <w:rFonts w:cs="Arial" w:ascii="Arial" w:hAnsi="Arial"/>
                <w:color w:val="000000"/>
                <w:sz w:val="16"/>
                <w:szCs w:val="16"/>
                <w:lang w:val="en-US"/>
              </w:rPr>
              <w:t xml:space="preserve"> 2.6.12, 2.6.13, 5.1.4).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вихідного</w:t>
            </w:r>
            <w:r>
              <w:rPr>
                <w:rFonts w:cs="Arial" w:ascii="Arial" w:hAnsi="Arial"/>
                <w:color w:val="000000"/>
                <w:sz w:val="16"/>
                <w:szCs w:val="16"/>
                <w:lang w:val="en-US"/>
              </w:rPr>
              <w:t xml:space="preserve"> </w:t>
            </w:r>
            <w:r>
              <w:rPr>
                <w:rFonts w:cs="Arial" w:ascii="Arial" w:hAnsi="Arial"/>
                <w:color w:val="000000"/>
                <w:sz w:val="16"/>
                <w:szCs w:val="16"/>
              </w:rPr>
              <w:t>матеріалу</w:t>
            </w:r>
            <w:r>
              <w:rPr>
                <w:rFonts w:cs="Arial" w:ascii="Arial" w:hAnsi="Arial"/>
                <w:color w:val="000000"/>
                <w:sz w:val="16"/>
                <w:szCs w:val="16"/>
                <w:lang w:val="en-US"/>
              </w:rPr>
              <w:t>/</w:t>
            </w:r>
            <w:r>
              <w:rPr>
                <w:rFonts w:cs="Arial" w:ascii="Arial" w:hAnsi="Arial"/>
                <w:color w:val="000000"/>
                <w:sz w:val="16"/>
                <w:szCs w:val="16"/>
              </w:rPr>
              <w:t>проміжного</w:t>
            </w:r>
            <w:r>
              <w:rPr>
                <w:rFonts w:cs="Arial" w:ascii="Arial" w:hAnsi="Arial"/>
                <w:color w:val="000000"/>
                <w:sz w:val="16"/>
                <w:szCs w:val="16"/>
                <w:lang w:val="en-US"/>
              </w:rPr>
              <w:t xml:space="preserve"> </w:t>
            </w:r>
            <w:r>
              <w:rPr>
                <w:rFonts w:cs="Arial" w:ascii="Arial" w:hAnsi="Arial"/>
                <w:color w:val="000000"/>
                <w:sz w:val="16"/>
                <w:szCs w:val="16"/>
              </w:rPr>
              <w:t>продукту</w:t>
            </w:r>
            <w:r>
              <w:rPr>
                <w:rFonts w:cs="Arial" w:ascii="Arial" w:hAnsi="Arial"/>
                <w:color w:val="000000"/>
                <w:sz w:val="16"/>
                <w:szCs w:val="16"/>
                <w:lang w:val="en-US"/>
              </w:rPr>
              <w:t>/</w:t>
            </w:r>
            <w:r>
              <w:rPr>
                <w:rFonts w:cs="Arial" w:ascii="Arial" w:hAnsi="Arial"/>
                <w:color w:val="000000"/>
                <w:sz w:val="16"/>
                <w:szCs w:val="16"/>
              </w:rPr>
              <w:t>реагенту</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використовується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процесі</w:t>
            </w:r>
            <w:r>
              <w:rPr>
                <w:rFonts w:cs="Arial" w:ascii="Arial" w:hAnsi="Arial"/>
                <w:color w:val="000000"/>
                <w:sz w:val="16"/>
                <w:szCs w:val="16"/>
                <w:lang w:val="en-US"/>
              </w:rPr>
              <w:t xml:space="preserve"> </w:t>
            </w:r>
            <w:r>
              <w:rPr>
                <w:rFonts w:cs="Arial" w:ascii="Arial" w:hAnsi="Arial"/>
                <w:color w:val="000000"/>
                <w:sz w:val="16"/>
                <w:szCs w:val="16"/>
              </w:rPr>
              <w:t>виробництва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заміну</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доповнення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вихідного</w:t>
            </w:r>
            <w:r>
              <w:rPr>
                <w:rFonts w:cs="Arial" w:ascii="Arial" w:hAnsi="Arial"/>
                <w:color w:val="000000"/>
                <w:sz w:val="16"/>
                <w:szCs w:val="16"/>
                <w:lang w:val="en-US"/>
              </w:rPr>
              <w:t>/</w:t>
            </w:r>
            <w:r>
              <w:rPr>
                <w:rFonts w:cs="Arial" w:ascii="Arial" w:hAnsi="Arial"/>
                <w:color w:val="000000"/>
                <w:sz w:val="16"/>
                <w:szCs w:val="16"/>
              </w:rPr>
              <w:t>проміжного</w:t>
            </w:r>
            <w:r>
              <w:rPr>
                <w:rFonts w:cs="Arial" w:ascii="Arial" w:hAnsi="Arial"/>
                <w:color w:val="000000"/>
                <w:sz w:val="16"/>
                <w:szCs w:val="16"/>
                <w:lang w:val="en-US"/>
              </w:rPr>
              <w:t xml:space="preserve"> </w:t>
            </w:r>
            <w:r>
              <w:rPr>
                <w:rFonts w:cs="Arial" w:ascii="Arial" w:hAnsi="Arial"/>
                <w:color w:val="000000"/>
                <w:sz w:val="16"/>
                <w:szCs w:val="16"/>
              </w:rPr>
              <w:t>продукту</w:t>
            </w:r>
            <w:r>
              <w:rPr>
                <w:rFonts w:cs="Arial" w:ascii="Arial" w:hAnsi="Arial"/>
                <w:color w:val="000000"/>
                <w:sz w:val="16"/>
                <w:szCs w:val="16"/>
                <w:lang w:val="en-US"/>
              </w:rPr>
              <w:t>) (</w:t>
            </w:r>
            <w:r>
              <w:rPr>
                <w:rFonts w:cs="Arial" w:ascii="Arial" w:hAnsi="Arial"/>
                <w:color w:val="000000"/>
                <w:sz w:val="16"/>
                <w:szCs w:val="16"/>
              </w:rPr>
              <w:t>Б</w:t>
            </w:r>
            <w:r>
              <w:rPr>
                <w:rFonts w:cs="Arial" w:ascii="Arial" w:hAnsi="Arial"/>
                <w:color w:val="000000"/>
                <w:sz w:val="16"/>
                <w:szCs w:val="16"/>
                <w:lang w:val="en-US"/>
              </w:rPr>
              <w:t>.I.</w:t>
            </w:r>
            <w:r>
              <w:rPr>
                <w:rFonts w:cs="Arial" w:ascii="Arial" w:hAnsi="Arial"/>
                <w:color w:val="000000"/>
                <w:sz w:val="16"/>
                <w:szCs w:val="16"/>
              </w:rPr>
              <w:t>б</w:t>
            </w:r>
            <w:r>
              <w:rPr>
                <w:rFonts w:cs="Arial" w:ascii="Arial" w:hAnsi="Arial"/>
                <w:color w:val="000000"/>
                <w:sz w:val="16"/>
                <w:szCs w:val="16"/>
                <w:lang w:val="en-US"/>
              </w:rPr>
              <w:t>.2. (</w:t>
            </w:r>
            <w:r>
              <w:rPr>
                <w:rFonts w:cs="Arial" w:ascii="Arial" w:hAnsi="Arial"/>
                <w:color w:val="000000"/>
                <w:sz w:val="16"/>
                <w:szCs w:val="16"/>
              </w:rPr>
              <w:t>ґ</w:t>
            </w:r>
            <w:r>
              <w:rPr>
                <w:rFonts w:cs="Arial" w:ascii="Arial" w:hAnsi="Arial"/>
                <w:color w:val="000000"/>
                <w:sz w:val="16"/>
                <w:szCs w:val="16"/>
                <w:lang w:val="en-US"/>
              </w:rPr>
              <w:t xml:space="preserve">) </w:t>
            </w:r>
            <w:r>
              <w:rPr>
                <w:rFonts w:cs="Arial" w:ascii="Arial" w:hAnsi="Arial"/>
                <w:color w:val="000000"/>
                <w:sz w:val="16"/>
                <w:szCs w:val="16"/>
              </w:rPr>
              <w:t>ІБ</w:t>
            </w:r>
            <w:r>
              <w:rPr>
                <w:rFonts w:cs="Arial" w:ascii="Arial" w:hAnsi="Arial"/>
                <w:color w:val="000000"/>
                <w:sz w:val="16"/>
                <w:szCs w:val="16"/>
                <w:lang w:val="en-US"/>
              </w:rPr>
              <w:t>)</w:t>
              <w:br/>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діючої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кеторолаку</w:t>
            </w:r>
            <w:r>
              <w:rPr>
                <w:rFonts w:cs="Arial" w:ascii="Arial" w:hAnsi="Arial"/>
                <w:color w:val="000000"/>
                <w:sz w:val="16"/>
                <w:szCs w:val="16"/>
                <w:lang w:val="en-US"/>
              </w:rPr>
              <w:t xml:space="preserve"> </w:t>
            </w:r>
            <w:r>
              <w:rPr>
                <w:rFonts w:cs="Arial" w:ascii="Arial" w:hAnsi="Arial"/>
                <w:color w:val="000000"/>
                <w:sz w:val="16"/>
                <w:szCs w:val="16"/>
              </w:rPr>
              <w:t>трометамол</w:t>
            </w:r>
            <w:r>
              <w:rPr>
                <w:rFonts w:cs="Arial" w:ascii="Arial" w:hAnsi="Arial"/>
                <w:color w:val="000000"/>
                <w:sz w:val="16"/>
                <w:szCs w:val="16"/>
                <w:lang w:val="en-US"/>
              </w:rPr>
              <w:t xml:space="preserve"> </w:t>
            </w:r>
            <w:r>
              <w:rPr>
                <w:rFonts w:cs="Arial" w:ascii="Arial" w:hAnsi="Arial"/>
                <w:color w:val="000000"/>
                <w:sz w:val="16"/>
                <w:szCs w:val="16"/>
              </w:rPr>
              <w:t>виробництва</w:t>
            </w:r>
            <w:r>
              <w:rPr>
                <w:rFonts w:cs="Arial" w:ascii="Arial" w:hAnsi="Arial"/>
                <w:color w:val="000000"/>
                <w:sz w:val="16"/>
                <w:szCs w:val="16"/>
                <w:lang w:val="en-US"/>
              </w:rPr>
              <w:t xml:space="preserve"> VASUDHA PHARMA CHEM LIMITED, </w:t>
            </w:r>
            <w:r>
              <w:rPr>
                <w:rFonts w:cs="Arial" w:ascii="Arial" w:hAnsi="Arial"/>
                <w:color w:val="000000"/>
                <w:sz w:val="16"/>
                <w:szCs w:val="16"/>
              </w:rPr>
              <w:t>Індія</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показником</w:t>
            </w:r>
            <w:r>
              <w:rPr>
                <w:rFonts w:cs="Arial" w:ascii="Arial" w:hAnsi="Arial"/>
                <w:color w:val="000000"/>
                <w:sz w:val="16"/>
                <w:szCs w:val="16"/>
                <w:lang w:val="en-US"/>
              </w:rPr>
              <w:t xml:space="preserve"> </w:t>
            </w:r>
            <w:r>
              <w:rPr>
                <w:rFonts w:cs="Arial" w:ascii="Arial" w:hAnsi="Arial"/>
                <w:color w:val="000000"/>
                <w:sz w:val="16"/>
                <w:szCs w:val="16"/>
              </w:rPr>
              <w:t>домішки</w:t>
            </w:r>
            <w:r>
              <w:rPr>
                <w:rFonts w:cs="Arial" w:ascii="Arial" w:hAnsi="Arial"/>
                <w:color w:val="000000"/>
                <w:sz w:val="16"/>
                <w:szCs w:val="16"/>
                <w:lang w:val="en-US"/>
              </w:rPr>
              <w:t xml:space="preserve"> N-</w:t>
            </w:r>
            <w:r>
              <w:rPr>
                <w:rFonts w:cs="Arial" w:ascii="Arial" w:hAnsi="Arial"/>
                <w:color w:val="000000"/>
                <w:sz w:val="16"/>
                <w:szCs w:val="16"/>
              </w:rPr>
              <w:t>Нітрозодибутиламіну</w:t>
            </w:r>
            <w:r>
              <w:rPr>
                <w:rFonts w:cs="Arial" w:ascii="Arial" w:hAnsi="Arial"/>
                <w:color w:val="000000"/>
                <w:sz w:val="16"/>
                <w:szCs w:val="16"/>
                <w:lang w:val="en-US"/>
              </w:rPr>
              <w:t xml:space="preserve"> (NDBA) (</w:t>
            </w:r>
            <w:r>
              <w:rPr>
                <w:rFonts w:cs="Arial" w:ascii="Arial" w:hAnsi="Arial"/>
                <w:color w:val="000000"/>
                <w:sz w:val="16"/>
                <w:szCs w:val="16"/>
              </w:rPr>
              <w:t>метод</w:t>
            </w:r>
            <w:r>
              <w:rPr>
                <w:rFonts w:cs="Arial" w:ascii="Arial" w:hAnsi="Arial"/>
                <w:color w:val="000000"/>
                <w:sz w:val="16"/>
                <w:szCs w:val="16"/>
                <w:lang w:val="en-US"/>
              </w:rPr>
              <w:t xml:space="preserve"> 2.2.29 </w:t>
            </w:r>
            <w:r>
              <w:rPr>
                <w:rFonts w:cs="Arial" w:ascii="Arial" w:hAnsi="Arial"/>
                <w:color w:val="000000"/>
                <w:sz w:val="16"/>
                <w:szCs w:val="16"/>
              </w:rPr>
              <w:t>ДФУ</w:t>
            </w:r>
            <w:r>
              <w:rPr>
                <w:rFonts w:cs="Arial" w:ascii="Arial" w:hAnsi="Arial"/>
                <w:color w:val="000000"/>
                <w:sz w:val="16"/>
                <w:szCs w:val="16"/>
                <w:lang w:val="en-US"/>
              </w:rPr>
              <w:t xml:space="preserve">, </w:t>
            </w:r>
            <w:r>
              <w:rPr>
                <w:rFonts w:cs="Arial" w:ascii="Arial" w:hAnsi="Arial"/>
                <w:color w:val="000000"/>
                <w:sz w:val="16"/>
                <w:szCs w:val="16"/>
              </w:rPr>
              <w:t>ЄФ</w:t>
            </w:r>
            <w:r>
              <w:rPr>
                <w:rFonts w:cs="Arial" w:ascii="Arial" w:hAnsi="Arial"/>
                <w:color w:val="000000"/>
                <w:sz w:val="16"/>
                <w:szCs w:val="16"/>
                <w:lang w:val="en-US"/>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АМБІТ®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ketorolac</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кеторолаку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30 мг/мл; по 1 мл в ампулі, по 10 ампул у блістері, по 1 блістеру у пачці; по 1 мл в ампулі, по 5 ампул у блістері, по 1 або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 xml:space="preserve">подання нового сертифіката відповідності Європейській фармакопеї № R1-CEP 2014-369-Rev 00 для діючої речовини Ketorolac trometamol від нового виробника VASUDHA PHARMA CHEM LIMITED, Індія (доповнення).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 R1-CEP 2008-069 - Rev 05 для діючої речовини Ketorolac trometamol від нового виробника DR. REDDY'S LABORATORIES LIMITED, Індія (доповнення).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до специфікації вхідного контролю діючої речовини кеторолаку трометамол за показником «Ідентифікація», зокрема доповнення специфікації примітками: </w:t>
              <w:br/>
              <w:t xml:space="preserve">Для виробників VASUDHA PHARMA CHEM LIMITED, Індія та DR. REDDY'S LABORATORIES LIMITED, Індія: </w:t>
              <w:br/>
              <w:t xml:space="preserve">для методу Романівської спектрометрії (2.2.48) ДФУ*ЕР* ** «Ідентифікація проводиться для кожної тарної ємності»; </w:t>
              <w:br/>
              <w:t xml:space="preserve">для методу, що зазначений в монографії (2.2.24 ДФУ*, ЕР*)-*** «Ідентифікація проводиться на середній пробі» </w:t>
              <w:br/>
              <w:t>Для виробника Quimica Sintetica S.A., Іспанія: для методу, що зазначений в монографії (2.2.24 ДФУ*, ЕР*)-** «Визначення ідентифікації проводять на середній пробі»; для методу Романівської спектрометрії (2.2.48) ДФУ*ЕР*- *** «Допускається визначення ідентифікації кожного тарного місця».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вхідного контролю діючої речовини кеторолаку трометамол виробництва VASUDHA PHARMA CHEM LIMITED, Індія та DR. REDDY'S LABORATORIES LIMITED, Індія новим показником якості «Мікробіологічна чистота» з критеріями прийнятності: Загальне число аеробних мікроорганізмів (ТАМС)-10 3КУО/г. Загальне число дріжджових і плісеневих грибів (TYMC) -10 2 КУО/г. (ДФУ, ЄФ 2.6.12, 2.6.13, 5.1.4).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(Б.I.б.2. (ґ) ІБ)</w:t>
              <w:br/>
              <w:t>зміна у методах випробування діючої речовини кеторолаку трометамол виробництва VASUDHA PHARMA CHEM LIMITED, Індія за показником домішки N-Нітрозодибутиламіну (NDBA) (метод 2.2.29 ДФУ, ЄФ).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АСТАЛІН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salbutamol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сальбутамолу сульфат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R03AC02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аерозоль (суспензія) для інгаляцій, 100 мкг/дозу, по 200 доз у контейнері з дозуючим клапаном, розпилюючою насадкою та наконечником; по 1 контейнеру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Ципла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Ципла Лтд. (Юніт ІІ)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введення додаткового розміру серії готового ГЛЗ. </w:t>
              <w:br/>
              <w:t xml:space="preserve">Затверджено: 25 000 контейнерів </w:t>
              <w:br/>
              <w:t>Запропоновано: 25 000 контейнерів, 50 000 контейнерів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БАРАЛГІН®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Pitofenone and analgesics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метамізолу натрію моногідрат; пітофенону гідрохлорид; фенпіверинію бромід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A03DA02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 мл або 5 мл в ампулі; по 5 ампул в блістері; по 1 або 2 блістери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АЛЕКСФАРМ ГМБХ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Сполучене Королiвство</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СК Балкан Фармасьютікалс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Молдова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3.0. Зміни внесено до частин: II «Специфікація з безпеки» (модуль СVІІ), V «Заходи з мінімізації ризиків», VI «Резюме плану управління ризиками», VII «Додатки» у зв’язку з запровадженням додаткових заходів з мінімізації ризику «Агранулоцитоз та інші захворювання крові» на підставі рекомендації PRAC. Резюме Плану управління ризиками версія 3.0 додається.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БЕСАЛОЛ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красавки (беладони) екстракт густий, фенілсаліцилат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A03ED</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6 або по 10 таблеток у блістері; по 1 блістеру у картонній коробці; по 6 або по 10 таблеток у блістерах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додано менший розмір серій для упаковки № 6 (6х1) для Цеху ГЛЗ, у зв’язку з виробничою необхідністю. </w:t>
              <w:br/>
              <w:t xml:space="preserve">Діюча редакція </w:t>
              <w:br/>
              <w:t>Цех ГЛЗ</w:t>
              <w:br/>
              <w:t>Розмір серії складає:</w:t>
              <w:br/>
              <w:t>34,667 тис. уп. № 6, № 6 (6х1) або 20,800 тис. уп. № 10 (10х1), № 10 (87,360 кг);</w:t>
              <w:br/>
              <w:t>55,566 тис. уп. № 6, № 6 (6х1) або 33,340 тис. уп. № 10 (10х1), № 10 (140,028 кг);</w:t>
              <w:br/>
              <w:t>22,583 тис. уп. № 6, № 6 (6х1) або 13,550 тис. уп. № 10 (10х1), № 10 (56,910 кг);</w:t>
              <w:br/>
              <w:t>53,134 тис. уп. № 6, № 6 (6х1) або 31,880 тис. уп. № 10 (10х1), № 10 (133,900 кг)</w:t>
              <w:br/>
              <w:t>Цех ГЛФ</w:t>
              <w:br/>
              <w:t>Розмір серії складає:</w:t>
              <w:br/>
              <w:t>55,566 тис. уп. № 6, № 6 (6х1) або 33,340 тис. уп. № 10 (10х1), № 10 (140,028 кг);</w:t>
              <w:br/>
              <w:t>60,000 тис. уп. № 6, № 6 (6х1) або 36,000 тис. уп. № 10 (10х1), № 10 (151,200 кг);</w:t>
              <w:br/>
              <w:t>35,896 тис. уп. № 6, № 6 (6х1) або 21,538 тис. уп. № 10 (10х1), № 10 (90,460 кг)</w:t>
              <w:br/>
              <w:t>Пропонована редакція</w:t>
              <w:br/>
              <w:t>Цех ГЛЗ</w:t>
              <w:br/>
              <w:t>Розмір серії складає:</w:t>
              <w:br/>
              <w:t>34,667 тис. уп. № 6, № 6 (6х1) або 20,800 тис. уп. № 10 (10х1), № 10 (87,360 кг);</w:t>
              <w:br/>
              <w:t>55,566 тис. уп. № 6, № 6 (6х1) або 33,340 тис. уп. № 10 (10х1), № 10 (140,028 кг);</w:t>
              <w:br/>
              <w:t>22,583 тис. уп. № 6, № 6 (6х1) або 13,550 тис. уп. № 10 (10х1), № 10 (56,910 кг);</w:t>
              <w:br/>
              <w:t>53,134 тис. уп. № 6, № 6 (6х1) або 31,880 тис. уп. № 10 (10х1), № 10 (133,900 кг);</w:t>
              <w:br/>
              <w:t>7,654 тис. уп. № 6 (6х1) (19,290 кг)</w:t>
              <w:br/>
              <w:t>Цех ГЛФ</w:t>
              <w:br/>
              <w:t>Розмір серії складає:</w:t>
              <w:br/>
              <w:t>55,566 тис. уп. № 6, № 6 (6х1) або 33,340 тис. уп. № 10 (10х1), № 10 (140,028 кг);</w:t>
              <w:br/>
              <w:t>60,000 тис. уп. № 6, № 6 (6х1) або 36,000 тис. уп. № 10 (10х1), № 10 (151,200 кг);</w:t>
              <w:br/>
              <w:t>35,896 тис. уп. № 6, № 6 (6х1) або 21,538 тис. уп. № 10 (10х1), № 10 (90,460 кг)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UA/2859/01/01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БІСЕПТОЛ®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sulfamethoxazole and trimethoprim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сульфаметоксазол, триметоприм;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J01EE01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 мг/20 мг; по 20 таблеток у блістері; по 1 блістеру в картонній коробці, по 1000 таблеток у металевому контейнері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br/>
              <w:t xml:space="preserve">введення терміну зберігання лікарського засобу для продукції in bulk із 1 місяця до 6 місяців. Затверджено: термін зберігання лікарського засобу для in bulk 1 місяць Запропоновано: термін зберігання лікарського засобу для in bulk 6 місяців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БІСЕПТОЛ®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sulfamethoxazole and trimethoprim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сульфаметоксазол, триметоприм;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J01EE01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400 мг/80 мг; по 20 таблеток у блістері; по 1, 2 або 3 блістери в картонній коробці; по 14 таблеток у блістері; по 1 або 2 блістери в картонній коробці; по 1000 таблеток у металевому контейнері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br/>
              <w:t xml:space="preserve">введення терміну зберігання лікарського засобу для продукції in bulk із 1 місяця до 6 місяців. Затверджено: термін зберігання лікарського засобу для in bulk 1 місяць Запропоновано: термін зберігання лікарського засобу для in bulk 6 місяців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UA/3027/01/02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БІСЕПТОЛ®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sulfamethoxazole and trimethoprim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сульфаметоксазол, триметоприм;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J01EE01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400 мг/80 мг; in bulk: по 5 кг таблеток у поліетиленовому мішку, вміщеному у поліпропіленовий контейнер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br/>
              <w:t xml:space="preserve">введення терміну зберігання лікарського засобу для продукції in bulk із 1 місяця до 6 місяців. Затверджено: термін зберігання лікарського засобу для in bulk 1 місяць Запропоновано: термін зберігання лікарського засобу для in bulk 6 місяців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UA/3028/01/02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БІСЕПТОЛ®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sulfamethoxazole and trimethoprim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сульфаметоксазол, триметоприм;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J01EE01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 мг/20 мг; in bulk: по 5 кг таблеток у поліетиленовому мішку, вміщеному у поліпропіленовий контейнер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"Адамед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br/>
              <w:t xml:space="preserve">введення терміну зберігання лікарського засобу для продукції in bulk із 1 місяця до 6 місяців. Затверджено: термін зберігання лікарського засобу для in bulk 1 місяць Запропоновано: термін зберігання лікарського засобу для in bulk 6 місяців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БРИЗОКС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Oxymetazoline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оксиметазоліну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R01AA05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спрей назальний, дозований 0,5 мг/мл,</w:t>
              <w:br/>
              <w:t xml:space="preserve">по 10 мл розчину в полімерному флаконі з дозуючим пристроєм; по 1 флакону в картонній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"БЕРКАНА+"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«Мультіспрей»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Зміни внесено в розділ "Місцезнаходження заявника" в інструкцію для медичного застосування та як наслідок - у текст маркування упаковки лікарського засобу.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БРІМОФТАЛ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Brimonidine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бримонідину тартрат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S01EA05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2 мг/мл; по 5 мл розчину у флаконі з поліетилену низької щільності з крапельницею та білою кришечкою з поліетилену високої щільності;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БРУСЧЕТТІНІ - С.Р.Л.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первинна та вторинна упаковка, контроль серії та випуск серії, фізичні, хімічні та біологічні випробування: Фамар Анонімус Індастріал Сінгл Мембер Компані оф Фармасьютікалс енд Косметікс, Греція; фізичні, хімічні та біологічні випробування, зберігання зразків стабільності: КВОЛІТІ АШУРЕНС енд КОНТРОЛ СИСТЕМС – КАКС Лтд,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а саме: внесення редакційних правок по тексту. Термін введення змін- протягом 6- 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БРОНХО-ВАКСОМ ДІТИ</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стандартизований ліофілізат ОМ-85, що містить ліофілізат бактеріальних лізатів: Haemophilus influenzae, Streptococcus pneumoniae, Klebsiella pneumoniae ssp. pneumoniae and ozaenae, Staphylococcus aureus, Streptococcus pyogenes and sanguinis, Moraxella (Branhamella) catarrhalis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R07AX</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3,5 мг; по 10 капсул у блістері; по 1 або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ОМ Фарма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ОМ 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альтернативного розміру серії 420,0 кг, що відповідає 2 100 000 капсул додатково до чинного схваленого розміру серії (тобто 183, 4 кг, що приблизно відповідає 917 000 капсул). Зміни II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(суттєва зміна у процесі виробництва, яка може мати істотний влив на якість, безпеку та ефективність лікарського засобу). Зміни у процесі виробництва готового лікарського засобу, включаючи проміжний продукт, що застосовується при виробництві готового лікарського засобу. Введення альтернативної лінії просіювання, змішування та наповнення капсул в іншій будівлі, але на тому ж виробничому майданчику, що й наразі зареєстрований (тобто будівля B2), із відповідними елементами контролю процесу та критичними параметрами процесу (CPP), визначеними відповідно до принципів ICH Q8(R2) «Фармацевтична розробка». Оновлення розділів 3.2.Р.2.3; 3.2.Р.3.3; 3.2.Р.3.4; 3.2.Р.3.5; 3.2.Р.5.4; 3.2.Р.8.1; 3.2.Р.8.2; 3.2.Р.8.3; 3.2.Р.А.1.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БРОНХО-МУНАЛ®</w:t>
            </w:r>
          </w:p>
        </w:tc>
        <w:tc>
          <w:tcPr>
            <w:tcW w:w="99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ліофілізований лізат бактерій Haemophilus influenzae, Streptococcus (Diplococcus) pneumoniae, Klebsiella pneumoniae and ozaenae, Staphylococcus aureus, Streptococcus pyogenes and viridans, Moraxella (Branhamella/Neisseria) catarrhalis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R07AX</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 мг; по 10 капсул у блістері; по 1 або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серії (лише мікробіологічний), випуск серії: Лек Фармацевтична компанія д.д., Словенія; первинне та вторинне пакування, контроль серії (окрім мікробіологічного), випуск серії: Новартіс Фармасьютікал Мануфактуринг ЛЛС, Словенія; виробництво in bulk, контроль серії: ОМ Фарма СА,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2000-029-Rev 05 від Rousselot;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2010-043-Rev 00 від Rousselot.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2004-247-Rev 00 від Nitta Gelatin.</w:t>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2004-320-Rev 00 від Nitta Gelatin.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2005-217-Rev 02 від Nitta Gelatin.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2000-045-Rev 04 від PB Gelatin.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2001-424-Rev 03 від Gelita Group.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2000-050-Rev 02 від Gelita Group.</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UA/14314/01/01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БРОНХО-МУНАЛ® П</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ліофілізований лізат бактерій Haemophilus influenzae, Streptococcus (Diplococcus) pneumoniae, Klebsiella pneumoniae and ozaenae, Staphylococcus aureus, Streptococcus pyogenes and viridans, Moraxella (Branhamella/Neisseria) catarrhalis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R07AX</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3,5 мг; по 10 капсул у блістері; по 1 або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серії (лише мікробіологічний), випуск серії: Лек Фармацевтична компанія д.д., Словенія; первинне та вторинне пакування, контроль серії (окрім мікробіологічного) випуск серії: Новартіс Фармасьютікал Мануфактуринг ЛЛС, Словенія; виробництво in bulk, контроль серії: ОМ Фарма СА,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2000-029-Rev 05 від Rousselot.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2010-043-Rev 00 від Rousselot.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2004-247-Rev 00 від Nitta Gelatin.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2004-320-Rev 00 від Nitta Gelatin.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w:t>
              <w:br/>
              <w:t xml:space="preserve">Вилучення ГЕ-сертифіката відповідності Європейській фармакопеї, який більше не використовується у виробництві допоміжної речовини желатину: R1-CEP 2005-217-Rev 02 від Nitta Gelatin.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2000-045-Rev 04 від PB Gelatin.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ГЕ-сертифіката відповідності Європейській фармакопеї, який більше не використовується у виробництві допоміжної речовини желатину: R1-CEP 2001-424-Rev 03 від Gelita Group.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w:t>
              <w:br/>
              <w:t>Вилучення ГЕ-сертифіката відповідності Європейській фармакопеї, який більше не використовується у виробництві допоміжної речовини желатину: R1-CEP 2000-050-Rev 02 від Gelita Group.</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БРУФЕН® РАПІД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м`які по 400 мг; по 10 капсул у блістері, по 1 блістеру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Лабораторіз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Гелтек Прайвет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Редакційні доповнення (додавання роз’яснювальної інформації) до тексту методу випробування «Кількісне визначення ібупрофену та супутні домішки» для готового лікарського засобу (включаючи редагування перекладу інформації щодо визначення точності стандартних розчинів у методах випробувань «Кількісне визначення ібупрофену та супутні домішки» і «Розчинення» в МКЯ ЛЗ)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UA/17980/01/01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ВАНКОМІЦИН ВОКАТЕ</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vancomycin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ванкоміцину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J01XA01, A07AA09</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по 500 мг; по 1 або по 10 флаконів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Фармацевтична компанія «Вокате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ЛАБОРАТОРІО РЕЙГ ХОФРЕ С.А.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ВАНКОМІЦИН ВОКАТЕ</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vancomycin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ванкоміцину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J01XA01, A07AA09</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по 1000 мг; по 1 або по 10 флаконів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Фармацевтична компанія «Вокате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ЛАБОРАТОРІО РЕЙГ ХОФРЕ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UA/20890/01/02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ВЕРОШПІРОН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spironolactone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спіронолактон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C03DA01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25 мг; по 20 таблеток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 Угорщина; ТОВ "Гедеон Ріхтер Польща", Польща (контроль якості, дозвіл на випуск серії; виробництво нерозфасованого продукту, первинна упаковка, вторинна упаковка)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 /Польща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UA/2775/02/01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ВІНПОЦЕТИН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vinpocetine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вінпоцетин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N06BX18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5 мг/мл; по 2 мл в ампулі; по 5 ампул у пачці з картону; по 2 мл в ампулі; по 5 ампул у блістері; по 1 блістеру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випуск серії: Товариство з обмеженою відповідальністю "Дослідний завод "ГНЦЛС", Україна; 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"Несумісність" згідно з інформацією щодо медичного застосування референтного лікарського засобу (Кавінтон, концентрат для розчину для інфузій).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за рецептом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ГАДОВІСТ 1,0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gadobutrol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гадобутрол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V08CA09</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 ммоль/мл по 5 мл або по 7,5 мл або по 10 мл у скляному шприці, вкладеному у прозору пластикову коробку, закриту поліетиленом; по 5 шприців у картонній коробці; по 5 мл або по 7,5 мл або по 10 мл у пластиковому шприці; по 5 шприців, розміщених в картонному тримачі, у картонній коробці; по 7,5 мл або по 15 мл у скляному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Байєр АГ</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Байєр АГ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написання адреси англійською мовою виробничої дільниці ГЛЗ Байєр АГ, Німеччина. Затверджено: Mullerstrasse 178,13353, Berlin , Germany </w:t>
              <w:br/>
              <w:t>Запропоновано: Muellerstrasse 178, 13353, Berlin , Germany</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UA/6664/01/01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ГЕМОПРОКТ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бензокаїн, вісмуту субгалат, цинку оксид, ментол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C05AD03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5 супозиторіїв у стрипі; по 2 стрипи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"ФАРМЕКС ГРУП"</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Введення додаткового розміру серії препарату у зв’язку з виробничою необхідністю.</w:t>
              <w:br/>
              <w:t>Діюча редакція</w:t>
              <w:br/>
              <w:t>Розмір серії складає:</w:t>
              <w:br/>
              <w:t>0,266 тис. уп. № 10 (5х2) (8,00 кг);</w:t>
              <w:br/>
              <w:t>0,400 тис. уп. № 10 (5х2) (12,00 кг);</w:t>
              <w:br/>
              <w:t>0,666 тис. уп. № 10 (5х2) (20,00 кг);</w:t>
              <w:br/>
              <w:t>1,333 тис. уп. № 10 (5х2) (40,00 кг);</w:t>
              <w:br/>
              <w:t>2,666 тис. уп. № 10 (5х2) (80,00 кг);</w:t>
              <w:br/>
              <w:t>4,000 тис. уп. № 10 (5х2) (120,00 кг)</w:t>
              <w:br/>
              <w:t>Пропонована редакція</w:t>
              <w:br/>
              <w:t>Розмір серії складає:</w:t>
              <w:br/>
              <w:t>0,266 тис. уп. № 10 (5х2) (8,00 кг);</w:t>
              <w:br/>
              <w:t>0,400 тис. уп. № 10 (5х2) (12,00 кг);</w:t>
              <w:br/>
              <w:t>0,666 тис. уп. № 10 (5х2) (20,00 кг);</w:t>
              <w:br/>
              <w:t>1,333 тис. уп. № 10 (5х2) (40,00 кг);</w:t>
              <w:br/>
              <w:t>2,666 тис. уп. № 10 (5х2) (80,00 кг);</w:t>
              <w:br/>
              <w:t>4,000 тис. уп. № 10 (5х2) (120,00 кг);</w:t>
              <w:br/>
              <w:t>6,666 тис. уп. № 10 (5х2) (200,00 кг)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без рецепта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ГЕПАР КОМП. ХЕЕЛЬ</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lang w:val="en-US"/>
              </w:rPr>
              <w:t>Acidum alpha-ketoglutaricum D10, Acidum fumaricum D10, Acidum malicum D10, Acidum oroticum monohydricum D6, Acidum thiocticum D8, Avena sativa D6, Calcium carbonicum Hahnemanni D28, Chelidonium majus D5, Cinchona pubescens D4, Colon suis D10, Cyanocobalaminum D4, Cynara scolymus D6, Duodenum suis D10, Hepar suis D8, Histaminum D10, Lycopodium clavatum D4, Natrium diethyloxalaceticum D10, Pankreas suis D10, Silybum marianum D3, Sulfur D13, Taraxacum officinale D4, Thymus suis D10, Veratrum album D4, Vesica fellea suis D10</w:t>
            </w:r>
          </w:p>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2,2 мл в ампулі; по 5 ампул у контурній чарунковій упаковці; по 1 або 2 контурні чарункові упаковки в коробці з картону; по 2,2 мл в ампулі; по 5 ампул у контурній чарунковій упаковці; по 20 контурних чарункових упаковок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методу аналізу за показником «Кількісне визначення» із фотометрії (Ph. Eur. 2.2.25) на титриметричний метод, описаний у монографії Європейської Фармакопеї на вихідну сировину Histaminum (Ph. Eur. 2.2.20).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UA/6553/01/01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ГЕРБІОН® СИРОП ПЕРВОЦВІТУ</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екстракт рідкий кореня первоцвіту (Radix Primulae veris L., Radix Primulae elatior L. Hill) та трави чебрецю (Herba Thymi vulgaris L., Herba Thymi zygis 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по 150 мл у флаконі; по 1 флакону разом з пластиковою мірною ложкою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та випуск серії: КРКА, д.д., Ново место, Словенія; виробництво "in bulk", первинне та вторинне пакування, контроль серії: КРКА, д.д., Ново место, Словенія; контроль серії: Кемійські інститут, Центр за валідаційске технологіє ін аналітіко (ЦВТА), Словенія; контроль серії: Нешінал Лабораторі оф Хелс, Інваромент Енд Фуд, Словенії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w:t>
              <w:br/>
              <w:t>Зміни внесено у текст маркування первинної (п. 4, 6) та вторинної (п. 8, 14, 17) упаковки лікарського засобу та зроблено незначні редакційні правки.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у адресі виробника КРКА, д.д., Ново место, Словенія відповідального за виробництво in bulk, первинне та вторинне пакування, контроль, а саме зміна індексу з 8501 на 8000. Місцезнаходження виробничої дільниці не змінилось.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UA/9748/01/01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ГОЗЕРЕЛІН ЗЕНТІВА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goserelin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гозереліну 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L02AE03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імплантат по 3,6 мг; по 1 імплантату у шприцу-аплікаторі (шприц-аплікатор складається з полімерного корпусу з тримачем для імплантату, голки та поршня); по 1 шприцу в пакетику; по 1 або 3 пакетики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Зентіва, к.с.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відповідає за випуск серії: АМВ ГмбХ, Німеччина; мікробіологічне тестування: Єврофінс БіоФарма Продакт Тестінг Мюнхен ГмбХ, Німеччина; стерилізація: Синерджі Хеалс Данікен ЕйДжі, Швейцарія; стерилізація, мікробіологічне тестування: ББФ Стерілізейшнсервіз ГмбХ, Німеччина; мікробіологічне тестування: Лабор ЛС СЕ &amp; Ко. КГ, Німеччина; контроль серії: Умфорана Лабор фюр Аналитік унд Ауфтрагсфорчунг ГмбХ &amp;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"Особливості застосування" згідно з інформацією щодо медичного застосування референтного лікарського засобу (Zoladex 3,6 mg, 10,8 mg, implant).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ГОЗЕРЕЛІН ЗЕНТІВА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goserelin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гозереліну 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L02AE03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імплантат по 10,8 мг; по 1 імплантату у шприцу-аплікаторі (шприц-аплікатор складається з полімерного корпусу з тримачем для імплантату, голки та поршня); по 1 шприцу в пакетику; по 1 або 3 пакетики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відповідає за випуск серії: АМВ ГмбХ, Німеччина; мікробіологічне тестування: Єврофінс БіоФарма Продакт Тестінг Мюнхен ГмбХ, Німеччина; стерилізація: Синерджі Хеалс Данікен ЕйДжі, Швейцарія; стерилізація, мікробіологічне тестування: ББФ Стерілізейшнсервіз ГмбХ, Німеччина; мікробіологічне тестування: Лабор ЛС СЕ &amp; Ко. КГ, Німеччина; контроль серії: Умфорана Лабор фюр Аналитік унд Ауфтрагсфорчунг ГмбХ &amp;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"Особливості застосування" згідно з інформацією щодо медичного застосування референтного лікарського засобу (Zoladex 3,6 mg, 10,8 mg, implant).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UA/15570/01/02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ГРИПФЛЮ</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 хлорфеніраміну малеат, фенілефрину гідрохлорид, кофеїн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виробника Фламінго Фармасьютикалс Лтд., Індія: по 4 таблетки у стрипі, по 1 стрипу у конверті; по 4 таблетки у стрипі, по 1 стрипу у конверті, по 50 конвертів у картонній коробці; для виробника Артура Фармасьютікалз Пвт. Лтд., Індія: по 4 таблетки у стрипі, по 1 стрипу у конверті; по 4 таблетки у стрипі, по 1 стрипу у конверті, по 50 конвертів у картонній коробці; по 10 таблеток у блістері, по 1 блістеру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АлліаФарм Європа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Фламінго Фармасьютикалс Лтд., Індія;</w:t>
              <w:br/>
              <w:br/>
              <w:t>Артура Фармасьютікалз Пвт. Лтд., Індія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Діюча редакція: Пушкар Надія В'ячеславівна.</w:t>
              <w:br/>
              <w:t>Пропонована редакція: Ferenc Barna.</w:t>
              <w:br/>
              <w:t>Зміна контактних даних уповноваженої особи, відповідальної за фармаконагляд.</w:t>
              <w:br/>
              <w:t>Введення контактної особи заявника, відповідальної за здійснення фармаконагляду в Україні.</w:t>
              <w:br/>
              <w:t>Пропонована редакція: Волошина Анастасія Анатоліївна.</w:t>
              <w:br/>
              <w:t>Введення контактних даних контактної особи заявника, відповідальної за здійснення фармаконагляду в Україні.</w:t>
              <w:br/>
              <w:t>Зміна місцезнаходження мастер-файла системи фармаконагляду та його номера.Зміна місця здійснення основної діяльності з фармаконагляду.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r>
              <w:rPr>
                <w:rFonts w:eastAsia="Arial" w:cs="Arial" w:ascii="Arial" w:hAnsi="Arial"/>
                <w:i/>
                <w:sz w:val="16"/>
                <w:szCs w:val="16"/>
              </w:rPr>
              <w:t xml:space="preserve"> </w:t>
            </w:r>
            <w:r>
              <w:rPr>
                <w:rFonts w:cs="Arial" w:ascii="Arial" w:hAnsi="Arial"/>
                <w:i/>
                <w:sz w:val="16"/>
                <w:szCs w:val="16"/>
              </w:rPr>
              <w:t>4, № 10 - без рецепта; № 200 – 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ДЕЗЛОРАТАДИН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desloratadine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дезлоратадин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виробництва нестерильних лікарських форм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Морепен Лабореторіз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з ПУБЛІЧНЕ АКЦІОНЕРНЕ ТОВАРИСТВО «ФАРМАК» змінено на АКЦІОНЕРНЕ ТОВАРИСТВО «ФАРМАК». Зміни II типу - Зміни з якості. АФІ. (інші зміни) оновлення версії ДМФ на АФІ Дезлоратадин від виробника Morepen Laboratories Limited, Індія. Як наслідок, Специфікацію та Методи контролю МКЯ приведено у відповідність до оригінальних матеріалів виробника за показниками «Розмір часток», «Вода», «Ідентифікація».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ДЕКВАЛІНІЮ ХЛОРИД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dequalinium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в мішках поліетиленових подвійних для виробництва нестерильних лікарських форм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Олон еС.пі.Ей.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(власника реєстраційного посвідчення). Зміни II типу - Зміни з якості. АФІ. (інші зміни). Оновлення версії DMF діючої речовини деквалінію хлориду виробника Olon S. p, A., Iталія.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UA/10547/01/01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ДЕКСАЛГІН® ІН'ЄКТ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ін’єкцій/інфузій, 50 мг/2 мл; по 2 мл в ампулі, по 1 ампулі в контурній чарунковій упаковці, 1 контурна чарункова упаковка в картонній коробці; або по 5 ампул у контурній чарунковій упаковці, 1 контурна чарункова упаковка в картонній коробці; або по 5 ампул у контурній чарунковій упаковці, 2 контурні чарункові упаковки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Менаріні Інтернешонал Оперейшонс Люксембург С.А.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та випуск серій:</w:t>
              <w:br/>
              <w:t>А. Менаріні Мануфактурінг Логістікс енд Сервісес С.р.Л., Iталiя;</w:t>
              <w:br/>
              <w:t>Альфасігма С.п.А., Італiя;</w:t>
              <w:br/>
              <w:t xml:space="preserve">Замбон С.п.А., Італія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Iталiя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Введення додаткової дільниці Zambon S.p.A, Italy як частини виробничого процесу готового лікарського засобу, а саме дільниці відповідальної за виробництво in bulk (включаючи первинне пакування для стерильних лікарських форм). Як результат реєструється додаткова упаковка №1, №5 та № 10 ампул в контурній чарунковій упаковці для виробника Zambon S.p.A, Italy. Введення змін протягом 6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Zambon S.p.A., Italy як частини виробничого процесу готового лікарського засобу, а саме дільниці відповідальної за вторинне пакування. Введення змін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Введення додаткової дільниці Zambon S.p.A., Italy для виробничого процесу готового лікарського засобу, а саме дільниці відповідальної за випуск серії, включаючи контроль серії. </w:t>
              <w:br/>
              <w:t xml:space="preserve">Зміни внесені в інструкцію для медичного застосування лікарського засобу у розділи "Виробник", "Місцезнаходження виробника та адреси місця провадження його діяльності" (внесення додаткової дільниці) з можливістю друкувати окремі інструкції для медичного застосування лікарського засобу для відповідних виробників та як наслідок затверджується текст маркування упаковки лікарського засобу для додаткового виробника. Введення змін протягом 6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у процесі виробництва готового лікарського засобу, а саме депірогенізації ампул, що застосовується на виробництві Zambon S.p.A., Італія. Розділи 3.2.P.2.3, 3.2.P.3.3 оновлені відповідно. Також розділ 3.2.Р.3.3 містить незначні редакційні зміни.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діючої речовини декскетопрофену трометамол та проміжних продуктів Dexketoprofen Acid and Ethyl Benzoyl Phenylproprionate (Ketoprofen ethyl ester) з « Lodichem s.r.l.» на «Lusochimica S.p.A» та зміни адміністративної адреси Lusochimica S.p.A. з "Via Rosolino Pilo 4 - 50131 - Firenze (FI) Italy"на "Via Giotto, 9 - 23871 - Lomagna (LC) ITALY''. Адреса виробничої дільниці залишається без змін. Розділи 3.2.S.2.1, 3.2.S.2.2, 3.2.S.4.4 та МКЯ оновлено відповідно. Також розділи містять незначні редакційні зміни. </w:t>
              <w:br/>
              <w:t>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ДЕНТАГЕЛЬ®</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метронідазолу бензоат, розчин хлоргексидину диглюконату 20 %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A01AB</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для ясен;</w:t>
              <w:br/>
              <w:t>по 20 г у тубі; по 1 тубі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відповідальний за виробництво, первинне, вторинне пакування, контроль якості та випуск серії: ПРАТ "ФІТОФАРМ", Україна; відповідальний за виробництво, первинне, вторинне пакування, контроль якості: АТ "Лубнифарм", Україна; </w:t>
              <w:br/>
              <w:t>відповідальний за випуск серії, не включаючи контроль/випробування серії: ПРАТ "ФІТОФАРМ" ,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Готовий</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Система</w:t>
            </w:r>
            <w:r>
              <w:rPr>
                <w:rFonts w:cs="Arial" w:ascii="Arial" w:hAnsi="Arial"/>
                <w:color w:val="000000"/>
                <w:sz w:val="16"/>
                <w:szCs w:val="16"/>
                <w:lang w:val="en-US"/>
              </w:rPr>
              <w:t xml:space="preserve"> </w:t>
            </w:r>
            <w:r>
              <w:rPr>
                <w:rFonts w:cs="Arial" w:ascii="Arial" w:hAnsi="Arial"/>
                <w:color w:val="000000"/>
                <w:sz w:val="16"/>
                <w:szCs w:val="16"/>
              </w:rPr>
              <w:t>контейнер</w:t>
            </w:r>
            <w:r>
              <w:rPr>
                <w:rFonts w:cs="Arial" w:ascii="Arial" w:hAnsi="Arial"/>
                <w:color w:val="000000"/>
                <w:sz w:val="16"/>
                <w:szCs w:val="16"/>
                <w:lang w:val="en-US"/>
              </w:rPr>
              <w:t>/</w:t>
            </w:r>
            <w:r>
              <w:rPr>
                <w:rFonts w:cs="Arial" w:ascii="Arial" w:hAnsi="Arial"/>
                <w:color w:val="000000"/>
                <w:sz w:val="16"/>
                <w:szCs w:val="16"/>
              </w:rPr>
              <w:t>закупорювальний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параметрів</w:t>
            </w:r>
            <w:r>
              <w:rPr>
                <w:rFonts w:cs="Arial" w:ascii="Arial" w:hAnsi="Arial"/>
                <w:color w:val="000000"/>
                <w:sz w:val="16"/>
                <w:szCs w:val="16"/>
                <w:lang w:val="en-US"/>
              </w:rPr>
              <w:t xml:space="preserve"> </w:t>
            </w:r>
            <w:r>
              <w:rPr>
                <w:rFonts w:cs="Arial" w:ascii="Arial" w:hAnsi="Arial"/>
                <w:color w:val="000000"/>
                <w:sz w:val="16"/>
                <w:szCs w:val="16"/>
              </w:rPr>
              <w:t>специфікацій</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допустимих</w:t>
            </w:r>
            <w:r>
              <w:rPr>
                <w:rFonts w:cs="Arial" w:ascii="Arial" w:hAnsi="Arial"/>
                <w:color w:val="000000"/>
                <w:sz w:val="16"/>
                <w:szCs w:val="16"/>
                <w:lang w:val="en-US"/>
              </w:rPr>
              <w:t xml:space="preserve"> </w:t>
            </w:r>
            <w:r>
              <w:rPr>
                <w:rFonts w:cs="Arial" w:ascii="Arial" w:hAnsi="Arial"/>
                <w:color w:val="000000"/>
                <w:sz w:val="16"/>
                <w:szCs w:val="16"/>
              </w:rPr>
              <w:t>меж</w:t>
            </w:r>
            <w:r>
              <w:rPr>
                <w:rFonts w:cs="Arial" w:ascii="Arial" w:hAnsi="Arial"/>
                <w:color w:val="000000"/>
                <w:sz w:val="16"/>
                <w:szCs w:val="16"/>
                <w:lang w:val="en-US"/>
              </w:rPr>
              <w:t xml:space="preserve"> </w:t>
            </w:r>
            <w:r>
              <w:rPr>
                <w:rFonts w:cs="Arial" w:ascii="Arial" w:hAnsi="Arial"/>
                <w:color w:val="000000"/>
                <w:sz w:val="16"/>
                <w:szCs w:val="16"/>
              </w:rPr>
              <w:t>первинної</w:t>
            </w:r>
            <w:r>
              <w:rPr>
                <w:rFonts w:cs="Arial" w:ascii="Arial" w:hAnsi="Arial"/>
                <w:color w:val="000000"/>
                <w:sz w:val="16"/>
                <w:szCs w:val="16"/>
                <w:lang w:val="en-US"/>
              </w:rPr>
              <w:t xml:space="preserve"> </w:t>
            </w:r>
            <w:r>
              <w:rPr>
                <w:rFonts w:cs="Arial" w:ascii="Arial" w:hAnsi="Arial"/>
                <w:color w:val="000000"/>
                <w:sz w:val="16"/>
                <w:szCs w:val="16"/>
              </w:rPr>
              <w:t>упаковки</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 </w:t>
            </w:r>
            <w:r>
              <w:rPr>
                <w:rFonts w:cs="Arial" w:ascii="Arial" w:hAnsi="Arial"/>
                <w:color w:val="000000"/>
                <w:sz w:val="16"/>
                <w:szCs w:val="16"/>
              </w:rPr>
              <w:t>оновлено</w:t>
            </w:r>
            <w:r>
              <w:rPr>
                <w:rFonts w:cs="Arial" w:ascii="Arial" w:hAnsi="Arial"/>
                <w:color w:val="000000"/>
                <w:sz w:val="16"/>
                <w:szCs w:val="16"/>
                <w:lang w:val="en-US"/>
              </w:rPr>
              <w:t xml:space="preserve"> </w:t>
            </w:r>
            <w:r>
              <w:rPr>
                <w:rFonts w:cs="Arial" w:ascii="Arial" w:hAnsi="Arial"/>
                <w:color w:val="000000"/>
                <w:sz w:val="16"/>
                <w:szCs w:val="16"/>
              </w:rPr>
              <w:t>розділ</w:t>
            </w:r>
            <w:r>
              <w:rPr>
                <w:rFonts w:cs="Arial" w:ascii="Arial" w:hAnsi="Arial"/>
                <w:color w:val="000000"/>
                <w:sz w:val="16"/>
                <w:szCs w:val="16"/>
                <w:lang w:val="en-US"/>
              </w:rPr>
              <w:t xml:space="preserve"> 3.2.</w:t>
            </w:r>
            <w:r>
              <w:rPr>
                <w:rFonts w:cs="Arial" w:ascii="Arial" w:hAnsi="Arial"/>
                <w:color w:val="000000"/>
                <w:sz w:val="16"/>
                <w:szCs w:val="16"/>
              </w:rPr>
              <w:t>Р</w:t>
            </w:r>
            <w:r>
              <w:rPr>
                <w:rFonts w:cs="Arial" w:ascii="Arial" w:hAnsi="Arial"/>
                <w:color w:val="000000"/>
                <w:sz w:val="16"/>
                <w:szCs w:val="16"/>
                <w:lang w:val="en-US"/>
              </w:rPr>
              <w:t xml:space="preserve">.7 </w:t>
            </w:r>
            <w:r>
              <w:rPr>
                <w:rFonts w:cs="Arial" w:ascii="Arial" w:hAnsi="Arial"/>
                <w:color w:val="000000"/>
                <w:sz w:val="16"/>
                <w:szCs w:val="16"/>
              </w:rPr>
              <w:t>Система</w:t>
            </w:r>
            <w:r>
              <w:rPr>
                <w:rFonts w:cs="Arial" w:ascii="Arial" w:hAnsi="Arial"/>
                <w:color w:val="000000"/>
                <w:sz w:val="16"/>
                <w:szCs w:val="16"/>
                <w:lang w:val="en-US"/>
              </w:rPr>
              <w:t xml:space="preserve"> </w:t>
            </w:r>
            <w:r>
              <w:rPr>
                <w:rFonts w:cs="Arial" w:ascii="Arial" w:hAnsi="Arial"/>
                <w:color w:val="000000"/>
                <w:sz w:val="16"/>
                <w:szCs w:val="16"/>
              </w:rPr>
              <w:t>контейнер</w:t>
            </w:r>
            <w:r>
              <w:rPr>
                <w:rFonts w:cs="Arial" w:ascii="Arial" w:hAnsi="Arial"/>
                <w:color w:val="000000"/>
                <w:sz w:val="16"/>
                <w:szCs w:val="16"/>
                <w:lang w:val="en-US"/>
              </w:rPr>
              <w:t>/</w:t>
            </w:r>
            <w:r>
              <w:rPr>
                <w:rFonts w:cs="Arial" w:ascii="Arial" w:hAnsi="Arial"/>
                <w:color w:val="000000"/>
                <w:sz w:val="16"/>
                <w:szCs w:val="16"/>
              </w:rPr>
              <w:t>закупорювальний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оновлено</w:t>
            </w:r>
            <w:r>
              <w:rPr>
                <w:rFonts w:cs="Arial" w:ascii="Arial" w:hAnsi="Arial"/>
                <w:color w:val="000000"/>
                <w:sz w:val="16"/>
                <w:szCs w:val="16"/>
                <w:lang w:val="en-US"/>
              </w:rPr>
              <w:t xml:space="preserve"> </w:t>
            </w:r>
            <w:r>
              <w:rPr>
                <w:rFonts w:cs="Arial" w:ascii="Arial" w:hAnsi="Arial"/>
                <w:color w:val="000000"/>
                <w:sz w:val="16"/>
                <w:szCs w:val="16"/>
              </w:rPr>
              <w:t>специфікацію</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первинне</w:t>
            </w:r>
            <w:r>
              <w:rPr>
                <w:rFonts w:cs="Arial" w:ascii="Arial" w:hAnsi="Arial"/>
                <w:color w:val="000000"/>
                <w:sz w:val="16"/>
                <w:szCs w:val="16"/>
                <w:lang w:val="en-US"/>
              </w:rPr>
              <w:t xml:space="preserve"> </w:t>
            </w:r>
            <w:r>
              <w:rPr>
                <w:rFonts w:cs="Arial" w:ascii="Arial" w:hAnsi="Arial"/>
                <w:color w:val="000000"/>
                <w:sz w:val="16"/>
                <w:szCs w:val="16"/>
              </w:rPr>
              <w:t>пакування</w:t>
            </w:r>
            <w:r>
              <w:rPr>
                <w:rFonts w:cs="Arial" w:ascii="Arial" w:hAnsi="Arial"/>
                <w:color w:val="000000"/>
                <w:sz w:val="16"/>
                <w:szCs w:val="16"/>
                <w:lang w:val="en-US"/>
              </w:rPr>
              <w:t xml:space="preserve"> (</w:t>
            </w:r>
            <w:r>
              <w:rPr>
                <w:rFonts w:cs="Arial" w:ascii="Arial" w:hAnsi="Arial"/>
                <w:color w:val="000000"/>
                <w:sz w:val="16"/>
                <w:szCs w:val="16"/>
              </w:rPr>
              <w:t>тубу</w:t>
            </w:r>
            <w:r>
              <w:rPr>
                <w:rFonts w:cs="Arial" w:ascii="Arial" w:hAnsi="Arial"/>
                <w:color w:val="000000"/>
                <w:sz w:val="16"/>
                <w:szCs w:val="16"/>
                <w:lang w:val="en-US"/>
              </w:rPr>
              <w:t xml:space="preserve"> </w:t>
            </w:r>
            <w:r>
              <w:rPr>
                <w:rFonts w:cs="Arial" w:ascii="Arial" w:hAnsi="Arial"/>
                <w:color w:val="000000"/>
                <w:sz w:val="16"/>
                <w:szCs w:val="16"/>
              </w:rPr>
              <w:t>алюмінієву</w:t>
            </w:r>
            <w:r>
              <w:rPr>
                <w:rFonts w:cs="Arial" w:ascii="Arial" w:hAnsi="Arial"/>
                <w:color w:val="000000"/>
                <w:sz w:val="16"/>
                <w:szCs w:val="16"/>
                <w:lang w:val="en-US"/>
              </w:rPr>
              <w:t xml:space="preserve">): </w:t>
            </w:r>
            <w:r>
              <w:rPr>
                <w:rFonts w:cs="Arial" w:ascii="Arial" w:hAnsi="Arial"/>
                <w:color w:val="000000"/>
                <w:sz w:val="16"/>
                <w:szCs w:val="16"/>
              </w:rPr>
              <w:t>редакційні</w:t>
            </w:r>
            <w:r>
              <w:rPr>
                <w:rFonts w:cs="Arial" w:ascii="Arial" w:hAnsi="Arial"/>
                <w:color w:val="000000"/>
                <w:sz w:val="16"/>
                <w:szCs w:val="16"/>
                <w:lang w:val="en-US"/>
              </w:rPr>
              <w:t xml:space="preserve"> </w:t>
            </w:r>
            <w:r>
              <w:rPr>
                <w:rFonts w:cs="Arial" w:ascii="Arial" w:hAnsi="Arial"/>
                <w:color w:val="000000"/>
                <w:sz w:val="16"/>
                <w:szCs w:val="16"/>
              </w:rPr>
              <w:t>правки</w:t>
            </w:r>
            <w:r>
              <w:rPr>
                <w:rFonts w:cs="Arial" w:ascii="Arial" w:hAnsi="Arial"/>
                <w:color w:val="000000"/>
                <w:sz w:val="16"/>
                <w:szCs w:val="16"/>
                <w:lang w:val="en-US"/>
              </w:rPr>
              <w:t xml:space="preserve">, </w:t>
            </w:r>
            <w:r>
              <w:rPr>
                <w:rFonts w:cs="Arial" w:ascii="Arial" w:hAnsi="Arial"/>
                <w:color w:val="000000"/>
                <w:sz w:val="16"/>
                <w:szCs w:val="16"/>
              </w:rPr>
              <w:t>корегування</w:t>
            </w:r>
            <w:r>
              <w:rPr>
                <w:rFonts w:cs="Arial" w:ascii="Arial" w:hAnsi="Arial"/>
                <w:color w:val="000000"/>
                <w:sz w:val="16"/>
                <w:szCs w:val="16"/>
                <w:lang w:val="en-US"/>
              </w:rPr>
              <w:t xml:space="preserve"> </w:t>
            </w:r>
            <w:r>
              <w:rPr>
                <w:rFonts w:cs="Arial" w:ascii="Arial" w:hAnsi="Arial"/>
                <w:color w:val="000000"/>
                <w:sz w:val="16"/>
                <w:szCs w:val="16"/>
              </w:rPr>
              <w:t>критеріїв</w:t>
            </w:r>
            <w:r>
              <w:rPr>
                <w:rFonts w:cs="Arial" w:ascii="Arial" w:hAnsi="Arial"/>
                <w:color w:val="000000"/>
                <w:sz w:val="16"/>
                <w:szCs w:val="16"/>
                <w:lang w:val="en-US"/>
              </w:rPr>
              <w:t xml:space="preserve"> </w:t>
            </w:r>
            <w:r>
              <w:rPr>
                <w:rFonts w:cs="Arial" w:ascii="Arial" w:hAnsi="Arial"/>
                <w:color w:val="000000"/>
                <w:sz w:val="16"/>
                <w:szCs w:val="16"/>
              </w:rPr>
              <w:t>прийнятності</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показником</w:t>
            </w:r>
            <w:r>
              <w:rPr>
                <w:rFonts w:cs="Arial" w:ascii="Arial" w:hAnsi="Arial"/>
                <w:color w:val="000000"/>
                <w:sz w:val="16"/>
                <w:szCs w:val="16"/>
                <w:lang w:val="en-US"/>
              </w:rPr>
              <w:t xml:space="preserve"> «</w:t>
            </w:r>
            <w:r>
              <w:rPr>
                <w:rFonts w:cs="Arial" w:ascii="Arial" w:hAnsi="Arial"/>
                <w:color w:val="000000"/>
                <w:sz w:val="16"/>
                <w:szCs w:val="16"/>
              </w:rPr>
              <w:t>Мікробіологічна</w:t>
            </w:r>
            <w:r>
              <w:rPr>
                <w:rFonts w:cs="Arial" w:ascii="Arial" w:hAnsi="Arial"/>
                <w:color w:val="000000"/>
                <w:sz w:val="16"/>
                <w:szCs w:val="16"/>
                <w:lang w:val="en-US"/>
              </w:rPr>
              <w:t xml:space="preserve"> </w:t>
            </w:r>
            <w:r>
              <w:rPr>
                <w:rFonts w:cs="Arial" w:ascii="Arial" w:hAnsi="Arial"/>
                <w:color w:val="000000"/>
                <w:sz w:val="16"/>
                <w:szCs w:val="16"/>
              </w:rPr>
              <w:t>чистота</w:t>
            </w:r>
            <w:r>
              <w:rPr>
                <w:rFonts w:cs="Arial" w:ascii="Arial" w:hAnsi="Arial"/>
                <w:color w:val="000000"/>
                <w:sz w:val="16"/>
                <w:szCs w:val="16"/>
                <w:lang w:val="en-US"/>
              </w:rPr>
              <w:t xml:space="preserve">» </w:t>
            </w:r>
            <w:r>
              <w:rPr>
                <w:rFonts w:cs="Arial" w:ascii="Arial" w:hAnsi="Arial"/>
                <w:color w:val="000000"/>
                <w:sz w:val="16"/>
                <w:szCs w:val="16"/>
              </w:rPr>
              <w:t>згідно</w:t>
            </w:r>
            <w:r>
              <w:rPr>
                <w:rFonts w:cs="Arial" w:ascii="Arial" w:hAnsi="Arial"/>
                <w:color w:val="000000"/>
                <w:sz w:val="16"/>
                <w:szCs w:val="16"/>
                <w:lang w:val="en-US"/>
              </w:rPr>
              <w:t xml:space="preserve"> </w:t>
            </w:r>
            <w:r>
              <w:rPr>
                <w:rFonts w:cs="Arial" w:ascii="Arial" w:hAnsi="Arial"/>
                <w:color w:val="000000"/>
                <w:sz w:val="16"/>
                <w:szCs w:val="16"/>
              </w:rPr>
              <w:t>вимог</w:t>
            </w:r>
            <w:r>
              <w:rPr>
                <w:rFonts w:cs="Arial" w:ascii="Arial" w:hAnsi="Arial"/>
                <w:color w:val="000000"/>
                <w:sz w:val="16"/>
                <w:szCs w:val="16"/>
                <w:lang w:val="en-US"/>
              </w:rPr>
              <w:t xml:space="preserve"> </w:t>
            </w:r>
            <w:r>
              <w:rPr>
                <w:rFonts w:cs="Arial" w:ascii="Arial" w:hAnsi="Arial"/>
                <w:color w:val="000000"/>
                <w:sz w:val="16"/>
                <w:szCs w:val="16"/>
              </w:rPr>
              <w:t>ДФУ</w:t>
            </w:r>
            <w:r>
              <w:rPr>
                <w:rFonts w:cs="Arial" w:ascii="Arial" w:hAnsi="Arial"/>
                <w:color w:val="000000"/>
                <w:sz w:val="16"/>
                <w:szCs w:val="16"/>
                <w:lang w:val="en-US"/>
              </w:rPr>
              <w:t xml:space="preserve">, </w:t>
            </w:r>
            <w:r>
              <w:rPr>
                <w:rFonts w:cs="Arial" w:ascii="Arial" w:hAnsi="Arial"/>
                <w:color w:val="000000"/>
                <w:sz w:val="16"/>
                <w:szCs w:val="16"/>
              </w:rPr>
              <w:t>додано</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показником</w:t>
            </w:r>
            <w:r>
              <w:rPr>
                <w:rFonts w:cs="Arial" w:ascii="Arial" w:hAnsi="Arial"/>
                <w:color w:val="000000"/>
                <w:sz w:val="16"/>
                <w:szCs w:val="16"/>
                <w:lang w:val="en-US"/>
              </w:rPr>
              <w:t xml:space="preserve"> «</w:t>
            </w:r>
            <w:r>
              <w:rPr>
                <w:rFonts w:cs="Arial" w:ascii="Arial" w:hAnsi="Arial"/>
                <w:color w:val="000000"/>
                <w:sz w:val="16"/>
                <w:szCs w:val="16"/>
              </w:rPr>
              <w:t>Латексне</w:t>
            </w:r>
            <w:r>
              <w:rPr>
                <w:rFonts w:cs="Arial" w:ascii="Arial" w:hAnsi="Arial"/>
                <w:color w:val="000000"/>
                <w:sz w:val="16"/>
                <w:szCs w:val="16"/>
                <w:lang w:val="en-US"/>
              </w:rPr>
              <w:t xml:space="preserve"> </w:t>
            </w:r>
            <w:r>
              <w:rPr>
                <w:rFonts w:cs="Arial" w:ascii="Arial" w:hAnsi="Arial"/>
                <w:color w:val="000000"/>
                <w:sz w:val="16"/>
                <w:szCs w:val="16"/>
              </w:rPr>
              <w:t>покриття</w:t>
            </w:r>
            <w:r>
              <w:rPr>
                <w:rFonts w:cs="Arial" w:ascii="Arial" w:hAnsi="Arial"/>
                <w:color w:val="000000"/>
                <w:sz w:val="16"/>
                <w:szCs w:val="16"/>
                <w:lang w:val="en-US"/>
              </w:rPr>
              <w:t>», «</w:t>
            </w:r>
            <w:r>
              <w:rPr>
                <w:rFonts w:cs="Arial" w:ascii="Arial" w:hAnsi="Arial"/>
                <w:color w:val="000000"/>
                <w:sz w:val="16"/>
                <w:szCs w:val="16"/>
              </w:rPr>
              <w:t>Лакова</w:t>
            </w:r>
            <w:r>
              <w:rPr>
                <w:rFonts w:cs="Arial" w:ascii="Arial" w:hAnsi="Arial"/>
                <w:color w:val="000000"/>
                <w:sz w:val="16"/>
                <w:szCs w:val="16"/>
                <w:lang w:val="en-US"/>
              </w:rPr>
              <w:t xml:space="preserve"> </w:t>
            </w:r>
            <w:r>
              <w:rPr>
                <w:rFonts w:cs="Arial" w:ascii="Arial" w:hAnsi="Arial"/>
                <w:color w:val="000000"/>
                <w:sz w:val="16"/>
                <w:szCs w:val="16"/>
              </w:rPr>
              <w:t>плівка</w:t>
            </w:r>
            <w:r>
              <w:rPr>
                <w:rFonts w:cs="Arial" w:ascii="Arial" w:hAnsi="Arial"/>
                <w:color w:val="000000"/>
                <w:sz w:val="16"/>
                <w:szCs w:val="16"/>
                <w:lang w:val="en-US"/>
              </w:rPr>
              <w:t xml:space="preserve"> </w:t>
            </w:r>
            <w:r>
              <w:rPr>
                <w:rFonts w:cs="Arial" w:ascii="Arial" w:hAnsi="Arial"/>
                <w:color w:val="000000"/>
                <w:sz w:val="16"/>
                <w:szCs w:val="16"/>
              </w:rPr>
              <w:t>внутрішнього</w:t>
            </w:r>
            <w:r>
              <w:rPr>
                <w:rFonts w:cs="Arial" w:ascii="Arial" w:hAnsi="Arial"/>
                <w:color w:val="000000"/>
                <w:sz w:val="16"/>
                <w:szCs w:val="16"/>
                <w:lang w:val="en-US"/>
              </w:rPr>
              <w:t xml:space="preserve"> </w:t>
            </w:r>
            <w:r>
              <w:rPr>
                <w:rFonts w:cs="Arial" w:ascii="Arial" w:hAnsi="Arial"/>
                <w:color w:val="000000"/>
                <w:sz w:val="16"/>
                <w:szCs w:val="16"/>
              </w:rPr>
              <w:t>покриття</w:t>
            </w:r>
            <w:r>
              <w:rPr>
                <w:rFonts w:cs="Arial" w:ascii="Arial" w:hAnsi="Arial"/>
                <w:color w:val="000000"/>
                <w:sz w:val="16"/>
                <w:szCs w:val="16"/>
                <w:lang w:val="en-US"/>
              </w:rPr>
              <w:t>», «</w:t>
            </w:r>
            <w:r>
              <w:rPr>
                <w:rFonts w:cs="Arial" w:ascii="Arial" w:hAnsi="Arial"/>
                <w:color w:val="000000"/>
                <w:sz w:val="16"/>
                <w:szCs w:val="16"/>
              </w:rPr>
              <w:t>Покриття</w:t>
            </w:r>
            <w:r>
              <w:rPr>
                <w:rFonts w:cs="Arial" w:ascii="Arial" w:hAnsi="Arial"/>
                <w:color w:val="000000"/>
                <w:sz w:val="16"/>
                <w:szCs w:val="16"/>
                <w:lang w:val="en-US"/>
              </w:rPr>
              <w:t xml:space="preserve"> </w:t>
            </w:r>
            <w:r>
              <w:rPr>
                <w:rFonts w:cs="Arial" w:ascii="Arial" w:hAnsi="Arial"/>
                <w:color w:val="000000"/>
                <w:sz w:val="16"/>
                <w:szCs w:val="16"/>
              </w:rPr>
              <w:t>емаллю</w:t>
            </w:r>
            <w:r>
              <w:rPr>
                <w:rFonts w:cs="Arial" w:ascii="Arial" w:hAnsi="Arial"/>
                <w:color w:val="000000"/>
                <w:sz w:val="16"/>
                <w:szCs w:val="16"/>
                <w:lang w:val="en-US"/>
              </w:rPr>
              <w:t>», «</w:t>
            </w:r>
            <w:r>
              <w:rPr>
                <w:rFonts w:cs="Arial" w:ascii="Arial" w:hAnsi="Arial"/>
                <w:color w:val="000000"/>
                <w:sz w:val="16"/>
                <w:szCs w:val="16"/>
              </w:rPr>
              <w:t>Нанесення</w:t>
            </w:r>
            <w:r>
              <w:rPr>
                <w:rFonts w:cs="Arial" w:ascii="Arial" w:hAnsi="Arial"/>
                <w:color w:val="000000"/>
                <w:sz w:val="16"/>
                <w:szCs w:val="16"/>
                <w:lang w:val="en-US"/>
              </w:rPr>
              <w:t xml:space="preserve"> </w:t>
            </w:r>
            <w:r>
              <w:rPr>
                <w:rFonts w:cs="Arial" w:ascii="Arial" w:hAnsi="Arial"/>
                <w:color w:val="000000"/>
                <w:sz w:val="16"/>
                <w:szCs w:val="16"/>
              </w:rPr>
              <w:t>елементів</w:t>
            </w:r>
            <w:r>
              <w:rPr>
                <w:rFonts w:cs="Arial" w:ascii="Arial" w:hAnsi="Arial"/>
                <w:color w:val="000000"/>
                <w:sz w:val="16"/>
                <w:szCs w:val="16"/>
                <w:lang w:val="en-US"/>
              </w:rPr>
              <w:t xml:space="preserve"> </w:t>
            </w:r>
            <w:r>
              <w:rPr>
                <w:rFonts w:cs="Arial" w:ascii="Arial" w:hAnsi="Arial"/>
                <w:color w:val="000000"/>
                <w:sz w:val="16"/>
                <w:szCs w:val="16"/>
              </w:rPr>
              <w:t>дизайну</w:t>
            </w:r>
            <w:r>
              <w:rPr>
                <w:rFonts w:cs="Arial" w:ascii="Arial" w:hAnsi="Arial"/>
                <w:color w:val="000000"/>
                <w:sz w:val="16"/>
                <w:szCs w:val="16"/>
                <w:lang w:val="en-US"/>
              </w:rPr>
              <w:t>», «</w:t>
            </w:r>
            <w:r>
              <w:rPr>
                <w:rFonts w:cs="Arial" w:ascii="Arial" w:hAnsi="Arial"/>
                <w:color w:val="000000"/>
                <w:sz w:val="16"/>
                <w:szCs w:val="16"/>
              </w:rPr>
              <w:t>Упаковка</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Умови</w:t>
            </w:r>
            <w:r>
              <w:rPr>
                <w:rFonts w:cs="Arial" w:ascii="Arial" w:hAnsi="Arial"/>
                <w:color w:val="000000"/>
                <w:sz w:val="16"/>
                <w:szCs w:val="16"/>
                <w:lang w:val="en-US"/>
              </w:rPr>
              <w:t xml:space="preserve"> </w:t>
            </w:r>
            <w:r>
              <w:rPr>
                <w:rFonts w:cs="Arial" w:ascii="Arial" w:hAnsi="Arial"/>
                <w:color w:val="000000"/>
                <w:sz w:val="16"/>
                <w:szCs w:val="16"/>
              </w:rPr>
              <w:t>зберігання</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застережні</w:t>
            </w:r>
            <w:r>
              <w:rPr>
                <w:rFonts w:cs="Arial" w:ascii="Arial" w:hAnsi="Arial"/>
                <w:color w:val="000000"/>
                <w:sz w:val="16"/>
                <w:szCs w:val="16"/>
                <w:lang w:val="en-US"/>
              </w:rPr>
              <w:t xml:space="preserve"> </w:t>
            </w:r>
            <w:r>
              <w:rPr>
                <w:rFonts w:cs="Arial" w:ascii="Arial" w:hAnsi="Arial"/>
                <w:color w:val="000000"/>
                <w:sz w:val="16"/>
                <w:szCs w:val="16"/>
              </w:rPr>
              <w:t>заходи</w:t>
            </w:r>
            <w:r>
              <w:rPr>
                <w:rFonts w:cs="Arial" w:ascii="Arial" w:hAnsi="Arial"/>
                <w:color w:val="000000"/>
                <w:sz w:val="16"/>
                <w:szCs w:val="16"/>
                <w:lang w:val="en-US"/>
              </w:rPr>
              <w:t xml:space="preserve">», </w:t>
            </w:r>
            <w:r>
              <w:rPr>
                <w:rFonts w:cs="Arial" w:ascii="Arial" w:hAnsi="Arial"/>
                <w:color w:val="000000"/>
                <w:sz w:val="16"/>
                <w:szCs w:val="16"/>
              </w:rPr>
              <w:t>а</w:t>
            </w:r>
            <w:r>
              <w:rPr>
                <w:rFonts w:cs="Arial" w:ascii="Arial" w:hAnsi="Arial"/>
                <w:color w:val="000000"/>
                <w:sz w:val="16"/>
                <w:szCs w:val="16"/>
                <w:lang w:val="en-US"/>
              </w:rPr>
              <w:t xml:space="preserve"> </w:t>
            </w:r>
            <w:r>
              <w:rPr>
                <w:rFonts w:cs="Arial" w:ascii="Arial" w:hAnsi="Arial"/>
                <w:color w:val="000000"/>
                <w:sz w:val="16"/>
                <w:szCs w:val="16"/>
              </w:rPr>
              <w:t>також</w:t>
            </w:r>
            <w:r>
              <w:rPr>
                <w:rFonts w:cs="Arial" w:ascii="Arial" w:hAnsi="Arial"/>
                <w:color w:val="000000"/>
                <w:sz w:val="16"/>
                <w:szCs w:val="16"/>
                <w:lang w:val="en-US"/>
              </w:rPr>
              <w:t xml:space="preserve"> </w:t>
            </w:r>
            <w:r>
              <w:rPr>
                <w:rFonts w:cs="Arial" w:ascii="Arial" w:hAnsi="Arial"/>
                <w:color w:val="000000"/>
                <w:sz w:val="16"/>
                <w:szCs w:val="16"/>
              </w:rPr>
              <w:t>вилучені</w:t>
            </w:r>
            <w:r>
              <w:rPr>
                <w:rFonts w:cs="Arial" w:ascii="Arial" w:hAnsi="Arial"/>
                <w:color w:val="000000"/>
                <w:sz w:val="16"/>
                <w:szCs w:val="16"/>
                <w:lang w:val="en-US"/>
              </w:rPr>
              <w:t xml:space="preserve"> </w:t>
            </w:r>
            <w:r>
              <w:rPr>
                <w:rFonts w:cs="Arial" w:ascii="Arial" w:hAnsi="Arial"/>
                <w:color w:val="000000"/>
                <w:sz w:val="16"/>
                <w:szCs w:val="16"/>
              </w:rPr>
              <w:t>деякі</w:t>
            </w:r>
            <w:r>
              <w:rPr>
                <w:rFonts w:cs="Arial" w:ascii="Arial" w:hAnsi="Arial"/>
                <w:color w:val="000000"/>
                <w:sz w:val="16"/>
                <w:szCs w:val="16"/>
                <w:lang w:val="en-US"/>
              </w:rPr>
              <w:t xml:space="preserve"> </w:t>
            </w:r>
            <w:r>
              <w:rPr>
                <w:rFonts w:cs="Arial" w:ascii="Arial" w:hAnsi="Arial"/>
                <w:color w:val="000000"/>
                <w:sz w:val="16"/>
                <w:szCs w:val="16"/>
              </w:rPr>
              <w:t>незначні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застарілі</w:t>
            </w:r>
            <w:r>
              <w:rPr>
                <w:rFonts w:cs="Arial" w:ascii="Arial" w:hAnsi="Arial"/>
                <w:color w:val="000000"/>
                <w:sz w:val="16"/>
                <w:szCs w:val="16"/>
                <w:lang w:val="en-US"/>
              </w:rPr>
              <w:t xml:space="preserve"> </w:t>
            </w:r>
            <w:r>
              <w:rPr>
                <w:rFonts w:cs="Arial" w:ascii="Arial" w:hAnsi="Arial"/>
                <w:color w:val="000000"/>
                <w:sz w:val="16"/>
                <w:szCs w:val="16"/>
              </w:rPr>
              <w:t>показники</w:t>
            </w:r>
            <w:r>
              <w:rPr>
                <w:rFonts w:cs="Arial" w:ascii="Arial" w:hAnsi="Arial"/>
                <w:color w:val="000000"/>
                <w:sz w:val="16"/>
                <w:szCs w:val="16"/>
                <w:lang w:val="en-US"/>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ДЕОСТОН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cholecalciferol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холекальциферолу концентрат (олійна форма) з альфа-токоферолом в тригліцеридах середнього ланцюга, що відповідає холекальциферолу (вітамін D3)</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A11CC05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20000 МО, по 10 капсул у блістері;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допущеної у методі контролю за показником "Кількісне визначення альфа-токоферолу" у МКЯ ГЛЗ та розділі 3.2.Р.5.2 Аналітичні методики при реєстрації</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ДІСТРЕПТАЗА ДІСТРЕПТ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Streptokinase, combinations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стрептокіназа, стрептодорназа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B06AA55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15000 МО+1250 МО по 6 супозиторіїв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Синтаверс С.А.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Синтаверс С.А.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пов’язані з необхідністю актуалізації специфікації на допоміжну речовину рідкий парафін (відповідно до Європейської фармакопеї).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Додавання альтернативного виробника рідкого парафіну – Aiglon Groupe.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затвердженого виробника рідкого парафіну з: TOTAL LUBRIFIANTS на: TotalEnergies Lubrifiants.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Допоміжна речовина/вихідний матеріал для виробництва АФІ - актуалізація специфікації на допоміжну речовину твердий жир (відповідно до Ph. Eur.) та, як наслідок, видалення місця контролю серії: Poz Lab sp. z o.o.. Зміни І типу - Зміни з якості. Готовий лікарський засіб. Опис та склад (інші зміни) - Додавання альтернативного виробника допоміжної речовини Твердий жир: «Croda Europe Limited» поряд із затвердженим «IOI Oleo GmbH».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Актуалізація специфікації на пакувальний матеріал PVC/PE foil (відповідно до Ph. Eur.) та додавання альтернативного виробника фольги - SARONG.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Видалення параметра «Тест на цитотоксичність» (тест прямого контакту) зі специфікації первинної упаковки лікарського засобу – плівки PVC/PE.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(масштаб для лікарського засобу біологічного/імунологічного походження збільшився/зменшився без зміни виробничого процесу (наприклад дублювання лінії)) - Додавання збільшеного розміру серії лікарського засобу – 54 000 супозиторіїв ±10%, поряд з базовим розміром серії – 36 000 супозиторіїв ±10%. Крім того, було внесено редакційні виправлення до кількості допоміжних речовин, що використовуються для виробництва однієї базової серії (Модуль 3.2.P.3.2 Склад на серію). </w:t>
              <w:b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показником: Ідентичність стрептокінази (test method – in-house, fibrinolytic method).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показником: Ідентичність стрептодорнази (test method – in-house, fibrinolytic method).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Незначні зміни до специфікації АФІ Streptokinase and Streptodornase Powder – зміна In-house методу (SPB/DKJ/34) на метод, описаний у чинному виданні Європейської фармакопеї, для випробування за показником «Розчинність».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UA/5275/01/01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ДУФАСТОН®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dydrogesterone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дидрогестерон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G03DB01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або 20, або 28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Хелскеа Продактс Б.В.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Біолоджікалз Б.В.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13 років. </w:t>
              <w:br/>
              <w:t xml:space="preserve">Кінцева дата для включення даних до регулярно оновлюваного звіту з безпеки - 22.04.2025 р. </w:t>
              <w:br/>
              <w:t xml:space="preserve">Дата подання - 21.07.2025 р. </w:t>
              <w:br/>
              <w:t xml:space="preserve">Пропонована редакція: </w:t>
              <w:br/>
              <w:t xml:space="preserve">Частота подання регулярно оновлюваного звіту з безпеки 9 років. </w:t>
              <w:br/>
              <w:t xml:space="preserve">Кінцева дата для включення даних до регулярно оновлюваного звіту з безпеки - 01.02.2028 р. </w:t>
              <w:br/>
              <w:t xml:space="preserve">Дата подання -01.05.2028 р. </w:t>
              <w:br/>
              <w:t>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ЕКВАТОР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Lisinopril and amlodipine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лізиноприл (у вигляді лізиноприлу дигідрату) та амлодипін (у вигляді амлодипіну безилату)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C09BB03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20 мг/5 мг,  по 10 таблеток у блістері; по 1, 3 або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UA/3211/01/03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ЕПАЙДРА®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insulin glulisine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інсуліну глюлізин (продукт рекомбінантної ДНК-технології із застосуванням Escherichia coli)</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A10AB06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Од./мл; № 5: по 1 картриджу по 3 мл, вмонтованому в одноразовий пристрій - шприц-ручку СолоСтар® (без голок для ін'єкцій), по 5 шприц-ручок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Санофі-Авентіс Дойчланд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(А.7. ІА), Видалення виробничої дільниці Celonic Deutschland GmbH &amp; Co. KG, Germany в якості альтернативної дільниці,відповідальної за контроль якості АФІ для тестування за показником вмісту E. coli білків (ECP) , затверджений виробник виробництво Analytical testing and final batch release: Sanofi-Aventis Deutschland GmbH Industriepark Hochst Bruningstrasse 50 - 65926 Frankfurt am Main Germany.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заміна методу тестування АФІ для визначення E. coli білків (ECP) з (ILA) методу (Immuno-Ligand Assay) на новий ELISA метод (Enzyme-Linked Immunosorbent Assay). Тестування методом ELISA впроваджується для виробничої дільниці Sanofi-Aventis Deutschland GmbH, Germany, яка відповідає за контроль якості та випуск серії АФІ.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UA/10240/01/01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ЕРІУС®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desloratadine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дезлоратадин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R06AX27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0,5 мг/мл; по 60 мл або по 120 мл у флаконі; по 1 флакону разом з мірною ложечкою або дозуючим шприцом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Байєр Консьюмер Кер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Органон Хейст Б.В.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w:t>
              <w:br/>
              <w:t>Заміна супутнього вимірювального пристрою, а саме мірної ложечки, яка входить до комплекту лікарського засобу Еріус® сироп. Пропонована нова мірна ложечка, що має градуювання 1,25 мл, 2,5 мл та 5 мл.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UA/5827/02/01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ЕСКАПЕЛ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levonorgestrel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левоноргестрел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G03AD01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що диспергуються в ротовій порожнині по 1,5 мг; </w:t>
              <w:br/>
              <w:t>по 1 таблетці у блістері; по 1 блістеру у пакеті з ламінованої алюмінієвої фольги; по 1 пакету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UA/4789/02/01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ЕФЕРАЛГАН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парацетамол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3 %, по 90 мл у флаконі; по 1 флакону в комплекті зі шприцом для дозування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w:t>
              <w:br/>
              <w:t>Заміна карамельно-ванільного ароматизатору, який містить кілька допоміжних речовин з відомим ефектом (пропіленгліколь, бензиловий спирт і сульфіти), а також барвник (карамель Е150d) на ароматизатор полуничний, що містить лише одну допоміжну речовину з відомим ефектом (пропіленгліколь). Зміни внесено до Інструкції для медичного застосування лікарського засобу до розділів "Склад", "Основні фізико-хімічні властивості", "Особливості застосування" стосовно інформації про допоміжні речовиин (смакові добавки, в допоміжних речовинах (в ароматизаторі полуничному міститься пропіленгліколь)) та відповідні зміни в тексті маркування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а саме зміна порядку введення лимонної кислоти з останнього введеного проміжного продукту на введення безпосередньо після додавання парацетамолу та перед стадією фільтрації. Під час розробки запропонованого складу було продемонстровано, що порядок введення лимонної кислоти не є важливим і не впливає на вироблений розчин.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Внесення змін до р.3.2.Р.3.3 Опис виробничого процесу та контролю процесу, а саме додання часу зберігання розчину 35 днів в резервуарі для зберігання перед операцією первинного пакування.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Допоміжна речовина/вихідний матеріал для виробництва АФІ. Приведення специфікації для контролю рідкої сахарози у відповідність до вимог монографії ЕР.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критеріїв прийнятності за п. «Супровідні домішки» для 4-амінофенолу з 0,015% на 0,010 % для специфікації при випуску та на термін придатності.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Доповнення специфікації ГЛЗ показниками «Будь-яка неідентифікована домішка» та «Сума домішок» з критеріями прийнятності «0,05%» та «0,1%» відповідно, у зв’язку з приведенням у відповідність чинному регламенту та рекомендаціям ICH Q3B (R2).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методу ВЕРХ, який використовується для тесту Кількісне визначення парацетамолу та сорбату калію. Зміна довжини та діаметра колонки з адаптацією до об’єму ін’єкції та температури камери для зразків. Тип колонки залишається незмінним.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(додавання або заміна показника за результатами досліджень з безпеки або якості). Заміна тесту «Зовнішній ддіаметр горловини з верхньою різьбою» на тест «Зовнішній діаметр горловини на різьбі» у специфікації первинного пакування для флакону 90 мл. Матеріал</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форма</w:t>
            </w:r>
            <w:r>
              <w:rPr>
                <w:rFonts w:cs="Arial" w:ascii="Arial" w:hAnsi="Arial"/>
                <w:color w:val="000000"/>
                <w:sz w:val="16"/>
                <w:szCs w:val="16"/>
                <w:lang w:val="en-US"/>
              </w:rPr>
              <w:t xml:space="preserve"> </w:t>
            </w:r>
            <w:r>
              <w:rPr>
                <w:rFonts w:cs="Arial" w:ascii="Arial" w:hAnsi="Arial"/>
                <w:color w:val="000000"/>
                <w:sz w:val="16"/>
                <w:szCs w:val="16"/>
              </w:rPr>
              <w:t>флакону</w:t>
            </w:r>
            <w:r>
              <w:rPr>
                <w:rFonts w:cs="Arial" w:ascii="Arial" w:hAnsi="Arial"/>
                <w:color w:val="000000"/>
                <w:sz w:val="16"/>
                <w:szCs w:val="16"/>
                <w:lang w:val="en-US"/>
              </w:rPr>
              <w:t xml:space="preserve"> </w:t>
            </w:r>
            <w:r>
              <w:rPr>
                <w:rFonts w:cs="Arial" w:ascii="Arial" w:hAnsi="Arial"/>
                <w:color w:val="000000"/>
                <w:sz w:val="16"/>
                <w:szCs w:val="16"/>
              </w:rPr>
              <w:t>не</w:t>
            </w:r>
            <w:r>
              <w:rPr>
                <w:rFonts w:cs="Arial" w:ascii="Arial" w:hAnsi="Arial"/>
                <w:color w:val="000000"/>
                <w:sz w:val="16"/>
                <w:szCs w:val="16"/>
                <w:lang w:val="en-US"/>
              </w:rPr>
              <w:t xml:space="preserve"> </w:t>
            </w:r>
            <w:r>
              <w:rPr>
                <w:rFonts w:cs="Arial" w:ascii="Arial" w:hAnsi="Arial"/>
                <w:color w:val="000000"/>
                <w:sz w:val="16"/>
                <w:szCs w:val="16"/>
              </w:rPr>
              <w:t>змінились</w:t>
            </w:r>
            <w:r>
              <w:rPr>
                <w:rFonts w:cs="Arial" w:ascii="Arial" w:hAnsi="Arial"/>
                <w:color w:val="000000"/>
                <w:sz w:val="16"/>
                <w:szCs w:val="16"/>
                <w:lang w:val="en-US"/>
              </w:rPr>
              <w:t xml:space="preserve">. </w:t>
            </w:r>
            <w:r>
              <w:rPr>
                <w:rFonts w:cs="Arial" w:ascii="Arial" w:hAnsi="Arial"/>
                <w:color w:val="000000"/>
                <w:sz w:val="16"/>
                <w:szCs w:val="16"/>
              </w:rPr>
              <w:t>Затверджено</w:t>
            </w:r>
            <w:r>
              <w:rPr>
                <w:rFonts w:cs="Arial" w:ascii="Arial" w:hAnsi="Arial"/>
                <w:color w:val="000000"/>
                <w:sz w:val="16"/>
                <w:szCs w:val="16"/>
                <w:lang w:val="en-US"/>
              </w:rPr>
              <w:t xml:space="preserve"> 3.2.P.7 Polyethylene terephthalate bottle (90ml) External diameter of the neck with up-thread 27.1 to 27.9 External diameter of the neck with down-thread 27.8 to 28.2 </w:t>
            </w:r>
            <w:r>
              <w:rPr>
                <w:rFonts w:cs="Arial" w:ascii="Arial" w:hAnsi="Arial"/>
                <w:color w:val="000000"/>
                <w:sz w:val="16"/>
                <w:szCs w:val="16"/>
              </w:rPr>
              <w:t>Запропоновано</w:t>
            </w:r>
            <w:r>
              <w:rPr>
                <w:rFonts w:cs="Arial" w:ascii="Arial" w:hAnsi="Arial"/>
                <w:color w:val="000000"/>
                <w:sz w:val="16"/>
                <w:szCs w:val="16"/>
                <w:lang w:val="en-US"/>
              </w:rPr>
              <w:t xml:space="preserve"> - 3.2.P.7 Polyethylene terephthalate bottle (90ml) External diameter of the neck on thread 26.9 to 27.3 External diameter of the neck on bead 27.55 to 27.95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протягом</w:t>
            </w:r>
            <w:r>
              <w:rPr>
                <w:rFonts w:cs="Arial" w:ascii="Arial" w:hAnsi="Arial"/>
                <w:color w:val="000000"/>
                <w:sz w:val="16"/>
                <w:szCs w:val="16"/>
                <w:lang w:val="en-US"/>
              </w:rPr>
              <w:t xml:space="preserve"> 6-</w:t>
            </w:r>
            <w:r>
              <w:rPr>
                <w:rFonts w:cs="Arial" w:ascii="Arial" w:hAnsi="Arial"/>
                <w:color w:val="000000"/>
                <w:sz w:val="16"/>
                <w:szCs w:val="16"/>
              </w:rPr>
              <w:t>ти</w:t>
            </w:r>
            <w:r>
              <w:rPr>
                <w:rFonts w:cs="Arial" w:ascii="Arial" w:hAnsi="Arial"/>
                <w:color w:val="000000"/>
                <w:sz w:val="16"/>
                <w:szCs w:val="16"/>
                <w:lang w:val="en-US"/>
              </w:rPr>
              <w:t xml:space="preserve"> </w:t>
            </w:r>
            <w:r>
              <w:rPr>
                <w:rFonts w:cs="Arial" w:ascii="Arial" w:hAnsi="Arial"/>
                <w:color w:val="000000"/>
                <w:sz w:val="16"/>
                <w:szCs w:val="16"/>
              </w:rPr>
              <w:t>місяців</w:t>
            </w:r>
            <w:r>
              <w:rPr>
                <w:rFonts w:cs="Arial" w:ascii="Arial" w:hAnsi="Arial"/>
                <w:color w:val="000000"/>
                <w:sz w:val="16"/>
                <w:szCs w:val="16"/>
                <w:lang w:val="en-US"/>
              </w:rPr>
              <w:t xml:space="preserve"> </w:t>
            </w:r>
            <w:r>
              <w:rPr>
                <w:rFonts w:cs="Arial" w:ascii="Arial" w:hAnsi="Arial"/>
                <w:color w:val="000000"/>
                <w:sz w:val="16"/>
                <w:szCs w:val="16"/>
              </w:rPr>
              <w:t>після</w:t>
            </w:r>
            <w:r>
              <w:rPr>
                <w:rFonts w:cs="Arial" w:ascii="Arial" w:hAnsi="Arial"/>
                <w:color w:val="000000"/>
                <w:sz w:val="16"/>
                <w:szCs w:val="16"/>
                <w:lang w:val="en-US"/>
              </w:rPr>
              <w:t xml:space="preserve"> </w:t>
            </w:r>
            <w:r>
              <w:rPr>
                <w:rFonts w:cs="Arial" w:ascii="Arial" w:hAnsi="Arial"/>
                <w:color w:val="000000"/>
                <w:sz w:val="16"/>
                <w:szCs w:val="16"/>
              </w:rPr>
              <w:t>затвердження</w:t>
            </w:r>
            <w:r>
              <w:rPr>
                <w:rFonts w:cs="Arial" w:ascii="Arial" w:hAnsi="Arial"/>
                <w:color w:val="000000"/>
                <w:sz w:val="16"/>
                <w:szCs w:val="16"/>
                <w:lang w:val="en-US"/>
              </w:rPr>
              <w:t xml:space="preserve">. </w:t>
            </w:r>
            <w:r>
              <w:rPr>
                <w:rFonts w:cs="Arial" w:ascii="Arial" w:hAnsi="Arial"/>
                <w:color w:val="000000"/>
                <w:sz w:val="16"/>
                <w:szCs w:val="16"/>
              </w:rPr>
              <w:t>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(додавання або заміна показника за результатами досліджень з безпеки або якості). Заміна тесту «Зовнішній діаметр горловини з нижньою різьбою» на тест «Зовнішній діаметр горловини на ковпачку» для флакону 90 мл. Матеріал</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форма</w:t>
            </w:r>
            <w:r>
              <w:rPr>
                <w:rFonts w:cs="Arial" w:ascii="Arial" w:hAnsi="Arial"/>
                <w:color w:val="000000"/>
                <w:sz w:val="16"/>
                <w:szCs w:val="16"/>
                <w:lang w:val="en-US"/>
              </w:rPr>
              <w:t xml:space="preserve"> </w:t>
            </w:r>
            <w:r>
              <w:rPr>
                <w:rFonts w:cs="Arial" w:ascii="Arial" w:hAnsi="Arial"/>
                <w:color w:val="000000"/>
                <w:sz w:val="16"/>
                <w:szCs w:val="16"/>
              </w:rPr>
              <w:t>флакону</w:t>
            </w:r>
            <w:r>
              <w:rPr>
                <w:rFonts w:cs="Arial" w:ascii="Arial" w:hAnsi="Arial"/>
                <w:color w:val="000000"/>
                <w:sz w:val="16"/>
                <w:szCs w:val="16"/>
                <w:lang w:val="en-US"/>
              </w:rPr>
              <w:t xml:space="preserve"> </w:t>
            </w:r>
            <w:r>
              <w:rPr>
                <w:rFonts w:cs="Arial" w:ascii="Arial" w:hAnsi="Arial"/>
                <w:color w:val="000000"/>
                <w:sz w:val="16"/>
                <w:szCs w:val="16"/>
              </w:rPr>
              <w:t>не</w:t>
            </w:r>
            <w:r>
              <w:rPr>
                <w:rFonts w:cs="Arial" w:ascii="Arial" w:hAnsi="Arial"/>
                <w:color w:val="000000"/>
                <w:sz w:val="16"/>
                <w:szCs w:val="16"/>
                <w:lang w:val="en-US"/>
              </w:rPr>
              <w:t xml:space="preserve"> </w:t>
            </w:r>
            <w:r>
              <w:rPr>
                <w:rFonts w:cs="Arial" w:ascii="Arial" w:hAnsi="Arial"/>
                <w:color w:val="000000"/>
                <w:sz w:val="16"/>
                <w:szCs w:val="16"/>
              </w:rPr>
              <w:t>змінились</w:t>
            </w:r>
            <w:r>
              <w:rPr>
                <w:rFonts w:cs="Arial" w:ascii="Arial" w:hAnsi="Arial"/>
                <w:color w:val="000000"/>
                <w:sz w:val="16"/>
                <w:szCs w:val="16"/>
                <w:lang w:val="en-US"/>
              </w:rPr>
              <w:t xml:space="preserve">. </w:t>
            </w:r>
            <w:r>
              <w:rPr>
                <w:rFonts w:cs="Arial" w:ascii="Arial" w:hAnsi="Arial"/>
                <w:color w:val="000000"/>
                <w:sz w:val="16"/>
                <w:szCs w:val="16"/>
              </w:rPr>
              <w:t>Затверджено</w:t>
            </w:r>
            <w:r>
              <w:rPr>
                <w:rFonts w:cs="Arial" w:ascii="Arial" w:hAnsi="Arial"/>
                <w:color w:val="000000"/>
                <w:sz w:val="16"/>
                <w:szCs w:val="16"/>
                <w:lang w:val="en-US"/>
              </w:rPr>
              <w:t xml:space="preserve"> - 3.2.P.7 Polyethylene terephthalate bottle (90ml) External diameter of the neck with up-thread 27.1 to 27.9 External diameter of the neck with down-thread 27.8 to 28.2 </w:t>
            </w:r>
            <w:r>
              <w:rPr>
                <w:rFonts w:cs="Arial" w:ascii="Arial" w:hAnsi="Arial"/>
                <w:color w:val="000000"/>
                <w:sz w:val="16"/>
                <w:szCs w:val="16"/>
              </w:rPr>
              <w:t>Запропоновано</w:t>
            </w:r>
            <w:r>
              <w:rPr>
                <w:rFonts w:cs="Arial" w:ascii="Arial" w:hAnsi="Arial"/>
                <w:color w:val="000000"/>
                <w:sz w:val="16"/>
                <w:szCs w:val="16"/>
                <w:lang w:val="en-US"/>
              </w:rPr>
              <w:t xml:space="preserve"> - 3.2.P.7 Polyethylene terephthalate bottle (90ml) External diameter of the neck on thread 26.9 to 27.3 External diameter of the neck on bead 27.55 to 27.95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протягом</w:t>
            </w:r>
            <w:r>
              <w:rPr>
                <w:rFonts w:cs="Arial" w:ascii="Arial" w:hAnsi="Arial"/>
                <w:color w:val="000000"/>
                <w:sz w:val="16"/>
                <w:szCs w:val="16"/>
                <w:lang w:val="en-US"/>
              </w:rPr>
              <w:t xml:space="preserve"> 6-</w:t>
            </w:r>
            <w:r>
              <w:rPr>
                <w:rFonts w:cs="Arial" w:ascii="Arial" w:hAnsi="Arial"/>
                <w:color w:val="000000"/>
                <w:sz w:val="16"/>
                <w:szCs w:val="16"/>
              </w:rPr>
              <w:t>ти</w:t>
            </w:r>
            <w:r>
              <w:rPr>
                <w:rFonts w:cs="Arial" w:ascii="Arial" w:hAnsi="Arial"/>
                <w:color w:val="000000"/>
                <w:sz w:val="16"/>
                <w:szCs w:val="16"/>
                <w:lang w:val="en-US"/>
              </w:rPr>
              <w:t xml:space="preserve"> </w:t>
            </w:r>
            <w:r>
              <w:rPr>
                <w:rFonts w:cs="Arial" w:ascii="Arial" w:hAnsi="Arial"/>
                <w:color w:val="000000"/>
                <w:sz w:val="16"/>
                <w:szCs w:val="16"/>
              </w:rPr>
              <w:t>місяців</w:t>
            </w:r>
            <w:r>
              <w:rPr>
                <w:rFonts w:cs="Arial" w:ascii="Arial" w:hAnsi="Arial"/>
                <w:color w:val="000000"/>
                <w:sz w:val="16"/>
                <w:szCs w:val="16"/>
                <w:lang w:val="en-US"/>
              </w:rPr>
              <w:t xml:space="preserve"> </w:t>
            </w:r>
            <w:r>
              <w:rPr>
                <w:rFonts w:cs="Arial" w:ascii="Arial" w:hAnsi="Arial"/>
                <w:color w:val="000000"/>
                <w:sz w:val="16"/>
                <w:szCs w:val="16"/>
              </w:rPr>
              <w:t>після</w:t>
            </w:r>
            <w:r>
              <w:rPr>
                <w:rFonts w:cs="Arial" w:ascii="Arial" w:hAnsi="Arial"/>
                <w:color w:val="000000"/>
                <w:sz w:val="16"/>
                <w:szCs w:val="16"/>
                <w:lang w:val="en-US"/>
              </w:rPr>
              <w:t xml:space="preserve"> </w:t>
            </w:r>
            <w:r>
              <w:rPr>
                <w:rFonts w:cs="Arial" w:ascii="Arial" w:hAnsi="Arial"/>
                <w:color w:val="000000"/>
                <w:sz w:val="16"/>
                <w:szCs w:val="16"/>
              </w:rPr>
              <w:t>затвердження</w:t>
            </w:r>
            <w:r>
              <w:rPr>
                <w:rFonts w:cs="Arial" w:ascii="Arial" w:hAnsi="Arial"/>
                <w:color w:val="000000"/>
                <w:sz w:val="16"/>
                <w:szCs w:val="16"/>
                <w:lang w:val="en-US"/>
              </w:rPr>
              <w:t>.</w:t>
              <w:br/>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Готовий</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Стабільність</w:t>
            </w:r>
            <w:r>
              <w:rPr>
                <w:rFonts w:cs="Arial" w:ascii="Arial" w:hAnsi="Arial"/>
                <w:color w:val="000000"/>
                <w:sz w:val="16"/>
                <w:szCs w:val="16"/>
                <w:lang w:val="en-US"/>
              </w:rPr>
              <w:t xml:space="preserve">. </w:t>
            </w:r>
            <w:r>
              <w:rPr>
                <w:rFonts w:cs="Arial" w:ascii="Arial" w:hAnsi="Arial"/>
                <w:color w:val="000000"/>
                <w:sz w:val="16"/>
                <w:szCs w:val="16"/>
              </w:rPr>
              <w:t>Зміна у термінах придатності або умовах зберігання готового лікарського засобу (збільшення терміну придатності готового лікарського засобу) - Після першого розкриття (підтверджується даними реального часу). Збільшення терміну придатності після першого відкриття для ГЛЗ з 3 місяців до 6 місяців.</w:t>
              <w:br/>
              <w:t>Зміни внесено до Інструкції для медичного застосування лікарського засобу до розділу "Термін придатності " (збільшення терміну придатності після першого розкриття) та відповідні зміни в тексті маркування упаковки лікарського засобу. Введення змін протягом 6-ти місяців після затвердження.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Заміна пристрою для дозування з мірної ложки на шприц для дозування, який краще підходить для застосування для маленьких дітей. Також змінюється початок градуювання ваги, що наноситься на пристрій для дозування з 4 кг на 3 кг. Градуювання охоплює від 3 кг до 16 кг з градуюванням кожного кг. Пристрій має сертифікат маркування СЕ. Зміни внесено до Інструкції для медичного застосування лікарського засобу до розділів "Упаковка" (щодо шприца для дозування) та "Спосіб застосування та дози" (стосовно правил використання шприца для дозування), відповідні зміни в тексті маркування упаковки лікарського засобу. Введення змін протягом 6-ти місяців після затвердження. Зміни І типу - Зміни з якості. Готовий лікарський засіб. Контроль готового лікарського засобу (інші зміни). Оновлення МКЯ для лікарського засобу, а саме - викладення тексту державною мовою, згідно сучасних вимог.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"Особливості застосування" відповідно до оновленої інформації щодо безпеки застосування допоміжних речовин. Введення змін протягом 6-ти місяців після затвердження. Зміни І типу - Зміни щодо безпеки/ефективності та фармаконагляду (інші зміни). Зміни внесено до тексту маркування упаковки лікарського засобу (п. 3 та п 17 маркування вторинної упаковки та п.6 маркування первинної упаковки).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"Побічні реакції" відповідно до оновленої інформації щодо безпеки застосування діючої речовини Введення змін протягом 6-ти місяців після затвердження. Зміни II типу - Зміни з якості. Готовий лікарський засіб. Опис та склад. Зміна у складі (допоміжних речовинах) готового лікарського засобу (інші допоміжні речовини) - Якісні або кількісні зміни щодо однієї або декількох допоміжних речовин, які можуть значно вплинути на безпеку, якість або ефективність готового лікарського засобу</w:t>
              <w:br/>
              <w:t>Внесення якісних та кількісних змін для декількох допоміжних речовин, а саме: -зменшення кількості макроголу 6000 з 20% маса/об’єм до 15% маса/об’єм; -додавання гліцерину (26,25% маса/об’єм) для компенсації зменшення вмісту макроголу та підтримки адекватної солюбілізації парацетамолу у готовому продукті; -зменшення кількості сахарози з 50 % маса/об’єм до 40% маса/об’єм; -зміна смаку від карамельного/ванільного до полуничного зі збільшенням пропорції смаку в готовому продукті (від 0,2% m/v до 0.46 m/v) для збереження прийнятного смаку; -відповідне зменшення частки очищеної води з 36,8 готового продукту до 26,9%. Зміни внесено до Інструкції для медичного застосування лікарського засобу до розділу "Склад" інформація стосовно допоміжної речовини гліцерин (Е 422) та відповідні зміни в тексті маркування упаковки лікарського засобу. Введення змін протягом 6-ти місяців після затвердження. Зміни II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(розширення затверджених допустимих меж для показників, які можуть мати істотний вплив на загальну якість готового лікарського засобу). Внесення змін до р.3.2.Р.3.4 Контроль критичних стадій і проміжної продукції, а саме- зміна критеріїв прийнятності відносної щільності проміжного продукту (розчину) для контролю під час виробництва з 1,15-1,19 на 1,17-1,21. Діапазон ±0,2 зберігається.</w:t>
              <w:br/>
              <w:t xml:space="preserve">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w:t>
              <w:br/>
              <w:t>Зміна критеріїв прийнятності при випуску за п. «Відносна густина» з «1,15 до 1,19» на «1,17 до 1,21», у зв’язку зі зміною складу ГЛЗ. Діапазон ±0,2 зберігається.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до розділу "Показання" (зміна у затвердженому показанні, а саме "Симптоматичне лікування захворювань, що супроводжуються болем слабкої та помірної інтенсивності та/або підвищенням температури тіла. Лікарський засіб призначений для дітей з масою тіла від 3 до 32 кг (приблизно від народження до 12 років) та як наслідок зміни до розділів "Спосіб застосування та дози", "Діти" та відповідні зміни в тексті маркування упаковки лікарського засобу (п.15, п.17 маркування вторинної упаковки та п.6 маркування первинної упаковки). Введення змін протягом 6-ти місяців після затвердження.</w:t>
              <w:b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"Фармакологічні властивості", "Протипоказання", "Особливі заходи безпеки",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та "Побічні реакції".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UA/5237/02/01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ЄВРОНЕКС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B02AA02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в ампулі; по 5 ампул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Євро Лайфкер Прайвіт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ЄСОМ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та інфузій, по 40 мг; 1 флакон з ліофілізатом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(інші зміни) оновлення мастер-файла на діючу речовину Езомепразол натрію із версії [EM] Version:10 January, 2018 до версії [EM] Version:23-January-2021.</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UA/17184/01/01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ЗАРСІО®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filgrastim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філграстим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або інфузій, 30 млн ОД/0,5 мл; по 0,5 мл розчину в попередньо заповненому шприці, оснащеного поршнем, ін'єкційною голкою, ковпачком та захисним пристроєм для запобігання пошкодження голкою після застосування, у блістерній упаковці; по 1 або 5 блістерних упаковок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відповідальний за виробництво, первинне пакування, контроль серії: Ай Ді Ті Біологіка ГмбХ, Німеччина; повний цикл виробництва: Новартіс Фармасьютікал Мануфактурінг ГмбХ, Австрія; випуск серії: Сандоз ГмбХ - Виробнича дільниця Асептичні Лікарські Засоби Шафтенау (Асептичні ЛЗШ),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Австрія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w:t>
            </w:r>
            <w:r>
              <w:rPr>
                <w:rFonts w:cs="Arial" w:ascii="Arial" w:hAnsi="Arial"/>
                <w:color w:val="000000"/>
                <w:sz w:val="16"/>
                <w:szCs w:val="16"/>
              </w:rPr>
              <w:t>и</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зобов</w:t>
            </w:r>
            <w:r>
              <w:rPr>
                <w:rFonts w:cs="Arial" w:ascii="Arial" w:hAnsi="Arial"/>
                <w:color w:val="000000"/>
                <w:sz w:val="16"/>
                <w:szCs w:val="16"/>
                <w:lang w:val="en-US"/>
              </w:rPr>
              <w:t>'</w:t>
            </w:r>
            <w:r>
              <w:rPr>
                <w:rFonts w:cs="Arial" w:ascii="Arial" w:hAnsi="Arial"/>
                <w:color w:val="000000"/>
                <w:sz w:val="16"/>
                <w:szCs w:val="16"/>
              </w:rPr>
              <w:t>язань</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умов</w:t>
            </w:r>
            <w:r>
              <w:rPr>
                <w:rFonts w:cs="Arial" w:ascii="Arial" w:hAnsi="Arial"/>
                <w:color w:val="000000"/>
                <w:sz w:val="16"/>
                <w:szCs w:val="16"/>
                <w:lang w:val="en-US"/>
              </w:rPr>
              <w:t xml:space="preserve"> </w:t>
            </w:r>
            <w:r>
              <w:rPr>
                <w:rFonts w:cs="Arial" w:ascii="Arial" w:hAnsi="Arial"/>
                <w:color w:val="000000"/>
                <w:sz w:val="16"/>
                <w:szCs w:val="16"/>
              </w:rPr>
              <w:t>видачі</w:t>
            </w:r>
            <w:r>
              <w:rPr>
                <w:rFonts w:cs="Arial" w:ascii="Arial" w:hAnsi="Arial"/>
                <w:color w:val="000000"/>
                <w:sz w:val="16"/>
                <w:szCs w:val="16"/>
                <w:lang w:val="en-US"/>
              </w:rPr>
              <w:t xml:space="preserve"> </w:t>
            </w:r>
            <w:r>
              <w:rPr>
                <w:rFonts w:cs="Arial" w:ascii="Arial" w:hAnsi="Arial"/>
                <w:color w:val="000000"/>
                <w:sz w:val="16"/>
                <w:szCs w:val="16"/>
              </w:rPr>
              <w:t>реєстраційного</w:t>
            </w:r>
            <w:r>
              <w:rPr>
                <w:rFonts w:cs="Arial" w:ascii="Arial" w:hAnsi="Arial"/>
                <w:color w:val="000000"/>
                <w:sz w:val="16"/>
                <w:szCs w:val="16"/>
                <w:lang w:val="en-US"/>
              </w:rPr>
              <w:t xml:space="preserve"> </w:t>
            </w:r>
            <w:r>
              <w:rPr>
                <w:rFonts w:cs="Arial" w:ascii="Arial" w:hAnsi="Arial"/>
                <w:color w:val="000000"/>
                <w:sz w:val="16"/>
                <w:szCs w:val="16"/>
              </w:rPr>
              <w:t>посвідчення</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План</w:t>
            </w:r>
            <w:r>
              <w:rPr>
                <w:rFonts w:cs="Arial" w:ascii="Arial" w:hAnsi="Arial"/>
                <w:color w:val="000000"/>
                <w:sz w:val="16"/>
                <w:szCs w:val="16"/>
                <w:lang w:val="en-US"/>
              </w:rPr>
              <w:t xml:space="preserve"> </w:t>
            </w:r>
            <w:r>
              <w:rPr>
                <w:rFonts w:cs="Arial" w:ascii="Arial" w:hAnsi="Arial"/>
                <w:color w:val="000000"/>
                <w:sz w:val="16"/>
                <w:szCs w:val="16"/>
              </w:rPr>
              <w:t>управління</w:t>
            </w:r>
            <w:r>
              <w:rPr>
                <w:rFonts w:cs="Arial" w:ascii="Arial" w:hAnsi="Arial"/>
                <w:color w:val="000000"/>
                <w:sz w:val="16"/>
                <w:szCs w:val="16"/>
                <w:lang w:val="en-US"/>
              </w:rPr>
              <w:t xml:space="preserve"> </w:t>
            </w:r>
            <w:r>
              <w:rPr>
                <w:rFonts w:cs="Arial" w:ascii="Arial" w:hAnsi="Arial"/>
                <w:color w:val="000000"/>
                <w:sz w:val="16"/>
                <w:szCs w:val="16"/>
              </w:rPr>
              <w:t>ризиками</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Заявником</w:t>
            </w:r>
            <w:r>
              <w:rPr>
                <w:rFonts w:cs="Arial" w:ascii="Arial" w:hAnsi="Arial"/>
                <w:color w:val="000000"/>
                <w:sz w:val="16"/>
                <w:szCs w:val="16"/>
                <w:lang w:val="en-US"/>
              </w:rPr>
              <w:t xml:space="preserve"> </w:t>
            </w:r>
            <w:r>
              <w:rPr>
                <w:rFonts w:cs="Arial" w:ascii="Arial" w:hAnsi="Arial"/>
                <w:color w:val="000000"/>
                <w:sz w:val="16"/>
                <w:szCs w:val="16"/>
              </w:rPr>
              <w:t>надано</w:t>
            </w:r>
            <w:r>
              <w:rPr>
                <w:rFonts w:cs="Arial" w:ascii="Arial" w:hAnsi="Arial"/>
                <w:color w:val="000000"/>
                <w:sz w:val="16"/>
                <w:szCs w:val="16"/>
                <w:lang w:val="en-US"/>
              </w:rPr>
              <w:t xml:space="preserve"> </w:t>
            </w:r>
            <w:r>
              <w:rPr>
                <w:rFonts w:cs="Arial" w:ascii="Arial" w:hAnsi="Arial"/>
                <w:color w:val="000000"/>
                <w:sz w:val="16"/>
                <w:szCs w:val="16"/>
              </w:rPr>
              <w:t>оновлений</w:t>
            </w:r>
            <w:r>
              <w:rPr>
                <w:rFonts w:cs="Arial" w:ascii="Arial" w:hAnsi="Arial"/>
                <w:color w:val="000000"/>
                <w:sz w:val="16"/>
                <w:szCs w:val="16"/>
                <w:lang w:val="en-US"/>
              </w:rPr>
              <w:t xml:space="preserve"> </w:t>
            </w:r>
            <w:r>
              <w:rPr>
                <w:rFonts w:cs="Arial" w:ascii="Arial" w:hAnsi="Arial"/>
                <w:color w:val="000000"/>
                <w:sz w:val="16"/>
                <w:szCs w:val="16"/>
              </w:rPr>
              <w:t>план</w:t>
            </w:r>
            <w:r>
              <w:rPr>
                <w:rFonts w:cs="Arial" w:ascii="Arial" w:hAnsi="Arial"/>
                <w:color w:val="000000"/>
                <w:sz w:val="16"/>
                <w:szCs w:val="16"/>
                <w:lang w:val="en-US"/>
              </w:rPr>
              <w:t xml:space="preserve"> </w:t>
            </w:r>
            <w:r>
              <w:rPr>
                <w:rFonts w:cs="Arial" w:ascii="Arial" w:hAnsi="Arial"/>
                <w:color w:val="000000"/>
                <w:sz w:val="16"/>
                <w:szCs w:val="16"/>
              </w:rPr>
              <w:t>управління</w:t>
            </w:r>
            <w:r>
              <w:rPr>
                <w:rFonts w:cs="Arial" w:ascii="Arial" w:hAnsi="Arial"/>
                <w:color w:val="000000"/>
                <w:sz w:val="16"/>
                <w:szCs w:val="16"/>
                <w:lang w:val="en-US"/>
              </w:rPr>
              <w:t xml:space="preserve"> </w:t>
            </w:r>
            <w:r>
              <w:rPr>
                <w:rFonts w:cs="Arial" w:ascii="Arial" w:hAnsi="Arial"/>
                <w:color w:val="000000"/>
                <w:sz w:val="16"/>
                <w:szCs w:val="16"/>
              </w:rPr>
              <w:t>ризиками</w:t>
            </w:r>
            <w:r>
              <w:rPr>
                <w:rFonts w:cs="Arial" w:ascii="Arial" w:hAnsi="Arial"/>
                <w:color w:val="000000"/>
                <w:sz w:val="16"/>
                <w:szCs w:val="16"/>
                <w:lang w:val="en-US"/>
              </w:rPr>
              <w:t xml:space="preserve"> </w:t>
            </w:r>
            <w:r>
              <w:rPr>
                <w:rFonts w:cs="Arial" w:ascii="Arial" w:hAnsi="Arial"/>
                <w:color w:val="000000"/>
                <w:sz w:val="16"/>
                <w:szCs w:val="16"/>
              </w:rPr>
              <w:t>версія</w:t>
            </w:r>
            <w:r>
              <w:rPr>
                <w:rFonts w:cs="Arial" w:ascii="Arial" w:hAnsi="Arial"/>
                <w:color w:val="000000"/>
                <w:sz w:val="16"/>
                <w:szCs w:val="16"/>
                <w:lang w:val="en-US"/>
              </w:rPr>
              <w:t xml:space="preserve"> 14.1 </w:t>
              <w:br/>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внесено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частин</w:t>
            </w:r>
            <w:r>
              <w:rPr>
                <w:rFonts w:cs="Arial" w:ascii="Arial" w:hAnsi="Arial"/>
                <w:color w:val="000000"/>
                <w:sz w:val="16"/>
                <w:szCs w:val="16"/>
                <w:lang w:val="en-US"/>
              </w:rPr>
              <w:t xml:space="preserve">: </w:t>
              <w:br/>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Загальна</w:t>
            </w:r>
            <w:r>
              <w:rPr>
                <w:rFonts w:cs="Arial" w:ascii="Arial" w:hAnsi="Arial"/>
                <w:color w:val="000000"/>
                <w:sz w:val="16"/>
                <w:szCs w:val="16"/>
                <w:lang w:val="en-US"/>
              </w:rPr>
              <w:t xml:space="preserve"> </w:t>
            </w:r>
            <w:r>
              <w:rPr>
                <w:rFonts w:cs="Arial" w:ascii="Arial" w:hAnsi="Arial"/>
                <w:color w:val="000000"/>
                <w:sz w:val="16"/>
                <w:szCs w:val="16"/>
              </w:rPr>
              <w:t>інформація</w:t>
            </w:r>
            <w:r>
              <w:rPr>
                <w:rFonts w:cs="Arial" w:ascii="Arial" w:hAnsi="Arial"/>
                <w:color w:val="000000"/>
                <w:sz w:val="16"/>
                <w:szCs w:val="16"/>
                <w:lang w:val="en-US"/>
              </w:rPr>
              <w:t>»,</w:t>
              <w:br/>
              <w:t>II «</w:t>
            </w:r>
            <w:r>
              <w:rPr>
                <w:rFonts w:cs="Arial" w:ascii="Arial" w:hAnsi="Arial"/>
                <w:color w:val="000000"/>
                <w:sz w:val="16"/>
                <w:szCs w:val="16"/>
              </w:rPr>
              <w:t>Специфікація</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 xml:space="preserve">», </w:t>
              <w:br/>
              <w:t>III «</w:t>
            </w:r>
            <w:r>
              <w:rPr>
                <w:rFonts w:cs="Arial" w:ascii="Arial" w:hAnsi="Arial"/>
                <w:color w:val="000000"/>
                <w:sz w:val="16"/>
                <w:szCs w:val="16"/>
              </w:rPr>
              <w:t>План</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br/>
              <w:t>IV «</w:t>
            </w:r>
            <w:r>
              <w:rPr>
                <w:rFonts w:cs="Arial" w:ascii="Arial" w:hAnsi="Arial"/>
                <w:color w:val="000000"/>
                <w:sz w:val="16"/>
                <w:szCs w:val="16"/>
              </w:rPr>
              <w:t>Плани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післяреєстраційних</w:t>
            </w:r>
            <w:r>
              <w:rPr>
                <w:rFonts w:cs="Arial" w:ascii="Arial" w:hAnsi="Arial"/>
                <w:color w:val="000000"/>
                <w:sz w:val="16"/>
                <w:szCs w:val="16"/>
                <w:lang w:val="en-US"/>
              </w:rPr>
              <w:t xml:space="preserve"> </w:t>
            </w:r>
            <w:r>
              <w:rPr>
                <w:rFonts w:cs="Arial" w:ascii="Arial" w:hAnsi="Arial"/>
                <w:color w:val="000000"/>
                <w:sz w:val="16"/>
                <w:szCs w:val="16"/>
              </w:rPr>
              <w:t>досліджень</w:t>
            </w:r>
            <w:r>
              <w:rPr>
                <w:rFonts w:cs="Arial" w:ascii="Arial" w:hAnsi="Arial"/>
                <w:color w:val="000000"/>
                <w:sz w:val="16"/>
                <w:szCs w:val="16"/>
                <w:lang w:val="en-US"/>
              </w:rPr>
              <w:t xml:space="preserve"> </w:t>
            </w:r>
            <w:r>
              <w:rPr>
                <w:rFonts w:cs="Arial" w:ascii="Arial" w:hAnsi="Arial"/>
                <w:color w:val="000000"/>
                <w:sz w:val="16"/>
                <w:szCs w:val="16"/>
              </w:rPr>
              <w:t>ефективності</w:t>
            </w:r>
            <w:r>
              <w:rPr>
                <w:rFonts w:cs="Arial" w:ascii="Arial" w:hAnsi="Arial"/>
                <w:color w:val="000000"/>
                <w:sz w:val="16"/>
                <w:szCs w:val="16"/>
                <w:lang w:val="en-US"/>
              </w:rPr>
              <w:t xml:space="preserve">», </w:t>
              <w:br/>
              <w:t>V «</w:t>
            </w:r>
            <w:r>
              <w:rPr>
                <w:rFonts w:cs="Arial" w:ascii="Arial" w:hAnsi="Arial"/>
                <w:color w:val="000000"/>
                <w:sz w:val="16"/>
                <w:szCs w:val="16"/>
              </w:rPr>
              <w:t>Заходи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мінімізації</w:t>
            </w:r>
            <w:r>
              <w:rPr>
                <w:rFonts w:cs="Arial" w:ascii="Arial" w:hAnsi="Arial"/>
                <w:color w:val="000000"/>
                <w:sz w:val="16"/>
                <w:szCs w:val="16"/>
                <w:lang w:val="en-US"/>
              </w:rPr>
              <w:t xml:space="preserve"> </w:t>
            </w:r>
            <w:r>
              <w:rPr>
                <w:rFonts w:cs="Arial" w:ascii="Arial" w:hAnsi="Arial"/>
                <w:color w:val="000000"/>
                <w:sz w:val="16"/>
                <w:szCs w:val="16"/>
              </w:rPr>
              <w:t>ризиків</w:t>
            </w:r>
            <w:r>
              <w:rPr>
                <w:rFonts w:cs="Arial" w:ascii="Arial" w:hAnsi="Arial"/>
                <w:color w:val="000000"/>
                <w:sz w:val="16"/>
                <w:szCs w:val="16"/>
                <w:lang w:val="en-US"/>
              </w:rPr>
              <w:t xml:space="preserve">», </w:t>
              <w:br/>
              <w:t>VI «</w:t>
            </w:r>
            <w:r>
              <w:rPr>
                <w:rFonts w:cs="Arial" w:ascii="Arial" w:hAnsi="Arial"/>
                <w:color w:val="000000"/>
                <w:sz w:val="16"/>
                <w:szCs w:val="16"/>
              </w:rPr>
              <w:t>Резюме</w:t>
            </w:r>
            <w:r>
              <w:rPr>
                <w:rFonts w:cs="Arial" w:ascii="Arial" w:hAnsi="Arial"/>
                <w:color w:val="000000"/>
                <w:sz w:val="16"/>
                <w:szCs w:val="16"/>
                <w:lang w:val="en-US"/>
              </w:rPr>
              <w:t xml:space="preserve"> </w:t>
            </w:r>
            <w:r>
              <w:rPr>
                <w:rFonts w:cs="Arial" w:ascii="Arial" w:hAnsi="Arial"/>
                <w:color w:val="000000"/>
                <w:sz w:val="16"/>
                <w:szCs w:val="16"/>
              </w:rPr>
              <w:t>плану</w:t>
            </w:r>
            <w:r>
              <w:rPr>
                <w:rFonts w:cs="Arial" w:ascii="Arial" w:hAnsi="Arial"/>
                <w:color w:val="000000"/>
                <w:sz w:val="16"/>
                <w:szCs w:val="16"/>
                <w:lang w:val="en-US"/>
              </w:rPr>
              <w:t xml:space="preserve"> </w:t>
            </w:r>
            <w:r>
              <w:rPr>
                <w:rFonts w:cs="Arial" w:ascii="Arial" w:hAnsi="Arial"/>
                <w:color w:val="000000"/>
                <w:sz w:val="16"/>
                <w:szCs w:val="16"/>
              </w:rPr>
              <w:t>управління</w:t>
            </w:r>
            <w:r>
              <w:rPr>
                <w:rFonts w:cs="Arial" w:ascii="Arial" w:hAnsi="Arial"/>
                <w:color w:val="000000"/>
                <w:sz w:val="16"/>
                <w:szCs w:val="16"/>
                <w:lang w:val="en-US"/>
              </w:rPr>
              <w:t xml:space="preserve"> </w:t>
            </w:r>
            <w:r>
              <w:rPr>
                <w:rFonts w:cs="Arial" w:ascii="Arial" w:hAnsi="Arial"/>
                <w:color w:val="000000"/>
                <w:sz w:val="16"/>
                <w:szCs w:val="16"/>
              </w:rPr>
              <w:t>ризиками</w:t>
            </w:r>
            <w:r>
              <w:rPr>
                <w:rFonts w:cs="Arial" w:ascii="Arial" w:hAnsi="Arial"/>
                <w:color w:val="000000"/>
                <w:sz w:val="16"/>
                <w:szCs w:val="16"/>
                <w:lang w:val="en-US"/>
              </w:rPr>
              <w:t>»,</w:t>
              <w:br/>
              <w:t>VII «</w:t>
            </w:r>
            <w:r>
              <w:rPr>
                <w:rFonts w:cs="Arial" w:ascii="Arial" w:hAnsi="Arial"/>
                <w:color w:val="000000"/>
                <w:sz w:val="16"/>
                <w:szCs w:val="16"/>
              </w:rPr>
              <w:t>Додатки</w:t>
            </w:r>
            <w:r>
              <w:rPr>
                <w:rFonts w:cs="Arial" w:ascii="Arial" w:hAnsi="Arial"/>
                <w:color w:val="000000"/>
                <w:sz w:val="16"/>
                <w:szCs w:val="16"/>
                <w:lang w:val="en-US"/>
              </w:rPr>
              <w:t xml:space="preserve">» </w:t>
              <w:br/>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зв</w:t>
            </w:r>
            <w:r>
              <w:rPr>
                <w:rFonts w:cs="Arial" w:ascii="Arial" w:hAnsi="Arial"/>
                <w:color w:val="000000"/>
                <w:sz w:val="16"/>
                <w:szCs w:val="16"/>
                <w:lang w:val="en-US"/>
              </w:rPr>
              <w:t>’</w:t>
            </w:r>
            <w:r>
              <w:rPr>
                <w:rFonts w:cs="Arial" w:ascii="Arial" w:hAnsi="Arial"/>
                <w:color w:val="000000"/>
                <w:sz w:val="16"/>
                <w:szCs w:val="16"/>
              </w:rPr>
              <w:t>язку</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оновленням</w:t>
            </w:r>
            <w:r>
              <w:rPr>
                <w:rFonts w:cs="Arial" w:ascii="Arial" w:hAnsi="Arial"/>
                <w:color w:val="000000"/>
                <w:sz w:val="16"/>
                <w:szCs w:val="16"/>
                <w:lang w:val="en-US"/>
              </w:rPr>
              <w:t xml:space="preserve"> </w:t>
            </w:r>
            <w:r>
              <w:rPr>
                <w:rFonts w:cs="Arial" w:ascii="Arial" w:hAnsi="Arial"/>
                <w:color w:val="000000"/>
                <w:sz w:val="16"/>
                <w:szCs w:val="16"/>
              </w:rPr>
              <w:t>специфікації</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 xml:space="preserve"> </w:t>
            </w:r>
            <w:r>
              <w:rPr>
                <w:rFonts w:cs="Arial" w:ascii="Arial" w:hAnsi="Arial"/>
                <w:color w:val="000000"/>
                <w:sz w:val="16"/>
                <w:szCs w:val="16"/>
              </w:rPr>
              <w:t>діючої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філграстиму</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інформації</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заходів</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тому</w:t>
            </w:r>
            <w:r>
              <w:rPr>
                <w:rFonts w:cs="Arial" w:ascii="Arial" w:hAnsi="Arial"/>
                <w:color w:val="000000"/>
                <w:sz w:val="16"/>
                <w:szCs w:val="16"/>
                <w:lang w:val="en-US"/>
              </w:rPr>
              <w:t xml:space="preserve"> </w:t>
            </w:r>
            <w:r>
              <w:rPr>
                <w:rFonts w:cs="Arial" w:ascii="Arial" w:hAnsi="Arial"/>
                <w:color w:val="000000"/>
                <w:sz w:val="16"/>
                <w:szCs w:val="16"/>
              </w:rPr>
              <w:t>числі</w:t>
            </w:r>
            <w:r>
              <w:rPr>
                <w:rFonts w:cs="Arial" w:ascii="Arial" w:hAnsi="Arial"/>
                <w:color w:val="000000"/>
                <w:sz w:val="16"/>
                <w:szCs w:val="16"/>
                <w:lang w:val="en-US"/>
              </w:rPr>
              <w:t xml:space="preserve">, </w:t>
            </w:r>
            <w:r>
              <w:rPr>
                <w:rFonts w:cs="Arial" w:ascii="Arial" w:hAnsi="Arial"/>
                <w:color w:val="000000"/>
                <w:sz w:val="16"/>
                <w:szCs w:val="16"/>
              </w:rPr>
              <w:t>післяреєстраційних</w:t>
            </w:r>
            <w:r>
              <w:rPr>
                <w:rFonts w:cs="Arial" w:ascii="Arial" w:hAnsi="Arial"/>
                <w:color w:val="000000"/>
                <w:sz w:val="16"/>
                <w:szCs w:val="16"/>
                <w:lang w:val="en-US"/>
              </w:rPr>
              <w:t xml:space="preserve"> </w:t>
            </w:r>
            <w:r>
              <w:rPr>
                <w:rFonts w:cs="Arial" w:ascii="Arial" w:hAnsi="Arial"/>
                <w:color w:val="000000"/>
                <w:sz w:val="16"/>
                <w:szCs w:val="16"/>
              </w:rPr>
              <w:t>досліджень</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 xml:space="preserve">), </w:t>
            </w:r>
            <w:r>
              <w:rPr>
                <w:rFonts w:cs="Arial" w:ascii="Arial" w:hAnsi="Arial"/>
                <w:color w:val="000000"/>
                <w:sz w:val="16"/>
                <w:szCs w:val="16"/>
              </w:rPr>
              <w:t>відповідно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актуальної</w:t>
            </w:r>
            <w:r>
              <w:rPr>
                <w:rFonts w:cs="Arial" w:ascii="Arial" w:hAnsi="Arial"/>
                <w:color w:val="000000"/>
                <w:sz w:val="16"/>
                <w:szCs w:val="16"/>
                <w:lang w:val="en-US"/>
              </w:rPr>
              <w:t xml:space="preserve"> </w:t>
            </w:r>
            <w:r>
              <w:rPr>
                <w:rFonts w:cs="Arial" w:ascii="Arial" w:hAnsi="Arial"/>
                <w:color w:val="000000"/>
                <w:sz w:val="16"/>
                <w:szCs w:val="16"/>
              </w:rPr>
              <w:t>референтної</w:t>
            </w:r>
            <w:r>
              <w:rPr>
                <w:rFonts w:cs="Arial" w:ascii="Arial" w:hAnsi="Arial"/>
                <w:color w:val="000000"/>
                <w:sz w:val="16"/>
                <w:szCs w:val="16"/>
                <w:lang w:val="en-US"/>
              </w:rPr>
              <w:t xml:space="preserve"> </w:t>
            </w:r>
            <w:r>
              <w:rPr>
                <w:rFonts w:cs="Arial" w:ascii="Arial" w:hAnsi="Arial"/>
                <w:color w:val="000000"/>
                <w:sz w:val="16"/>
                <w:szCs w:val="16"/>
              </w:rPr>
              <w:t>інформації</w:t>
            </w:r>
            <w:r>
              <w:rPr>
                <w:rFonts w:cs="Arial" w:ascii="Arial" w:hAnsi="Arial"/>
                <w:color w:val="000000"/>
                <w:sz w:val="16"/>
                <w:szCs w:val="16"/>
                <w:lang w:val="en-US"/>
              </w:rPr>
              <w:t xml:space="preserve">, </w:t>
            </w:r>
            <w:r>
              <w:rPr>
                <w:rFonts w:cs="Arial" w:ascii="Arial" w:hAnsi="Arial"/>
                <w:color w:val="000000"/>
                <w:sz w:val="16"/>
                <w:szCs w:val="16"/>
              </w:rPr>
              <w:t>а</w:t>
            </w:r>
            <w:r>
              <w:rPr>
                <w:rFonts w:cs="Arial" w:ascii="Arial" w:hAnsi="Arial"/>
                <w:color w:val="000000"/>
                <w:sz w:val="16"/>
                <w:szCs w:val="16"/>
                <w:lang w:val="en-US"/>
              </w:rPr>
              <w:t xml:space="preserve"> </w:t>
            </w:r>
            <w:r>
              <w:rPr>
                <w:rFonts w:cs="Arial" w:ascii="Arial" w:hAnsi="Arial"/>
                <w:color w:val="000000"/>
                <w:sz w:val="16"/>
                <w:szCs w:val="16"/>
              </w:rPr>
              <w:t>саме</w:t>
            </w:r>
            <w:r>
              <w:rPr>
                <w:rFonts w:cs="Arial" w:ascii="Arial" w:hAnsi="Arial"/>
                <w:color w:val="000000"/>
                <w:sz w:val="16"/>
                <w:szCs w:val="16"/>
                <w:lang w:val="en-US"/>
              </w:rPr>
              <w:t xml:space="preserve"> - </w:t>
            </w:r>
            <w:r>
              <w:rPr>
                <w:rFonts w:cs="Arial" w:ascii="Arial" w:hAnsi="Arial"/>
                <w:color w:val="000000"/>
                <w:sz w:val="16"/>
                <w:szCs w:val="16"/>
              </w:rPr>
              <w:t>згідно</w:t>
            </w:r>
            <w:r>
              <w:rPr>
                <w:rFonts w:cs="Arial" w:ascii="Arial" w:hAnsi="Arial"/>
                <w:color w:val="000000"/>
                <w:sz w:val="16"/>
                <w:szCs w:val="16"/>
                <w:lang w:val="en-US"/>
              </w:rPr>
              <w:t xml:space="preserve"> </w:t>
            </w:r>
            <w:r>
              <w:rPr>
                <w:rFonts w:cs="Arial" w:ascii="Arial" w:hAnsi="Arial"/>
                <w:color w:val="000000"/>
                <w:sz w:val="16"/>
                <w:szCs w:val="16"/>
              </w:rPr>
              <w:t>плану</w:t>
            </w:r>
            <w:r>
              <w:rPr>
                <w:rFonts w:cs="Arial" w:ascii="Arial" w:hAnsi="Arial"/>
                <w:color w:val="000000"/>
                <w:sz w:val="16"/>
                <w:szCs w:val="16"/>
                <w:lang w:val="en-US"/>
              </w:rPr>
              <w:t xml:space="preserve"> </w:t>
            </w:r>
            <w:r>
              <w:rPr>
                <w:rFonts w:cs="Arial" w:ascii="Arial" w:hAnsi="Arial"/>
                <w:color w:val="000000"/>
                <w:sz w:val="16"/>
                <w:szCs w:val="16"/>
              </w:rPr>
              <w:t>управління</w:t>
            </w:r>
            <w:r>
              <w:rPr>
                <w:rFonts w:cs="Arial" w:ascii="Arial" w:hAnsi="Arial"/>
                <w:color w:val="000000"/>
                <w:sz w:val="16"/>
                <w:szCs w:val="16"/>
                <w:lang w:val="en-US"/>
              </w:rPr>
              <w:t xml:space="preserve"> </w:t>
            </w:r>
            <w:r>
              <w:rPr>
                <w:rFonts w:cs="Arial" w:ascii="Arial" w:hAnsi="Arial"/>
                <w:color w:val="000000"/>
                <w:sz w:val="16"/>
                <w:szCs w:val="16"/>
              </w:rPr>
              <w:t>ризиками</w:t>
            </w:r>
            <w:r>
              <w:rPr>
                <w:rFonts w:cs="Arial" w:ascii="Arial" w:hAnsi="Arial"/>
                <w:color w:val="000000"/>
                <w:sz w:val="16"/>
                <w:szCs w:val="16"/>
                <w:lang w:val="en-US"/>
              </w:rPr>
              <w:t xml:space="preserve"> </w:t>
            </w:r>
            <w:r>
              <w:rPr>
                <w:rFonts w:cs="Arial" w:ascii="Arial" w:hAnsi="Arial"/>
                <w:color w:val="000000"/>
                <w:sz w:val="16"/>
                <w:szCs w:val="16"/>
              </w:rPr>
              <w:t>референтного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Nivestim </w:t>
            </w:r>
            <w:r>
              <w:rPr>
                <w:rFonts w:cs="Arial" w:ascii="Arial" w:hAnsi="Arial"/>
                <w:color w:val="000000"/>
                <w:sz w:val="16"/>
                <w:szCs w:val="16"/>
              </w:rPr>
              <w:t>версії</w:t>
            </w:r>
            <w:r>
              <w:rPr>
                <w:rFonts w:cs="Arial" w:ascii="Arial" w:hAnsi="Arial"/>
                <w:color w:val="000000"/>
                <w:sz w:val="16"/>
                <w:szCs w:val="16"/>
                <w:lang w:val="en-US"/>
              </w:rPr>
              <w:t xml:space="preserve"> 12.2, </w:t>
            </w:r>
            <w:r>
              <w:rPr>
                <w:rFonts w:cs="Arial" w:ascii="Arial" w:hAnsi="Arial"/>
                <w:color w:val="000000"/>
                <w:sz w:val="16"/>
                <w:szCs w:val="16"/>
              </w:rPr>
              <w:t>зареєстрованого</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ЄС</w:t>
            </w:r>
            <w:r>
              <w:rPr>
                <w:rFonts w:cs="Arial" w:ascii="Arial" w:hAnsi="Arial"/>
                <w:color w:val="000000"/>
                <w:sz w:val="16"/>
                <w:szCs w:val="16"/>
                <w:lang w:val="en-US"/>
              </w:rPr>
              <w:t xml:space="preserve">). </w:t>
              <w:br/>
            </w:r>
            <w:r>
              <w:rPr>
                <w:rFonts w:cs="Arial" w:ascii="Arial" w:hAnsi="Arial"/>
                <w:color w:val="000000"/>
                <w:sz w:val="16"/>
                <w:szCs w:val="16"/>
              </w:rPr>
              <w:t>Резюме плану управління ризиками версія 14.1 додається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ЗАРСІО®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filgrastim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філграстим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або інфузій, 48 млн ОД/0,5 мл; по 0,5 мл розчину в попередньо заповненому шприці, оснащеного поршнем, ін'єкційною голкою, ковпачком та захисним пристроєм для запобігання пошкодження голкою після застосування, у блістерній упаковці; по 1 або 5 блістерних упаковок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відповідальний за виробництво, первинне пакування, контроль серії: Ай Ді Ті Біологіка ГмбХ, Німеччина; повний цикл виробництва: Новартіс Фармасьютікал Мануфактурінг ГмбХ, Австрія; випуск серії: Сандоз ГмбХ - Виробнича дільниця Асептичні Лікарські Засоби Шафтенау (Асептичні ЛЗШ),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Німеччина </w:t>
            </w:r>
            <w:r>
              <w:rPr>
                <w:rFonts w:cs="Arial" w:ascii="Arial" w:hAnsi="Arial"/>
                <w:color w:val="000000"/>
                <w:sz w:val="16"/>
                <w:szCs w:val="16"/>
                <w:lang w:val="en-US"/>
              </w:rPr>
              <w:t>/</w:t>
            </w:r>
            <w:r>
              <w:rPr>
                <w:rFonts w:cs="Arial" w:ascii="Arial" w:hAnsi="Arial"/>
                <w:color w:val="000000"/>
                <w:sz w:val="16"/>
                <w:szCs w:val="16"/>
              </w:rPr>
              <w:t>Австрія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14.1 </w:t>
              <w:br/>
              <w:t xml:space="preserve">Зміни внесено до частин: </w:t>
              <w:br/>
              <w:t>І «Загальна інформація»,</w:t>
              <w:br/>
              <w:t xml:space="preserve">II «Специфікація з безпеки», </w:t>
              <w:br/>
              <w:t xml:space="preserve">III «План з фармаконагляду», </w:t>
              <w:br/>
              <w:t xml:space="preserve">IV «Плани щодо післяреєстраційних досліджень ефективності», </w:t>
              <w:br/>
              <w:t xml:space="preserve">V «Заходи з мінімізації ризиків», </w:t>
              <w:br/>
              <w:t>VI «Резюме плану управління ризиками»,</w:t>
              <w:br/>
              <w:t xml:space="preserve">VII «Додатки» </w:t>
              <w:br/>
              <w:t xml:space="preserve">у зв’язку з оновленням специфікації з безпеки діючої речовини філграстиму та інформації щодо заходів з фармаконагляду (в тому числі, післяреєстраційних досліджень з безпеки), відповідно до актуальної референтної інформації, а саме - згідно плану управління ризиками референтного лікарського засобу Nivestim версії 12.2, зареєстрованого в ЄС). </w:t>
              <w:br/>
              <w:t>Резюме плану управління ризиками версія 14.1 додається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UA/12447/01/02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ЗІПЕЛОР®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бензидаміду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ротової порожнини, 1,5 мг/мл; по 100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2021-325 - Rev 02 для діючої речовини Benzydamine hydrochloride від затвердженого виробника BAL PHARMA LIMITED, Індія (заміна DMF (BPL/BNZ/AP/1.0/08/2021)).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аналітичної методики для визначення показника «Домішка G. 3-хлорпропіл(диметил)аміну гідрохлорид» у відповідність до вимог монографії Benzydamine hydrochloride ЄФ*.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UA/16107/02/01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ЗІПЕЛОР®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бензидаміну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1,5 мг/мл; по 15 мл або 30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 CEP 2021-325 - Rev 02 для діючої речовини Benzydamine hydrochloride від затвердженого виробника BAL PHARMA LIMITED, Індія (заміна DMF (BPL/BNZ/AP/1.0/08/2021)).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аналітичної методики для визначення показника «Домішка G. 3-хлорпропіл(диметил)аміну гідрохлорид» у відповідність до вимог монографії Benzydamine hydrochloride ЄФ*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ЗІПЕЛОР® ПЛЮС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бензидаміну гідрохлорид; цетилпіридинію хлорид у формі моногідрату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оромукозний, розчин 1,5 мг/мл + 5,0 мг/мл по 30 мл у флаконі поліетиленовому або прозорому скляному; по 1 флакону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2021-325 - Rev 02 для діючої речовини Benzydamine hydrochloride від затвердженого виробника BAL PHARMA LIMITED, Індія (заміна DMF BPL/BNZ/AP/09/2022 Date: December 2022).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аналітичної методики для визначення показника «Домішка G. 3-хлорпропіл(диметил)аміну гідрохлорид» у відповідність до вимог монографії Benzydamine hydrochloride ЄФ*.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UA/19354/01/01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ЗІПЕЛОР® ФОРТЕ</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бензидаміну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3,0 мг/мл по 15 мл або 30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2021-325 - Rev 02 для діючої речовини Benzydamine hydrochloride від затвердженого виробника BAL PHARMA LIMITED, Індія (заміна DMF BPL/BNZ/AP/09/2022 Date: December 2022).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приведено аналітичну методику для визначення показника «Домішка G. 3-хлорпропіл(диметил)аміну гідрохлорид» у відповідність до вимог монографії Benzydamine hydrochloride ЄФ*.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UA/16107/01/02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ІЗО-МІК®</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isosorbide dinitrate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ізосорбіду динітрат водний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C01DA08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сублінгвальний дозований, 1,25 мг/дозу; по 15 мл (300 доз) у флаконі з розпилювачем, по 1 флакону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виробнича дільниця (всі стадії виробничого процесу): ТОВ НВФ "МІКРОХІМ", Україна;</w:t>
              <w:br/>
              <w:t>відповідальний за випуск серії не включаючи контроль/випробування серії: ТОВ НВФ "МІКРОХІМ", Україна;</w:t>
              <w:br/>
              <w:t>відповідальний за виробництво та контроль/випробування серії, не включаючи випуск серії: АТ "Фармак",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сировини( ізосорбіду динітрату розведеного 40 % лактозою) для виробництва АФІ ізосорбіду динітрату водного, з відповідними змінами у розділі 3.2.S.2.1. Виробник(и), без зміни місця виробництва. </w:t>
              <w:br/>
              <w:t xml:space="preserve">Затверджено: </w:t>
              <w:br/>
              <w:t xml:space="preserve">«CHIN CHEM» / «ЧІН ХІМ», ІНДІЯ </w:t>
              <w:br/>
              <w:t xml:space="preserve">Запропоновано: </w:t>
              <w:br/>
              <w:t xml:space="preserve">«CHINCHEM LABORATORIES PRIVATE LIMITED» / </w:t>
              <w:br/>
              <w:t>«ЧІНХІМ ЛАБОРАТОРІЗ ПРИВАТ ЛІМІТЕД», ІНДІЯ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UA/2621/01/01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ІМІКЕРАДЕРМ®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imiquimod</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iміквімод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D06BB10 </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50 мг/г; по 250 мг крему в саше; по 12 або по 24 саше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«МІБЕ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мібе ГмбХ Арцнайміттель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у методах випробування готового лікарського засобу за показником «В’язкість», а саме заміна віскозиметра через припинення підтримки існуючого випробувального обладнання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ІНСІМ - 100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цефіксиму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100 мг/5 мл; 1 флакон з порошком для приготування 100 мл суспензії, по 1 флакону з мірним стаканчиком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Сенс Лабораторіс Пвт.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Сенс Лабораторіс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розділів «Особливості застосування» та «Побічні реакції» відповідно до інформації щодо безпеки застосування діючої речовини згідно з рекомендацією PRAC.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ІНТУБАН®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atracurium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атракуріуму бесилат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M03AC04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2,5 мл або 5 мл у ампулах з прозорого скла, по 5 ампул у блістері, по 1 блістеру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атракуріуму бесилату Jiangsu Hengrui Pharmaceuticals Co., Ltd., Китай. Затверджено: CF PHARMA LTD., Угорщина </w:t>
              <w:br/>
              <w:t>Jiangsu Hengrui Pharmaceuticals Co., Ltd., Китай. Запропоновано: CF PHARMA LTD., Угорщина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ІНФЛАМІН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meloxicam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M01AC06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w:t>
              <w:br/>
              <w:t>по 1,5 мл в ампулі; по 100 ампул у пачці;</w:t>
              <w:br/>
              <w:t>по 1,5 мл в ампулі; по 5 ампул у пачці;</w:t>
              <w:br/>
              <w:t>по 1,5 мл в ампулі; по 5 ампул у блістері; по 1 блістеру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"Лекхім-Харків"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"Лекхім-Харків"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зміни)Внесено редакційні правки у текст маркування вторинної (п. 2, 3, 4, 11, 17) та первинної (п. 2, 6) упаковки лікарського засобу, також вилучено дублюючу інформацію зазначену російською мовою.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ІРИНОТЕКАН АККОРД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irinotecan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іринотекану гідрохлориду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L01CE02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приготування розчину для інфузій, 20 мг/мл; по 5 мл (100 мг) або по 15 мл (300 мг)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color w:val="000000"/>
                <w:sz w:val="16"/>
                <w:szCs w:val="16"/>
              </w:rPr>
            </w:pPr>
            <w:r>
              <w:rPr>
                <w:rFonts w:cs="Arial" w:ascii="Arial" w:hAnsi="Arial"/>
                <w:color w:val="000000"/>
                <w:sz w:val="16"/>
                <w:szCs w:val="16"/>
              </w:rPr>
              <w:t>відповідальний за випуск серії:</w:t>
            </w:r>
          </w:p>
          <w:p>
            <w:pPr>
              <w:pStyle w:val="Normal"/>
              <w:jc w:val="center"/>
              <w:rPr>
                <w:rFonts w:ascii="Arial" w:hAnsi="Arial" w:cs="Arial"/>
                <w:color w:val="000000"/>
                <w:sz w:val="16"/>
                <w:szCs w:val="16"/>
              </w:rPr>
            </w:pPr>
            <w:r>
              <w:rPr>
                <w:rFonts w:cs="Arial" w:ascii="Arial" w:hAnsi="Arial"/>
                <w:color w:val="000000"/>
                <w:sz w:val="16"/>
                <w:szCs w:val="16"/>
              </w:rPr>
              <w:t>Аккорд Хелскеа Полска Сп. з о.о. Склад Імпортера, Польща</w:t>
            </w:r>
          </w:p>
          <w:p>
            <w:pPr>
              <w:pStyle w:val="Normal"/>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w:t>
            </w:r>
          </w:p>
          <w:p>
            <w:pPr>
              <w:pStyle w:val="Normal"/>
              <w:jc w:val="center"/>
              <w:rPr>
                <w:rFonts w:ascii="Arial" w:hAnsi="Arial" w:cs="Arial"/>
                <w:color w:val="000000"/>
                <w:sz w:val="16"/>
                <w:szCs w:val="16"/>
              </w:rPr>
            </w:pPr>
            <w:r>
              <w:rPr>
                <w:rFonts w:cs="Arial" w:ascii="Arial" w:hAnsi="Arial"/>
                <w:color w:val="000000"/>
                <w:sz w:val="16"/>
                <w:szCs w:val="16"/>
              </w:rPr>
              <w:t>Інтас Фармасьютікaлс Лімітед, Індія</w:t>
            </w:r>
          </w:p>
          <w:p>
            <w:pPr>
              <w:pStyle w:val="Normal"/>
              <w:jc w:val="center"/>
              <w:rPr>
                <w:rFonts w:ascii="Arial" w:hAnsi="Arial" w:cs="Arial"/>
                <w:color w:val="000000"/>
                <w:sz w:val="16"/>
                <w:szCs w:val="16"/>
              </w:rPr>
            </w:pPr>
            <w:r>
              <w:rPr>
                <w:rFonts w:cs="Arial" w:ascii="Arial" w:hAnsi="Arial"/>
                <w:color w:val="000000"/>
                <w:sz w:val="16"/>
                <w:szCs w:val="16"/>
              </w:rPr>
              <w:t>додаткове вторинне пакування:</w:t>
            </w:r>
          </w:p>
          <w:p>
            <w:pPr>
              <w:pStyle w:val="Normal"/>
              <w:jc w:val="center"/>
              <w:rPr>
                <w:rFonts w:ascii="Arial" w:hAnsi="Arial" w:cs="Arial"/>
                <w:color w:val="000000"/>
                <w:sz w:val="16"/>
                <w:szCs w:val="16"/>
              </w:rPr>
            </w:pPr>
            <w:r>
              <w:rPr>
                <w:rFonts w:cs="Arial" w:ascii="Arial" w:hAnsi="Arial"/>
                <w:color w:val="000000"/>
                <w:sz w:val="16"/>
                <w:szCs w:val="16"/>
              </w:rPr>
              <w:t>АККОРД ХЕЛСКЕА ЛІМІТЕД, Велика Британiя</w:t>
            </w:r>
          </w:p>
          <w:p>
            <w:pPr>
              <w:pStyle w:val="Normal"/>
              <w:jc w:val="center"/>
              <w:rPr>
                <w:rFonts w:ascii="Arial" w:hAnsi="Arial" w:cs="Arial"/>
                <w:color w:val="000000"/>
                <w:sz w:val="16"/>
                <w:szCs w:val="16"/>
              </w:rPr>
            </w:pPr>
            <w:r>
              <w:rPr>
                <w:rFonts w:cs="Arial" w:ascii="Arial" w:hAnsi="Arial"/>
                <w:color w:val="000000"/>
                <w:sz w:val="16"/>
                <w:szCs w:val="16"/>
              </w:rPr>
              <w:t>Синоптиз Індастріал Сп. з о.о., Польща</w:t>
            </w:r>
          </w:p>
          <w:p>
            <w:pPr>
              <w:pStyle w:val="Normal"/>
              <w:jc w:val="center"/>
              <w:rPr>
                <w:rFonts w:ascii="Arial" w:hAnsi="Arial" w:cs="Arial"/>
                <w:color w:val="000000"/>
                <w:sz w:val="16"/>
                <w:szCs w:val="16"/>
              </w:rPr>
            </w:pPr>
            <w:r>
              <w:rPr>
                <w:rFonts w:cs="Arial" w:ascii="Arial" w:hAnsi="Arial"/>
                <w:color w:val="000000"/>
                <w:sz w:val="16"/>
                <w:szCs w:val="16"/>
              </w:rPr>
              <w:t>контроль якості:</w:t>
            </w:r>
          </w:p>
          <w:p>
            <w:pPr>
              <w:pStyle w:val="Normal"/>
              <w:jc w:val="center"/>
              <w:rPr>
                <w:rFonts w:ascii="Arial" w:hAnsi="Arial" w:cs="Arial"/>
                <w:color w:val="000000"/>
                <w:sz w:val="16"/>
                <w:szCs w:val="16"/>
              </w:rPr>
            </w:pPr>
            <w:r>
              <w:rPr>
                <w:rFonts w:cs="Arial" w:ascii="Arial" w:hAnsi="Arial"/>
                <w:color w:val="000000"/>
                <w:sz w:val="16"/>
                <w:szCs w:val="16"/>
              </w:rPr>
              <w:t>ВЕССЛІНГ Хангері Кфт., Угорщина</w:t>
            </w:r>
          </w:p>
          <w:p>
            <w:pPr>
              <w:pStyle w:val="Normal"/>
              <w:jc w:val="center"/>
              <w:rPr>
                <w:rFonts w:ascii="Arial" w:hAnsi="Arial" w:cs="Arial"/>
                <w:color w:val="000000"/>
                <w:sz w:val="16"/>
                <w:szCs w:val="16"/>
              </w:rPr>
            </w:pPr>
            <w:r>
              <w:rPr>
                <w:rFonts w:cs="Arial" w:ascii="Arial" w:hAnsi="Arial"/>
                <w:color w:val="000000"/>
                <w:sz w:val="16"/>
                <w:szCs w:val="16"/>
              </w:rPr>
              <w:t>ФАРМАВАЛІД Лтд. Мікробіологічна лабораторія, Угорщина</w:t>
            </w:r>
          </w:p>
          <w:p>
            <w:pPr>
              <w:pStyle w:val="Normal"/>
              <w:jc w:val="center"/>
              <w:rPr>
                <w:rFonts w:ascii="Arial" w:hAnsi="Arial" w:cs="Arial"/>
                <w:color w:val="000000"/>
                <w:sz w:val="16"/>
                <w:szCs w:val="16"/>
              </w:rPr>
            </w:pPr>
            <w:r>
              <w:rPr>
                <w:rFonts w:cs="Arial" w:ascii="Arial" w:hAnsi="Arial"/>
                <w:color w:val="000000"/>
                <w:sz w:val="16"/>
                <w:szCs w:val="16"/>
              </w:rPr>
              <w:t>вторинне пакування та контроль якості:</w:t>
            </w:r>
          </w:p>
          <w:p>
            <w:pPr>
              <w:pStyle w:val="Normal"/>
              <w:jc w:val="center"/>
              <w:rPr>
                <w:rFonts w:ascii="Arial" w:hAnsi="Arial" w:cs="Arial"/>
                <w:color w:val="000000"/>
                <w:sz w:val="16"/>
                <w:szCs w:val="16"/>
              </w:rPr>
            </w:pPr>
            <w:r>
              <w:rPr>
                <w:rFonts w:cs="Arial" w:ascii="Arial" w:hAnsi="Arial"/>
                <w:color w:val="000000"/>
                <w:sz w:val="16"/>
                <w:szCs w:val="16"/>
              </w:rPr>
              <w:t>Аккорд Хелскеа Сінгл Мембер С.А., Греція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 Індія/ Велика Британiя/ Угорщина/ Греція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виробника відповідального за вторинне пакування: Аккорд Хелскеа Сінгл Мембер С.А. (64-й км Національної дороги Афіни Ламія, Схіматарі, 320 09, Греція) / Accord Healthcare Single Member S.A. (64th Km National Road Athens Lamia, Schimatari, 320 09, Greece).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Аккорд Хелскеа Сінгл Мембер С.А. (64-й км Національної дороги Афіни Ламія, Схіматарі, 320 09, Греція) / Accord Healthcare Single Member S.A. (64th Km National Road Athens Lamia, Schimatari, 320 09, Greece).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КАЛІМІН® 60 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Pyridostigmine bromide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пiридостигмiну бромiд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N07AA02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60 мг; по 50 або по 100 таблеток у флаконі; по 1 флакону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Дозвіл на випуск серії:</w:t>
              <w:br/>
              <w:t>Меркле ГмбХ, Німеччина;</w:t>
              <w:br/>
              <w:br/>
              <w:t>Виробництво нерозфасованої продукції, первинна та вторинна упаковка:</w:t>
              <w:br/>
              <w:t>Клоке Фарма-Сервіс ГмбХ, Німеччина;</w:t>
              <w:br/>
              <w:br/>
              <w:t>Первинна та вторинна упаковка:</w:t>
              <w:br/>
              <w:t xml:space="preserve">Клоке Верпакунгс-Сервіс ГмбХ, Німеччина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w:t>
              <w:br/>
              <w:t>Зміна адреси виробника ГЛЗ, відповідального за первинне та вторинне пакування Клоке Верпакунгс-Сервіс ГмбХ, Німеччина, без зміни місця виробництва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UA/9462/01/01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КАНДЕСАРТАНУ ЦИЛЕКСЕТИЛ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candesartan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кандесартану цилексетил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Джиянг Тьяну Фармасьютикал Ко.,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 CEP 2013-256-Rev 03 для АФІ кандесартану цилексетилу від вже затвердженого виробника Zhejiang Tianyu Pharmaceutical Co., Ltd., Китай у зв’язку із заміною ASMF/EDMF від July 2013. Як наслідок вносяться зміни до специфікації за показниками: "Розчинність", "Супровідні домішки", "Кількісне визначення", "Залишкові розчинники", а також до аналітичних методик за показниками: "Розчинність", "Супровідні домішки", "Кількісне визначення", "Залишкові розчинники", "Ідентифікація", "Вода". Вноситься контроль домішки 1-хлоретилциклогексил карбонат з відповідним методом. Також змінюється викладення опису упаковки та змінюється термін придатності АФІ з 2 років на період повторних випробувань - 3 роки.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UA/11349/01/01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КАНДЕЦИЛ HD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Candesartan and diuretics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кандесартану цилексетил та гідрохлортіазид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32 мг/25 мг; по 10 таблеток у блістері, по 1, по 3, по 10 блістерів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UA/12282/01/01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КАНДЕЦИЛ HD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Candesartan and diuretics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кандесартану цилексетил та гідрохлортіазид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32 мг/25 мг; іn bulk: по 2500 таблеток в подвійному пакеті; по 1 пакету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КАНДИВОР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інфузій, по 200 мг, по 1 флакону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збільшення розміру серії ГЛЗ до 300 л (20833 флаконів) (затверджений розмір серії 50 л (3742 флаконів))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КАСЕНЛАКС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macrogol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макрогол 4000</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A06AD15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10 г; 10 або 20 саше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Касен Рекордаті, С.Л.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Касен Рекордаті, С.Л.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та "Побічні реакції". </w:t>
              <w:b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UA/14473/01/01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КАСПОФУНГІН-ВІСТА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caspofungin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каспофунгіну 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J02AX04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інфузій по 50 мг; 1 флакон з порошком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первинна та вторинна упаковка, контроль серії: МЕФАР ІЛАЧ САНАЇ А.С., Туреччина; виробництво, первинна та вторинна упаковка, контроль серії, випуск серії: ЕЛПЕН ФАРМАСЬЮТІКАЛ КО. ІНК, Грецiя; вторинна упаковка, контроль серії, випуск серії:</w:t>
              <w:br/>
              <w:t xml:space="preserve">ФАРМАТЕН СА, Греція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 Грецiя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розділу "Особливості застосування" відповідно до оновленої інформації з безпеки застосування діючої речовини, а також узгоджено розділ "Упаковка" відповідно до чинного реєстраційного посвідчення. Термін введення змін -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UA/20318/01/01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КАСПОФУНГІН-ВІСТА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caspofungin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каспофунгіну 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J02AX04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інфузій по 70 мг; 1 флакон з порошком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первинна та вторинна упаковка, контроль серії: МЕФАР ІЛАЧ САНАЇ А.С., Туреччина; виробництво, первинна та вторинна упаковка, контроль серії, випуск серії: ЕЛПЕН ФАРМАСЬЮТІКАЛ КО. ІНК, Грецiя; вторинна упаковка, контроль серії, випуск серії:</w:t>
              <w:br/>
              <w:t xml:space="preserve">ФАРМАТЕН СА, Греція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 Грецiя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розділу "Особливості застосування" відповідно до оновленої інформації з безпеки застосування діючої речовини, а також узгоджено розділ "Упаковка" відповідно до чинного реєстраційного посвідчення. Термін введення змін -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UA/20318/01/02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КВАМАТЕЛ®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famotidine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фамотидин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A02BA03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20 мг, 5 флаконів з ліофілізатом разом з 5 ампулами по 5 мл розчинника (0,9 % розчину натрію хлориду)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ліофілізат для розчину для ін'єкцій та розчинник: виробництво нерозфасованого продукту, первинна та вторинна упаковка, контроль якості, випуск серії: ВАТ "Гедеон Ріхтер", Угорщина; розчинник: виробництво нерозфасованого продукту, первинна упаковка: Хемофарм А.Д., Сербія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 Сербія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КВАНІЛ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citicoline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цитиколіну натрій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орального застосування, 100 мг/1 мл, по 30 мл або 100 мл у флаконі; по 1 флакону разом з мірним стаканчиком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br/>
              <w:br/>
              <w:t>або</w:t>
              <w:br/>
              <w:t>ТОВ "КУСУМ", Україна (для упаковки по 30 мл)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Введення змін протягом 12-ти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КЕТОДІН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ketoconazole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D01AC08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20 мг/г по 15 г у тубі; по 1 тубі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t>повний цикл виробництва, випуск серії; контроль якості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w:t>
              <w:br/>
              <w:t>Виробнича дільниця та всі виробничі операції залишаються незмінними.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у зв'язку зі зміною адреси місця провадження діяльності та як наслідок - у текст маркування упаковок лікарського засобу. Введення змін протягом 9-ти місяців після затвердження. Зміни І типу - Зміни щодо безпеки/ефективності та фармаконагляду (інші зміни) (В. (х) ІА)</w:t>
              <w:br/>
              <w:t xml:space="preserve">Зміни внесено у текст маркування первинної (п. 6) та вторинної (п. 3, 11, 17) упаковки лікарського засобу. </w:t>
              <w:br/>
              <w:t>Введення змін протягом 9-ти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UA/5825/02/01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КЕТОНАЛ® ФОРТЕ</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ketoprofen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20 таблеток у флаконі; по 1 флакону в картонній коробці; по 10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виробництво in bulk, первинне та вторинне пакування, контроль серії (окрім мікробіологічного): Новартіс Фармасьютікал Мануфактуринг ЛЛС, Словенія; контроль серії (лише мікробіологічний), випуск серії: Лек Фармацевтична компанія д.д., Словенія; первинне і вторинне пакування, випуск серії: Лек Фармацевтична компанія д.д., Словенія; виробництво нерозфасованої продукції, контроль серії: Лек С. А., Польща</w:t>
            </w:r>
          </w:p>
          <w:p>
            <w:pPr>
              <w:pStyle w:val="Normal"/>
              <w:tabs>
                <w:tab w:val="left" w:pos="12600" w:leader="none"/>
              </w:tabs>
              <w:jc w:val="center"/>
              <w:rPr>
                <w:rFonts w:ascii="Arial" w:hAnsi="Arial" w:cs="Arial"/>
                <w:bCs/>
                <w:color w:val="000000"/>
                <w:sz w:val="16"/>
                <w:szCs w:val="16"/>
              </w:rPr>
            </w:pPr>
            <w:r>
              <w:rPr>
                <w:rFonts w:cs="Arial" w:ascii="Arial" w:hAnsi="Arial"/>
                <w:bCs/>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 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відповідальної за вторинне пакування ГЛЗ - Лек Фармацевтична компанія д.д. / Lek Pharmaceuticals d.d. (адреса: Трімліні 2д, 9220 Лендава, Словенія / Trimlini 2d, Lendava, 9220, Slovenia). Зміни внесено в інструкцію для медичного застосування у розділи "Виробник" та "Місцезнаходження виробника та адреса місця провадження його діяльності" у зв'язку з введенням додаткової дільниці виробництва та як наслідок - у текст маркування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відповідальної за первинне пакування ГЛЗ – Лек Фармацевтична компанія д.д. / Lek Pharmaceuticals d.d. (адреса: Трімліні 2д, 9220 Лендава, Словенія / Trimlini 2d, Lendava, 9220, Slovenia). Зміни внесено в інструкцію для медичного застосування у розділи "Виробник" та "Місцезнаходження виробника та адреса місця провадження його діяльності" у зв'язку з введенням додаткової дільниці виробництва та як наслідок - у текст маркування упаковки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Введення додаткової дільниці, відповідальної за випуск серії ГЛЗ – Лек Фармацевтична компанія д.д. / Lek Pharmaceuticals d.d. (адреса: Трімліні 2д, 9220 Лендава, Словенія / Trimlini 2d, Lendava, 9220, Slovenia). Зміни внесено в інструкцію для медичного застосування у розділи "Виробник" та "Місцезнаходження виробника та адреса місця провадження його діяльності" у зв'язку з введенням додаткової дільниці виробництва та як наслідок - у текст маркування упаковки лікарського засобу.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w:t>
              <w:br/>
              <w:t xml:space="preserve">збільшення терміну придатності ГЛЗ для блістерів (ПВХ/Алюміній) з 3 років до 5 років. Зміни внесено в розділ "Термін придатності" в інструкцію для медичного застосування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br/>
              <w:t xml:space="preserve">внесення незначних змін у розідлі 3.2.Р.3.2. Склад на серію, зокрема: корекне зазначення кількості гіпромелози, індиготину, тальку та води очищеної для розміру серії ГЛЗ -1 800 000 таблеток.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UA/8325/04/01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КЛОПІКСОЛ-АКУФАЗ</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zuclopenthixol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зуклопентиксолу 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N05AF05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1 мл в ампулі; по 10 ампул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Лундбек Експорт 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нерозфасованого продукту, первинне та вторинне пакування, випуск серій: Х. Лундбек А/С, Данія; </w:t>
              <w:br/>
              <w:t>Випробування за показником «мікробіологічна чистота» (тест на ендотоксини): Еурофінс Біофарма Продакт Тестінг Денмарк А/С, Данія; Випробування за показником «тест на стерильність»: Ей. Джей. Ваксінс А/С, Данія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br/>
              <w:t xml:space="preserve">Діюча редакція: Онищенко Дмитро Володимирович. Пропонована редакція: Данілова Лариса Володимирівна. Зміна контактних даних контактної особи заявника, відповідальної за фармаконагляд в Україні.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UA/2206/01/01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КЛОТРИМАЗОЛ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clotrimazole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клотримазол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G01AF02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вагінальні по 100 мг; по 6 таблеток у стрипі; по 1 стрипу з аплікатором у картонній пачці; по 6 таблеток у блістері; по 1 блістеру з аплікатором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w:t>
              <w:br/>
              <w:t xml:space="preserve">-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Приведення методу контролю та критеріїв специфікації тесту «Розпадання» до вимог зальної статті Європейської фармакопеї 2.9.2. </w:t>
            </w:r>
            <w:r>
              <w:rPr>
                <w:rFonts w:cs="Arial" w:ascii="Arial" w:hAnsi="Arial"/>
                <w:color w:val="000000"/>
                <w:sz w:val="16"/>
                <w:szCs w:val="16"/>
                <w:lang w:val="en-US"/>
              </w:rPr>
              <w:t xml:space="preserve">PROCEDURE FOR VAGINAL TABLETS.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Готовий</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параметрів</w:t>
            </w:r>
            <w:r>
              <w:rPr>
                <w:rFonts w:cs="Arial" w:ascii="Arial" w:hAnsi="Arial"/>
                <w:color w:val="000000"/>
                <w:sz w:val="16"/>
                <w:szCs w:val="16"/>
                <w:lang w:val="en-US"/>
              </w:rPr>
              <w:t xml:space="preserve"> </w:t>
            </w:r>
            <w:r>
              <w:rPr>
                <w:rFonts w:cs="Arial" w:ascii="Arial" w:hAnsi="Arial"/>
                <w:color w:val="000000"/>
                <w:sz w:val="16"/>
                <w:szCs w:val="16"/>
              </w:rPr>
              <w:t>специфікацій</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допустимих</w:t>
            </w:r>
            <w:r>
              <w:rPr>
                <w:rFonts w:cs="Arial" w:ascii="Arial" w:hAnsi="Arial"/>
                <w:color w:val="000000"/>
                <w:sz w:val="16"/>
                <w:szCs w:val="16"/>
                <w:lang w:val="en-US"/>
              </w:rPr>
              <w:t xml:space="preserve"> </w:t>
            </w:r>
            <w:r>
              <w:rPr>
                <w:rFonts w:cs="Arial" w:ascii="Arial" w:hAnsi="Arial"/>
                <w:color w:val="000000"/>
                <w:sz w:val="16"/>
                <w:szCs w:val="16"/>
              </w:rPr>
              <w:t>меж</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розділу</w:t>
            </w:r>
            <w:r>
              <w:rPr>
                <w:rFonts w:cs="Arial" w:ascii="Arial" w:hAnsi="Arial"/>
                <w:color w:val="000000"/>
                <w:sz w:val="16"/>
                <w:szCs w:val="16"/>
                <w:lang w:val="en-US"/>
              </w:rPr>
              <w:t xml:space="preserve"> </w:t>
            </w:r>
            <w:r>
              <w:rPr>
                <w:rFonts w:cs="Arial" w:ascii="Arial" w:hAnsi="Arial"/>
                <w:color w:val="000000"/>
                <w:sz w:val="16"/>
                <w:szCs w:val="16"/>
              </w:rPr>
              <w:t>МКЯ</w:t>
            </w:r>
            <w:r>
              <w:rPr>
                <w:rFonts w:cs="Arial" w:ascii="Arial" w:hAnsi="Arial"/>
                <w:color w:val="000000"/>
                <w:sz w:val="16"/>
                <w:szCs w:val="16"/>
                <w:lang w:val="en-US"/>
              </w:rPr>
              <w:t xml:space="preserve"> «</w:t>
            </w:r>
            <w:r>
              <w:rPr>
                <w:rFonts w:cs="Arial" w:ascii="Arial" w:hAnsi="Arial"/>
                <w:color w:val="000000"/>
                <w:sz w:val="16"/>
                <w:szCs w:val="16"/>
              </w:rPr>
              <w:t>СПЕЦИФІКАЦІЯ</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метою</w:t>
            </w:r>
            <w:r>
              <w:rPr>
                <w:rFonts w:cs="Arial" w:ascii="Arial" w:hAnsi="Arial"/>
                <w:color w:val="000000"/>
                <w:sz w:val="16"/>
                <w:szCs w:val="16"/>
                <w:lang w:val="en-US"/>
              </w:rPr>
              <w:t xml:space="preserve"> </w:t>
            </w:r>
            <w:r>
              <w:rPr>
                <w:rFonts w:cs="Arial" w:ascii="Arial" w:hAnsi="Arial"/>
                <w:color w:val="000000"/>
                <w:sz w:val="16"/>
                <w:szCs w:val="16"/>
              </w:rPr>
              <w:t>розділення</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два</w:t>
            </w:r>
            <w:r>
              <w:rPr>
                <w:rFonts w:cs="Arial" w:ascii="Arial" w:hAnsi="Arial"/>
                <w:color w:val="000000"/>
                <w:sz w:val="16"/>
                <w:szCs w:val="16"/>
                <w:lang w:val="en-US"/>
              </w:rPr>
              <w:t xml:space="preserve"> </w:t>
            </w:r>
            <w:r>
              <w:rPr>
                <w:rFonts w:cs="Arial" w:ascii="Arial" w:hAnsi="Arial"/>
                <w:color w:val="000000"/>
                <w:sz w:val="16"/>
                <w:szCs w:val="16"/>
              </w:rPr>
              <w:t>розділи</w:t>
            </w:r>
            <w:r>
              <w:rPr>
                <w:rFonts w:cs="Arial" w:ascii="Arial" w:hAnsi="Arial"/>
                <w:color w:val="000000"/>
                <w:sz w:val="16"/>
                <w:szCs w:val="16"/>
                <w:lang w:val="en-US"/>
              </w:rPr>
              <w:t xml:space="preserve"> «</w:t>
            </w:r>
            <w:r>
              <w:rPr>
                <w:rFonts w:cs="Arial" w:ascii="Arial" w:hAnsi="Arial"/>
                <w:color w:val="000000"/>
                <w:sz w:val="16"/>
                <w:szCs w:val="16"/>
              </w:rPr>
              <w:t>СПЕЦИФІКАЦІЯ</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МОМЕНТ</w:t>
            </w:r>
            <w:r>
              <w:rPr>
                <w:rFonts w:cs="Arial" w:ascii="Arial" w:hAnsi="Arial"/>
                <w:color w:val="000000"/>
                <w:sz w:val="16"/>
                <w:szCs w:val="16"/>
                <w:lang w:val="en-US"/>
              </w:rPr>
              <w:t xml:space="preserve"> </w:t>
            </w:r>
            <w:r>
              <w:rPr>
                <w:rFonts w:cs="Arial" w:ascii="Arial" w:hAnsi="Arial"/>
                <w:color w:val="000000"/>
                <w:sz w:val="16"/>
                <w:szCs w:val="16"/>
              </w:rPr>
              <w:t>ВИПУСКУ</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СПЕЦИФІКАЦІЯ</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ТЕРМІН</w:t>
            </w:r>
            <w:r>
              <w:rPr>
                <w:rFonts w:cs="Arial" w:ascii="Arial" w:hAnsi="Arial"/>
                <w:color w:val="000000"/>
                <w:sz w:val="16"/>
                <w:szCs w:val="16"/>
                <w:lang w:val="en-US"/>
              </w:rPr>
              <w:t xml:space="preserve"> </w:t>
            </w:r>
            <w:r>
              <w:rPr>
                <w:rFonts w:cs="Arial" w:ascii="Arial" w:hAnsi="Arial"/>
                <w:color w:val="000000"/>
                <w:sz w:val="16"/>
                <w:szCs w:val="16"/>
              </w:rPr>
              <w:t>ПРИДАТНОСТІ</w:t>
            </w:r>
            <w:r>
              <w:rPr>
                <w:rFonts w:cs="Arial" w:ascii="Arial" w:hAnsi="Arial"/>
                <w:color w:val="000000"/>
                <w:sz w:val="16"/>
                <w:szCs w:val="16"/>
                <w:lang w:val="en-US"/>
              </w:rPr>
              <w:t xml:space="preserve">». </w:t>
            </w:r>
            <w:r>
              <w:rPr>
                <w:rFonts w:cs="Arial" w:ascii="Arial" w:hAnsi="Arial"/>
                <w:color w:val="000000"/>
                <w:sz w:val="16"/>
                <w:szCs w:val="16"/>
              </w:rPr>
              <w:t>Розділення</w:t>
            </w:r>
            <w:r>
              <w:rPr>
                <w:rFonts w:cs="Arial" w:ascii="Arial" w:hAnsi="Arial"/>
                <w:color w:val="000000"/>
                <w:sz w:val="16"/>
                <w:szCs w:val="16"/>
                <w:lang w:val="en-US"/>
              </w:rPr>
              <w:t xml:space="preserve"> </w:t>
            </w:r>
            <w:r>
              <w:rPr>
                <w:rFonts w:cs="Arial" w:ascii="Arial" w:hAnsi="Arial"/>
                <w:color w:val="000000"/>
                <w:sz w:val="16"/>
                <w:szCs w:val="16"/>
              </w:rPr>
              <w:t>специфікацій</w:t>
            </w:r>
            <w:r>
              <w:rPr>
                <w:rFonts w:cs="Arial" w:ascii="Arial" w:hAnsi="Arial"/>
                <w:color w:val="000000"/>
                <w:sz w:val="16"/>
                <w:szCs w:val="16"/>
                <w:lang w:val="en-US"/>
              </w:rPr>
              <w:t xml:space="preserve"> </w:t>
            </w:r>
            <w:r>
              <w:rPr>
                <w:rFonts w:cs="Arial" w:ascii="Arial" w:hAnsi="Arial"/>
                <w:color w:val="000000"/>
                <w:sz w:val="16"/>
                <w:szCs w:val="16"/>
              </w:rPr>
              <w:t>дозволяє</w:t>
            </w:r>
            <w:r>
              <w:rPr>
                <w:rFonts w:cs="Arial" w:ascii="Arial" w:hAnsi="Arial"/>
                <w:color w:val="000000"/>
                <w:sz w:val="16"/>
                <w:szCs w:val="16"/>
                <w:lang w:val="en-US"/>
              </w:rPr>
              <w:t xml:space="preserve"> </w:t>
            </w:r>
            <w:r>
              <w:rPr>
                <w:rFonts w:cs="Arial" w:ascii="Arial" w:hAnsi="Arial"/>
                <w:color w:val="000000"/>
                <w:sz w:val="16"/>
                <w:szCs w:val="16"/>
              </w:rPr>
              <w:t>чітко</w:t>
            </w:r>
            <w:r>
              <w:rPr>
                <w:rFonts w:cs="Arial" w:ascii="Arial" w:hAnsi="Arial"/>
                <w:color w:val="000000"/>
                <w:sz w:val="16"/>
                <w:szCs w:val="16"/>
                <w:lang w:val="en-US"/>
              </w:rPr>
              <w:t xml:space="preserve"> </w:t>
            </w:r>
            <w:r>
              <w:rPr>
                <w:rFonts w:cs="Arial" w:ascii="Arial" w:hAnsi="Arial"/>
                <w:color w:val="000000"/>
                <w:sz w:val="16"/>
                <w:szCs w:val="16"/>
              </w:rPr>
              <w:t>контролювати</w:t>
            </w:r>
            <w:r>
              <w:rPr>
                <w:rFonts w:cs="Arial" w:ascii="Arial" w:hAnsi="Arial"/>
                <w:color w:val="000000"/>
                <w:sz w:val="16"/>
                <w:szCs w:val="16"/>
                <w:lang w:val="en-US"/>
              </w:rPr>
              <w:t xml:space="preserve"> </w:t>
            </w:r>
            <w:r>
              <w:rPr>
                <w:rFonts w:cs="Arial" w:ascii="Arial" w:hAnsi="Arial"/>
                <w:color w:val="000000"/>
                <w:sz w:val="16"/>
                <w:szCs w:val="16"/>
              </w:rPr>
              <w:t>якість</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різних</w:t>
            </w:r>
            <w:r>
              <w:rPr>
                <w:rFonts w:cs="Arial" w:ascii="Arial" w:hAnsi="Arial"/>
                <w:color w:val="000000"/>
                <w:sz w:val="16"/>
                <w:szCs w:val="16"/>
                <w:lang w:val="en-US"/>
              </w:rPr>
              <w:t xml:space="preserve"> </w:t>
            </w:r>
            <w:r>
              <w:rPr>
                <w:rFonts w:cs="Arial" w:ascii="Arial" w:hAnsi="Arial"/>
                <w:color w:val="000000"/>
                <w:sz w:val="16"/>
                <w:szCs w:val="16"/>
              </w:rPr>
              <w:t>етапах</w:t>
            </w:r>
            <w:r>
              <w:rPr>
                <w:rFonts w:cs="Arial" w:ascii="Arial" w:hAnsi="Arial"/>
                <w:color w:val="000000"/>
                <w:sz w:val="16"/>
                <w:szCs w:val="16"/>
                <w:lang w:val="en-US"/>
              </w:rPr>
              <w:t xml:space="preserve"> </w:t>
            </w:r>
            <w:r>
              <w:rPr>
                <w:rFonts w:cs="Arial" w:ascii="Arial" w:hAnsi="Arial"/>
                <w:color w:val="000000"/>
                <w:sz w:val="16"/>
                <w:szCs w:val="16"/>
              </w:rPr>
              <w:t>його</w:t>
            </w:r>
            <w:r>
              <w:rPr>
                <w:rFonts w:cs="Arial" w:ascii="Arial" w:hAnsi="Arial"/>
                <w:color w:val="000000"/>
                <w:sz w:val="16"/>
                <w:szCs w:val="16"/>
                <w:lang w:val="en-US"/>
              </w:rPr>
              <w:t xml:space="preserve"> «</w:t>
            </w:r>
            <w:r>
              <w:rPr>
                <w:rFonts w:cs="Arial" w:ascii="Arial" w:hAnsi="Arial"/>
                <w:color w:val="000000"/>
                <w:sz w:val="16"/>
                <w:szCs w:val="16"/>
              </w:rPr>
              <w:t>життєвого</w:t>
            </w:r>
            <w:r>
              <w:rPr>
                <w:rFonts w:cs="Arial" w:ascii="Arial" w:hAnsi="Arial"/>
                <w:color w:val="000000"/>
                <w:sz w:val="16"/>
                <w:szCs w:val="16"/>
                <w:lang w:val="en-US"/>
              </w:rPr>
              <w:t xml:space="preserve"> </w:t>
            </w:r>
            <w:r>
              <w:rPr>
                <w:rFonts w:cs="Arial" w:ascii="Arial" w:hAnsi="Arial"/>
                <w:color w:val="000000"/>
                <w:sz w:val="16"/>
                <w:szCs w:val="16"/>
              </w:rPr>
              <w:t>циклу</w:t>
            </w:r>
            <w:r>
              <w:rPr>
                <w:rFonts w:cs="Arial" w:ascii="Arial" w:hAnsi="Arial"/>
                <w:color w:val="000000"/>
                <w:sz w:val="16"/>
                <w:szCs w:val="16"/>
                <w:lang w:val="en-US"/>
              </w:rPr>
              <w:t xml:space="preserve">». </w:t>
            </w:r>
            <w:r>
              <w:rPr>
                <w:rFonts w:cs="Arial" w:ascii="Arial" w:hAnsi="Arial"/>
                <w:color w:val="000000"/>
                <w:sz w:val="16"/>
                <w:szCs w:val="16"/>
              </w:rP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(внесення змін у досьє для приведення у відповідність до загальної статті 2.9.40 «Однорідність дозованих одиниць» ДФУ/Європейської фармакопеї замість затверджених загальних статей 2.9.5 «Однорідність маси» та/або 2.9.6 «Однорідність дози») Вилучення показника «Однорідність маси» з методів контролю якості готового лікарського засобу, оскільки в методах контролю якості є затверджений показник «Однорідність дозованих одиниць».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показника «Ідентифікація» клотримазолу методом ТШХ з методів контролю якості готового лікарського засобу, оскільки в методах контролю якості є затверджений показник «Ідентифікація» клотримазолу методом рідинної хроматографії.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уточнень до затвердженої методики «Кількісне визначення», а саме: додано розрахункову формулу вмісту клотримазолу в одній таблетці в міліграмах та уточнено назви реактивів та розчинів відповідно до фармакопейних вимог. Критерії прийнятності для показника якості «Кількісне визначення» для готового лікарського засобу залишаються незмінними.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Уточнення умов проведення випробування для затвердженої методики «Втрата в масі при висушуванні» для готового лікарського засобу, а саме: додано детальний опис методики відповідно до діючої документації виробника готового лікарського засобу. Критерії прийнятності для даного методу залишаються незмінними.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UA/8794/02/01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КО-ДИРОТОН®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Lisinopril and diuretics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лізиноприл (у формі лізиноприлу дигідрату) і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C09BA03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20 мг/12,5 мг; по 10 таблеток у блістері; по 1 або по 3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контроль якості та випуск серії; виробництво нерозфасованої продукції, первинна упаковка, вторинна упаковка: ТОВ "Гедеон Ріхтер Польща", Польща; випуск серії: ВАТ "Гедеон Ріхтер", Угорщина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 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w:t>
              <w:br/>
              <w:t xml:space="preserve">Пропонована редакція: Ласло Секей. </w:t>
              <w:br/>
              <w:t xml:space="preserve">Зміна контактних даних уповноваженої особи заявника, відповідальної за фармаконагляд. </w:t>
              <w:br/>
              <w:t xml:space="preserve">Зміна контактних даних контактної особи заявника, відповідальної за фармаконагляд в Україні. </w:t>
              <w:br/>
              <w:t xml:space="preserve">Зміна місцезнаходження мастер-файла системи фармаконагляду. </w:t>
              <w:br/>
              <w:t xml:space="preserve">Зміна місця здійснення основної діяльності з фармаконагляду.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UA/8634/01/02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КОЛДІБЕЛ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 кофеїн, фенілефрину гідрохлорид, феніраміну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12 таблеток у блістері; по 1 блістеру в картонній коробці; по 4 таблетки у блістері; по 1 блістеру у картонному конверті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«Аміла Хелс Кеа»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Біоділ Фармасьютікалз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(зміна штампів, потовщень або інших маркувань) Вилучення відбитку на поверхні таблетки. Відбиток мав декоративне призначення, не був призначений для розділення на рівні дози та не позначав силу дії. Специфікації ГЛЗ не змінились, за виключенням зовнішнього вигляду таблетки. Зміни вносяться до інструкції для медичного застосування лікарського засобу до розділу "Лікарська форма" Затверджено: Основні фізико-хімічні властивості: овальної форми двошарова таблетка (білий шар / рожевий шар), з відтиском з обох боків. На білому шарі допускаються вкраплення рожевого кольору, на рожевому шарі допускаються вкраплення білого кольору. Запропоновано: Основні фізико-хімічні властивості: овальної форми двошарова таблетка (білий шар / рожевий шар), з гладкою поверхнею. На білому шарі допускаються вкраплення рожевого кольору, на рожевому шарі допускаються вкраплення білого кольору. Зміни І типу - Зміни з якості. Готовий лікарський засіб. Опис та склад. Зміна у складі (допоміжних речовинах) готового лікарського засобу (інші допоміжні речовини) - Заміна однієї допоміжної речовини на іншу з тими самими функціональними характеристиками та на тому самому рівні - Заміна допоміжної речовини тваринного походження з ризиком передачі ГЕ – желатину на прежелатинізований крохмаль з такими самими функціональними характеристиками – зв’язуючи речовина, у тій самій кількості без ризику передачі ГЕ. Змін функціональних характеристик лікарської форми не відбулось. Зміна обумовлена необхідністю відмови від діючої речовини тваринного походження та не впливає на характеристики стабільності та безпеки ЛЗ. Зміни вносяться до інструкції для медичного застосування лікарського засобу до розділу "Склад", а саме заміна допоміжної речовини з ризиком передачі ГЕ-желатину на прожелатинізований крохмаль.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w:t>
              <w:br/>
              <w:t>Заміна затвердженої дільниці для вторинного пакування Прісайз Хеміфарма Пвт. Лтд., Індія на нову виробничу дільницю для вторинного пакування Біоділ Фармасьютікалз Лтд., Індія.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Заміна затвердженої дільниці для первинного пакування Прісайз Хеміфарма Пвт. Лтд., Індія на нову виробничу дільницю для первинного пакування Біоділ Фармасьютікалз Лтд., Індія.</w:t>
              <w:br/>
              <w:t xml:space="preserve">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Заміна затвердженої виробничої дільниці, на якій проводились будь-які виробничі стадії, за винятком випуску, контролю якості, первинного та вторинного пакування – Прісайз Хеміфарма Пвт. Лтд., Індія на нового виробника Біоділ Фармасьютікалз Лтд., Індія на нову виробничу дільницю Біоділ Фармасьютікалз Лтд., Індія,, на якій проводитимуться будь-які виробничі стадії, за винятком випуску серії, контролю якості, первинного та вторинного пакування,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w:t>
              <w:br/>
              <w:t>Заміна затвердженого виробника, що відповідав за випуск серії, включаючи контроль/випробування серії Прісайз Хеміфарма Пвт. Лтд., Індія на нового виробника Біоділ Фармасьютікалз Лтд., Індія, який буде відповідати за випуск серії, включаючи контроль/випробування серії. Зміна затвердженого виробника лікарського засобу. Зміни вносяться до інструкції для медичного застосування лікарського засобу до розділів "Виробник", "Місцезнаходження виробника та його адреса місця провадження діяльності" та як наслідок зміни до тексту маркування упаковки лікарського засобу. Зміни І типу - Зміни з якості. Готовий лікарський засіб. Контроль готового лікарського засобу (інші зміни) Переклад МКЯ державною мовою.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"Особливі заходи безпеки", "Взаємодія з іншими лікарськими засобами та інші види взаємодій", "Побічні реакції" щодо безпеки застосування діючої речовини парацетамол відповідно до рекомендацій PRAC. Зміни І типу - Зміни щодо безпеки/ефективності та фармаконагляду (інші зміни) Зміни вносяться до п. 2 тексту маркування первинної та вторинної упаковки лікарського засобу, а саме додавання одиниць вимірювання Міжнародної системи SI.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UA/11466/01/01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КОМБІСПАЗМ®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 дицикломіну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з фольги алюмінієвої та плівки поліхлорвінілової; по 1 блістеру в картонній пачці; по 10 таблеток в алюмінієвому блістері; по 1 блістеру в картонній пачці; по 10 таблеток в алюмінієвому блістері; по 2 блістери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Евертоджен Лайф Саєнсиз Лімітед, Індія; повний цикл виробництва: ТОВ "МАРІФАРМ",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КОМБІСПАЗМ®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 дицикломіну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in bulk: по 1200 таблеток у пакетах у пачках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Евертоджен Лайф Саєнсиз Лімітед, Індія; повний цикл виробництва: ТОВ "МАРІФАРМ",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КОМБІСПАЗМ® ГАСТРОКОМФОРТ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симетикон, дицикломіну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A03ED</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таблеток, вкритих плівковою оболонкою, у блістері з плівки алюмінієвої та фольги алюмінієвої, по 1 або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UA/15710/01/01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КОМБІСПАЗМ® ГАСТРОКОМФОРТ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симетикон, дицикломіну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in bulk: по 5000 таблеток у подвійних поліетиленових пакетах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UA/15711/01/01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КОРДАРОН®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amiodarone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аміодарон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C01BD01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200 мг; № 30 (10х3): по 10 таблеток у блістері; по 3 блістери в картонній коробці; № 30 (15х2): по 15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та вторинне пакування, контроль якості та випуск серії ГЛЗ: САНОФІ ВІНТРОП ІНДАСТРІА, Франція; </w:t>
              <w:br/>
              <w:t>Виробництво, первинне та вторинне пакування, контроль якості та випуск серії ГЛЗ (за виключенням мікробіологічного тестування):</w:t>
              <w:br/>
              <w:t>Опелла Хелскеа Хангері Кфт., Угорщина; Мікробіологічне тестування ГЛЗ: ХІНОЇН Завод Фармацевтичних та Хімічних Продуктів Прайвіт Ко. Лтд. (ХІНОЇН Прайвіт Ко. Лтд.) - підприємство Чаніквельд, Угорщина; Мікробіологічне тестування ГЛЗ: ЄВРОАПІ Хангері Лімітед Лайабіліті Компані (ЄВРОАПІ Хангері Лтд.),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активної речовини Аміодарону гідрохлорид у відповідність до оновленої монографії ЄФ 11.7 (монографія 0803, 04/2025).</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UA/3683/02/01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КСЕЛЬЯНЗ</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tofacitinib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тофацитинібу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L04AF01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14 таблеток у блістері; по 1 або 4 блістери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Пфайзер Менюфекчуринг Дойчленд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адреси виробничої дільниці відповідальної за виробництво діючої речовини тофацитинібу з «Pfizer Ireland Pharmaceuticals, Ringaskiddy API Plant, Ringaskiddy, Co. </w:t>
            </w:r>
            <w:r>
              <w:rPr>
                <w:rFonts w:cs="Arial" w:ascii="Arial" w:hAnsi="Arial"/>
                <w:color w:val="000000"/>
                <w:sz w:val="16"/>
                <w:szCs w:val="16"/>
                <w:lang w:val="en-US"/>
              </w:rPr>
              <w:t xml:space="preserve">Cork, Ireland» </w:t>
            </w:r>
            <w:r>
              <w:rPr>
                <w:rFonts w:cs="Arial" w:ascii="Arial" w:hAnsi="Arial"/>
                <w:color w:val="000000"/>
                <w:sz w:val="16"/>
                <w:szCs w:val="16"/>
              </w:rPr>
              <w:t>на</w:t>
            </w:r>
            <w:r>
              <w:rPr>
                <w:rFonts w:cs="Arial" w:ascii="Arial" w:hAnsi="Arial"/>
                <w:color w:val="000000"/>
                <w:sz w:val="16"/>
                <w:szCs w:val="16"/>
                <w:lang w:val="en-US"/>
              </w:rPr>
              <w:t xml:space="preserve"> «Pfizer Ireland Pharmaceuticals Unlimited Company, Ringaskiddy API Plant, Ringaskiddy, Co. Cork, P43 X336, Ireland». </w:t>
            </w:r>
            <w:r>
              <w:rPr>
                <w:rFonts w:cs="Arial" w:ascii="Arial" w:hAnsi="Arial"/>
                <w:color w:val="000000"/>
                <w:sz w:val="16"/>
                <w:szCs w:val="16"/>
              </w:rPr>
              <w:t>Місцезнаходження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всі</w:t>
            </w:r>
            <w:r>
              <w:rPr>
                <w:rFonts w:cs="Arial" w:ascii="Arial" w:hAnsi="Arial"/>
                <w:color w:val="000000"/>
                <w:sz w:val="16"/>
                <w:szCs w:val="16"/>
                <w:lang w:val="en-US"/>
              </w:rPr>
              <w:t xml:space="preserve"> </w:t>
            </w:r>
            <w:r>
              <w:rPr>
                <w:rFonts w:cs="Arial" w:ascii="Arial" w:hAnsi="Arial"/>
                <w:color w:val="000000"/>
                <w:sz w:val="16"/>
                <w:szCs w:val="16"/>
              </w:rPr>
              <w:t>виробничі</w:t>
            </w:r>
            <w:r>
              <w:rPr>
                <w:rFonts w:cs="Arial" w:ascii="Arial" w:hAnsi="Arial"/>
                <w:color w:val="000000"/>
                <w:sz w:val="16"/>
                <w:szCs w:val="16"/>
                <w:lang w:val="en-US"/>
              </w:rPr>
              <w:t xml:space="preserve"> </w:t>
            </w:r>
            <w:r>
              <w:rPr>
                <w:rFonts w:cs="Arial" w:ascii="Arial" w:hAnsi="Arial"/>
                <w:color w:val="000000"/>
                <w:sz w:val="16"/>
                <w:szCs w:val="16"/>
              </w:rPr>
              <w:t>процеси</w:t>
            </w:r>
            <w:r>
              <w:rPr>
                <w:rFonts w:cs="Arial" w:ascii="Arial" w:hAnsi="Arial"/>
                <w:color w:val="000000"/>
                <w:sz w:val="16"/>
                <w:szCs w:val="16"/>
                <w:lang w:val="en-US"/>
              </w:rPr>
              <w:t xml:space="preserve"> </w:t>
            </w:r>
            <w:r>
              <w:rPr>
                <w:rFonts w:cs="Arial" w:ascii="Arial" w:hAnsi="Arial"/>
                <w:color w:val="000000"/>
                <w:sz w:val="16"/>
                <w:szCs w:val="16"/>
              </w:rPr>
              <w:t>не</w:t>
            </w:r>
            <w:r>
              <w:rPr>
                <w:rFonts w:cs="Arial" w:ascii="Arial" w:hAnsi="Arial"/>
                <w:color w:val="000000"/>
                <w:sz w:val="16"/>
                <w:szCs w:val="16"/>
                <w:lang w:val="en-US"/>
              </w:rPr>
              <w:t xml:space="preserve"> </w:t>
            </w:r>
            <w:r>
              <w:rPr>
                <w:rFonts w:cs="Arial" w:ascii="Arial" w:hAnsi="Arial"/>
                <w:color w:val="000000"/>
                <w:sz w:val="16"/>
                <w:szCs w:val="16"/>
              </w:rPr>
              <w:t>змінились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UA/14485/01/01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КСЕРОГЕЛЬ ПОЛІМЕТИЛСИЛОКСАНУ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ксерогель поліметилсилоксан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мішках поліетиленових для виробництва нестерильних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"ЕОФ "КРЕОМА-ФАРМ"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"ЕОФ "КРЕОМА-ФАРМ"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Діюча редакція Приватне акціонерне товариство "Екологоохоронна фірма "КРЕОМА-ФАРМ" Україна, 03680, м. Київ, вул. Радищева, 3 Пропонована редакція ПрАТ "ЕОФ "КРЕОМА-ФАРМ" Україна, 03124, місто Київ, вул. Волноваська, будинок 3.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адреси місця провадження діяльності виробника АФІ: Затверджено: Приватне акціонерне товариство"Екологоохоронна фірма "КРЕОМА-ФАРМ" Україна, 03680, м. Київ, вул. Радищева,3 Запропоновано: ПрАТ "ЕОФ "КРЕОМА-ФАРМ" Україна, 03124, місто Київ, вул. Волноваська, будинок 3</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КСЕРОГЕЛЬ ПОЛІМЕТИЛСИЛОКСАНУ, ГІДРОФІЛІЗОВАНИЙ ІНУЛІНОМ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ксерогель поліметилсилоксан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двох мішках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"ЕОФ "КРЕОМА-ФАРМ"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"ЕОФ "КРЕОМА-ФАРМ"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адреси заявника(власника реєстраційного посвідчення). Затверджено: ПрАТ "ЕОФ "КРЕОМА-ФАРМ" Україна, 03680, м. Київ, вул. Радищева,3 Запропоновано: ПрАТ "ЕОФ "КРЕОМА-ФАРМ" Україна, 03124, місто Київ, вул. Волноваська, будинок 3.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адреси місця провадження діяльності виробника АФІ: Затверджено: ПрАТ "ЕОФ "КРЕОМА-ФАРМ" Україна, 03680, м. Київ, вул. Радищева,3 Запропоновано: ПрАТ "ЕОФ "КРЕОМА-ФАРМ" Україна, 03124, місто Київ, вул. Волноваська, будинок 3</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КСИЛОМЕТАЗОЛІНУ ГІДРОХЛОРИД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мішках подвійних поліетиленових для виробництва нестерильних лікарських форм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Зігфрід ФармаКемікаліен Мінден ГмбХ</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з ПУБЛІЧНЕ АКЦІОНЕРНЕ ТОВАРИСТВО «ФАРМАК» змінено на АКЦІОНЕРНЕ ТОВАРИСТВО «ФАРМАК».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із специфікації/методів контролю АФІ Ксилометазоліну гідрохлорид показника «Важкі метали». </w:t>
              <w:br/>
              <w:t xml:space="preserve">Зміни І типу - Зміни з якості. АФІ. Система контейнер/закупорювальний засіб (інші зміни) приведення розділу «Упаковка» для субстанції у відповідність до документації виробника Затверджено: УПАКОВКА В мішках подвійних поліетиленових, вкладених в барабани, забезпечені етикетками. Запропоновано: УПАКОВКА В мішках подвійних поліетиленових, вкладених в фіброві барабани, забезпечені етикетками.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внесення змін до специфікації/методів контролю АФІ Ксилометазоліну гідрохлорид, зокрема вилучення контролю за показниками «Розчинність» (не є обов'язковим показником, має інформативний характер), «рН», «Залишкові кількості органічних розчинників» та «Мікробіологічна чистота».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w:t>
              <w:br/>
              <w:t>приведення специфікації та аналітичних методик для АФІ Ксилометазоліну гідрохлорид виробника «Siegfried PharmaChemikalien Minden GmbH», Німеччина у відповідність до вимог монографії ЄФ за показниками «Ідентифікація» та «Супровідні домішки». (примірники МКЯ субстанції 0002).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UA/0559/01/01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КСИЛОМЕТАЗОЛІНУ ГІДРОХЛОРИД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Ухань Уяо Фармас'ютикал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R0-СЕР 2020-413-Rev 00 для субстанції Ксилометазоліну гідрохлорид вже затвердженого виробника Wuhan Wuyao Pharmaceutical Co., Ltd, Китай (зміна з ДМФ на СЕР).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методики визначення показників «Ідентифікація», «Супровідні домішки», «Кількісне визначення» для субстанції Ксилометазоліну гідрохлорид у відповідність до вимог монографії Xylometazoline hydrochloride ЄФ. Уточнено умови зберігання, згідно вимог монографії ЄФ на АФІ Ксилометазоліну гідрохлорид. Затверджено: УМОВИ ЗБЕРІГАННЯ </w:t>
              <w:br/>
              <w:t xml:space="preserve">Зберігати в оригінальній упаковці при температурі не вище 25 °С. Запропоновано: УМОВИ ЗБЕРІГАННЯ. Зберігати в оригінальній упаковці, в захищеному від світла місці при температурі не вище 25 °С).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внесення змін до МКЯ субстанції Ксилометазоліну гідрохлорид виробника Wuhan Wuyao Pharmaceutical Co., Ltd, Китай, зокрема вилучення контролю за показником "Розчинність, не є обов'язковим показником, має інформативний характер. (примірники до МКЯ субстанції (0002)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ЛАКТИНЕТ®-РІХТЕР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desogestrel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дезогестрел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G03AC09</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0,075 мг; по 28 таблеток у блістері; по 1 блістеру у пакеті з ламінованої алюмінієвої фольги; по 1 або 3 пакети разом з картонним футляром для зберігання блістера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UA/9036/01/01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ЛАКТУВІТ®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lactulose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лактулоза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A06AD11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3,335 г/5 мл, по 100 мл або 200 мл у флаконах полімерних; по 1 флакону в пачці* з картону,*(можливе додаткове вкладання в пачку мірного пристрою)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"Юрія-Фарм"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br/>
              <w:t>вилучення виробничої дільниці для АФІ, а саме вилучення виробника Данифарм А/С, Данія діючої речовини Лактулоза.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незначного параметра "Lead" зі специфікації АФІ фірми-виробника Fresenius Kabi Austria GmbH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UA/12566/01/01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ЛАМІФЕН®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terbinafine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тербінафіну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1 %, по 15 г або по 30 г у тубі; по 1 тубі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вторинне пакування, контроль якості та випуск серії: ПРАТ "ФІТОФАРМ", Україна;</w:t>
              <w:br/>
              <w:t>відповідальний за виробництво, первинне, вторинне пакування та контроль якості: ПрАТ Фармацевтична фабрика "Віола", Україна;</w:t>
              <w:br/>
              <w:t>відповідальний за випуск серії, не включаючи контроль/випробування серії: ПРАТ "ФІТОФАРМ",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а також внесено контактні дані заявника до розділу "Місцезнаходження Заявника".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UA/6136/02/01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ЛАНТУС® СОЛОСТАР®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insulin glargine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гларгін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A10AE04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Од./мл; № 5: по 3 мл у картриджі, вмонтованому в одноразову шприц-ручку (без голок для ін’єкцій); по 5 шприц-ручок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Санофі-Авентіс Дойчланд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br/>
              <w:t>Видалення виробничої дільниці Celonic Deutschland GmbH &amp; Co. KG, Germany в якості альтернативної дільниці, відповідальної за контроль якості АФІ для тестування за показником вмісту E. coli білків (ECP), затверджений виробник виробництво Analytical testing and final batch release: Sanofi-Aventis Deutschland GmbH - Industriepark Hochst - Bruningstrasse 50 - 65926 Frankfurt am Main Germany -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Заміна методу тестування АФІ для визначення E. coli білків (ECP) з (ILA) методу (Immuno-Ligand Assay) на новий ELISA метод (Enzyme-Linked Immunosorbent Assay). Тестування методом ELISA впроваджується для виробничої дільниці Sanofi-Aventis Deutschland GmbH, Germany, яка відповідає за контроль якості та випуск серії АФІ.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ЛЕВОКСИМЕД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levofloxacin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левофлоксацин (у формі гемігідрату)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S01AE05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5 мг/мл</w:t>
              <w:br/>
              <w:t>по 5 мл у полімерному флаконі-крапельниці; по 1 флакону-крапельниці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УОРЛД МЕДИЦИН ІЛАЧ САН. ВЕ ТІДЖ. A.Ш.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4.0. Зміни внесено до частин: І «Загальна інформація про лікарський засіб» ІІ «Специфікація з безпеки» (модулі СVII, CVIII) ІІІ «План з фармаконагляду» IV «Постмаркетингові дослідження» V «Заходи з мінімізації ризиків» VI «Резюме плану управління ризиками» VII «Додатки», у зв’язку з оновленням специфікації з безпеки діючої речовини левофлоксацин топічний відповідно до оприлюдненого Public summary RMP Levofloxacin Uni-Pharma eye drops. Резюме Плану управління ризиками версія 4.0 додається.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ЛЕВОФЛОКСАЦИНУ ГЕМІГІДРАТ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levofloxacin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левофлоксацину 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подвійних поліетиленових мішках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"ТК "Аврора"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Шаоксінг Цзинсинь Фармасьютикал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(інші зміни) Приведення інформації у розділі «Маркування» МКЯ: </w:t>
              <w:br/>
              <w:t xml:space="preserve">Затверджено: На етикетці вказують: Інформацію щодо товарного знаку Заявника, назву продукту, країну виробник, фірму виробник та адресу розташування, номер партії, масу нетто, дату виготовлення, період переконтролю, кінцевий термін використання, умови зберігання. </w:t>
              <w:br/>
              <w:t>Запропоновано: На етикетці вказують: Інформацію щодо товарного знаку Заявника, назву продукту, країну виробник, фірму виробник та адресу розташування, номер серії, масу нетто, дату виготовлення, період переконтролю, умови зберігання, номер реєстраційного посвідчення в Україні.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ЛЕВОФОЛІК</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Sodium levofolinate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кислота левофолінова (левофолінієва), що еквівалентно динатрію левофолінату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V03AF</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або інфузій, 50 мг/мл, по 1 мл, 4 мл, 9 мл у флаконі, по 1 або 5 флаконів з розчином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маркування, контроль та випуск серій: Медак Гезельшафт фюр клініше Шпеціальпрепарате мбХ, Німеччина; виробництво готового лікарського засобу, первинне пакування, маркування та вторинне пакування, контроль випробування серії: Зігфрід Гамельн ГмбХ, Німеччина; виробництво готового лікарського засобу, первинне пакування, контроль випробування серії: Онкомед меньюфекчерінг а.с., Чеська Республіка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Чеська Республіка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br/>
              <w:t>незначні зміни до затвердженої процедури випробування діючої речовини, зокрема, виправлення незначої невідповідності між описом аналітичного методу та використаним валідованим методом. Розчинник А (рухома фаза), що використовується в методі ВЕРХ для ідентифікації, кількісного аналізу та супутніх речовин, не фільтрується перед безпосереднім використанням.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процедури випробування «Ідентифікація, кількісне визначення та домішки, методом ВЕРХ», а саме: - розчинник А (рухома фаза), що використовується в методі ВЕРХ, не фільтрується перед безпосереднім використанням; - пункт 6.2.2, видалення кроку «фільтрація розчинника А рухомої фази».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методах випробування АФІ ("identity" , "assay" та "purity"), запропоновано додаткове використання стандарту фолінату кальцію в аналітичній методиці.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методах випробування ГЛЗ, запропоновано додаткове використання стандарту фолінату кальцію в аналітичній методиці "Кількісне визначення. Домішки".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ЛЕМТРАДА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alemtuzumab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алемтузумаб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L04AA34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по 12 мг/1,2 мл; № 1: по 1,2 мл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маркування, зберігання ГЛЗ та випуск серії: Джензайм Iрланд Лімітед , Iрландiя; виробництво (fill-finish/первинне пакування) контроль якості (в процесі виробництва, контроль якості ГЛЗ, включаючи тестування для оцінки стерильності і вмісту мікроорганізмів), тести на стабільність): Берінгер Інгельхайм Фарма ГмбХ і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Iрландiя/ 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br/>
              <w:t>Незначні зміни у виробничому процесі активної речовини алемтузумаб для оновлення максимального терміну служби колонок та мембран, що використовуються у виробничому процесі.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UA/17376/01/01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ЛЕТРАМ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леветирацетам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100 мг/мл; по 5 мл (500 мг) у флаконі, по 1 або по 10 флаконів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введення додаткового розміру серії ГЛЗ 500 л (96153 флаконів) в доповнення до вже затвердженого розміру серії 50 л (9615 флаконів).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UA/17233/01/01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ЛІНДИНЕТ 20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Gestodene and ethinylestradiol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етинілестрадіол та гестоден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G03AA10</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21 таблетці в блістері; по 1 або по 3 блістери разом з картонним футляром для зберігання блістера в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ЛІНДИНЕТ 30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Gestodene and ethinylestradiol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етинілестрадіол та гестоден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G03AA10</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21 таблетці в блістері; по 1 або 3 блістери разом з картонним футляром для зберігання блістера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ЛІТАК</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cladribine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кладрибін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L01BB04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 мг/мл; по 5 мл у флаконі; по 5 флаконів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Ліпомед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вторинне пакування, контроль якості (за винятком ідентифікації розчинника, механічних включень, стерильності та бакендотоксинів), випуск серії: </w:t>
              <w:br/>
              <w:t>Ліпомед АГ, Швейцарія;</w:t>
              <w:br/>
              <w:br/>
              <w:t xml:space="preserve">контроль якості (ідентифікація розчинника): </w:t>
              <w:br/>
              <w:t>Сольвіас АГ, Швейцарія;</w:t>
              <w:br/>
              <w:br/>
              <w:t>контроль якості (механічні включення, стерильність та бакендотоксини):</w:t>
              <w:br/>
              <w:t>Сольвіас Франція, Франція;</w:t>
              <w:br/>
              <w:t xml:space="preserve">виробництво "in bulk" та первинне пакування, а також контроль якості (фізико-хімічні випробування): </w:t>
              <w:br/>
              <w:t>Тимоорган Фармациє ГмбХ, Німеччина;</w:t>
              <w:br/>
              <w:t xml:space="preserve">виробництво "in bulk" та первинне пакування, а також контроль якості (фізико-хімічні випробування): </w:t>
              <w:br/>
              <w:t>Онкомед Мануфактурінг а.с., Чехія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Франція/ Німеччина/ Чехія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841 від 19.06.2026</w:t>
            </w:r>
            <w:r>
              <w:rPr>
                <w:rFonts w:cs="Arial" w:ascii="Arial" w:hAnsi="Arial"/>
                <w:color w:val="000000"/>
                <w:sz w:val="16"/>
                <w:szCs w:val="16"/>
              </w:rPr>
              <w:t xml:space="preserve"> -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ГЛЗ відповідального за виробництво "in bulk", первинне пакування та проміжний контроль випущених серій: Гаупт Фарма Вольфратшаузен ГмбХ (Пфаффенрідер Штрассе 5, 82515 Вольфратшаузен, Німеччина)/Haupt Pharma Wolfratshausen GmbH (Pfaffenrieder Strasse 5, 82515 Wolfratshausen, Germany).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 введення додаткового виробника ГЛЗ, відповідального за виробництво "in bulk" та первинне пакування, а також контроль якості (фізико-хімічні випробування)): Онкомед Мануфактурінг а.с. (Карасек 2229/1б, Брно Річковіце, 621 00, Чехія)/Oncomed Manufacturing a.s. (Karasek 2229/1b, Brno Rechkovice, 621 00, Czechia); уточнення виробничих функцій затвердженого виробника Тимоорган Фармациє ГмбХ (Шифграбен 23, 38690 Гослар, Німеччина)/Thymoorgan Pharmazie GmbH (Schiffgraben 23, 38690 Goslar, Germany) зокрема: виробництво "in bulk" та первинне пакування, а також контроль якості (фізико-хімічні випробування).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часткова передача функцій контролю якості готового лікарського засобу від одного виробника іншому, а саме: ідентифікація розчинника.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часткова передача функцій контролю якості готового лікарського засобу від одного виробника іншому, а саме механічні включення.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в процесі виробництва ГЛЗ: </w:t>
              <w:br/>
              <w:t xml:space="preserve">Діюча редакція: Машину для розливу та закупорювання промивають 0,5-1 л препарату, який потім викидають. Пропонована редакція: Обладнання для розливу промивають щонайменше 1 л у разі змочування фільтра водою або щонайменше 60 мл у разі змочування фільтра препаратом, який потім викидають.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(звуження допустимих меж) - зміна критеріїв прийнятності за показником "Кількісне визначення" для контролю в процесі виробництва з метою приведення у відповідність до специфікації готового лікарського засобу. Діюча редакція: Кількісне визначення у процесі виробництва 95% - 105%. Пропонована редакція: Кількісне визначення у процесі виробництва 95,0% - 105,0%.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 контрольну точку "параметри стерилізації" змінено, щоб відобразити альтернативні параметри стерилізації для компонентів системи упаковки (флаконів та пробок) та інших частин, необхідних у виробничому процесі (колб, деталей для заповнення, фільтрувальних матеріалів). Діюча редакція: Параметри стерилізації: Флакони: 270°C - &gt; 10 хв або 350°C - &gt; 2,5 хв (стерилізація гарячим повітрям), Пробки: 121°C - 1 бар - 45 хв або 122°C протягом щонайменше 30 хв (автоклав), Кришки, що відкидаються: 121°C - 1 бар - 45 хв (автоклав, не менше 30 хв). Різні частини (колби, деталі для наповнення тощо): 121°C - 1 бар - 45 хв або 122°C протягом щонайменше 30 хв (автоклав) Фільтри (картриджі, шафа): 134°C - 2 бар - 60 хв (автоклав, не менше 45 хв) або 122°C протягом щонайменше 30 хв (автоклав). Пропонована редакція: Параметри стерилізації: Флакони: 290°C протягом щонайменше 14,8 хв або 350°C протягом щонайменше 2,5 хв (стерилізація гарячим повітрям), Пробки, кришки, що відкидаються, різні деталі (колби, деталі для наповнення тощо) та фільтрувальні матеріали (картриджі, корпус): 122°C протягом щонайменше 21 хв (автоклав).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 виключення вимірювання pH IPC 2 після додавання NaCl, оскільки NaCl суттєво не впливає на pH, а критичне значення pH перед додаванням AФI коригується та перевіряється на ІPC 3. Діюча редакція: IPC 2 значення pH до регулювання: pH = 6,2 - 6,5. Пропонована редакція: IPC 2 значення рН до коригування: відсутнє.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CEP № 2022-076 - Rev 00 для діючої речовини кладрибін від уже затвердженого виробника Ліпомед АГ.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Метод випробування мікробіологічної чистоти активної речовини було оновлено з методу USP (USP &lt;61&gt;) до відповідного методу Європейської Фармакопеї (Ph. Eur., 2.6.12), відповідно було оновлено межі специфікацій. </w:t>
              <w:br/>
              <w:t xml:space="preserve">Діюча редакція: </w:t>
              <w:br/>
              <w:t xml:space="preserve">Total microbial count </w:t>
              <w:br/>
              <w:t xml:space="preserve">&lt; 10 CFU/100 mg </w:t>
              <w:br/>
              <w:t xml:space="preserve">USP &lt;61&gt; </w:t>
              <w:br/>
              <w:t xml:space="preserve">Пропонована редакція: </w:t>
              <w:br/>
              <w:t xml:space="preserve">Microbiological purity </w:t>
              <w:br/>
              <w:t xml:space="preserve">TAMC ≤ 103 CFU/g </w:t>
              <w:br/>
              <w:t xml:space="preserve">TYMC ≤ 102 CFU/g </w:t>
              <w:br/>
              <w:t>Ph. Eur., 2.6.12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ЛОРАТЕК®</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oxymetazoline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оксиметазоліну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R01AA05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0,05 %; по 10 г у флаконі з розпилювачем, по 1 флакону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контроль якості:</w:t>
              <w:br/>
              <w:t>ТОВ "Мікрофарм", Україна;</w:t>
              <w:br/>
              <w:t>випуск серії:</w:t>
              <w:br/>
              <w:t>ТОВ "ВАЛАРТІН ФАРМА",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зміна вноситься до специфікації та Методів контролю готового лікарського засобу відповідно до вимог діючого видання ДФУ "Назальні препарати. Назальні спреї", а саме відбувається заміна показника "Однорідність дозованих одиниць" на "Однорідність маси, що доставляється". проєкт МКЯ ЛЗ (0001)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UA/17398/01/01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ЛУЦЕТАМ®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Piracetam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60 таблеток у скляному флаконі; по 1 флакону у картонній коробці; по 15 таблеток у блістері; по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ЛЗ, а саме впровадження альтернативної технології для етапу гранулювання в псевдозрідженому шарі: впровадження використання обладнання: гранулятор із псевдозрідженим шаром та сушарка місткістю 800 літрів або аналогічне обладнання. Принцип виготовлення залишається незмінним, змінено лише обладнання. Також до розділів 3.2.Р.3.2. та 3.2.Р.3.3. вносяться редакційні правки.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незначна зміна у процесі виробництва ЛЗ, а саме видалення альтернативної технології для етапу гранулювання в псевдозрідженому шарі: видалення використовуваного обладнання: гранулятор із псевдозрідженим шаром та сушарка місткістю 120 літрів та аналогічне обладнання. Принцип виготовлення залишається незмінним, змінено лише обладнання.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ЛУЦЕТАМ®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Piracetam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800 мг по 30 таблеток у скляних флаконах; по 15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ЛЗ, а саме впровадження альтернативної технології для етапу гранулювання в псевдозрідженому шарі: впровадження використання обладнання: гранулятор із псевдозрідженим шаром та сушарка місткістю 800 літрів або аналогічне обладнання. Принцип виготовлення залишається незмінним, змінено лише обладнання. Також до розділів 3.2.Р.3.2. та 3.2.Р.3.3. вносяться редакційні правки.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незначна зміна у процесі виробництва ЛЗ, а саме видалення альтернативної технології для етапу гранулювання в псевдозрідженому шарі: видалення використовуваного обладнання: гранулятор із псевдозрідженим шаром та сушарка місткістю 120 літрів та аналогічне обладнання. Принцип виготовлення залишається незмінним, змінено лише обладнання.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ЛУЦЕТАМ®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Piracetam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1200 мг, по 20 таблеток у скляних флаконах; по 10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ЛЗ, а саме впровадження альтернативної технології для етапу гранулювання в псевдозрідженому шарі: впровадження використання обладнання: гранулятор із псевдозрідженим шаром та сушарка місткістю 800 літрів або аналогічне обладнання. Принцип виготовлення залишається незмінним, змінено лише обладнання. Також до розділів 3.2.Р.3.2. та 3.2.Р.3.3. вносяться редакційні правки.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незначна зміна у процесі виробництва ЛЗ, а саме видалення альтернативної технології для етапу гранулювання в псевдозрідженому шарі: видалення використовуваного обладнання: гранулятор із псевдозрідженим шаром та сушарка місткістю 120 літрів та аналогічне обладнання. Принцип виготовлення залишається незмінним, змінено лише обладнання.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sz w:val="16"/>
                <w:szCs w:val="16"/>
              </w:rPr>
            </w:pPr>
            <w:r>
              <w:rPr>
                <w:rFonts w:cs="Arial" w:ascii="Arial" w:hAnsi="Arial"/>
                <w:b/>
                <w:sz w:val="16"/>
                <w:szCs w:val="16"/>
              </w:rPr>
              <w:t>МЕДОКЛАВ</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натрію та клавуланат калію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J01CR02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1 г/0,2 г; 10 флаконів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Медокемі Лімітед</w:t>
            </w:r>
          </w:p>
          <w:p>
            <w:pPr>
              <w:pStyle w:val="Normal"/>
              <w:autoSpaceDE w:val="false"/>
              <w:jc w:val="center"/>
              <w:rPr>
                <w:rFonts w:ascii="Arial" w:hAnsi="Arial" w:cs="Arial"/>
                <w:bCs/>
                <w:color w:val="000000"/>
                <w:sz w:val="16"/>
                <w:szCs w:val="16"/>
              </w:rPr>
            </w:pPr>
            <w:r>
              <w:rPr>
                <w:rFonts w:cs="Arial" w:ascii="Arial" w:hAnsi="Arial"/>
                <w:bCs/>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Медокемі Лімітед</w:t>
            </w:r>
          </w:p>
          <w:p>
            <w:pPr>
              <w:pStyle w:val="Normal"/>
              <w:tabs>
                <w:tab w:val="left" w:pos="12600" w:leader="none"/>
              </w:tabs>
              <w:jc w:val="center"/>
              <w:rPr>
                <w:rFonts w:ascii="Arial" w:hAnsi="Arial" w:cs="Arial"/>
                <w:bCs/>
                <w:color w:val="000000"/>
                <w:sz w:val="16"/>
                <w:szCs w:val="16"/>
              </w:rPr>
            </w:pPr>
            <w:r>
              <w:rPr>
                <w:rFonts w:cs="Arial" w:ascii="Arial" w:hAnsi="Arial"/>
                <w:bCs/>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з Медокемі ЛТД (вул. Константинуполес, 1-10, м. Лімассол, 51409, Кіпр) на Медокемі Лімітед (Константинуполес, 1-10, 3011, Лімассол, Кіпр). Заявник та його місцезнаходження не змінились.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i/>
                <w:i/>
                <w:sz w:val="16"/>
                <w:szCs w:val="16"/>
              </w:rPr>
            </w:pPr>
            <w:r>
              <w:rPr>
                <w:rFonts w:cs="Arial" w:ascii="Arial" w:hAnsi="Arial"/>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UA/4428/02/01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sz w:val="16"/>
                <w:szCs w:val="16"/>
              </w:rPr>
            </w:pPr>
            <w:r>
              <w:rPr>
                <w:rFonts w:cs="Arial" w:ascii="Arial" w:hAnsi="Arial"/>
                <w:b/>
                <w:sz w:val="16"/>
                <w:szCs w:val="16"/>
              </w:rPr>
              <w:t>МЕДОКЛАВ</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натрію та клавуланат калію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J01CR02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1 г/0,2 г; 10 флаконів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Медокемі Лімітед</w:t>
            </w:r>
          </w:p>
          <w:p>
            <w:pPr>
              <w:pStyle w:val="Normal"/>
              <w:autoSpaceDE w:val="false"/>
              <w:jc w:val="center"/>
              <w:rPr>
                <w:rFonts w:ascii="Arial" w:hAnsi="Arial" w:cs="Arial"/>
                <w:bCs/>
                <w:color w:val="000000"/>
                <w:sz w:val="16"/>
                <w:szCs w:val="16"/>
              </w:rPr>
            </w:pPr>
            <w:r>
              <w:rPr>
                <w:rFonts w:cs="Arial" w:ascii="Arial" w:hAnsi="Arial"/>
                <w:bCs/>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Медокемі Лімітед</w:t>
            </w:r>
          </w:p>
          <w:p>
            <w:pPr>
              <w:pStyle w:val="Normal"/>
              <w:tabs>
                <w:tab w:val="left" w:pos="12600" w:leader="none"/>
              </w:tabs>
              <w:jc w:val="center"/>
              <w:rPr>
                <w:rFonts w:ascii="Arial" w:hAnsi="Arial" w:cs="Arial"/>
                <w:bCs/>
                <w:color w:val="000000"/>
                <w:sz w:val="16"/>
                <w:szCs w:val="16"/>
              </w:rPr>
            </w:pPr>
            <w:r>
              <w:rPr>
                <w:rFonts w:cs="Arial" w:ascii="Arial" w:hAnsi="Arial"/>
                <w:bCs/>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критеріїв прийнятності за показником "Полімер клавуланату та інші флуоресцентні домішки" у специфікації на випуск ГЛЗ з "не більше 5% м/м" на "не більше 2% м/м".</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зміна специфікації ГЛЗ за показником "Супутні домішки". Ліміти для домішок A, B, C, D, E, F, G, H, I, J(n=1), J(n=2) та для загальних домішок встановлені відповідно до монографії Ph. Eur. «Амоксицилін натрію».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верхньої межі критеріїв прийнятності ГЛЗ за показником "Кількісне визначення" з "не більше 107,5%" до "не більше 105,0%" відповідно до 3AQ11a «Специфікації та контрольні випробування готової продукції».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 звуження критерїів прийнятності ГЛЗ за показником "Бактеріальні ендотоксини". Новий запропонований ліміт для бактеріальних ендотоксинів враховує педіатричне застосування (25 мг/5 мг на кг для дітей вагою менше 40 кг), а також будь-яке теоретичне бактеріальне навантаження, що може бути внесене розчинниками, які використовуються для відновлення і/або розведення продукту -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зазначення часу відновлення приготованого розчину з відповідним методом випробування відповідно до вимог керівництва ICH Q6A. Додавання параметру до специфікації для часу відновлення з відповідним методом випробування відповідно до вимог керівництва ICH Q6A до тесту «Розчин препарату».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 звуження критеріїв прийнятності за показником "Вміст води" в специфікації ГЛЗ при випуску. (Затверджено: не більше 3,5%; запропоновано: 2,0%).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нового параметра специфікації "Полімер клавуланату та інших флуоресцентних домішок" із відповідним методом випробування для проміжного продукту - стерильної суміші амоксициліну натрію та клавуланат калію (5:1).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 звуження допустимих меж за показником "Бактеріальні ендотоксини" з «Не більше 0.25 МО/мг» до «Не більше 0.03 МО/мг» для проміжного продукту - стерильної суміші амоксициліну натрію та клавуланат калію (5:1).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в методиці випробування за показником "Бактеріальні ендотоксини" для проміжного продукту - стерильної суміші амоксициліну натрію та клавуланат калію (5:1) у зв’язку із звуженням критеріїв прийнятності.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додавання нового параметра специфікації "Домішки етилового ефіру амоксицилін пеніцилоїнової кислоти" з відповідним методом випробування для проміжного продукту - стерильної суміші амоксициліну натрію та клавуланату калію (5:1). Домішку додано через перегляд CEP 2013-125 шляхом введення контролю цієї домішки з лімітом 0.3%. Через додавання цієї домішки тест на пов'язані речовини було замінено, оскільки попередній метод не міг точно визначити зазначену домішку.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контролю за показником "Супровідні домішки: калію клавуланат" для проміжного продукту - стерильної суміші амоксициліну натрію та клавуланат калію (5:1). Домішки, пов'язані з калію клавуланатом, контролюються як «будь-яка невідома домішка» з лімітом не більше 0.20%, оскільки рівень виявлення домішок, пов'язаних з калію клавуланатом, завжди знаходиться на рівні порогового ліміту або нижче пропонується вилучити даний показник.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методики випробування за показником "Стерильність" для проміжного продукту - стерильної суміші амоксициліну натрію та клавуланат калію (5:1).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додавання за показником " Ідентифікація" метод випробування ТШХ відповідно до оновленої специфікації проміжного продукту - стерильної суміші амоксициліну натрію та клавуланат калію (5:1). Внесення незначних редакційний змін до аналітичних методик випробування: - за показником "Вміст води" - виправлення помилки щодо корегування об'єму метанолу; - за показником "рН" - додавання інформації щодо приготування води, вільної від вуглецю діоксиду; - за показником "Стерильність"- виправлення помилки щодо кількості зразка для проведення випробування: 30 г на середовище (60 г для двох середовищ); - за показником "Полімер клавуланату та інших флуоресцентних домішок" - виправлення помилки у формулі розрахунку з метою включення активності клавуланової кислоти в суміш.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додавання test for absorbance (EP 2.2.25) з критеріями прийнятності (not more than 0.40 (430 nm) за показником "Зовнішній вигляд розчину" відповідно до оновленої специфікації проміжного продукту - стерильної суміші амоксициліну натрію та клавуланат калію (5:1) від виробника Zhuhai United Laboratories Co., Ltd., China.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в приготування тестового розчину за показником "Зовнішній вигляд розчину" для проміжного продукту - стерильної суміші амоксициліну натрію та клавуланату калію (5:1). Методика приводиться у відповідність до методики, що застосовується виробником проміжного продукту Zhuhai United Laboratories Co., Ltd., China.</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додавання випробування за показником "Видимі частки" відповідно до оновленої специфікації виробника АФІ та проміжного продукту Zhuhai United Laboratories Co., Ltd., China.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зміна в метод випробування за показником "Супровідні домішки". Метод приводиться у відповідність до методу випробування, що застосовується виробником АФІ та проміжного продукту Zhuhai United Laboratories Co., Ltd., China.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додавання випробування за показником "Залишкові розчинники" відповідно до оновленої специфікації виробника АФІ та проміжного продукту стерильної суміші амоксициліну натрію та клавуланат калію (5:1) виробництва Zhuhai United Laboratories Co., Ltd., China.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видалення показника "Solubility" зі специфікації стерильної суміші in-bulk. Дана зміна стосується проміжного продукту - стерильної суміші амоксициліну натрію та клавуланат калію (5:1).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видалення показника "2-ethylhexanoic acid" зі специфікації стерильної суміші in-bulk. Дана зміна стосується проміжного продукту - стерильної суміші амоксициліну натрію та клавуланат калію (5:1). 2-ethylhexanoic acid є побічним продуктом під час виробництва діючих речовин, і її вміст контролюється виробником АФІ ≤ 0,8 % m/m.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методики випробування за показником "Однорідність дозованих одиниць", зокрема: виправлення друкарської помилки в критеріях прийнятності для n=30 дозованих одиниць згідно ЕР 2.9.40.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методики випробування за показником "Бактеріальні ендотоксини".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 зміна критеріїв прийнятності за показником "Органічні розчинники: етиловий ацетат" з "Не більше 500 ppm" на "Не більше 4000 ppm" для проміжного продукту - стерильної суміші амоксициліну натрію та клавуланат калію (5:1). Зміна критеріїв прийнятності у зв'язку з переглядом CEP 2013-125 шляхом додавання контролю етилового ацетату з лімітом "Не більше 5000 ppm".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i/>
                <w:i/>
                <w:sz w:val="16"/>
                <w:szCs w:val="16"/>
              </w:rPr>
            </w:pPr>
            <w:r>
              <w:rPr>
                <w:rFonts w:cs="Arial" w:ascii="Arial" w:hAnsi="Arial"/>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UA/4428/02/01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МЕДОКЛАВ®</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амоксициліну тригідрат, калію клавуланат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875 мг/125 мг, по 7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UA/4428/01/02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МЕДОКЛАВ®</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амоксициліну тригідрат, калію клавуланат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мг/125 мг; по 8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UA/4428/01/01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МЕЛОКС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meloxicam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M01AC06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15 мг/1,5 мл, по 5 ампул у фасонному блістері; по 1 або 2 блістери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Медокемі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МЕТАЛІЗЕ®</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tenecteplase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тенектеплаза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B01AD11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10 000 ОД (50 мг); для упаковки по 10 000 ОД (50 мг): 1 флакон з ліофілізатом та 1 шприц з розчинником по 10 мл (вода для ін’єкцій) у комплекті зі стерильним перехідним пристроєм для флакона у картонній коробці; для упаковки по 5000 ОД (25 мг): 1 флакон з ліофілізатом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Інтернешнл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Фарма ГмбХ і Ко. 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оновлення специфікації та методів контролю якості розчинника (вода для ін’єкцій) шляхом заміни детального опису випробувань на пряме посилання на чинну редакцію монографії Європейської Фармакопеї «Вода для ін’єкцій» для упаковки по 10 000 ОД (50 мг):1 флакон з ліофілізатом та 1 шприц з розчинником по 10 мл (вода для ін’єкцій) у комплекті зі стерильним перехідним пристроєм для флакона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МЕТЕОСПАЗМІЛ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Alverine, combinations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альверину цитрат; симетикон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lang w:val="en-US"/>
              </w:rPr>
              <w:t>A</w:t>
            </w:r>
            <w:r>
              <w:rPr>
                <w:rFonts w:cs="Arial" w:ascii="Arial" w:hAnsi="Arial"/>
                <w:sz w:val="16"/>
                <w:szCs w:val="16"/>
              </w:rPr>
              <w:t>03</w:t>
            </w:r>
            <w:r>
              <w:rPr>
                <w:rFonts w:cs="Arial" w:ascii="Arial" w:hAnsi="Arial"/>
                <w:sz w:val="16"/>
                <w:szCs w:val="16"/>
                <w:lang w:val="en-US"/>
              </w:rPr>
              <w:t>A</w:t>
            </w:r>
            <w:r>
              <w:rPr>
                <w:rFonts w:cs="Arial" w:ascii="Arial" w:hAnsi="Arial"/>
                <w:sz w:val="16"/>
                <w:szCs w:val="16"/>
              </w:rPr>
              <w:t>Х58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10 капсул у блістері; по 2 або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Лабораторії Майолі Спіндлер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первинна та вторинна упаковка, контроль якості, відповідальний за випуск серії:</w:t>
              <w:br/>
              <w:t xml:space="preserve">Лабораторії Галенік Вернін, Франція; первинна та вторинна упаковка, контроль якості, відповідальний за випуск серії: </w:t>
              <w:br/>
              <w:t>Лабораторії Майолі Спіндлер,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UA/8767/01/01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МЕТРОДЕНТ®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метронідазолу бензоатта хлоргексидину глюконат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A01AB</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зубний, оригінальний по 20 г в алюмінієвій тубі; по 1 тубі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Енк`юб Етікалз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UA/7951/01/01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МЕТРОДЕНТ®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метронідазолу бензоатта хлоргексидину глюконат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A01AB</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гель зубний, лимонний аромат; по 20 г в алюмінієвій тубі; по 1 тубі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Енк`юб Етікалз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UA/7952/01/01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МЕТРОДЕНТ®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метронідазолу бензоатта хлоргексидину глюконат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A01AB</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гель зубний, ананасовий аромат; по 20 г в алюмінієвій тубі; по 1 тубі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Енк`юб Етікалз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UA/7953/01/01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МЕТРОДЕНТ®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метронідазолу бензоатта хлоргексидину глюконат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A01AB</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гель зубний, полуничний аромат; по 20 г в алюмінієвій тубі; по 1 тубі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Енк`юб Етікалз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UA/7954/01/01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МІДІАНА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Drospirenone and ethinylestradiol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дроспіренон, етинілестрадіол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21 таблетці у блістері; по 1 або 3 блістери разом із картонним футляром для зберігання блістера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UA/11296/01/01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МІНОКСИДИЛ ІНТЕЛІ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minoxidil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міноксидил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D11AX01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нашкірний, 2 %; по 60 мл у флаконі; по 1 флакону у комплекті з мірним насосом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"Інтелі Генерикс Норд"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Литва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Індастріал Фармасеутіка Кантабріа,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оновлення р. 3.2.Р.7 Система контейнер/ закупорювальний засіб, а саме вилучення постачальника кнопки розпилювача (Nemo S.A – DISPARCK S.L. – Pulsador reference NM3) та посилання для кнопки розпилювача.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оновлення р. 3.2.Р.7 Система контейнер/ закупорювальний засіб, а саме зміна розмірів кнопки розпилювача.</w:t>
              <w:br/>
              <w:t>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оновлення р. 3.2.Р.7 Система контейнер/ закупорювальний засіб, а саме зміна розмірів мірного насоса.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оновлення р. 3.2.Р.7 Система контейнер/ закупорювальний засіб, а саме вилучення постачальника для мірного насоса (Nemo S.A – DISPARCK S.L. – Pump reference AV215LG (20/415).) та посилання для мірного насоса.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UA/14771/01/02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МІНОКСИДИЛ ІНТЕЛІ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minoxidil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міноксидил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D11AX01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нашкірний, 5 %; по 60 мл у флаконі; по 1 флакону у комплекті з мірним насосом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"Інтелі Генерикс Норд"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Литва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Індастріал Фармасеутіка Кантабріа,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оновлення р. 3.2.Р.7 Система контейнер/ закупорювальний засіб, а саме вилучення постачальника кнопки розпилювача (Nemo S.A – DISPARCK S.L. – Pulsador reference NM3) та посилання для кнопки розпилювача.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оновлення р. 3.2.Р.7 Система контейнер/ закупорювальний засіб, а саме зміна розмірів кнопки розпилювача.</w:t>
              <w:br/>
              <w:t>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оновлення р. 3.2.Р.7 Система контейнер/ закупорювальний засіб, а саме зміна розмірів мірного насоса.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оновлення р. 3.2.Р.7 Система контейнер/ закупорювальний засіб, а саме вилучення постачальника для мірного насоса (Nemo S.A – DISPARCK S.L. – Pump reference AV215LG (20/415).) та посилання для мірного насоса.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МОНОПРОСТ®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latanoprost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латанопрост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50 мкг/мл; по 0,2 мл в однодозовому контейнері; по 5 однодозових контейнерів, з`єднаних між собою у стрічку (стрип), у саше; по 6 саше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ЛАБОРАТУАР ТЕА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ЕКСЕЛВІЗІОН</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(R0 CEP-2022-071 Rev 00 від 17 березня 2023) від вже затвердженого виробника АФІ латанопросту Індустріале Кіміка С.р.л., Італія (Industriale Chimica S.r.l., Italy) замість чинного мастер-файлу. При цьому не відбулось зміни виробника і шляху виробництва АФІ. Зазнає змін частина 3.2.S модулю 3 і відповідний розділ модулю 2. Ця зміна не вноситься в МКЯ.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МОТОРИКУМ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Domperidone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домперидон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A03FA03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Медокемі Лімітед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первинне пакування:</w:t>
              <w:br/>
              <w:t>Медокемі Лімітед, Кіпр;</w:t>
              <w:br/>
              <w:br/>
              <w:t>виробництво за повним циклом</w:t>
              <w:br/>
              <w:t xml:space="preserve">Медокемі Лімітед, Кіпр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Заявник та його місцезнаходження залишаються без змін.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UA/8733/01/01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НАФТИФІН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naftifine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нафтифіну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D01AE22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нашкірний, розчин, 10 мг/мл; по 8 мл або по 15 мл у флаконі, забезпеченому насосом, насадкою-розпилювачем та захисним ковпачком; по 1 флакону в коробці з картону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"Фармацевтична фірма "Вертекс"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"Фармацевтична фірма "Вертекс"</w:t>
              <w:br/>
              <w:t xml:space="preserve">Україна; (виробництво з продукції in bulk ТОВАРИСТВА З ОБМЕЖЕНОЮ ВІДПОВІДАЛЬНІСТЮ </w:t>
              <w:br/>
              <w:t>«КОРПОРАЦІЯ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Адміністративні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найменування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адреси</w:t>
            </w:r>
            <w:r>
              <w:rPr>
                <w:rFonts w:cs="Arial" w:ascii="Arial" w:hAnsi="Arial"/>
                <w:color w:val="000000"/>
                <w:sz w:val="16"/>
                <w:szCs w:val="16"/>
                <w:lang w:val="en-US"/>
              </w:rPr>
              <w:t xml:space="preserve"> </w:t>
            </w:r>
            <w:r>
              <w:rPr>
                <w:rFonts w:cs="Arial" w:ascii="Arial" w:hAnsi="Arial"/>
                <w:color w:val="000000"/>
                <w:sz w:val="16"/>
                <w:szCs w:val="16"/>
              </w:rPr>
              <w:t>місця</w:t>
            </w:r>
            <w:r>
              <w:rPr>
                <w:rFonts w:cs="Arial" w:ascii="Arial" w:hAnsi="Arial"/>
                <w:color w:val="000000"/>
                <w:sz w:val="16"/>
                <w:szCs w:val="16"/>
                <w:lang w:val="en-US"/>
              </w:rPr>
              <w:t xml:space="preserve"> </w:t>
            </w:r>
            <w:r>
              <w:rPr>
                <w:rFonts w:cs="Arial" w:ascii="Arial" w:hAnsi="Arial"/>
                <w:color w:val="000000"/>
                <w:sz w:val="16"/>
                <w:szCs w:val="16"/>
              </w:rPr>
              <w:t>провадження</w:t>
            </w:r>
            <w:r>
              <w:rPr>
                <w:rFonts w:cs="Arial" w:ascii="Arial" w:hAnsi="Arial"/>
                <w:color w:val="000000"/>
                <w:sz w:val="16"/>
                <w:szCs w:val="16"/>
                <w:lang w:val="en-US"/>
              </w:rPr>
              <w:t xml:space="preserve"> </w:t>
            </w:r>
            <w:r>
              <w:rPr>
                <w:rFonts w:cs="Arial" w:ascii="Arial" w:hAnsi="Arial"/>
                <w:color w:val="000000"/>
                <w:sz w:val="16"/>
                <w:szCs w:val="16"/>
              </w:rPr>
              <w:t>діяльності</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w:t>
            </w:r>
            <w:r>
              <w:rPr>
                <w:rFonts w:cs="Arial" w:ascii="Arial" w:hAnsi="Arial"/>
                <w:color w:val="000000"/>
                <w:sz w:val="16"/>
                <w:szCs w:val="16"/>
              </w:rPr>
              <w:t>імпортера</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дільниці</w:t>
            </w:r>
            <w:r>
              <w:rPr>
                <w:rFonts w:cs="Arial" w:ascii="Arial" w:hAnsi="Arial"/>
                <w:color w:val="000000"/>
                <w:sz w:val="16"/>
                <w:szCs w:val="16"/>
                <w:lang w:val="en-US"/>
              </w:rPr>
              <w:t xml:space="preserve"> </w:t>
            </w:r>
            <w:r>
              <w:rPr>
                <w:rFonts w:cs="Arial" w:ascii="Arial" w:hAnsi="Arial"/>
                <w:color w:val="000000"/>
                <w:sz w:val="16"/>
                <w:szCs w:val="16"/>
              </w:rPr>
              <w:t>випуску</w:t>
            </w:r>
            <w:r>
              <w:rPr>
                <w:rFonts w:cs="Arial" w:ascii="Arial" w:hAnsi="Arial"/>
                <w:color w:val="000000"/>
                <w:sz w:val="16"/>
                <w:szCs w:val="16"/>
                <w:lang w:val="en-US"/>
              </w:rPr>
              <w:t xml:space="preserve"> </w:t>
            </w:r>
            <w:r>
              <w:rPr>
                <w:rFonts w:cs="Arial" w:ascii="Arial" w:hAnsi="Arial"/>
                <w:color w:val="000000"/>
                <w:sz w:val="16"/>
                <w:szCs w:val="16"/>
              </w:rPr>
              <w:t>серії</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місце</w:t>
            </w:r>
            <w:r>
              <w:rPr>
                <w:rFonts w:cs="Arial" w:ascii="Arial" w:hAnsi="Arial"/>
                <w:color w:val="000000"/>
                <w:sz w:val="16"/>
                <w:szCs w:val="16"/>
                <w:lang w:val="en-US"/>
              </w:rPr>
              <w:t xml:space="preserve"> </w:t>
            </w:r>
            <w:r>
              <w:rPr>
                <w:rFonts w:cs="Arial" w:ascii="Arial" w:hAnsi="Arial"/>
                <w:color w:val="000000"/>
                <w:sz w:val="16"/>
                <w:szCs w:val="16"/>
              </w:rPr>
              <w:t>проведення</w:t>
            </w:r>
            <w:r>
              <w:rPr>
                <w:rFonts w:cs="Arial" w:ascii="Arial" w:hAnsi="Arial"/>
                <w:color w:val="000000"/>
                <w:sz w:val="16"/>
                <w:szCs w:val="16"/>
                <w:lang w:val="en-US"/>
              </w:rPr>
              <w:t xml:space="preserve"> </w:t>
            </w:r>
            <w:r>
              <w:rPr>
                <w:rFonts w:cs="Arial" w:ascii="Arial" w:hAnsi="Arial"/>
                <w:color w:val="000000"/>
                <w:sz w:val="16"/>
                <w:szCs w:val="16"/>
              </w:rPr>
              <w:t>контролю</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w:t>
            </w:r>
            <w:r>
              <w:rPr>
                <w:rFonts w:cs="Arial" w:ascii="Arial" w:hAnsi="Arial"/>
                <w:color w:val="000000"/>
                <w:sz w:val="16"/>
                <w:szCs w:val="16"/>
              </w:rPr>
              <w:t>діяльність</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яку</w:t>
            </w:r>
            <w:r>
              <w:rPr>
                <w:rFonts w:cs="Arial" w:ascii="Arial" w:hAnsi="Arial"/>
                <w:color w:val="000000"/>
                <w:sz w:val="16"/>
                <w:szCs w:val="16"/>
                <w:lang w:val="en-US"/>
              </w:rPr>
              <w:t xml:space="preserve"> </w:t>
            </w:r>
            <w:r>
              <w:rPr>
                <w:rFonts w:cs="Arial" w:ascii="Arial" w:hAnsi="Arial"/>
                <w:color w:val="000000"/>
                <w:sz w:val="16"/>
                <w:szCs w:val="16"/>
              </w:rPr>
              <w:t>відповідає</w:t>
            </w:r>
            <w:r>
              <w:rPr>
                <w:rFonts w:cs="Arial" w:ascii="Arial" w:hAnsi="Arial"/>
                <w:color w:val="000000"/>
                <w:sz w:val="16"/>
                <w:szCs w:val="16"/>
                <w:lang w:val="en-US"/>
              </w:rPr>
              <w:t xml:space="preserve"> </w:t>
            </w:r>
            <w:r>
              <w:rPr>
                <w:rFonts w:cs="Arial" w:ascii="Arial" w:hAnsi="Arial"/>
                <w:color w:val="000000"/>
                <w:sz w:val="16"/>
                <w:szCs w:val="16"/>
              </w:rPr>
              <w:t>виробник</w:t>
            </w:r>
            <w:r>
              <w:rPr>
                <w:rFonts w:cs="Arial" w:ascii="Arial" w:hAnsi="Arial"/>
                <w:color w:val="000000"/>
                <w:sz w:val="16"/>
                <w:szCs w:val="16"/>
                <w:lang w:val="en-US"/>
              </w:rPr>
              <w:t>/</w:t>
            </w:r>
            <w:r>
              <w:rPr>
                <w:rFonts w:cs="Arial" w:ascii="Arial" w:hAnsi="Arial"/>
                <w:color w:val="000000"/>
                <w:sz w:val="16"/>
                <w:szCs w:val="16"/>
              </w:rPr>
              <w:t>імпортер</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випуск</w:t>
            </w:r>
            <w:r>
              <w:rPr>
                <w:rFonts w:cs="Arial" w:ascii="Arial" w:hAnsi="Arial"/>
                <w:color w:val="000000"/>
                <w:sz w:val="16"/>
                <w:szCs w:val="16"/>
                <w:lang w:val="en-US"/>
              </w:rPr>
              <w:t xml:space="preserve"> </w:t>
            </w:r>
            <w:r>
              <w:rPr>
                <w:rFonts w:cs="Arial" w:ascii="Arial" w:hAnsi="Arial"/>
                <w:color w:val="000000"/>
                <w:sz w:val="16"/>
                <w:szCs w:val="16"/>
              </w:rPr>
              <w:t>серій</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найменування</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продукції</w:t>
            </w:r>
            <w:r>
              <w:rPr>
                <w:rFonts w:cs="Arial" w:ascii="Arial" w:hAnsi="Arial"/>
                <w:color w:val="000000"/>
                <w:sz w:val="16"/>
                <w:szCs w:val="16"/>
                <w:lang w:val="en-US"/>
              </w:rPr>
              <w:t xml:space="preserve"> in bulk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Товариства</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обмеженою</w:t>
            </w:r>
            <w:r>
              <w:rPr>
                <w:rFonts w:cs="Arial" w:ascii="Arial" w:hAnsi="Arial"/>
                <w:color w:val="000000"/>
                <w:sz w:val="16"/>
                <w:szCs w:val="16"/>
                <w:lang w:val="en-US"/>
              </w:rPr>
              <w:t xml:space="preserve"> </w:t>
            </w:r>
            <w:r>
              <w:rPr>
                <w:rFonts w:cs="Arial" w:ascii="Arial" w:hAnsi="Arial"/>
                <w:color w:val="000000"/>
                <w:sz w:val="16"/>
                <w:szCs w:val="16"/>
              </w:rPr>
              <w:t>відповідальністю</w:t>
            </w:r>
            <w:r>
              <w:rPr>
                <w:rFonts w:cs="Arial" w:ascii="Arial" w:hAnsi="Arial"/>
                <w:color w:val="000000"/>
                <w:sz w:val="16"/>
                <w:szCs w:val="16"/>
                <w:lang w:val="en-US"/>
              </w:rPr>
              <w:t xml:space="preserve"> </w:t>
            </w:r>
            <w:r>
              <w:rPr>
                <w:rFonts w:cs="Arial" w:ascii="Arial" w:hAnsi="Arial"/>
                <w:color w:val="000000"/>
                <w:sz w:val="16"/>
                <w:szCs w:val="16"/>
              </w:rPr>
              <w:t>«Фармацевтична компанія «Здоров’я» на ТОВАРИСТВА З ОБМЕЖЕНОЮ ВІДПОВІДАЛЬНІСТЮ «КОРПОРАЦІЯ «ЗДОРОВ’Я». Адреса виробничої дільниці та всі виробничі операції залишаються незмінними. Зміни внесено у текст маркування вторинної упаковки лікарського засобу (пункт 11) у зв'язку зі зміною назви виробника продукції in bulk.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UA/16051/02/01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НЕЙРОМУЛЬТИВІТ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Vitamin B1 in combination with vitamin B6 and/or vitamin B12</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тіаміну</w:t>
            </w:r>
            <w:r>
              <w:rPr>
                <w:rFonts w:cs="Arial" w:ascii="Arial" w:hAnsi="Arial"/>
                <w:sz w:val="16"/>
                <w:szCs w:val="16"/>
                <w:lang w:val="en-US"/>
              </w:rPr>
              <w:t xml:space="preserve"> </w:t>
            </w:r>
            <w:r>
              <w:rPr>
                <w:rFonts w:cs="Arial" w:ascii="Arial" w:hAnsi="Arial"/>
                <w:sz w:val="16"/>
                <w:szCs w:val="16"/>
              </w:rPr>
              <w:t>гідрохлорид</w:t>
            </w:r>
            <w:r>
              <w:rPr>
                <w:rFonts w:cs="Arial" w:ascii="Arial" w:hAnsi="Arial"/>
                <w:sz w:val="16"/>
                <w:szCs w:val="16"/>
                <w:lang w:val="en-US"/>
              </w:rPr>
              <w:t xml:space="preserve"> (</w:t>
            </w:r>
            <w:r>
              <w:rPr>
                <w:rFonts w:cs="Arial" w:ascii="Arial" w:hAnsi="Arial"/>
                <w:sz w:val="16"/>
                <w:szCs w:val="16"/>
              </w:rPr>
              <w:t>вітамін</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1), </w:t>
            </w:r>
            <w:r>
              <w:rPr>
                <w:rFonts w:cs="Arial" w:ascii="Arial" w:hAnsi="Arial"/>
                <w:sz w:val="16"/>
                <w:szCs w:val="16"/>
              </w:rPr>
              <w:t>піридоксину</w:t>
            </w:r>
            <w:r>
              <w:rPr>
                <w:rFonts w:cs="Arial" w:ascii="Arial" w:hAnsi="Arial"/>
                <w:sz w:val="16"/>
                <w:szCs w:val="16"/>
                <w:lang w:val="en-US"/>
              </w:rPr>
              <w:t xml:space="preserve"> </w:t>
            </w:r>
            <w:r>
              <w:rPr>
                <w:rFonts w:cs="Arial" w:ascii="Arial" w:hAnsi="Arial"/>
                <w:sz w:val="16"/>
                <w:szCs w:val="16"/>
              </w:rPr>
              <w:t>гідрохлорид</w:t>
            </w:r>
            <w:r>
              <w:rPr>
                <w:rFonts w:cs="Arial" w:ascii="Arial" w:hAnsi="Arial"/>
                <w:sz w:val="16"/>
                <w:szCs w:val="16"/>
                <w:lang w:val="en-US"/>
              </w:rPr>
              <w:t xml:space="preserve"> (</w:t>
            </w:r>
            <w:r>
              <w:rPr>
                <w:rFonts w:cs="Arial" w:ascii="Arial" w:hAnsi="Arial"/>
                <w:sz w:val="16"/>
                <w:szCs w:val="16"/>
              </w:rPr>
              <w:t>вітамін</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6), </w:t>
            </w:r>
            <w:r>
              <w:rPr>
                <w:rFonts w:cs="Arial" w:ascii="Arial" w:hAnsi="Arial"/>
                <w:sz w:val="16"/>
                <w:szCs w:val="16"/>
              </w:rPr>
              <w:t>ціанокобаламін</w:t>
            </w:r>
            <w:r>
              <w:rPr>
                <w:rFonts w:cs="Arial" w:ascii="Arial" w:hAnsi="Arial"/>
                <w:sz w:val="16"/>
                <w:szCs w:val="16"/>
                <w:lang w:val="en-US"/>
              </w:rPr>
              <w:t xml:space="preserve"> (</w:t>
            </w:r>
            <w:r>
              <w:rPr>
                <w:rFonts w:cs="Arial" w:ascii="Arial" w:hAnsi="Arial"/>
                <w:sz w:val="16"/>
                <w:szCs w:val="16"/>
              </w:rPr>
              <w:t>вітамін</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12)</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A11DB</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таблеток у блістері; по 2 блістери в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 Фарма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 17 щодо вилучення логотипу виробника.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UA/5926/01/01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НЕФАМ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nefopam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нефопаму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N02BG06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2 мл в ампулі, по 5 або 10 ампул у пачці; по 2 мл в ампулі, по 5 ампул у блістері, по 1 або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w:t>
              <w:br/>
              <w:t>Приведення викладення упаковки лікарського засобу на Титульній сторінці МКЯ ЛЗ відповідно до затвердженого Реєстраційного посвідчення. Діюча редакція: Методи контролю якості лікарського засобу Nefam Нефам розчин для ін'єкцій, 10 мг/мл По 2 мл в ампулі По 5 або 10 ампул у пачці По 5 ампул у блістері, по 1 або 2 блістери у пачці. Пропонована редакція: Оновлені МКЯ ЛЗ (eCTD 0001) Методи контролю якості лікарського засобу Nefam Нефам розчин для ін'єкцій, 10 мг/мл по 2 мл в ампулі, по 5 або 10 ампул у пачці; по 2 мл в ампулі, по 5 ампул у блістері, по 1 або 2 блістери у пачці. Зміни внесено до розділу "Упаковка" інструкції для медичного застосування лікарського засобу (приведення опису у відповідність з реєстраційним посвідченням) (версія еСТД 0001).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w:t>
              <w:br/>
              <w:t xml:space="preserve">Діюча редакція: Термін придатності 2 роки. Пропонована редакція: Термін придатності 3 роки. Зміни внесено до розділу "Термін придатності" інструкції для медичного застосування лікарського засобу (версія еСТД 0001).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розділів "Особливості застосування", "Побічні реакції" інструкції для медичного застосування лікарського засобу щодо безпеки застосування діючої речовини (версія еСТД 0001).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UA/18031/01/01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НЕФОПАМУ ГІДРОХЛОРИД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nefopam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нефопаму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мішках прозорих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Заклади Фармацевтичне Польфарма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(інші зміни) Оновлення версії ДМФ виробника АФІ з Nefopam hydrochloride AP CTD v.8.0 March 2024 на AP CTD v.9.0 January 2025. Як наслідок оновлення ДМФ були внесені відповідні зміни до Специфікації та методів контролю в МКЯ АФІ.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НІВАЛІН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galantamine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галантаміну гідробромід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1 мл в ампулі; по 10 ампул у блістері; по 1 блістеру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UA/3335/01/02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НІВАЛІН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galantamine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галантаміну гідробромід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 мг/мл по 1 мл в ампулі; по 10 ампул у блістері; по 1 блістеру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UA/3335/01/03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НІВАЛІН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galantamine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галантаміну гідробромід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 мг/мл, по 1 мл в ампулі, по 10 ампул у блістері, по 1 блістеру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НІВАЛІН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galantamine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галантаміну гідробромід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або 20 таблеток у блістері; по 1 блістеру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UA/3335/02/01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НІВАЛІН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galantamine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галантаміну гідробромід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1 або 2 блістери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"Софарма"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UA/3335/02/02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НІТРОМІНТ®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Glyceryl trinitrate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нітрогліцерин в етанолі</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C01DA02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сублінгвальний, 0,4 мг/дозу; по 10 г (180 доз) розчину в алюмінієвому балоні з дозуючим пристроєм, з розпилюючою головкою та захисним ковпачком;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видалення незначного параметру специфікації, а саме: тест «Маса наповнення балону».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методики «Кількісне визначення діючої речовини у балоні (ВЕРХ)» : додатково уточнено параметр “potency” у розрахунковій формулі з метою забезпечення однозначного розуміння та коректного застосування при проведенні розрахунків; також включено представлення результату у відсотковій формі. </w:t>
              <w:br/>
              <w:t xml:space="preserve">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методики «Кількісне визначення діючої речовини в дозі (ВЕРХ)» : додатково уточнено параметр “potency” у розрахунковій формулі з метою забезпечення однозначного розуміння та коректного застосування при проведенні розрахунків; також включено представлення результату у відсотковій формі.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затвердженої методики «Супровідні домішки (ВЕРХ)»: уточнено якість реактивів (метанолу, ацетонітрилу, води очищеної), до реактивів додано натрію нітрит та натрію нітрат, а до розчинів- приготування розчинів для визначення неорганічних нітратів та неорганічних нітритів, а також порядок їх хроматографування; додатково уточнено параметр “potency” у розрахунковій формулі з метою забезпечення однозначного розуміння та коректного застосування при проведенні розрахунків; також включено представлення результату у відсотковій формі.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UA/7912/01/01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НІФУРОКСАЗИД РІХТЕР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nifuroxazide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ніфуроксазид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A07AX03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100 мг; по 24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"Гедеон Ріхтер Польща", Польща (контроль якості, дозвіл на випуск серії; виробництво нерозфасованого продукту, первинна упаковка, вторинна упаковка)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w:t>
              <w:br/>
              <w:t xml:space="preserve">Пропонована редакція: Ласло Секей. </w:t>
              <w:br/>
              <w:t xml:space="preserve">Зміна контактних даних уповноваженої особи заявника, відповідальної за фармаконагляд. </w:t>
              <w:br/>
              <w:t xml:space="preserve">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НОРМОДИПІН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Amlodipine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амлодипін (у вигляді амлодипіну безилату)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3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термінів подання регулярно оновлюваного звіту з безпеки. </w:t>
              <w:br/>
              <w:t xml:space="preserve">Діюча редакція: </w:t>
              <w:br/>
              <w:t xml:space="preserve">Кінцева дата для включення даних до РОЗБ - 07.03.2026 р. Дата подання - 05.06.2026 р. </w:t>
              <w:br/>
              <w:t xml:space="preserve">Пропонована редакція: </w:t>
              <w:br/>
              <w:t xml:space="preserve">Кінцева дата для включення даних до РОЗБ - 07.03.2027 р. Дата подання - 05.06.2027 р. </w:t>
              <w:br/>
              <w:t xml:space="preserve">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UA/2777/01/01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НОРМОДИПІН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Amlodipine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амлодипін (у вигляді амлодипіну безилату)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3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термінів подання регулярно оновлюваного звіту з безпеки. </w:t>
              <w:br/>
              <w:t xml:space="preserve">Діюча редакція: </w:t>
              <w:br/>
              <w:t xml:space="preserve">Кінцева дата для включення даних до РОЗБ - 07.03.2026 р. Дата подання - 05.06.2026 р. </w:t>
              <w:br/>
              <w:t xml:space="preserve">Пропонована редакція: </w:t>
              <w:br/>
              <w:t xml:space="preserve">Кінцева дата для включення даних до РОЗБ - 07.03.2027 р. Дата подання - 05.06.2027 р. </w:t>
              <w:br/>
              <w:t xml:space="preserve">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UA/2777/01/02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ДЛЯ ДІТЕЙ ФОРТЕ</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з апельсиновим смаком, 200 мг/5 мл; по 100 мл або 150 мл у флаконі; по 1 флакону у комплекті зі шприцом-дозатором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R1-СЕР 2000-087-Rev 02 (затверджено: СЕР R1-СЕР 2000-087-Rev 01) для діючої речовини Ibuprofen від вже затвердженого виробника BASF CORPORATION, USA.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1996-061-Rev 07 (затверджено: № R1-CEP 1996-061-Rev 06) для діючої речовини Ibuprofen від вже затвердженого виробника, який змінив назву на SHASUN PHARMACEUTICALS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1996-061-Rev 08 для діючої речовини Ibuprofen від вже затвердженого виробника SHASUN PHARMACEUTICALS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1996-061-Rev 09 для діючої речовини Ibuprofen від вже затвердженого виробника SHASUN PHARMACEUTICALS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1996-061-Rev 11 для діючої речовини Ibuprofen від вже затвердженого виробника зі зміною назви виробника (затверджено: SHASUN PHARMACEUTICALS LIMITED, India; запропоновано: STRIDES SHASUN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R1-СЕР 2008-316-Rev 03 для діючої речовини Ibuprofen від вже затвердженого виробника IOL CHEMICALS AND PHARMACEUTICALS LTD,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1996-061-Rev 14 (затверджено: R1-CEP 1996-061-Rev 11) для діючої речовини Ibuprofen від вже затвердженого виробника зі зміною назви виробника (затверджено: Strides Shasun Limited, India; запропоновано: SOLARA ACTIVE PHARMA SCIENCES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1996-061-Rev 15 для діючої речовини Ibuprofen від вже затвердженого виробника SOLARA ACTIVE PHARMA SCIENCES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R1-СЕР 2008-316-Rev 05 від виробника діючої речовини Ibuprofen IOL CHEMICALS AND PHARMACEUTICALS LTD,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R1-СЕР 2000-087-Rev 03 для діючої речовини Ibuprofen від вже затвердженого виробника BASF CORPORATION, USA.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сертифікату відповідності Європейській фармакопеї № R1-СЕР 2008-316-Rev 02 від нового виробника діючої речовини Ibuprofen IOL CHEMICALS AND PHARMACEUTICALS LTD, India.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UA/8233/01/02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ОЗЕРЛІК®</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gatifloxacin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гатифлоксацину сесквігідрат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400 мг; in bulk № 4000 (10х400): по 10 таблеток у блістері, по 400 блістерів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ОЗЕРЛІК®</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gatifloxacin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гатифлоксацину сесквігідрат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J01MA16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400 мг; по 10 таблеток у блістері; по 1 блістеру у картонній упаковці; по 10 таблеток у блістері; по 1 блістеру у картонній упаковці; по 10 картонних упаковок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UA/7652/01/02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ОКСИМЕТАЗОЛІНУ ГІДРОХЛОРИД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oxymetazoline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оксиметазоліну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мішках поліетиленових подвійних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Зігфрід ФармаКемікаліен Мінден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«Важкі метали» із специфікації/методів контролю МКЯ субстанції у зв’язку з отриманням оцінки ризиків вмісту елементних домішок відповідно до вимог Керівництва ICH Q3D від виробника АФІ Siegfried PharmaChemikalien Minden GmbH, Німеччина.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UA/7495/01/01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ОКСОЛІНОВА МАЗЬ</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оксолін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R05X</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мазь, 2,5 мг/г </w:t>
              <w:br/>
              <w:t>по 10 г у тубі; по 1 тубі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в специфікацію щодо зміни рутинності проведення аналізу мікробіологічного контролю ГЛЗ, а саме: «Не рутинний тест: допускається проводити контроль першої та кожної десятої наступної серії ГЛЗ, але не рідше ніж 1 серії в рік» та послідовної зміни, а саме зазначення коректного посилання на діюче видання ДФУ в методах контролю готового лікарського засобу за показником «Мікробіологічна чистота», редакційні правки.</w:t>
              <w:br/>
              <w:t xml:space="preserve">Супутня зміна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ОКТАГАМ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Immunoglobulins, normal human, for intravascular adm.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загальний</w:t>
            </w:r>
            <w:r>
              <w:rPr>
                <w:rFonts w:cs="Arial" w:ascii="Arial" w:hAnsi="Arial"/>
                <w:sz w:val="16"/>
                <w:szCs w:val="16"/>
                <w:lang w:val="en-US"/>
              </w:rPr>
              <w:t xml:space="preserve"> </w:t>
            </w:r>
            <w:r>
              <w:rPr>
                <w:rFonts w:cs="Arial" w:ascii="Arial" w:hAnsi="Arial"/>
                <w:sz w:val="16"/>
                <w:szCs w:val="16"/>
              </w:rPr>
              <w:t>білок</w:t>
            </w:r>
            <w:r>
              <w:rPr>
                <w:rFonts w:cs="Arial" w:ascii="Arial" w:hAnsi="Arial"/>
                <w:sz w:val="16"/>
                <w:szCs w:val="16"/>
                <w:lang w:val="en-US"/>
              </w:rPr>
              <w:t xml:space="preserve"> (</w:t>
            </w:r>
            <w:r>
              <w:rPr>
                <w:rFonts w:cs="Arial" w:ascii="Arial" w:hAnsi="Arial"/>
                <w:sz w:val="16"/>
                <w:szCs w:val="16"/>
              </w:rPr>
              <w:t>в</w:t>
            </w:r>
            <w:r>
              <w:rPr>
                <w:rFonts w:cs="Arial" w:ascii="Arial" w:hAnsi="Arial"/>
                <w:sz w:val="16"/>
                <w:szCs w:val="16"/>
                <w:lang w:val="en-US"/>
              </w:rPr>
              <w:t xml:space="preserve"> </w:t>
            </w:r>
            <w:r>
              <w:rPr>
                <w:rFonts w:cs="Arial" w:ascii="Arial" w:hAnsi="Arial"/>
                <w:sz w:val="16"/>
                <w:szCs w:val="16"/>
              </w:rPr>
              <w:t>тому</w:t>
            </w:r>
            <w:r>
              <w:rPr>
                <w:rFonts w:cs="Arial" w:ascii="Arial" w:hAnsi="Arial"/>
                <w:sz w:val="16"/>
                <w:szCs w:val="16"/>
                <w:lang w:val="en-US"/>
              </w:rPr>
              <w:t xml:space="preserve"> </w:t>
            </w:r>
            <w:r>
              <w:rPr>
                <w:rFonts w:cs="Arial" w:ascii="Arial" w:hAnsi="Arial"/>
                <w:sz w:val="16"/>
                <w:szCs w:val="16"/>
              </w:rPr>
              <w:t>числі</w:t>
            </w:r>
            <w:r>
              <w:rPr>
                <w:rFonts w:cs="Arial" w:ascii="Arial" w:hAnsi="Arial"/>
                <w:sz w:val="16"/>
                <w:szCs w:val="16"/>
                <w:lang w:val="en-US"/>
              </w:rPr>
              <w:t xml:space="preserve"> </w:t>
            </w:r>
            <w:r>
              <w:rPr>
                <w:rFonts w:cs="Arial" w:ascii="Arial" w:hAnsi="Arial"/>
                <w:sz w:val="16"/>
                <w:szCs w:val="16"/>
              </w:rPr>
              <w:t>імуноглобулін</w:t>
            </w:r>
            <w:r>
              <w:rPr>
                <w:rFonts w:cs="Arial" w:ascii="Arial" w:hAnsi="Arial"/>
                <w:sz w:val="16"/>
                <w:szCs w:val="16"/>
                <w:lang w:val="en-US"/>
              </w:rPr>
              <w:t xml:space="preserve"> G (IgG) </w:t>
            </w:r>
            <w:r>
              <w:rPr>
                <w:rFonts w:cs="Arial" w:ascii="Arial" w:hAnsi="Arial"/>
                <w:sz w:val="16"/>
                <w:szCs w:val="16"/>
              </w:rPr>
              <w:t>та</w:t>
            </w:r>
            <w:r>
              <w:rPr>
                <w:rFonts w:cs="Arial" w:ascii="Arial" w:hAnsi="Arial"/>
                <w:sz w:val="16"/>
                <w:szCs w:val="16"/>
                <w:lang w:val="en-US"/>
              </w:rPr>
              <w:t xml:space="preserve"> </w:t>
            </w:r>
            <w:r>
              <w:rPr>
                <w:rFonts w:cs="Arial" w:ascii="Arial" w:hAnsi="Arial"/>
                <w:sz w:val="16"/>
                <w:szCs w:val="16"/>
              </w:rPr>
              <w:t>імуноглобулін</w:t>
            </w:r>
            <w:r>
              <w:rPr>
                <w:rFonts w:cs="Arial" w:ascii="Arial" w:hAnsi="Arial"/>
                <w:sz w:val="16"/>
                <w:szCs w:val="16"/>
                <w:lang w:val="en-US"/>
              </w:rPr>
              <w:t xml:space="preserve"> </w:t>
            </w:r>
            <w:r>
              <w:rPr>
                <w:rFonts w:cs="Arial" w:ascii="Arial" w:hAnsi="Arial"/>
                <w:sz w:val="16"/>
                <w:szCs w:val="16"/>
              </w:rPr>
              <w:t>А</w:t>
            </w:r>
            <w:r>
              <w:rPr>
                <w:rFonts w:cs="Arial" w:ascii="Arial" w:hAnsi="Arial"/>
                <w:sz w:val="16"/>
                <w:szCs w:val="16"/>
                <w:lang w:val="en-US"/>
              </w:rPr>
              <w:t xml:space="preserve"> (IgA))</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J06BA02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50 мг/мл; по 50 мл, або по 100 мл, або по 200 мл у пляшці; по 1 пляшці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 Австрія; Виробник, відповідальний за виробництво за повним циклом, за виключенням вторинної упаковки: ОКТАФАРМА АБ, Швеція; Виробник, відповідальний за виробництво за повним циклом, за виключенням виробництва розчину in-bulk, вторинної упаковки. Альтернативно, виробництво кінцевого продукту з in-bulk розчину, виробленого на Октафарма Фармацевтика Продуктіонсгес. м.б.Х., Австрія: Октафарма, Франція; Альтернативна виробнича ділянка для вторинного пакування: Октафарма Дессау ГмбХ, Німеччина; Виробник, відповідальний за випробування на алюміній (додатково до виробника Октафарма АБ, Швеція): Октафарма Продуктіонсгеселшафт Дойчланд 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Австрія</w:t>
            </w:r>
            <w:r>
              <w:rPr>
                <w:rFonts w:cs="Arial" w:ascii="Arial" w:hAnsi="Arial"/>
                <w:color w:val="000000"/>
                <w:sz w:val="16"/>
                <w:szCs w:val="16"/>
                <w:lang w:val="en-US"/>
              </w:rPr>
              <w:t>/</w:t>
            </w:r>
            <w:r>
              <w:rPr>
                <w:rFonts w:cs="Arial" w:ascii="Arial" w:hAnsi="Arial"/>
                <w:color w:val="000000"/>
                <w:sz w:val="16"/>
                <w:szCs w:val="16"/>
              </w:rPr>
              <w:t xml:space="preserve"> Швеція</w:t>
            </w:r>
            <w:r>
              <w:rPr>
                <w:rFonts w:cs="Arial" w:ascii="Arial" w:hAnsi="Arial"/>
                <w:color w:val="000000"/>
                <w:sz w:val="16"/>
                <w:szCs w:val="16"/>
                <w:lang w:val="en-US"/>
              </w:rPr>
              <w:t>/</w:t>
            </w:r>
            <w:r>
              <w:rPr>
                <w:rFonts w:cs="Arial" w:ascii="Arial" w:hAnsi="Arial"/>
                <w:color w:val="000000"/>
                <w:sz w:val="16"/>
                <w:szCs w:val="16"/>
              </w:rPr>
              <w:t xml:space="preserve"> Австрія</w:t>
            </w:r>
            <w:r>
              <w:rPr>
                <w:rFonts w:cs="Arial" w:ascii="Arial" w:hAnsi="Arial"/>
                <w:color w:val="000000"/>
                <w:sz w:val="16"/>
                <w:szCs w:val="16"/>
                <w:lang w:val="en-US"/>
              </w:rPr>
              <w:t>/</w:t>
            </w:r>
            <w:r>
              <w:rPr>
                <w:rFonts w:cs="Arial" w:ascii="Arial" w:hAnsi="Arial"/>
                <w:color w:val="000000"/>
                <w:sz w:val="16"/>
                <w:szCs w:val="16"/>
              </w:rPr>
              <w:t xml:space="preserve"> 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 Виробництво. Зміни в процесі виробництва АФІ (незначна зміна у процесі виробництва АФІ).</w:t>
              <w:br/>
              <w:t>Використання фракції I+II+III, виробленої на дільниці Октафарма, Німеччина для подальшої переробки на фракцію II та виробництва Октагам на виробничій дільниці Октафарма, Швеція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ОМНАДРЕН® 250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testosterone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тестостерону пропіонат; тестостерону фенілпропіонат; тестостерону ізокапронат; тестостерону капрінат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G03BA03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олійний для ін'єкцій, по 1 мл у ампулі; по 5 ампул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Фармзавод Єльфа 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«Побічні реакції» відповідно інформації щодо безпеки застосування діючих речовин згідно рекомендації PRAC.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UA/5204/01/01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ОРВІКС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valaciclovir</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валацикловір (у вигляді валацикловіру гідрохлориду)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J05AB11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8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Апотекс Інк.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Канада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UA/14168/01/01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ОРВІКС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valaciclovir</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валацикловір (у вигляді валацикловіру гідрохлориду)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J05AB11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1000 мг; по 3 таблетки в блістері; по 7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Апотекс Інк.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Канада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UA/14168/01/02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ПАРОКСЕТИН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paroxetine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пароксетину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Медокемі Лімітед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Медокемі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ПЕНТАЛГІН ФС ЕКСТРА КАПСУЛИ</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Metamizole sodium, combinations with psycholeptics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парацетамол</w:t>
            </w:r>
            <w:r>
              <w:rPr>
                <w:rFonts w:cs="Arial" w:ascii="Arial" w:hAnsi="Arial"/>
                <w:sz w:val="16"/>
                <w:szCs w:val="16"/>
                <w:lang w:val="en-US"/>
              </w:rPr>
              <w:t xml:space="preserve">, </w:t>
            </w:r>
            <w:r>
              <w:rPr>
                <w:rFonts w:cs="Arial" w:ascii="Arial" w:hAnsi="Arial"/>
                <w:sz w:val="16"/>
                <w:szCs w:val="16"/>
              </w:rPr>
              <w:t>метамізолу</w:t>
            </w:r>
            <w:r>
              <w:rPr>
                <w:rFonts w:cs="Arial" w:ascii="Arial" w:hAnsi="Arial"/>
                <w:sz w:val="16"/>
                <w:szCs w:val="16"/>
                <w:lang w:val="en-US"/>
              </w:rPr>
              <w:t xml:space="preserve"> </w:t>
            </w:r>
            <w:r>
              <w:rPr>
                <w:rFonts w:cs="Arial" w:ascii="Arial" w:hAnsi="Arial"/>
                <w:sz w:val="16"/>
                <w:szCs w:val="16"/>
              </w:rPr>
              <w:t>натрію</w:t>
            </w:r>
            <w:r>
              <w:rPr>
                <w:rFonts w:cs="Arial" w:ascii="Arial" w:hAnsi="Arial"/>
                <w:sz w:val="16"/>
                <w:szCs w:val="16"/>
                <w:lang w:val="en-US"/>
              </w:rPr>
              <w:t xml:space="preserve"> </w:t>
            </w:r>
            <w:r>
              <w:rPr>
                <w:rFonts w:cs="Arial" w:ascii="Arial" w:hAnsi="Arial"/>
                <w:sz w:val="16"/>
                <w:szCs w:val="16"/>
              </w:rPr>
              <w:t>моногідрат</w:t>
            </w:r>
            <w:r>
              <w:rPr>
                <w:rFonts w:cs="Arial" w:ascii="Arial" w:hAnsi="Arial"/>
                <w:sz w:val="16"/>
                <w:szCs w:val="16"/>
                <w:lang w:val="en-US"/>
              </w:rPr>
              <w:t xml:space="preserve">, </w:t>
            </w:r>
            <w:r>
              <w:rPr>
                <w:rFonts w:cs="Arial" w:ascii="Arial" w:hAnsi="Arial"/>
                <w:sz w:val="16"/>
                <w:szCs w:val="16"/>
              </w:rPr>
              <w:t>кофеїн</w:t>
            </w:r>
            <w:r>
              <w:rPr>
                <w:rFonts w:cs="Arial" w:ascii="Arial" w:hAnsi="Arial"/>
                <w:sz w:val="16"/>
                <w:szCs w:val="16"/>
                <w:lang w:val="en-US"/>
              </w:rPr>
              <w:t xml:space="preserve">, </w:t>
            </w:r>
            <w:r>
              <w:rPr>
                <w:rFonts w:cs="Arial" w:ascii="Arial" w:hAnsi="Arial"/>
                <w:sz w:val="16"/>
                <w:szCs w:val="16"/>
              </w:rPr>
              <w:t>фенобарбітал</w:t>
            </w:r>
            <w:r>
              <w:rPr>
                <w:rFonts w:cs="Arial" w:ascii="Arial" w:hAnsi="Arial"/>
                <w:sz w:val="16"/>
                <w:szCs w:val="16"/>
                <w:lang w:val="en-US"/>
              </w:rPr>
              <w:t xml:space="preserve">, </w:t>
            </w:r>
            <w:r>
              <w:rPr>
                <w:rFonts w:cs="Arial" w:ascii="Arial" w:hAnsi="Arial"/>
                <w:sz w:val="16"/>
                <w:szCs w:val="16"/>
              </w:rPr>
              <w:t>кодеїну</w:t>
            </w:r>
            <w:r>
              <w:rPr>
                <w:rFonts w:cs="Arial" w:ascii="Arial" w:hAnsi="Arial"/>
                <w:sz w:val="16"/>
                <w:szCs w:val="16"/>
                <w:lang w:val="en-US"/>
              </w:rPr>
              <w:t xml:space="preserve"> </w:t>
            </w:r>
            <w:r>
              <w:rPr>
                <w:rFonts w:cs="Arial" w:ascii="Arial" w:hAnsi="Arial"/>
                <w:sz w:val="16"/>
                <w:szCs w:val="16"/>
              </w:rPr>
              <w:t>фосфату</w:t>
            </w:r>
            <w:r>
              <w:rPr>
                <w:rFonts w:cs="Arial" w:ascii="Arial" w:hAnsi="Arial"/>
                <w:sz w:val="16"/>
                <w:szCs w:val="16"/>
                <w:lang w:val="en-US"/>
              </w:rPr>
              <w:t xml:space="preserve"> </w:t>
            </w:r>
            <w:r>
              <w:rPr>
                <w:rFonts w:cs="Arial" w:ascii="Arial" w:hAnsi="Arial"/>
                <w:sz w:val="16"/>
                <w:szCs w:val="16"/>
              </w:rPr>
              <w:t>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N02BB72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10 капсул у блістері; по 1 або 2 блістери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"АСІНО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"Фарма Старт"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"Спосіб застосування та дози" та "Побічні реакції" щодо безпеки застосування діючої речовини кодеїн відповідно до рекомендацій PRAC.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UA/10881/01/01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ПЕР'ЄТА®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pertuzumab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по 420 мг/14 мл; по 14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випробування контролю якості: Рош Діагностикс ГмбХ, Німеччина; </w:t>
              <w:br/>
              <w:t>Вторинне пакування, випуск cерії: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w:t>
              <w:br/>
              <w:t xml:space="preserve">Діюча редакція: Частота подання регулярно оновлюваного звіту з безпеки 6 місяців. Кінцева дата для включення даних до регулярно оновлюваного звіту з безпеки - 07.12.2018 р. Дата подання - 16.02.2019 р. </w:t>
              <w:br/>
              <w:t>Пропонована редакція: Частота подання регулярно оновлюваного звіту з безпеки 3 роки. Кінцева дата для включення даних до регулярно оновлюваного звіту з безпеки - 07.06.2027 р. Дата подання - 05.09.2027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ПІКОВІТ®ФОРТЕ</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ретинол, холекальциферол, кислота аскорбінова, тіаміну нітрат, рибофлавін, піридоксину гідрохлорид, ціанокобаламін, нікотинамід, кислота фолієва, кальцію пантотенат, α-токоферолу 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A11BA</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15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"in bulk", первинну упаковку, вторинну упаковку:</w:t>
              <w:br/>
              <w:t>КРКА, д.д., Ново место, Словенія;</w:t>
              <w:br/>
              <w:t>відповідальний за контроль серій:</w:t>
              <w:br/>
              <w:t>КРКА, д.д., Ново место, Словенія;</w:t>
              <w:br/>
              <w:t>відповідальний за контроль та випуск серій:</w:t>
              <w:br/>
              <w:t>КРКА, д.д., Ново место, Словенія;</w:t>
              <w:br/>
              <w:t>відповідальний за контроль серії:</w:t>
              <w:br/>
              <w:t>Нешінал Лабораторі оф Хелс, Інваромент Енд Фуд,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Словенія </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Європейської фармакопеї № CEP 2022-492-Rev 01 для АФІ піридоксину гідрохлориду від затвердженого виробника DSM NUTRITIONAL PRODUCTS LTD., Switzerland.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Європейської фармакопеї № CEP 2004-110-Rev 06 (затверджено: R1-CEP 2004-110-Rev 05) для АФІ нікотинаміду від затвердженого виробника LONZA GUANGZHOU PHARMACEUTICAL LTD., China.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зміни у специфікації АФІ альфа-токоферолу ацетату, а саме: видалення показника «Важкі метали».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Європейської фармакопеї № CEP 2004-110 - Rev 07 для АФІ нікотинаміду від затвердженого виробника LONZA GUANGZHOU PHARMACEUTICAL LTD., China.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UA/8268/02/02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ПІРАНТЕЛ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pyrantel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пірантелу памоату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P02CC01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суспензія оральна, 250 мг/5 мл; по 15 мл препарату у флаконі або банці; по 1 флакону або банці з мірною ложкою у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r>
              <w:rPr>
                <w:rFonts w:cs="Arial" w:ascii="Arial" w:hAnsi="Arial"/>
                <w:color w:val="000000"/>
                <w:sz w:val="16"/>
                <w:szCs w:val="16"/>
              </w:rPr>
              <w:t xml:space="preserve">або </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внесені в інструкцію для медичного застосування лікарського засобу у розділ «Виробник» (зміна найменування виробника, відповідального за діяльність, включаючи випуск серії, з ТОВ «ГЛЕДФАРМ ЛТД» на ТОВ «КУСУМ»), як наслідок – затвердження тексту маркування упаковки лікарського засобу для виробника ТОВ «КУСУМ». Термін введення змін- протягом 12-ти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UA/6151/02/01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ПІРАЦЕТАМ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piracetam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200 мг; по 10 таблеток у блістері; по 3 або 6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br/>
              <w:t xml:space="preserve">Зміни внесено в інструкцію для медичного застосування лікарського засобу в розділ "Побічні реакції" щодо важливості звітування про підозрювані побічні реакції та внесено редакційні зміни в розділи "Склад", "Спосіб застосування та дози". </w:t>
              <w:br/>
              <w:t>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UA/0901/02/01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ПІРАЦЕТАМ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piracetam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пірацетам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200 мг іn bulk: по 15 кг у подвійних поліетиленових мішках; по 2 мішки у пластиковій ємкості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Зміни внесено в текст маркування вторинної (пункти 1, 2, 3, 7, 8, 15, 17) та первинної (пункт 6) упаковки лікарського засобу. Внесення змін до розділу «Маркування» у МКЯ ЛЗ: </w:t>
              <w:br/>
              <w:t xml:space="preserve">Затверджено: </w:t>
              <w:br/>
              <w:t xml:space="preserve">Згідно із затвердженим текстом маркування. </w:t>
              <w:br/>
              <w:t xml:space="preserve">Запропоновано: </w:t>
              <w:br/>
              <w:t xml:space="preserve">Маркування. </w:t>
              <w:br/>
              <w:t xml:space="preserve">Для ГЛЗ: </w:t>
              <w:br/>
              <w:t xml:space="preserve">Згідно із затвердженим текстом маркування. </w:t>
              <w:br/>
              <w:t xml:space="preserve">Для лікарського засобу у формі іn bulk: </w:t>
              <w:br/>
              <w:t xml:space="preserve">Згідно затвердженого тексту маркування, що додається. </w:t>
              <w:br/>
              <w:t>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UA/9520/01/01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 ГЕНЕЙМ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14 капсул у блістері; по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w:t>
              <w:br/>
              <w:t>Інтас Фармасьютікалс Лімітед, Індія;</w:t>
              <w:br/>
              <w:br/>
              <w:t>виробництво лікарського засобу, первинне та вторинне пакування (альтернативний виробник):</w:t>
              <w:br/>
              <w:t>Інтас Фармасьютікалс Лімітед, Індія;</w:t>
              <w:br/>
              <w:br/>
              <w:t>контроль якості:</w:t>
              <w:br/>
              <w:t xml:space="preserve">Єврофінс Біофарма Продакт Тестінг Будапешт Кфт., Угорщина; </w:t>
              <w:br/>
              <w:br/>
              <w:t>контроль якості:</w:t>
              <w:br/>
              <w:t>Фармавалід Кфт., Угорщина;</w:t>
              <w:br/>
              <w:br/>
              <w:t>додаткова дільниця з вторинного пакування:</w:t>
              <w:br/>
              <w:t xml:space="preserve">ДЧЛ САПЛІ ЧЕЙН (Італія) СПА, Італія; </w:t>
              <w:br/>
              <w:br/>
              <w:t>додаткова дільниця з вторинного пакування:</w:t>
              <w:br/>
              <w:t>Синоптиз Індастріал Сп. з о.о., Польща;</w:t>
              <w:br/>
              <w:br/>
              <w:t>додаткова дільниця з вторинного пакування:</w:t>
              <w:br/>
              <w:t xml:space="preserve">Престиж Промоушн Феркауфсфердерунг енд Фербсервіс ГмбХ, Німеччина; </w:t>
              <w:br/>
              <w:br/>
              <w:t>додаткова дільниця з первинного та вторинного пакування:</w:t>
              <w:br/>
              <w:t>АККОРД ХЕЛСКЕА ЛІМІТЕД, Велика Британiя;</w:t>
              <w:br/>
              <w:br/>
              <w:t>відповідальний за випуск серії:</w:t>
              <w:br/>
              <w:t>Аккорд Хелскеа Полска Сп. з о.о. Склад Імпортера, Польща;</w:t>
              <w:br/>
              <w:br/>
              <w:t>додаткова дільниця з первинного та вторинного пакування:</w:t>
              <w:br/>
              <w:t xml:space="preserve">АККОРД-ЮКЕЙ ЛІМІТЕД, Велика Британія; </w:t>
              <w:br/>
              <w:br/>
              <w:t>контроль якості, додаткова дільниця з вторинного пакування:</w:t>
              <w:br/>
              <w:t>ЛАБОРАТОРІ ФУНДАСІО ДАУ, Іспанія;</w:t>
              <w:br/>
              <w:br/>
              <w:t>додаткова дільниця з вторинного пакування:</w:t>
              <w:br/>
              <w:t>CЕНТРАЛ ФАРМА (КОПЕКІНГ ПАРТНЕР) ЛІМІТЕД, Велика Британія;</w:t>
              <w:br/>
              <w:br/>
              <w:t>додаткова дільниця з вторинного пакування:</w:t>
              <w:br/>
              <w:t>СК Фарма Логістікс ГмбХ, Німеччина;</w:t>
              <w:br/>
              <w:br/>
              <w:t>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 Італія/ Польща/ Велика Британiя/ Греція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та уточнення адреси виробника, відповідальної за контроль якості, з ФАРМАВАЛІД Лтд. Мікробіологічна лабораторія / PHARMAVALID Ltd. Microbiological Laboratory на Фармавалід Кфт. / Pharmavalid Kft., без зміни місця виробництва.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та уточнення адреси виробника, відповідальної за контроль якості, з Єврофінс Аналітікал Сервісез Хангері Кфт. / Eurofins Analytical Services Hungary Kft. на Єврофінс Біофарма Продакт Тестінг Будапешт Кфт. / Eurofins BioPharma Product Testing Budapest Kft., без зміни місця виробництва.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 ГЕНЕЙМ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300 мг, по 14 капсул у блістері; по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w:t>
              <w:br/>
              <w:t>Інтас Фармасьютікалс Лімітед, Індія;</w:t>
              <w:br/>
              <w:br/>
              <w:t>виробництво лікарського засобу, первинне та вторинне пакування (альтернативний виробник):</w:t>
              <w:br/>
              <w:t>Інтас Фармасьютікалс Лімітед, Індія;</w:t>
              <w:br/>
              <w:br/>
              <w:t>контроль якості:</w:t>
              <w:br/>
              <w:t xml:space="preserve">Єврофінс Біофарма Продакт Тестінг Будапешт Кфт., Угорщина; </w:t>
              <w:br/>
              <w:t>контроль якості:</w:t>
              <w:br/>
              <w:t xml:space="preserve">Фармавалід Кфт., Угорщина; </w:t>
              <w:br/>
              <w:br/>
              <w:t>додаткова дільниця з вторинного пакування:</w:t>
              <w:br/>
              <w:t xml:space="preserve">ДЧЛ САПЛІ ЧЕЙН (Італія) СПА, Італія; </w:t>
              <w:br/>
              <w:t>додаткова дільниця з вторинного пакування:</w:t>
              <w:br/>
              <w:t>Синоптиз Індастріал Сп. з о.о., Польща;</w:t>
              <w:br/>
              <w:br/>
              <w:t>додаткова дільниця з вторинного пакування:</w:t>
              <w:br/>
              <w:t xml:space="preserve">Престиж Промоушн Феркауфсфердерунг енд Фербсервіс ГмбХ, Німеччина; </w:t>
              <w:br/>
              <w:br/>
              <w:t>додаткова дільниця з первинного та вторинного пакування:</w:t>
              <w:br/>
              <w:t>АККОРД ХЕЛСКЕА ЛІМІТЕД, Велика Британiя;</w:t>
              <w:br/>
              <w:t>відповідальний за випуск серії:</w:t>
              <w:br/>
              <w:t>Аккорд Хелскеа Полска Сп. з о.о. Склад Імпортера, Польща;</w:t>
              <w:br/>
              <w:br/>
              <w:t>додаткова дільниця з первинного та вторинного пакування:</w:t>
              <w:br/>
              <w:t xml:space="preserve">АККОРД-ЮКЕЙ ЛІМІТЕД, Велика Британія; </w:t>
              <w:br/>
              <w:br/>
              <w:t>контроль якості, додаткова дільниця з вторинного пакування:</w:t>
              <w:br/>
              <w:t>ЛАБОРАТОРІ ФУНДАСІО ДАУ, Іспанія;</w:t>
              <w:br/>
              <w:br/>
              <w:t>додаткова дільниця з вторинного пакування:</w:t>
              <w:br/>
              <w:t>CЕНТРАЛ ФАРМА (КОПЕКІНГ ПАРТНЕР) ЛІМІТЕД, Велика Британія;</w:t>
              <w:br/>
              <w:br/>
              <w:t>додаткова дільниця з вторинного пакування:</w:t>
              <w:br/>
              <w:t>СК Фарма Логістікс ГмбХ, Німеччина;</w:t>
              <w:br/>
              <w:br/>
              <w:t>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 Польща/ Німеччина/ Велика Британiя/ Іспанія/Греція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та уточнення адреси виробника, відповідальної за контроль якості, з ФАРМАВАЛІД Лтд. Мікробіологічна лабораторія / PHARMAVALID Ltd. Microbiological Laboratory на Фармавалід Кфт. / Pharmavalid Kft., без зміни місця виробництва.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та уточнення адреси виробника, відповідальної за контроль якості, з Єврофінс Аналітікал Сервісез Хангері Кфт. / Eurofins Analytical Services Hungary Kft. на Єврофінс Біофарма Продакт Тестінг Будапешт Кфт. / Eurofins BioPharma Product Testing Budapest Kft., без зміни місця виробництва.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 ГЕНЕЙМ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14 капсул у блістері; по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w:t>
              <w:br/>
              <w:t>Інтас Фармасьютікалс Лімітед, Індія;</w:t>
              <w:br/>
              <w:br/>
              <w:t>виробництво лікарського засобу, первинне та вторинне пакування (альтернативний виробник):</w:t>
              <w:br/>
              <w:t>Інтас Фармасьютікалс Лімітед, Індія;</w:t>
              <w:br/>
              <w:br/>
              <w:t>контроль якості:</w:t>
              <w:br/>
              <w:t xml:space="preserve">Єврофінс Біофарма Продакт Тестінг Будапешт Кфт., Угорщина; </w:t>
              <w:br/>
              <w:t>контроль якості:</w:t>
              <w:br/>
              <w:t xml:space="preserve">Фармавалід Кфт., Угорщина; </w:t>
              <w:br/>
              <w:br/>
              <w:t>додаткова дільниця з вторинного пакування:</w:t>
              <w:br/>
              <w:t xml:space="preserve">ДЧЛ САПЛІ ЧЕЙН (Італія) СПА,Італія; </w:t>
              <w:br/>
              <w:br/>
              <w:t>додаткова дільниця з вторинного пакування:</w:t>
              <w:br/>
              <w:t>Синоптиз Індастріал Сп. з о.о., Польща;</w:t>
              <w:br/>
              <w:br/>
              <w:t>додаткова дільниця з вторинного пакування:</w:t>
              <w:br/>
              <w:t xml:space="preserve">Престиж Промоушн Феркауфсфердерунг енд Фербсервіс ГмбХ, Німеччина; </w:t>
              <w:br/>
              <w:t>додаткова дільниця з первинного та вторинного пакування:</w:t>
              <w:br/>
              <w:t>АККОРД ХЕЛСКЕА ЛІМІТЕД, Велика Британiя;</w:t>
              <w:br/>
              <w:t>відповідальний за випуск серії:</w:t>
              <w:br/>
              <w:t>Аккорд Хелскеа Полска Сп. з о.о. Склад Імпортера, Польща;</w:t>
              <w:br/>
              <w:t>додаткова дільниця з первинного та вторинного пакування:</w:t>
              <w:br/>
              <w:t xml:space="preserve">АККОРД-ЮКЕЙ ЛІМІТЕД, Велика Британія; </w:t>
              <w:br/>
              <w:t>контроль якості, додаткова дільниця з вторинного пакування:</w:t>
              <w:br/>
              <w:t>ЛАБОРАТОРІ ФУНДАСІО ДАУ, Іспанія;</w:t>
              <w:br/>
              <w:t>додаткова дільниця з вторинного пакування:</w:t>
              <w:br/>
              <w:t>CЕНТРАЛ ФАРМА (КОПЕКІНГ ПАРТНЕР) ЛІМІТЕД, Велика Британія;</w:t>
              <w:br/>
              <w:t>додаткова дільниця з вторинного пакування:</w:t>
              <w:br/>
              <w:t>СК Фарма Логістікс ГмбХ, Німеччина</w:t>
              <w:br/>
              <w:br/>
              <w:t>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 Польща/ Німеччина/ Велика Британiя/ Іспанія/Греція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та уточнення адреси виробника, відповідальної за контроль якості, з ФАРМАВАЛІД Лтд. Мікробіологічна лабораторія / PHARMAVALID Ltd. Microbiological Laboratory на Фармавалід Кфт. / Pharmavalid Kft., без зміни місця виробництва.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та уточнення адреси виробника, відповідальної за контроль якості, з Єврофінс Аналітікал Сервісез Хангері Кфт. / Eurofins Analytical Services Hungary Kft. на Єврофінс Біофарма Продакт Тестінг Будапешт Кфт. / Eurofins BioPharma Product Testing Budapest Kft., без зміни місця виробництва.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 ГЕНЕЙМ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300 мг; по 14 капсул у блістері; по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w:t>
              <w:br/>
              <w:t>Інтас Фармасьютікалс Лімітед, Індія;</w:t>
              <w:br/>
              <w:t>виробництво лікарського засобу, первинне та вторинне пакування (альтернативний виробник):</w:t>
              <w:br/>
              <w:t>Інтас Фармасьютікалс Лімітед, Індія;</w:t>
              <w:br/>
              <w:t>контроль якості:</w:t>
              <w:br/>
              <w:t xml:space="preserve">Єврофінс Біофарма Продакт Тестінг Будапешт Кфт., Угорщина; </w:t>
              <w:br/>
              <w:t>контроль якості:</w:t>
              <w:br/>
              <w:t xml:space="preserve">Фармавалід Кфт., Угорщина; </w:t>
              <w:br/>
              <w:t>додаткова дільниця з вторинного пакування:</w:t>
              <w:br/>
              <w:t xml:space="preserve">ДЧЛ САПЛІ ЧЕЙН (Італія) СПА, Італія; </w:t>
              <w:br/>
              <w:t>додаткова дільниця з вторинного пакування:</w:t>
              <w:br/>
              <w:t>Синоптиз Індастріал Сп. з о.о., Польща;</w:t>
              <w:br/>
              <w:t>додаткова дільниця з вторинного пакування:</w:t>
              <w:br/>
              <w:t xml:space="preserve">Престиж Промоушн Феркауфсфердерунг енд Фербсервіс ГмбХ, Німеччина; </w:t>
              <w:br/>
              <w:t>додаткова дільниця з первинного та вторинного пакування:</w:t>
              <w:br/>
              <w:t>АККОРД ХЕЛСКЕА ЛІМІТЕД, Велика Британiя;</w:t>
              <w:br/>
              <w:t>відповідальний за випуск серії:</w:t>
              <w:br/>
              <w:t>Аккорд Хелскеа Полска Сп. з о.о. Склад Імпортера, Польща;</w:t>
              <w:br/>
              <w:t>додаткова дільниця з первинного та вторинного пакування:</w:t>
              <w:br/>
              <w:t xml:space="preserve">АККОРД-ЮКЕЙ ЛІМІТЕД, Велика Британія; </w:t>
              <w:br/>
              <w:t>контроль якості, додаткова дільниця з вторинного пакування:</w:t>
              <w:br/>
              <w:t>ЛАБОРАТОРІ ФУНДАСІО ДАУ, Іспанія;</w:t>
              <w:br/>
              <w:t>додаткова дільниця з вторинного пакування:</w:t>
              <w:br/>
              <w:t>CЕНТРАЛ ФАРМА (КОПЕКІНГ ПАРТНЕР) ЛІМІТЕД, Велика Британія;</w:t>
              <w:br/>
              <w:t>додаткова дільниця з вторинного пакування:</w:t>
              <w:br/>
              <w:t>СК Фарма Логістікс ГмбХ, Німеччина;</w:t>
              <w:br/>
              <w:t>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 Італія/ Польща/ Велика Британiя/ Греція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незначного показника, а саме ідентифікація барвників зі специфікації готового продукту.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 ГЕНЕЙМ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14 капсул у блістері; по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w:t>
              <w:br/>
              <w:t>Інтас Фармасьютікалс Лімітед, Індія;</w:t>
              <w:br/>
              <w:t>виробництво лікарського засобу, первинне та вторинне пакування (альтернативний виробник):</w:t>
              <w:br/>
              <w:t>Інтас Фармасьютікалс Лімітед, Індія;</w:t>
              <w:br/>
              <w:t>контроль якості:</w:t>
              <w:br/>
              <w:t xml:space="preserve">Єврофінс Біофарма Продакт Тестінг Будапешт Кфт., Угорщина; </w:t>
              <w:br/>
              <w:t>контроль якості:</w:t>
              <w:br/>
              <w:t xml:space="preserve">Фармавалід Кфт., Угорщина; </w:t>
              <w:br/>
              <w:t>додаткова дільниця з вторинного пакування:</w:t>
              <w:br/>
              <w:t xml:space="preserve">ДЧЛ САПЛІ ЧЕЙН (Італія) СПА, Італія; </w:t>
              <w:br/>
              <w:t>додаткова дільниця з вторинного пакування:</w:t>
              <w:br/>
              <w:t>Синоптиз Індастріал Сп. з о.о., Польща;</w:t>
              <w:br/>
              <w:t>додаткова дільниця з вторинного пакування:</w:t>
              <w:br/>
              <w:t xml:space="preserve">Престиж Промоушн Феркауфсфердерунг енд Фербсервіс ГмбХ, Німеччина; </w:t>
              <w:br/>
              <w:t>додаткова дільниця з первинного та вторинного пакування:</w:t>
              <w:br/>
              <w:t>АККОРД ХЕЛСКЕА ЛІМІТЕД, Велика Британiя;</w:t>
              <w:br/>
              <w:t>відповідальний за випуск серії:</w:t>
              <w:br/>
              <w:t>Аккорд Хелскеа Полска Сп. з о.о. Склад Імпортера, Польща;</w:t>
              <w:br/>
              <w:t>додаткова дільниця з первинного та вторинного пакування:</w:t>
              <w:br/>
              <w:t xml:space="preserve">АККОРД-ЮКЕЙ ЛІМІТЕД, Велика Британія; </w:t>
              <w:br/>
              <w:t>контроль якості, додаткова дільниця з вторинного пакування:</w:t>
              <w:br/>
              <w:t>ЛАБОРАТОРІ ФУНДАСІО ДАУ, Іспанія;</w:t>
              <w:br/>
              <w:t>додаткова дільниця з вторинного пакування:</w:t>
              <w:br/>
              <w:t>CЕНТРАЛ ФАРМА (КОПЕКІНГ ПАРТНЕР) ЛІМІТЕД, Велика Британія;</w:t>
              <w:br/>
              <w:t>додаткова дільниця з вторинного пакування:</w:t>
              <w:br/>
              <w:t>СК Фарма Логістікс ГмбХ, Німеччина;</w:t>
              <w:br/>
              <w:t>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 Італія/ Польща/ Велика Британiя/ Греція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незначного показника, а саме ідентифікація барвників зі специфікації готового продукту.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 ГЕНЕЙМ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14 капсул у блістері; по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w:t>
              <w:br/>
              <w:t>Інтас Фармасьютікалс Лімітед, Індія;</w:t>
              <w:br/>
              <w:t>виробництво лікарського засобу, первинне та вторинне пакування (альтернативний виробник):</w:t>
              <w:br/>
              <w:t>Інтас Фармасьютікалс Лімітед, Індія;</w:t>
              <w:br/>
              <w:t>контроль якості:</w:t>
              <w:br/>
              <w:t xml:space="preserve">Єврофінс Біофарма Продакт Тестінг Будапешт Кфт., Угорщина; </w:t>
              <w:br/>
              <w:t>контроль якості:</w:t>
              <w:br/>
              <w:t xml:space="preserve">Фармавалід Кфт., Угорщина; </w:t>
              <w:br/>
              <w:t>додаткова дільниця з вторинного пакування:</w:t>
              <w:br/>
              <w:t xml:space="preserve">ДЧЛ САПЛІ ЧЕЙН (Італія) СПА, Італія; </w:t>
              <w:br/>
              <w:t>додаткова дільниця з вторинного пакування:</w:t>
              <w:br/>
              <w:t>Синоптиз Індастріал Сп. з о.о., Польща;</w:t>
              <w:br/>
              <w:t>додаткова дільниця з вторинного пакування:</w:t>
              <w:br/>
              <w:t xml:space="preserve">Престиж Промоушн Феркауфсфердерунг енд Фербсервіс ГмбХ, Німеччина; </w:t>
              <w:br/>
              <w:t>додаткова дільниця з первинного та вторинного пакування:</w:t>
              <w:br/>
              <w:t>АККОРД ХЕЛСКЕА ЛІМІТЕД, Велика Британiя;</w:t>
              <w:br/>
              <w:t>відповідальний за випуск серії:</w:t>
              <w:br/>
              <w:t>Аккорд Хелскеа Полска Сп. з о.о. Склад Імпортера, Польща;</w:t>
              <w:br/>
              <w:t>додаткова дільниця з первинного та вторинного пакування:</w:t>
              <w:br/>
              <w:t xml:space="preserve">АККОРД-ЮКЕЙ ЛІМІТЕД, Велика Британія; </w:t>
              <w:br/>
              <w:t>контроль якості, додаткова дільниця з вторинного пакування:</w:t>
              <w:br/>
              <w:t>ЛАБОРАТОРІ ФУНДАСІО ДАУ, Іспанія;</w:t>
              <w:br/>
              <w:t>додаткова дільниця з вторинного пакування:</w:t>
              <w:br/>
              <w:t>CЕНТРАЛ ФАРМА (КОПЕКІНГ ПАРТНЕР) ЛІМІТЕД, Велика Британія;</w:t>
              <w:br/>
              <w:t>додаткова дільниця з вторинного пакування:</w:t>
              <w:br/>
              <w:t>СК Фарма Логістікс ГмбХ, Німеччина;</w:t>
              <w:br/>
              <w:t>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 Італія/ Польща/ Велика Британiя/ Греція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незначного показника, а саме ідентифікація барвників зі специфікації готового продукту.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ГЕСТА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100 мг; по 15 капсул м’яких у блістері;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«Фармліга»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w:t>
              <w:br/>
              <w:t xml:space="preserve">ЛАБОРАТОРІОС ЛЕОН ФАРМА С.А., Іспанія </w:t>
              <w:br/>
              <w:br/>
              <w:t>контроль якості:</w:t>
              <w:br/>
              <w:t>Хемо Індія Формюлейшн Прайвет Лімітед, Хайдарабад Індія</w:t>
              <w:br/>
              <w:t>вторинне пакування:</w:t>
              <w:br/>
              <w:t>АТДІС ФАРМА, С.Л., Іспанія</w:t>
              <w:br/>
              <w:br/>
              <w:t>вторинне пакування:</w:t>
              <w:br/>
              <w:t>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виробничої дільниці ГЛЗ Хемо Індія Формюлейшн Прайвет Лімітед, Індія, що відповідає за контроль якості. Зазначення функцій вже затвердженого виробника ЛАБОРАТОРІОС ЛЕОН ФАРМА С.А., Іспанiя.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виробничої дільниці ГЛЗ АТДІС ФАРМА, С.Л., Іспанія, що відповідає за вторинне пакування. Зазначення функцій вже затвердженого виробника ЛАБОРАТОРІОС ЛЕОН ФАРМА С.А., Іспанiя.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виробничої дільниці ГЛЗ MAНАНТІАЛЬ ІНТЕГРА, С.Л.У., Іспанія, що відповідає за вторинне пакування. Зазначення функцій вже затвердженого виробника ЛАБОРАТОРІОС ЛЕОН ФАРМА С.А., Іспанiя.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ГЕСТА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15 капсул м’яких у блістері;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«Фармліга»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Литовська Республіка, </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w:t>
              <w:br/>
              <w:t xml:space="preserve">ЛАБОРАТОРІОС ЛЕОН ФАРМА С.А., Іспанія; </w:t>
              <w:br/>
              <w:t>контроль якості:</w:t>
              <w:br/>
              <w:t>Хемо Індія Формюлейшн Прайвет Лімітед, Індія;</w:t>
              <w:br/>
              <w:t>вторинне пакування:</w:t>
              <w:br/>
              <w:t>АТДІС ФАРМА, С.Л., Іспанія;</w:t>
              <w:br/>
              <w:t>вторинне пакування:</w:t>
              <w:br/>
              <w:t>MAНАНТІАЛЬ ІНТЕГРА, С.Л.У.,Іспанія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виробничої дільниці ГЛЗ Хемо Індія Формюлейшн Прайвет Лімітед, Індія, що відповідає за контроль якості. Зазначення функцій вже затвердженого виробника ЛАБОРАТОРІОС ЛЕОН ФАРМА С.А., Іспанiя.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виробничої дільниці ГЛЗ АТДІС ФАРМА, С.Л., Іспанія, що відповідає за вторинне пакування. Зазначення функцій вже затвердженого виробника ЛАБОРАТОРІОС ЛЕОН ФАРМА С.А., Іспанiя.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виробничої дільниці ГЛЗ MAНАНТІАЛЬ ІНТЕГРА, С.Л.У., Іспанія, що відповідає за вторинне пакування. Зазначення функцій вже затвердженого виробника ЛАБОРАТОРІОС ЛЕОН ФАРМА С.А., Іспанiя.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ОВО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прогестерон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100 мг; по 15 капсул м’яких у блістері;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«Фармліга»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w:t>
              <w:br/>
              <w:t>ЛАБОРАТОРІОС ЛЕОН ФАРМА С.А., Іспанія;</w:t>
              <w:br/>
              <w:t xml:space="preserve"> </w:t>
              <w:br/>
              <w:t>контроль якості:</w:t>
              <w:br/>
              <w:t>Хемо Індія Формюлейшн Прайвет Лімітед, Індія;</w:t>
              <w:br/>
              <w:t>вторинне пакування:</w:t>
              <w:br/>
              <w:t>АТДІС ФАРМА, С.Л., Іспанія;</w:t>
              <w:br/>
              <w:br/>
              <w:t>вторинне пакування:</w:t>
              <w:br/>
              <w:t>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виробничої дільниці ГЛЗ Хемо Індія Формюлейшн Прайвет Лімітед, Індія, що відповідає за контроль якості. Зазначення функцій вже затвердженого виробника ЛАБОРАТОРІОС ЛЕОН ФАРМА С.А., Іспанiя.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виробничої дільниці ГЛЗ MAНАНТІАЛЬ ІНТЕГРА, С.Л.У., Іспанія, що відповідає за вторинне пакування. Зазначення функцій вже затвердженого виробника ЛАБОРАТОРІОС ЛЕОН ФАРМА С.А., Іспанiя.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виробничої дільниці ГЛЗ АТДІС ФАРМА, С.Л., Іспанія, що відповідає за вторинне пакування. Зазначення функцій вже затвердженого виробника ЛАБОРАТОРІОС ЛЕОН ФАРМА С.А., Іспанiя.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ОВО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15 капсул м’яких у блістері;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«Фармліга» </w:t>
              <w:br/>
              <w:t xml:space="preserve">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w:t>
              <w:br/>
              <w:t xml:space="preserve">ЛАБОРАТОРІОС ЛЕОН ФАРМА С.А., Іспанія </w:t>
              <w:br/>
              <w:br/>
              <w:t>контроль якості:</w:t>
              <w:br/>
              <w:t>Хемо Індія Формюлейшн Прайвет Лімітед, Індія</w:t>
              <w:br/>
              <w:br/>
              <w:t>вторинне пакування:</w:t>
              <w:br/>
              <w:t>АТДІС ФАРМА, С.Л., Іспанія</w:t>
              <w:br/>
              <w:br/>
              <w:t>вторинне пакування:</w:t>
              <w:br/>
              <w:t>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виробничої дільниці ГЛЗ Хемо Індія Формюлейшн Прайвет Лімітед, Індія, що відповідає за контроль якості. Зазначення функцій вже затвердженого виробника ЛАБОРАТОРІОС ЛЕОН ФАРМА С.А., Іспанiя.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виробничої дільниці ГЛЗ MAНАНТІАЛЬ ІНТЕГРА, С.Л.У., Іспанія, що відповідає за вторинне пакування. Зазначення функцій вже затвердженого виробника ЛАБОРАТОРІОС ЛЕОН ФАРМА С.А., Іспанiя.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додаткової виробничої дільниці ГЛЗ АТДІС ФАРМА, С.Л., Іспанія, що відповідає за вторинне пакування. Зазначення функцій вже затвердженого виробника ЛАБОРАТОРІОС ЛЕОН ФАРМА С.А., Іспанiя.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РАМІМЕД®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ramipril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раміприл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C09AA05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5 мг, по 10 таблеток у блістері; по 3 блістери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Актавіс ЛТД, Мальта;</w:t>
              <w:br/>
              <w:br/>
              <w:t>виробництво нерозфасованого продукту, контроль якості, дозвіл на випуск серії:</w:t>
              <w:br/>
              <w:t>Медокемі Лімітед, Кіпр;</w:t>
              <w:br/>
              <w:t>первинне та вторинне пакування:</w:t>
              <w:br/>
              <w:t>Медокемі ЛТД (Завод AZ), Кіпр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 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Заявник та його місцезнаходження залишаються без змін.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UA/10153/01/02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РАМІМЕД®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ramipril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раміприл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C09AA05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Актавіс ЛТД, Мальта;</w:t>
              <w:br/>
              <w:br/>
              <w:t>виробництво нерозфасованого продукту, контроль якості, дозвіл на випуск серії:</w:t>
              <w:br/>
              <w:t xml:space="preserve">Медокемі Лімітед, Кіпр; </w:t>
              <w:br/>
              <w:br/>
              <w:t>первинне та вторинне пакування:</w:t>
              <w:br/>
              <w:t xml:space="preserve">Медокемі ЛТД (Завод AZ), Кіпр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 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Заявник та його місцезнаходження залишаються без змін.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UA/10153/01/03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РАНІТИДИН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ranitidine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ранітидин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150 мг, по 10 таблеток у блістері; по 1 або 2 блістери в картонній коробці;</w:t>
              <w:br/>
              <w:t>по 20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 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"ФАРМЕКС ГРУП",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ГЛЗ для упаковки № 10 (10х1) або № 20 (20х1) виробника Товариство з обмеженою відповідальністю "ФАРМЕКС ГРУП", а саме 545,000 тис. таблеток, або 54,500 тис. уп. № 10 (10х1) або 27,250 тис. уп. № 20 (20х1) (185,30 кг).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UA/3676/01/01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РЕАГІЛА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cariprazine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карипразин (у вигляді карипразину гідрохлориду)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4,5 мг; по 7 таблеток, що диспергуються в ротовій порожнині, у блістері; по 4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ЛЗ (МІБП), що потребують нової реєстрації (згідно наказу МОЗ від 23.07.2015 № 460). Зміни сили дії, лікарської форми та способу застосування: зміна або додавання нової лікарської форми (зареєстровано РЕАГІЛА капсули тверді по 1,5 мг; РЕАГІЛА капсули тверді по 3 мг; РЕАГІЛА капсули тверді по 4,5 мг; РЕАГІЛА капсули тверді по 6 мг). </w:t>
              <w:br/>
              <w:br/>
              <w:t>Резюме плану управління ризиками, версія 5.0,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UA/17545/02/03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РЕАГІЛА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cariprazine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карипразин (у вигляді карипразину гідрохлориду)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6 мг; по 7 таблеток, що диспергуються в ротовій порожнині, у блістері; по 4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ЛЗ (МІБП), що потребують нової реєстрації (згідно наказу МОЗ від 23.07.2015 № 460). Зміни сили дії, лікарської форми та способу застосування: зміна або додавання нової лікарської форми (зареєстровано РЕАГІЛА капсули тверді по 1,5 мг; РЕАГІЛА капсули тверді по 3 мг; РЕАГІЛА капсули тверді по 4,5 мг; РЕАГІЛА капсули тверді по 6 мг). </w:t>
              <w:br/>
              <w:br/>
              <w:t>Резюме плану управління ризиками, версія 5.0,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UA/17545/02/04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РЕАГІЛА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cariprazine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карипразин (у вигляді карипразину гідрохлориду)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3 мг; по 7 таблеток, що диспергуються в ротовій порожнині, у блістері; по 4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ЛЗ (МІБП), що потребують нової реєстрації (згідно наказу МОЗ від 23.07.2015 № 460). Зміни сили дії, лікарської форми та способу застосування: зміна або додавання нової лікарської форми (зареєстровано РЕАГІЛА капсули тверді по 1,5 мг; РЕАГІЛА капсули тверді по 3 мг; РЕАГІЛА капсули тверді по 4,5 мг; РЕАГІЛА капсули тверді по 6 мг). </w:t>
              <w:br/>
              <w:br/>
              <w:t>Резюме плану управління ризиками, версія 5.0,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UA/17545/02/02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РЕАГІЛА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cariprazine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карипразин (у вигляді карипразину гідрохлориду)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1,5 мг; по 7 таблеток, що диспергуються в ротовій порожнині, у блістері; по 4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ЛЗ (МІБП), що потребують нової реєстрації (згідно наказу МОЗ від 23.07.2015 № 460). Зміни сили дії, лікарської форми та способу застосування: зміна або додавання нової лікарської форми (зареєстровано РЕАГІЛА капсули тверді по 1,5 мг; РЕАГІЛА капсули тверді по 3 мг; РЕАГІЛА капсули тверді по 4,5 мг; РЕАГІЛА капсули тверді по 6 мг). </w:t>
              <w:br/>
              <w:br/>
              <w:t>Резюме плану управління ризиками, версія 5.0,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UA/17545/02/01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РЕКОРМОН®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erythropoietin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епоетин бета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B03XA01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2000 МО/0,3 мл; по 3 попередньо наповнених шприци по 2000 МО/0,3 мл разом з 3 голками для ін’єкцій 27G1/2 (голка поміщена у пластикову упаковку) в контурній чарунковій упаковці, що складається з 3 окремих пластикових контейнерів (1 попередньо наповнений шприц та 1 голка в одному пластиковому контейнері); по 2 контурні чарункові упаковки (6 попередньо наповнених шприців та 6 голок)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«Рош Україна»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вторинне пакування, випробування контролю якості, випуск серії:</w:t>
              <w:br/>
              <w:t>Рош Діагностикс ГмбХ, Німеччина;</w:t>
              <w:br/>
              <w:t xml:space="preserve">Виробництво нерозфасованої продукції, випробування контролю якості: </w:t>
              <w:br/>
              <w:t>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виробничих дільниць: Веттер Фарма-Фертигунг ГмбХ і Ко КГ (Шютценштрассе 87 і 99-101, Равенсбург, Баден-Вюртемберг, 88212, Німеччина) відповідальної за виробництво нерозфасованої продукції та випробування контролю якості ГЛЗ та дільниці Веттер Фарма-Фертигунг ГмбХ і Ко КГ (Айзенбанштрассе 2-4, Лангенарген, Баден-Вюртемберг, 88085, Німеччина) відповідальної за випробування контролю якості ГЛЗ. Виробничі дільниці що залишаються виконують ті ж функції що й вилучені.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UA/5146/01/02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РЕСПИКС® СПРЕЙ</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ambroxol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амброксолу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10 мг/0,2 мл; по 13 мл розчину у флаконі з дозуючим пристроєм;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Ай Ті Сі ПРОДАКШН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UA/12305/01/01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РИНОСТОП</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R01AA07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1,0 мг/мл, по 8 мл або 10 мл, або 12 мл у поліетиленовому контейнері з насосом із розпилювачем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t>повний цикл виробництва, випуск серії;</w:t>
              <w:br/>
              <w:t>контроль якості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Виробнича дільниця та всі виробничі операції залишаються незмінними. Зміни внесені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лікарського засобу. Термін введення змін -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UA/20110/01/01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РИЦИНОВА ОЛІЯ</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castor oil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олія рицинова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A06AB05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олія оральна по 30 г або по 100 г у флаконах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пакування, контроль якості та випуск серії: ПРАТ «ФІТОФАРМ», Україна; відповідальний за виробництво, первинне пакування та контроль якості: ТОВ "Фарма Черкас", Україна; відповідальний за випуск серії, не включаючи контроль/випробування серії: ПРАТ "ФІТОФАРМ",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у затвердженому протоколі стабільності). Зміна у затвердженому протоколі стабільності ГЛЗ, щодо періодичності здійснення контролю показників, а саме: показники "Розчинність", "Ідентифікація", "Сторонні олії", "Густина", "Оптичне обертання", "Показник заломлення", "Маса вмісту упаковки" пропонується контролювати при випуску та наприкінці терміну придатності; показник "Мікробіологічна чистота" пропонується контролювати при випуску, через 3 місяці, через 12 місяців після випуску та наприкінці терміну придатності.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UA/9198/01/01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РІЄКО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Relugolix, estradiol and norethisterone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релуголікс, естрадіол (у вигляді естрадіолу гемігідрату) та норетистерону 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H01CC54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40 мг/1 мг/0,5 мг, по 28 таблеток у флаконі з поліетилену високої щільності з вологопоглиначем, закритому індукційною герметичною кришкою з поліпропілену із захистом від відкриття дітьми; по 1 або 3 флакони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продукту, контроль якості: Патеон Інк., Канада; первинне пакування, вторинне пакування, контроль якості, випуск серії: ВАТ "Гедеон Ріхтер",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Канада/ 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UA/20261/01/01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РІЛЕПТИД®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 мг, по 10 таблеток у блістері, по 1 або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 Угорщина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згідно з інформацією щодо медичного застосування референтного лікарського засобу (Risperdal). Введення змін протягом 6-ти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розділи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щодо редагування тексту розділів інструкції.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Діюча редакція: Термін придатності. 5 років. Пропонована редакція: Термін придатності. 3 роки. Зміни внесено до інструкції для медичного застосування лікарського засобу у розділ "Термін придатності".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РІЛЕПТИД®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 мг, по 10 таблеток у блістері, по 1 або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згідно з інформацією щодо медичного застосування референтного лікарського засобу (Risperdal). Введення змін протягом 6-ти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розділи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щодо редагування тексту розділів інструкції.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Діюча редакція: Термін придатності. 5 років. Пропонована редакція: Термін придатності. 3 роки. Зміни внесено до інструкції для медичного застосування лікарського засобу у розділ "Термін придатності".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UA/4044/01/02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РІЛЕПТИД®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3 мг, по 10 таблеток у блістері, по 1 або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згідно з інформацією щодо медичного застосування референтного лікарського засобу (Risperdal). Введення змін протягом 6-ти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розділи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щодо редагування тексту розділів інструкції.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Діюча редакція: Термін придатності. 5 років. Пропонована редакція: Термін придатності. 3 роки. Зміни внесено до інструкції для медичного застосування лікарського засобу у розділ "Термін придатності".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UA/4044/01/03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РІЛЕПТИД®</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 мг, по 10 таблеток у блістері, по 1 або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"Побічні реакції" щодо важливості звітування про побічні реакції.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внесено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згідно з інформацією щодо медичного застосування референтного лікарського засобу (Risperdal). Введення змін протягом 6-ти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розділи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щодо редагування тексту розділів інструкції.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 Зменшення терміну придатності ГЛЗ. Діюча редакція: Термін придатності. 5 років. Пропонована редакція: Термін придатності. 3 роки. Зміни внесено до інструкції для медичного застосування лікарського засобу у розділ "Термін придатності".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UA/4044/01/04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РОЗУВАСТАТИН КАЛЬЦІЮ</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розувастатин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пакетах подвійних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Морепен Лабораторіз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САВІС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dienogest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дієногест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G03DB08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 мг; по 14 таблеток у блістері; по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w:t>
              <w:br/>
              <w:t xml:space="preserve">Пропонована редакція: Ласло Секей. </w:t>
              <w:br/>
              <w:t xml:space="preserve">Зміна контактних даних уповноваженої особи заявника, відповідальної за фармаконагляд. </w:t>
              <w:br/>
              <w:t xml:space="preserve">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UA/18485/01/01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САКСЕНДА®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liraglutide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ліраглутид – аналог людського глюкагоноподібного пептиду-1 (ГПП-1), виготовленого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6 мг/мл; по 3 мл у картриджах, вкладених у попередньо заповнену багатодозову одноразову шприц-ручку; по 1, 3 або 5 попередньо заповнені шприц-ручки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Комплектування, маркування та вторинне пакування готового продукту. Сертифікація серії. А/Т Ново Нордіск, Данія; </w:t>
              <w:br/>
              <w:t xml:space="preserve">Виробництво продукту, наповнення картриджу та контроль якості продукції іn bulk. Випуск серії та сертифікація. А/Т Ново Нордіск, Данія; Виробництво продукту, наповнення картриджу та перевірка якості продукції in bulk. Комплектування, маркування та вторинне пакування готового продукту. Контроль якості продукції in bulk та готового продукту. Ново Нордіск Фармасьютікал Індастріз, ЛП., Сполучені Штати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 Сполучені Штати</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термінів подання регулярно оновлюваного звіту з безпеки. </w:t>
              <w:br/>
              <w:t xml:space="preserve">Діюча редакція: </w:t>
              <w:br/>
              <w:t xml:space="preserve">Частота подання регулярно оновлюваного звіту з безпеки 3 роки. </w:t>
              <w:br/>
              <w:t xml:space="preserve">Кінцева дата для включення даних до регулярно оновлюваного звіту з безпеки - 31.12.2023 р. </w:t>
              <w:br/>
              <w:t xml:space="preserve">Дата подання - 30.03.2024 р. </w:t>
              <w:br/>
              <w:t xml:space="preserve">Пропонована редакція: </w:t>
              <w:br/>
              <w:t xml:space="preserve">Частота подання регулярно оновлюваного звіту з безпеки 3 роки. </w:t>
              <w:br/>
              <w:t xml:space="preserve">Кінцева дата для включення даних до регулярно оновлюваного звіту з безпеки - 31.12.2026 р. </w:t>
              <w:br/>
              <w:t xml:space="preserve">Дата подання - 31.03.2027 р. </w:t>
              <w:br/>
              <w:t>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СИЛУЕТ®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Dienogest and ethinylestradiol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дієногест, етинілестрадіол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w:t>
              <w:br/>
              <w:t>по 21 таблетці в блістері; по 1 або по 3 блістери разом із картонним футляром для зберігання блістера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UA/12532/01/01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СИНГЛОН®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montelukast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монтелукаст (у формі натрію монтелукасту)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R03DC03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4 мг; по 7 таблеток у блістері; по 2, або по 4, або по 8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Угорщина (випуск серії); ТОВ "Гедеон Ріхтер Польща", Польща (контроль якості, дозвіл на випуск серії); ТОВ "Гедеон Ріхтер Польща", Польща (виробництво нерозфасованого продукту, первинна упаковка, вторинна упаковка)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Угорщина/ 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UA/10511/02/01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СИНГЛОН®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montelukast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монтелукаст (у формі натрію монтелукасту)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R03DC03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жувальні, по 5 мг; по 7 таблеток у блістері; по 2, або по 4, або по 8 блістерів у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Угорщина (випуск серії); ТОВ "Гедеон Ріхтер Польща", Польща (контроль якості, дозвіл на випуск серії); ТОВ "Гедеон Ріхтер Польща", Польща (виробництво нерозфасованого продукту, первинна упаковка, вторинна упаковка)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 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UA/10511/02/02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СИНГЛОН®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montelukast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монтелукаст (у формі натрію монтелукасту)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R03DC03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7 таблеток у блістері; по 2, 4 або 8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випуск серії: ВАТ "Гедеон Ріхтер", Угорщина; контроль якості, дозвіл на випуск серії; виробництво нерозфасованого продукту, первинна упаковка, вторинна упаковка: ТОВ "Гедеон Ріхтер Польща", Польща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 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br/>
              <w:t xml:space="preserve">Зміна уповноваженої особи заявника, відповідальної за фармаконагляд. </w:t>
              <w:br/>
              <w:t xml:space="preserve">Діюча редакція: Аттіла Олаг. </w:t>
              <w:br/>
              <w:t xml:space="preserve">Пропонована редакція: Ласло Секей. </w:t>
              <w:br/>
              <w:t xml:space="preserve">Зміна контактних даних уповноваженої особи заявника, відповідальної за фармаконагляд. </w:t>
              <w:br/>
              <w:t xml:space="preserve">Зміна контактних даних контактної особи заявника, відповідальної за фармаконагляд в Україні. </w:t>
              <w:br/>
              <w:t xml:space="preserve">Зміна місцезнаходження мастер-файла системи фармаконагляду. </w:t>
              <w:br/>
              <w:t>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UA/10511/01/01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СІБРАВА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inclisiran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інклісіран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C10AX16</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284 мг/1,5 мл; по 1,5 мл розчину у попередньо наповненому шприці; по 1 попередньо наповненому шприцу в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Оверсіз Інвестментс АГ</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(частковий), первинне пакування, вторинне пакування, випуск серії:</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Фармасьютикал Мануфактурінг ГмбХ, 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(частковий), первинне пакування: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Корден Фарма С.п.А., 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Корден Фарма С.п.А., 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(частковий):</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Фармасьютикал Мануфактурінг ГмбХ, 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(частковий):</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Лек Фармасьютикалс д.д., 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(частковий):</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Фармасьютикал Мануфактурінг ЛЛС, 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(частковий):</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Штейн АГ , Швейцарія;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(частковий):</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Челаб С.р.л., 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Фармлог Фарма Лоджистік ГмбХ, 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Юпс Хелскер Італія С.р.л., 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(частковий):</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Фармасьютикал Мануфактурінг ЛЛС, 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(частковий):</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 Австрія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 Італія/ Словенія/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нового виробника відповідального за контроль якості (частковий), а саме: Сандоз ГмбХ (Біохеміштрассе 10, Кундль, Тіроль, 6250, Австрія) / Sandoz GmbH (Biochemiestrasse 10, Kundl, Tyrol, 6250, Austria). Введення змін протягом 6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UA/20570/01/01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СІНДЖАРДІ®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Metformin and empagliflozin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емпагліфлозин та 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A10BD20</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12,5 мг/1000 мг; по 10 таблеток в блістері; по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Берінгер Інгельхайм Інтернешнл ГмбХ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Берінгер Інгельхайм Фарма ГмбХ і Ко. КГ, Німеччина; виробництво, контроль якості (за винятком тесту «Мікробіологічна чистота»), первинне та вторинне пакування, випуск серії: Берінгер Інгельхайм Хеллас Сингл Мембер С.А., Греція; первинне та вторинне пакування, контроль якості, випуск серії: ПАТЕОН ФРАНЦІЯ, Франція; виробництво таблеток "in bulk" та контроль якості: Патеон Пуерто Рико. Інк., Сполучені Штати Америки; контроль якості (за винятком тесту "Мікробіологічна чистота"): А енд Ем ШТАБТЕСТ Лабор фур Аналітик унд Стабілітатспруфунг ГмбХ, Німеччина; контроль якості при дослідженні стабільності (за винятком тесту "Мікробіологічна чистота"): Еврофінс ФАСТ ГмбХ, Німеччина; альтернативна лабораторія для контролю тесту "Мікробіологічна чистота":</w:t>
              <w:br/>
              <w:t>СГС Інститут Фрезеніус ГмбХ, Німеччина; Лабор ЛС СЕ енд Ко. КГ, Німеччина; К`юЕйСіЕс ЛТД, Грецiя; альтернативна лабораторія для контролю N-нітрозодиметиламіну (NDMA): К'юЕйСіЕс ЛТД, Греція; Солвіас АГ,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/Греція/ Франція/ Сполучені Штати Америки/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 введення додаткового показника специфікації ГЛЗ «Домішка N-нітрозодиметиламін» з критерієм прийнятності «≤48.0 ppb» та відповідним методом контролю – Газова хроматографія мас-спектрофотометрія.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Введення додаткового методу контролю домішки N-нітрозодиметиламін в ГЛЗ, а саме- додається метод Рідинної хроматографії – мас-спектрометрія.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введення додаткового методу контролю домішки N-нітрозодиметиламін в ГЛЗ, а саме- додається метод над високоефективної рідинної хроматографії – тандемна мас-спектрометрія.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альтернативної лабораторії К’юЕйСіЕс ЛТД, Греція/QACS LTD, Greece, для контролю N-нітрозодиметиламіну в ГЛЗ. </w:t>
              <w:br/>
              <w:t>Редакційні правки в написанні назви альтернативної лабораторії К’юЕйСіЕс ЛТД, Греція/QACS LTD, Greece для контролю тесту «Мікробіологічна чистота».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альтернативної лабораторії Солвіас АГ, Швейцарія/Solvias AG, Switzerland (Ромерпарк 2, 4303 Кайзераугст, Швейцарія/Romerpark 2, 4303 Kaiseraugst, Switzerland) для контролю N-нітрозодиметиламіну в ГЛЗ.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(зазначення матеріалу ємностей для зберігання розчинів)до методів контролю якості ЛЗ , а саме - до тестів: - Ідентифікація, продукти розпаду та кількісне визначення емпагліфлозину; - Ідентифікація, продукти розпаду та кількісне визначення метформіну гідрохлориду; - Розчинення емпагліфлозину та Метформіну гідрохлориду; - Однорідність дозованих одиниць емпагліфлозину та метформіну гідрохлориду.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методу контролю якості «Розчинення» ГЛЗ. Зміни І типу - Зміни з якості. Готовий лікарський засіб. Контроль готового лікарського засобу (інші зміни) - Оновлення МКЯ для лікарського засобу, а саме - викладення тексту державною мовою, згідно сучасних вимог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UA/15722/01/01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СІНДЖАРДІ®</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Metformin and empagliflozin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емпагліфлозин та 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A10BD20</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5 мг/1000 мг по 10 таблеток в блістері; по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Берінгер Інгельхайм Інтернешнл ГмбХ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Берінгер Інгельхайм Фарма ГмбХ і Ко. КГ, Німеччина; виробництво, контроль якості (за винятком тесту «Мікробіологічна чистота»), первинне та вторинне пакування, випуск серії: Берінгер Інгельхайм Хеллас Сингл Мембер С.А., Греція; первинне та вторинне пакування, контроль якості, випуск серії: ПАТЕОН ФРАНЦІЯ, Франція; виробництво таблеток "in bulk" та контроль якості: Патеон Пуерто Рико. Інк., Сполучені Штати Америки; контроль якості (за винятком тесту "Мікробіологічна чистота"): А енд Ем ШТАБТЕСТ Лабор фур Аналітик унд Стабілітатспруфунг ГмбХ, Німеччина; контроль якості при дослідженні стабільності (за винятком тесту "Мікробіологічна чистота"): Еврофінс ФАСТ ГмбХ, Німеччина; альтернативна лабораторія для контролю тесту "Мікробіологічна чистота":</w:t>
              <w:br/>
              <w:t>СГС Інститут Фрезеніус ГмбХ, Німеччина; Лабор ЛС СЕ енд Ко. КГ, Німеччина; К`юЕйСіЕс ЛТД, Грецiя; альтернативна лабораторія для контролю N-нітрозодиметиламіну (NDMA): К'юЕйСіЕс ЛТД, Греція; Солвіас АГ,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/Греція/ Франція/ Сполучені Штати Америки/ 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 введення додаткового показника специфікації ГЛЗ «Домішка N-нітрозодиметиламін» з критерієм прийнятності «≤48.0 ppb» та відповідним методом контролю – Газова хроматографія мас-спектрофотометрія.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введення додаткового методу контролю домішки N-нітрозодиметиламін в ГЛЗ, а саме- додається метод Рідинної хроматографії – мас-спектрометрія.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введення додаткового методу контролю домішки N-нітрозодиметиламін в ГЛЗ, а саме- додається метод над високоефективної рідинної хроматографії – тандемна мас-спектрометрія.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альтернативної лабораторії К’юЕйСіЕс ЛТД, Греція/QACS LTD, Greece, для контролю N-нітрозодиметиламіну в ГЛЗ. </w:t>
              <w:br/>
              <w:t>Редакційні правки в написанні назви альтернативної лабораторії К’юЕйСіЕс ЛТД, Греція/QACS LTD, Greece для контролю тесту «Мікробіологічна чистота».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альтернативної лабораторії Солвіас АГ, Швейцарія/Solvias AG, Switzerland (Ромерпарк 2, 4303 Кайзераугст, Швейцарія/Romerpark 2, 4303 Kaiseraugst, Switzerland) для контролю N-нітрозодиметиламіну в ГЛЗ.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змін(зазначення матеріалу ємностей для зберігання розчинів) до методів контролю якості ЛЗ , а саме - до тестів: - Ідентифікація, продукти розпаду та кількісне визначення емпагліфлозину; - Ідентифікація, продукти розпаду та кількісне визначення метформіну гідрохлориду; - Розчинення емпагліфлозину та Метформіну гідрохлориду; - Однорідність дозованих одиниць емпагліфлозину та метформіну гідрохлориду.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незначних змін до методу контролю якості «Розчинення» ГЛЗ. Зміни І типу - Зміни з якості. Готовий лікарський засіб. Контроль готового лікарського засобу (інші зміни) - оновлення МКЯ для лікарського засобу, а саме - викладення тексту державною мовою, згідно сучасних вимог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UA/15724/01/01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СОЛУ-МЕДРОЛ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methylprednisolone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метилпреднізолон у вигляді метилпреднізолону натрію сукцинату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1000 мг; 1 флакон з порошком та 1 флакон з розчинником (спирт бензиловий (9 мг/мл), вода для ін'єкцій) по 15,6 мл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контроль якості, випуск серії: Пфайзер Менюфекчуринг Бельгія НВ, Бельгія; контроль якості при випуску та під час стабільності: ЕсДжіЕс Лаб Саймон СА,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"Взаємодія з іншими лікарськими засобами та інші види взаємодій" та "Особливості застосування". Введення змін протягом 9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"Застосування у період вагітності або годування груддю" (внесення додаткових застережень щодо допоміжних речовин препарату), "Спосіб застосування та дози". Введення змін протягом 9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за рецептом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color w:val="000000"/>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СОЛУ-МЕДРОЛ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methylprednisolone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метилпреднізолон у вигляді метилпреднізолону натрію сукцинату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500 мг; 1 флакон з порошком та 1 флакон з розчинником (спирт бензиловий (9 мг/мл), вода для ін'єкцій) по 7,8 мл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контроль якості, випуск серії: Пфайзер Менюфекчуринг Бельгія НВ, Бельгія; контроль якості при випуску та під час стабільності: ЕсДжіЕс Лаб Саймон СА,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"Взаємодія з іншими лікарськими засобами та інші види взаємодій" та "Особливості застосування". Введення змін протягом 9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"Застосування у період вагітності або годування груддю" (внесення додаткових застережень щодо допоміжних речовин препарату), "Спосіб застосування та дози". Введення змін протягом 9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за рецептом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СОЛУ-МЕДРОЛ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methylprednisolone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метилпреднізолон у вигляді метилпреднізолону натрію сукцинату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125 мг/2 мл; 1 флакон типу Act-O-Vial (двоємнісний флакон) з порошком та розчинником (вода для ін'єкцій) по 2 мл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контроль якості, випуск серії: Пфайзер Менюфекчуринг Бельгія НВ, Бельгія; контроль якості при випуску та під час стабільності: ЕсДжіЕс Лаб Саймон СА,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"Взаємодія з іншими лікарськими засобами та інші види взаємодій" та "Особливості застосування". Введення змін протягом 9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"Застосування у період вагітності або годування груддю" (внесення додаткових застережень щодо допоміжних речовин препарату), "Спосіб застосування та дози". Введення змін протягом 9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за рецептом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СОЛУ-МЕДРОЛ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methylprednisolone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метилпреднізолон у вигляді метилпреднізолону натрію сукцинату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H02AB04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40 мг/мл; 1 флакон типу Act-O-Vial (двоємнісний флакон) з порошком та розчинником (вода для ін'єкцій) по 1 мл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контроль якості, випуск серії: Пфайзер Менюфекчуринг Бельгія НВ, Бельгія; контроль якості при випуску та під час стабільності: ЕсДжіЕс Лаб Саймон СА,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"Взаємодія з іншими лікарськими засобами та інші види взаємодій" та "Особливості застосування". Введення змін протягом 9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"Застосування у період вагітності або годування груддю" (внесення додаткових застережень щодо допоміжних речовин препарату), "Спосіб застосування та дози". Введення змін протягом 9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за рецептом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СТЕРОФУНДИН ISO</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electrolytes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FFFFF" w:val="clear"/>
              </w:rPr>
              <w:t>натрію хлорид; калію хлорид; магнію хлорид, гексагідрат; кальцію хлорид, дигідрат; натрію ацетат, тригідрат; кислота L-малонова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B05BB01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по 250 мл, 500 мл, 1000 мл у поліетиленовому контейнері; по 10 контейнерів у картонній коробці; по 250 мл, 500 мл, 1000 мл у пластиковому мішку; по 10 мішків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 Браун Мельзунген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 Браун Медікал СА, Іспанія; Б. Браун Медикал СА, Швейцарія; Виробництво, первинна та вторинна упаковка, випуск серії, контроль серії: Б. Браун Мельзунген АГ, Німеччина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Швейцарія/ 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у методах випробування за показником «Кількісне визначення. Малати» з використанням альтернативного набору реагентів Megazyme.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br/>
              <w:t>зміна у методах випробування за показником «Кількісне визначення. Ацетати» з використанням альтернативного набору реагентів Megazyme.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методики визначення елементних домішок в розділі 3.2.S.3.2. Домішки відповідно ІСН Q3D методом ІСР-MS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UA/9618/01/01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СТУГЕРОН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cinnarizine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цинаризин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25 мг; по 25 таблеток у блістері; по 2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br/>
              <w:t xml:space="preserve">Зміна уповноваженої особи заявника, відповідальної за фармаконагляд. </w:t>
              <w:br/>
              <w:t xml:space="preserve">Діюча редакція: Аттіла Олаг. </w:t>
              <w:br/>
              <w:t xml:space="preserve">Пропонована редакція: Ласло Секей. </w:t>
              <w:br/>
              <w:t xml:space="preserve">Зміна контактних даних уповноваженої особи заявника, відповідальної за фармаконагляд. </w:t>
              <w:br/>
              <w:t xml:space="preserve">Зміна контактних даних контактної особи заявника, відповідальної за фармаконагляд в Україні. </w:t>
              <w:br/>
              <w:t xml:space="preserve">Зміна місцезнаходження мастер-файла системи фармаконагляду. </w:t>
              <w:br/>
              <w:t>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UA/7385/01/01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СУЛЬЦЕФ</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Cefoperazone and beta-lactamase inhibitor</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цефоперазон натрію у перерахунку на цефоперазон;</w:t>
              <w:br/>
              <w:t>сульбактам натрію у перерахунку на сульбактам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J01DD62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1г/1г, 1 або 10, або 50, або 100 флаконів з порошком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Медокемі Лімітед, Кіпр;</w:t>
              <w:br/>
              <w:t>Виробництво готового лікарського засобу, первинне та вторинне пакування:</w:t>
              <w:br/>
              <w:t>Медокемі (Фа Іст) Кампані Лімітед, В’єтнам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 В’єтнам</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та адреси заявника (власника реєстраційного посвідчення)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UA/11158/01/01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СУМЕТРОЛІМ®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Sulfamethoxazole and trimethoprim</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сульфаметоксазол та триметоприму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J01EE01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400 мг/80 мг по 10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редакційне оновлення розділу «Склад». Переклад МКЯ з російської мови на українську мову для приведення у відповідність із вимогами чинної редакції Наказу МОЗ України № 426 від 26.08.2005.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приведення розділу «Опис» у МКЯ у відповідність до оригінальних матеріалів виробника ГЛЗ( р. 3.2.P.5.1 «Специфікація», 3.2.P.5.2 «Аналітичні методики»).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редакційне оновлення тесту «Розміри» у відповідності з розділом 3.2.P.5.2 «Аналітичні методики»(зазначення внутрішнього методу, замість інструментального; методика не змінилася).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методики «Ідентифікація 2» методом ТШХ ,а саме зазначено більш точний опис методики та додано кольорову хроматограму.</w:t>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редакційне оновлення тесту «Ідентифікація 1» методом ВЕРХ у відповідності до оригінальних матеріалів виробника ГЛЗ( р. 3.2.P.5.1 «Специфікація», 3.2.P.5.2 «Аналітичні методики»).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методики «Кількісне визначення» методом ВЕРХ у відповідності до оригінальних матеріалів виробника ГЛЗ( р. 3.2.P.5.1 «Специфікація», 3.2.P.5.2 «Аналітичні методики»): уточнено якість реагентів; введено еквівалентні прилади; змінено часи утримування; до опису колонки додано режим розділення та промивання голки; додано стабільність розчинів; більш точно описано вимоги придатності хроматографічної системи; змінено формули.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методики «Супровідні домішки» методом ВЕРХ у відповідності до оригінальних матеріалів виробника ГЛЗ( р. 3.2.P.5.1 «Специфікація», 3.2.P.5.2 «Аналітичні методики»): введено еквівалентні прилади; до опису колонки додано промивання голки; більш точно описано випробуваний розчин; додано стабільність розчинів; більш точно описано вимоги придатності хроматографічної системи; змінено часи утримування; змінено формули.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методики «Розчинення» методом ВЕРХ у відповідності до оригінальних матеріалів виробника ГЛЗ( р. 3.2.P.5.1 «Специфікація», 3.2.P.5.2 «Аналітичні методики»): додано посилання на ЄФ 2.9.3 та 2.2.29; додано стабільність розчинів; зазначено приготування двох стандартних розчинів; додано промивання голки; змінено вимоги придатності хроматографічної системи.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редакційне оновлення тесту «Середня маса» у відповідності до оригінальних матеріалів виробника ГЛЗ( р. 3.2.P.5.1 «Специфікація», 3.2.P.5.2 «Аналітичні методики»).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редакційне оновлення тесту «Однорідність маси» у відповідності до оригінальних матеріалів виробника ГЛЗ( р. 3.2.P.5.1 «Специфікація», 3.2.P.5.2 «Аналітичні методики»).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редакційне оновлення тесту «Стираність» у відповідності до оригінальних матеріалів виробника ГЛЗ( р. 3.2.P.5.1 «Специфікація», 3.2.P.5.2 «Аналітичні методики»).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редакційне оновлення тесту «Втрата в масі при висушуванні» у відповідності до оригінальних матеріалів виробника ГЛЗ( р. 3.2.P.5.1 «Специфікація», 3.2.P.5.2 «Аналітичні методики»).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редакційне оновлення тесту «Однорідність дозованих одиниць» у відповідності до оригінальних матеріалів виробника ГЛЗ( р. 3.2.P.5.1 «Специфікація», 3.2.P.5.2 «Аналітичні методики»).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редакційне оновлення тесту «Мікробіологічна чистота» у відповідності до оригінальних матеріалів виробника ГЛЗ( р. 3.2.P.5.1 «Специфікація», 3.2.P.5.2 «Аналітичні методики»)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UA/3194/02/01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СУНІТИНІБ-МІЛІ-12,5</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Sunitinib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сунітинібу малат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L01EX01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желатинові 12,5 мг, по 7 капсул у блістері, по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Мілі Хелскере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Шилпа Медікеа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(Sutent 12,5 mg, 25 mg, 37,5 mg, 50 mg hard capsules).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СУНІТИНІБ-МІЛІ-25</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Sunitinib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сунітинібу малат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L01EX01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желатинові 25 мг, </w:t>
            </w:r>
            <w:r>
              <w:rPr>
                <w:rFonts w:cs="Arial" w:ascii="Arial" w:hAnsi="Arial"/>
                <w:sz w:val="16"/>
                <w:szCs w:val="16"/>
              </w:rPr>
              <w:t>по 7 капсул у блістері, по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Мілі Хелскере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Шилпа Медікеа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(Sutent 12,5 mg, 25 mg, 37,5 mg, 50 mg hard capsules).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UA/20446/01/02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СУНІТИНІБ-МІЛІ-37,5</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Sunitinib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сунітинібу малат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L01EX01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желатинові 37,5 мг, </w:t>
            </w:r>
            <w:r>
              <w:rPr>
                <w:rFonts w:cs="Arial" w:ascii="Arial" w:hAnsi="Arial"/>
                <w:sz w:val="16"/>
                <w:szCs w:val="16"/>
              </w:rPr>
              <w:t>по 7 капсул у блістері, по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Мілі Хелскере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Шилпа Медікеа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(Sutent 12,5 mg, 25 mg, 37,5 mg, 50 mg hard capsules).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UA/20446/01/03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СУНІТИНІБ-МІЛІ-50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Sunitinib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сунітинібу малат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L01EX01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желатинові 50 мг, </w:t>
            </w:r>
            <w:r>
              <w:rPr>
                <w:rFonts w:cs="Arial" w:ascii="Arial" w:hAnsi="Arial"/>
                <w:sz w:val="16"/>
                <w:szCs w:val="16"/>
              </w:rPr>
              <w:t>по 7 капсул у блістері, по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Мілі Хелскере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Шилпа Медікеа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(Sutent 12,5 mg, 25 mg, 37,5 mg, 50 mg hard capsules).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UA/20446/01/04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ТАЙФЕР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Iron, parenteral preparations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залізо (у вигляді заліза (ІІІ) гідроксид сахарозного комплексу)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B03AC</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або концентрат для розчину для інфузій, 20 мг/мл; по 5 мл в ампулах; по 5 ампул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ТЕХНОПАК МАНУФЕКЧЕ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РАФАРМ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 "Протипоказання" відповідно до інформації щодо медичного застосування референтного лікарського засобу (ВЕНОФЕР®).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UA/20120/01/01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ТЕЗПАЙР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tezepelumab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тезепелумаб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R03DX11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210 мг/1,91 мл (110 мг/мл); розчин для ін’єкцій у попередньо наповненому шприці одноразового використання із незнімною голкою із захисним ковпачком та обмежувачем ходу поршня; по 1 попередньо наповненому шприцу одноразового використання у термоформованому блістері; по 1 блістеру в картонній коробці; розчин для ін’єкцій у попередньо наповненій шприц-ручці одноразового використання для автоматичного введення із незнімною голкою із захисним ковпачком та обмежувачем ходу поршня; по 1 попередньо наповненій шприц-ручці одноразового використання для автоматичного введення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АстраЗенека АБ</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Попередньо наповнений шприц: Виробництво лікарського засобу, первинне пакування, випробування контролю якості: Амген Мануфекчурінг Лімітед ЛЛС (AML ЛЛС), Сполучені Штати (США); Випробування контролю якості: Амген Інк. (Амген Таузенд Оукс або ATO), Сполучені Штати (США); Вторинне пакування (комплектування попередньо наповненого шприца, маркування та пакування): Пеккеджінг Коордінейторс, ЛЛС (PCI), Сполучені Штати (США);  Випуск серій: АстраЗенека АБ, Швеція; Попередньо наповнена шприц-ручка: Виробництво лікарського засобу, первинне пакування, випробування контролю якості: Амген Мануфекчурінг Лімітед ЛЛС (AML ЛЛС), Сполучені Штати (США); Випробування контролю якості: Амген Інк. (Амген Таузенд Оукс або ATO), Сполучені Штати (США);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(комплектування попередньо наповненої шприц-ручки, маркування та пакування): Пеккеджінг Коордінейторс, ЛЛС (PCI), Сполучені Штати (США); Випуск серій: АстраЗенека АБ, Швеція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до розділу "Показання" (внесення нового показання: Хронічний риносинусит з назальними поліпами (ХРСзНП)) та унаслідок до розділів "Фармакологічні властивості", "Особливості застосування", "Спосіб застосування та дози", "Діти", "Побічні реакції".Введення змін протягом 6 місяців після затвердження. </w:t>
              <w:br/>
              <w:t xml:space="preserve">В межах зміни надано оновлений ПУР, версія 6.2. Резюме ПУР версія 6.2 додається.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ТЕЛМІСТА® ТРІО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Telmisartan, amlodipine and hydrochlorothiazide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елмісартан, амлодипін (у вигляді амлодипіну бесилату) та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40 мг/5 мг/12,5 мг по 7 таблеток у блістері; по 4 або 12 блістерів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"in bulk", первинне та вторинне пакування, контроль серії та випуск серії</w:t>
              <w:br/>
              <w:t>КРКА, д.д., Ново место,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розділу "Побічні реакції" інструкції для медичного застосування лікарського засобу щодо безпеки застосування діючої речовини телмісартан (версія еСТД 0001).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UA/20961/01/01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ТЕЛМІСТА® ТРІО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Telmisartan, amlodipine and hydrochlorothiazide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елмісартан, амлодипін (у вигляді амлодипіну бесилату) та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80 мг/5 мг/12,5 мг по 7 таблеток у блістері; по 4 або 12 блістерів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"in bulk", первинне та вторинне пакування, контроль серії та випуск серії</w:t>
              <w:br/>
              <w:t>КРКА, д.д., Ново место,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розділу "Побічні реакції" інструкції для медичного застосування лікарського засобу щодо безпеки застосування діючої речовини телмісартан (версія еСТД 0001).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UA/20961/01/02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ТЕЛМІСТА® ТРІО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Telmisartan, amlodipine and hydrochlorothiazide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елмісартан, амлодипін (у вигляді амлодипіну бесилату) та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80 мг/10 мг/12,5 мг по 7 таблеток у блістері; по 4 або 12 блістерів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"in bulk", первинне та вторинне пакування, контроль серії та випуск серії</w:t>
              <w:br/>
              <w:t>КРКА, д.д., Ново место,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розділу "Побічні реакції" інструкції для медичного застосування лікарського засобу щодо безпеки застосування діючої речовини телмісартан (версія еСТД 0001).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UA/20961/01/03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ТЕЛМІСТА® ТРІО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Telmisartan, amlodipine and hydrochlorothiazide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елмісартан, амлодипін (у вигляді амлодипіну бесилату) та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C09DX08</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80 мг/10 мг/25 мг по 7 таблеток у блістері; по 4 або 12 блістерів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"in bulk", первинне та вторинне пакування, контроль серії та випуск серії</w:t>
              <w:br/>
              <w:t>КРКА, д.д., Ново место,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розділу "Побічні реакції" інструкції для медичного застосування лікарського засобу щодо безпеки застосування діючої речовини телмісартан (версія еСТД 0001).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UA/20961/01/04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ТЕРБІЗИЛ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terbinafine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тербінафіну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D01AE15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1 % по 15 г у тубі; по 1 тубі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w:t>
              <w:br/>
              <w:t xml:space="preserve">Пропонована редакція: Ласло Секей. </w:t>
              <w:br/>
              <w:t>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UA/4558/01/01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ТЕТРАКСИМ®/</w:t>
            </w:r>
            <w:r>
              <w:rPr>
                <w:rFonts w:cs="Arial" w:ascii="Arial" w:hAnsi="Arial"/>
                <w:b/>
                <w:sz w:val="16"/>
                <w:szCs w:val="16"/>
              </w:rPr>
              <w:t>TETRAXIM</w:t>
            </w:r>
            <w:r>
              <w:rPr>
                <w:rFonts w:cs="Arial" w:ascii="Arial" w:hAnsi="Arial"/>
                <w:b/>
                <w:sz w:val="16"/>
                <w:szCs w:val="16"/>
                <w:lang w:val="uk-UA"/>
              </w:rPr>
              <w:t xml:space="preserve"> ВАКЦИНА ДЛЯ ПРОФІЛАКТИКИ ДИФТЕРІЇ, ПРАВЦЯ, КАШЛЮКУ (АЦЕЛЮЛЯРНИЙ КОМПОНЕНТ) ТА ПОЛІОМІЄЛІТУ АДСОРБОВАНА, ІНАКТИВОВАНА, РІДКА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sz w:val="16"/>
                <w:szCs w:val="16"/>
              </w:rPr>
              <w:t>Diphtheria-pertussis-poliomyelitis-tetanus</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lang w:val="uk-UA"/>
              </w:rPr>
              <w:t>дифтерійний анатоксин</w:t>
            </w:r>
            <w:r>
              <w:rPr>
                <w:rFonts w:cs="Arial" w:ascii="Arial" w:hAnsi="Arial"/>
                <w:color w:val="000000"/>
                <w:sz w:val="16"/>
                <w:szCs w:val="16"/>
                <w:vertAlign w:val="superscript"/>
                <w:lang w:val="uk-UA"/>
              </w:rPr>
              <w:t>1</w:t>
            </w:r>
            <w:r>
              <w:rPr>
                <w:rFonts w:cs="Arial" w:ascii="Arial" w:hAnsi="Arial"/>
                <w:color w:val="000000"/>
                <w:sz w:val="16"/>
                <w:szCs w:val="16"/>
                <w:lang w:val="uk-UA"/>
              </w:rPr>
              <w:t>;</w:t>
            </w:r>
          </w:p>
          <w:p>
            <w:pPr>
              <w:pStyle w:val="Normal"/>
              <w:jc w:val="both"/>
              <w:rPr/>
            </w:pPr>
            <w:r>
              <w:rPr>
                <w:rFonts w:cs="Arial" w:ascii="Arial" w:hAnsi="Arial"/>
                <w:color w:val="000000"/>
                <w:sz w:val="16"/>
                <w:szCs w:val="16"/>
                <w:lang w:val="uk-UA"/>
              </w:rPr>
              <w:t>правцевий анатоксин</w:t>
            </w:r>
            <w:r>
              <w:rPr>
                <w:rFonts w:cs="Arial" w:ascii="Arial" w:hAnsi="Arial"/>
                <w:color w:val="000000"/>
                <w:sz w:val="16"/>
                <w:szCs w:val="16"/>
                <w:vertAlign w:val="superscript"/>
                <w:lang w:val="uk-UA"/>
              </w:rPr>
              <w:t>1</w:t>
            </w:r>
            <w:r>
              <w:rPr>
                <w:rFonts w:cs="Arial" w:ascii="Arial" w:hAnsi="Arial"/>
                <w:color w:val="000000"/>
                <w:sz w:val="16"/>
                <w:szCs w:val="16"/>
                <w:lang w:val="uk-UA"/>
              </w:rPr>
              <w:t>;</w:t>
            </w:r>
          </w:p>
          <w:p>
            <w:pPr>
              <w:pStyle w:val="Normal"/>
              <w:jc w:val="both"/>
              <w:rPr/>
            </w:pPr>
            <w:r>
              <w:rPr>
                <w:rFonts w:cs="Arial" w:ascii="Arial" w:hAnsi="Arial"/>
                <w:color w:val="000000"/>
                <w:sz w:val="16"/>
                <w:szCs w:val="16"/>
                <w:lang w:val="uk-UA"/>
              </w:rPr>
              <w:t>антигени</w:t>
            </w:r>
            <w:r>
              <w:rPr>
                <w:rFonts w:cs="Arial" w:ascii="Arial" w:hAnsi="Arial"/>
                <w:color w:val="000000"/>
                <w:sz w:val="16"/>
                <w:szCs w:val="16"/>
              </w:rPr>
              <w:t> </w:t>
            </w:r>
            <w:r>
              <w:rPr>
                <w:rFonts w:cs="Arial" w:ascii="Arial" w:hAnsi="Arial"/>
                <w:i/>
                <w:iCs/>
                <w:color w:val="000000"/>
                <w:sz w:val="16"/>
                <w:szCs w:val="16"/>
              </w:rPr>
              <w:t>Bordetella pertussis</w:t>
            </w:r>
            <w:r>
              <w:rPr>
                <w:rFonts w:cs="Arial" w:ascii="Arial" w:hAnsi="Arial"/>
                <w:color w:val="000000"/>
                <w:sz w:val="16"/>
                <w:szCs w:val="16"/>
                <w:lang w:val="uk-UA"/>
              </w:rPr>
              <w:t>:</w:t>
            </w:r>
          </w:p>
          <w:p>
            <w:pPr>
              <w:pStyle w:val="Normal"/>
              <w:jc w:val="both"/>
              <w:rPr/>
            </w:pPr>
            <w:r>
              <w:rPr>
                <w:rFonts w:cs="Arial" w:ascii="Arial" w:hAnsi="Arial"/>
                <w:color w:val="000000"/>
                <w:sz w:val="16"/>
                <w:szCs w:val="16"/>
              </w:rPr>
              <w:t>- кашлюковий анатоксин</w:t>
            </w:r>
            <w:r>
              <w:rPr>
                <w:rFonts w:cs="Arial" w:ascii="Arial" w:hAnsi="Arial"/>
                <w:color w:val="000000"/>
                <w:sz w:val="16"/>
                <w:szCs w:val="16"/>
                <w:vertAlign w:val="superscript"/>
              </w:rPr>
              <w:t>1</w:t>
            </w:r>
            <w:r>
              <w:rPr>
                <w:rFonts w:cs="Arial" w:ascii="Arial" w:hAnsi="Arial"/>
                <w:color w:val="000000"/>
                <w:sz w:val="16"/>
                <w:szCs w:val="16"/>
              </w:rPr>
              <w:t>;</w:t>
            </w:r>
          </w:p>
          <w:p>
            <w:pPr>
              <w:pStyle w:val="Normal"/>
              <w:jc w:val="both"/>
              <w:rPr/>
            </w:pPr>
            <w:r>
              <w:rPr>
                <w:rFonts w:cs="Arial" w:ascii="Arial" w:hAnsi="Arial"/>
                <w:color w:val="000000"/>
                <w:sz w:val="16"/>
                <w:szCs w:val="16"/>
              </w:rPr>
              <w:t>- філаментний гемаглютинін (ФГА)</w:t>
            </w:r>
            <w:r>
              <w:rPr>
                <w:rFonts w:cs="Arial" w:ascii="Arial" w:hAnsi="Arial"/>
                <w:color w:val="000000"/>
                <w:sz w:val="16"/>
                <w:szCs w:val="16"/>
                <w:vertAlign w:val="superscript"/>
              </w:rPr>
              <w:t>1</w:t>
            </w:r>
            <w:r>
              <w:rPr>
                <w:rFonts w:cs="Arial" w:ascii="Arial" w:hAnsi="Arial"/>
                <w:color w:val="000000"/>
                <w:sz w:val="16"/>
                <w:szCs w:val="16"/>
              </w:rPr>
              <w:t>;</w:t>
            </w:r>
          </w:p>
          <w:p>
            <w:pPr>
              <w:pStyle w:val="Normal"/>
              <w:jc w:val="both"/>
              <w:rPr>
                <w:rFonts w:ascii="Arial" w:hAnsi="Arial" w:cs="Arial"/>
                <w:color w:val="000000"/>
                <w:sz w:val="16"/>
                <w:szCs w:val="16"/>
              </w:rPr>
            </w:pPr>
            <w:r>
              <w:rPr>
                <w:rFonts w:cs="Arial" w:ascii="Arial" w:hAnsi="Arial"/>
                <w:color w:val="000000"/>
                <w:sz w:val="16"/>
                <w:szCs w:val="16"/>
              </w:rPr>
              <w:t>інактивований вірус поліомієліту</w:t>
            </w:r>
            <w:r>
              <w:rPr>
                <w:rFonts w:cs="Arial" w:ascii="Arial" w:hAnsi="Arial"/>
                <w:color w:val="000000"/>
                <w:sz w:val="16"/>
                <w:szCs w:val="16"/>
                <w:vertAlign w:val="superscript"/>
              </w:rPr>
              <w:t>5</w:t>
            </w:r>
          </w:p>
          <w:p>
            <w:pPr>
              <w:pStyle w:val="Normal"/>
              <w:jc w:val="both"/>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1 (Mahoney);</w:t>
            </w:r>
          </w:p>
          <w:p>
            <w:pPr>
              <w:pStyle w:val="Normal"/>
              <w:jc w:val="both"/>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2 (MEF-1);</w:t>
            </w:r>
          </w:p>
          <w:p>
            <w:pPr>
              <w:pStyle w:val="Normal"/>
              <w:jc w:val="both"/>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3 (Saukett);</w:t>
            </w:r>
          </w:p>
          <w:p>
            <w:pPr>
              <w:pStyle w:val="Normal"/>
              <w:jc w:val="both"/>
              <w:rPr/>
            </w:pPr>
            <w:r>
              <w:rPr>
                <w:rFonts w:cs="Arial" w:ascii="Arial" w:hAnsi="Arial"/>
                <w:color w:val="000000"/>
                <w:sz w:val="16"/>
                <w:szCs w:val="16"/>
                <w:vertAlign w:val="superscript"/>
              </w:rPr>
              <w:t>1</w:t>
            </w:r>
            <w:r>
              <w:rPr>
                <w:rFonts w:cs="Arial" w:ascii="Arial" w:hAnsi="Arial"/>
                <w:color w:val="000000"/>
                <w:sz w:val="16"/>
                <w:szCs w:val="16"/>
              </w:rPr>
              <w:t> адсорбовані на гідратованому алюмінію гідроксиді</w:t>
            </w:r>
          </w:p>
          <w:p>
            <w:pPr>
              <w:pStyle w:val="Normal"/>
              <w:jc w:val="both"/>
              <w:rPr>
                <w:rFonts w:ascii="Arial" w:hAnsi="Arial" w:cs="Arial"/>
                <w:color w:val="000000"/>
                <w:sz w:val="16"/>
                <w:szCs w:val="16"/>
              </w:rPr>
            </w:pPr>
            <w:r>
              <w:rPr>
                <w:rFonts w:cs="Arial" w:ascii="Arial" w:hAnsi="Arial"/>
                <w:color w:val="000000"/>
                <w:sz w:val="16"/>
                <w:szCs w:val="16"/>
                <w:vertAlign w:val="superscript"/>
              </w:rPr>
              <w:t>5 </w:t>
            </w:r>
            <w:r>
              <w:rPr>
                <w:rFonts w:cs="Arial" w:ascii="Arial" w:hAnsi="Arial"/>
                <w:color w:val="000000"/>
                <w:sz w:val="16"/>
                <w:szCs w:val="16"/>
              </w:rPr>
              <w:t>культивовані на клітинах </w:t>
            </w:r>
            <w:r>
              <w:rPr>
                <w:rStyle w:val="Spelle"/>
                <w:rFonts w:cs="Arial" w:ascii="Arial" w:hAnsi="Arial"/>
                <w:i/>
                <w:iCs/>
                <w:color w:val="000000"/>
                <w:sz w:val="16"/>
                <w:szCs w:val="16"/>
              </w:rPr>
              <w:t>Vero</w:t>
            </w:r>
          </w:p>
          <w:p>
            <w:pPr>
              <w:pStyle w:val="11"/>
              <w:tabs>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tabs>
                <w:tab w:val="left" w:pos="12600" w:leader="none"/>
              </w:tabs>
              <w:rPr>
                <w:rFonts w:ascii="Arial" w:hAnsi="Arial" w:cs="Arial"/>
                <w:color w:val="000000"/>
                <w:sz w:val="16"/>
                <w:szCs w:val="16"/>
              </w:rPr>
            </w:pPr>
            <w:r>
              <w:rPr>
                <w:rFonts w:cs="Arial" w:ascii="Arial" w:hAnsi="Arial"/>
                <w:color w:val="000000"/>
                <w:sz w:val="16"/>
                <w:szCs w:val="16"/>
              </w:rPr>
              <w:t>J07CA02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 попередньо заповненому шприцу по 0,5 мл (1 доза) з прикріпленою голкою (або 2-ма окремими голками), що містить суспензію для ін’єкцій, в картонній коробці з маркуванням українською або англійською, або іншими іноземними мовами; по 1 попередньо заповненому шприцу по 0,5 мл (1 доза) з прикріпленою голкою (або 2-ма окремими голками), що містить суспензію для ін’єкцій в картонній коробці, в якій міститься стандартно-експортна упаковка та інструкція для медичного застосування з маркуванням українською або англійською, або іншими іноземними мовами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виробництво готового нерозфасованого продукту, контроль якості, вторинне пакування, випуск серії:</w:t>
            </w:r>
          </w:p>
          <w:p>
            <w:pPr>
              <w:pStyle w:val="Normal"/>
              <w:autoSpaceDE w:val="false"/>
              <w:jc w:val="center"/>
              <w:rPr>
                <w:rFonts w:ascii="Arial" w:hAnsi="Arial" w:cs="Arial"/>
                <w:bCs/>
                <w:sz w:val="16"/>
                <w:szCs w:val="16"/>
              </w:rPr>
            </w:pPr>
            <w:r>
              <w:rPr>
                <w:rFonts w:cs="Arial" w:ascii="Arial" w:hAnsi="Arial"/>
                <w:bCs/>
                <w:color w:val="000000"/>
                <w:sz w:val="16"/>
                <w:szCs w:val="16"/>
              </w:rPr>
              <w:t>Санофі Вінтроп Індастрі, Франція;</w:t>
            </w:r>
          </w:p>
          <w:p>
            <w:pPr>
              <w:pStyle w:val="Normal"/>
              <w:autoSpaceDE w:val="false"/>
              <w:jc w:val="center"/>
              <w:rPr>
                <w:rFonts w:ascii="Arial" w:hAnsi="Arial" w:cs="Arial"/>
                <w:bCs/>
                <w:sz w:val="16"/>
                <w:szCs w:val="16"/>
              </w:rPr>
            </w:pPr>
            <w:r>
              <w:rPr>
                <w:rFonts w:cs="Arial" w:ascii="Arial" w:hAnsi="Arial"/>
                <w:bCs/>
                <w:color w:val="000000"/>
                <w:sz w:val="16"/>
                <w:szCs w:val="16"/>
              </w:rPr>
              <w:t>повний цикл виробництва, контроль якості, вторинне пакування, випуск серії:</w:t>
            </w:r>
          </w:p>
          <w:p>
            <w:pPr>
              <w:pStyle w:val="Normal"/>
              <w:autoSpaceDE w:val="false"/>
              <w:jc w:val="center"/>
              <w:rPr>
                <w:rFonts w:ascii="Arial" w:hAnsi="Arial" w:cs="Arial"/>
                <w:bCs/>
                <w:sz w:val="16"/>
                <w:szCs w:val="16"/>
              </w:rPr>
            </w:pPr>
            <w:r>
              <w:rPr>
                <w:rFonts w:cs="Arial" w:ascii="Arial" w:hAnsi="Arial"/>
                <w:bCs/>
                <w:color w:val="000000"/>
                <w:sz w:val="16"/>
                <w:szCs w:val="16"/>
              </w:rPr>
              <w:t>Санофі Вінтроп Індастрі, Франція;</w:t>
            </w:r>
          </w:p>
          <w:p>
            <w:pPr>
              <w:pStyle w:val="Normal"/>
              <w:autoSpaceDE w:val="false"/>
              <w:jc w:val="center"/>
              <w:rPr>
                <w:rFonts w:ascii="Arial" w:hAnsi="Arial" w:cs="Arial"/>
                <w:bCs/>
                <w:sz w:val="16"/>
                <w:szCs w:val="16"/>
              </w:rPr>
            </w:pPr>
            <w:r>
              <w:rPr>
                <w:rFonts w:cs="Arial" w:ascii="Arial" w:hAnsi="Arial"/>
                <w:bCs/>
                <w:color w:val="000000"/>
                <w:sz w:val="16"/>
                <w:szCs w:val="16"/>
              </w:rPr>
              <w:t>випуск серії:</w:t>
            </w:r>
          </w:p>
          <w:p>
            <w:pPr>
              <w:pStyle w:val="Normal"/>
              <w:autoSpaceDE w:val="false"/>
              <w:jc w:val="center"/>
              <w:rPr>
                <w:rFonts w:ascii="Arial" w:hAnsi="Arial" w:cs="Arial"/>
                <w:bCs/>
                <w:sz w:val="16"/>
                <w:szCs w:val="16"/>
              </w:rPr>
            </w:pPr>
            <w:r>
              <w:rPr>
                <w:rFonts w:cs="Arial" w:ascii="Arial" w:hAnsi="Arial"/>
                <w:bCs/>
                <w:color w:val="000000"/>
                <w:sz w:val="16"/>
                <w:szCs w:val="16"/>
              </w:rPr>
              <w:t>Санофі-Авентіс Зрт., Угорщина;</w:t>
            </w:r>
          </w:p>
          <w:p>
            <w:pPr>
              <w:pStyle w:val="Normal"/>
              <w:autoSpaceDE w:val="false"/>
              <w:jc w:val="center"/>
              <w:rPr>
                <w:rFonts w:ascii="Arial" w:hAnsi="Arial" w:cs="Arial"/>
                <w:bCs/>
                <w:sz w:val="16"/>
                <w:szCs w:val="16"/>
              </w:rPr>
            </w:pPr>
            <w:r>
              <w:rPr>
                <w:rFonts w:cs="Arial" w:ascii="Arial" w:hAnsi="Arial"/>
                <w:bCs/>
                <w:color w:val="000000"/>
                <w:sz w:val="16"/>
                <w:szCs w:val="16"/>
              </w:rPr>
              <w:t>вторинне пакування:</w:t>
            </w:r>
          </w:p>
          <w:p>
            <w:pPr>
              <w:pStyle w:val="Normal"/>
              <w:autoSpaceDE w:val="false"/>
              <w:jc w:val="center"/>
              <w:rPr>
                <w:rFonts w:ascii="Arial" w:hAnsi="Arial" w:cs="Arial"/>
                <w:bCs/>
                <w:sz w:val="16"/>
                <w:szCs w:val="16"/>
              </w:rPr>
            </w:pPr>
            <w:r>
              <w:rPr>
                <w:rFonts w:cs="Arial" w:ascii="Arial" w:hAnsi="Arial"/>
                <w:bCs/>
                <w:color w:val="000000"/>
                <w:sz w:val="16"/>
                <w:szCs w:val="16"/>
              </w:rPr>
              <w:t>Кюне + Нагель Кфт., Угорщина</w:t>
            </w:r>
          </w:p>
          <w:p>
            <w:pPr>
              <w:pStyle w:val="Normal"/>
              <w:tabs>
                <w:tab w:val="left" w:pos="12600" w:leader="none"/>
              </w:tabs>
              <w:jc w:val="center"/>
              <w:rPr>
                <w:rFonts w:ascii="Arial" w:hAnsi="Arial" w:cs="Arial"/>
                <w:bCs/>
                <w:color w:val="000000"/>
                <w:sz w:val="16"/>
                <w:szCs w:val="16"/>
              </w:rPr>
            </w:pPr>
            <w:r>
              <w:rPr>
                <w:rFonts w:cs="Arial" w:ascii="Arial" w:hAnsi="Arial"/>
                <w:bCs/>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w:t>
              <w:br/>
              <w:t xml:space="preserve">Зміни назви майданчиків, відповідальних за контроль якості та виробництво АФІ Sanofi Pasteur на Sanofi Winthrop Industrie. Місцерозташування залишається незмінним. Внесення редакційних правок. Термін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w:t>
              <w:br/>
              <w:t xml:space="preserve">Зміни назви майданчиків Марсі Л Етуаль (виробництво готового нерозфасованого продукту, контроль якості, вторинне пакування, випуск серії) та Валь-де-Рой (повний цикл виробництва, контроль якості, вторинне пакування, випуск серії) з Sanofi Pasteur на Sanofi Winthrop Industrie та приведення написання адреси у відповідність до адміністративних документів. Місцезнаходження залишається незмінною. Внесення редакційних правок.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Термін введення змін- протягом 6-ти місяців після затвердження. Зміни І типу - Зміни щодо безпеки/ефективності та фармаконагляду (інші зміни). Зміни внесено в текст маркування упаковки лікарського засобу у пункт 5 (логотип заявника). Також додається коректорська правка в заголовку тексту первинної упаковки. Термін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w:t>
              <w:br/>
              <w:t>Зміна назви виробника, що відповідає за вторинне пакування з Санофі-Авентіс Зрт., Угорщина на Кюне + Нагель Кфт., Угорщина. Немає змін у місці розташування виробничої дільниці, а зазначення адреси виробника, відповідального за вторинне пакування, приведено у відповідність до сертифікату GMP. Термін введення-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ТИЗИНОН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nitisinone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нітизинон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A16AX04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5 мг, по 60 капсул у пластиковому контейнері, по 1 контейнеру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НОБЕЛ ІЛАЧ САНАЇ ВЕ ТІДЖАРЕТ А.Ш.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уточнено розділ «Опис» в специфікації та методах контролю готового лікарського засобу, а саме: із опису вилучено «№ 3» (номер капсули). Зміни внесено в розділ "Лікарська форма" (Основні фізико-хімічні властивості) в інструкцію для медичного застосування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ТИЗИНОН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nitisinone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нітизинон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A16AX04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10 мг, по 60 капсул у пластиковому контейнері, по 1 контейнеру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уточнено розділ «Опис» в специфікації та методах контролю готового лікарського засобу, а саме: із опису вилучено «№ 3» (номер капсули). Зміни внесено в розділ "Лікарська форма" (Основні фізико-хімічні властивості) в інструкцію для медичного застосування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UA/19460/01/02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ТІВОРТІН®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arginine hydrochloride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аргініну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B05XB01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42 мг/мл по 100 мл або по 200 мл у пляшках скляних або полімерних; по 1 пляшці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додавання постачальника пакувальних матеріалів первинного пакування ТОВ «Склянний альянс».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додавання альтернативного методу контролю об'єму ВДІ (Вода для ін’єкцій) та розчину проміжної продукції у реакторі, а саме вагового методу на основі показників тензометричних датчиків, інтегрованих у технологічні ємності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UA/8954/01/01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ТОРАСЕМІД САНДОЗ®</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C03CA04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2 або 3 або 9 або 10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Салютас Фарма ГмбХ, Німеччина;</w:t>
              <w:br/>
              <w:br/>
              <w:t>виробництво за повним циклом:</w:t>
              <w:br/>
              <w:t>Лек С.А., Польща</w:t>
              <w:br/>
              <w:br/>
              <w:t>первинне та вторинне пакування, випуск серії:</w:t>
              <w:br/>
              <w:t>Лек С.А., Польща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додавання упаковки для готового лікарського засобу Торасемід Сандоз® для зареєстрованого ряду дозувань (по 10 мг, по 20 мг, по 50 мг, по 100 мг, по 200 мг), а саме: по 10 таблеток у блістері; по 3 блістери у картонній коробці. Матеріал і розмір (кількість одиниць лікарської форми) первинної упаковки не змінюються. Затверджено: По 10 таблеток у блістері; по 2 або 10 блістерів у картонній коробці; Запропоновано: по 10 таблеток у блістері; по 2 або 3 або 9 або 10 блістерів у картонній коробці. Зміни внесено до розділу "Упаковка" інструкції для медичного застосування лікарського засобу, та як наслідок додавання додаткового виду упаковки (по 10 таблеток у блістері; по 3 блістери у картонній коробці з маркуванням українською мовою).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додавання упаковки для готового лікарського засобу Торасемід Сандоз® для зареєстрованого ряду дозувань (по 10 мг, по 20 мг, по 50 мг, по 100 мг, по 200 мг), а саме: по 10 таблеток у блістері; по 9 блістерів у картонній коробці. Матеріал і розмір (кількість одиниць лікарської форми) первинної упаковки не змінюються. Затверджено: По 10 таблеток у блістері; по 2 або 10 блістерів у картонній коробці; Запропоновано: по 10 таблеток у блістері; по 2 або 3 або 9 або 10 блістерів у картонній коробці. Зміни внесено до розділу "Упаковка" інструкції для медичного застосування лікарського засобу, та як наслідок додавання додаткового виду упаковки (по 10 таблеток у блістері; по 9 блістерів у картонній коробці з маркуванням українською мовою). Введення змін протягом 6-ти місяців після затвердження. Зміни І типу - Зміни щодо безпеки/ефективності та фармаконагляду. Вилучення (сила дії) Вилучення сили дії 5 мг (РП № UA/9619/01/02) для лікарського засобу Торасемід Сандоз®, таблетки по 5 мг, по 10 мг, по 20 мг, по 50 мг, по 100 мг, по 200 мг за ініціативи заявника. Сили дії лікарського засобу (по 10 мг, по 20 мг, по 50 мг, по 100 мг, по 200 мг), для яких реєстраційні посвідчення продовжують бути чинними, відповідають вказівкам з дозування та тривалості лікування, як вказано інструкції для медичного застосування. Зміни внесено до інструкції для медичного застосування лікарського засобу до розділів: "Склад", "Лікарська форма", "Показання", "Особливості застосування", "Спосіб застосування та дози" щодо вилучення дозування 5 мг, з відповідними змінами до тексту маркування упаковки лікарського засобу (вилучення тексту маркування упаковки лікарського засобу для дозування 5 мг).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UA/9619/01/03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ТОРАСЕМІД САНДОЗ®</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C03CA04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2 або 3 або 9 або 10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Салютас Фарма ГмбХ, Німеччина;</w:t>
              <w:br/>
              <w:br/>
              <w:t>виробництво за повним циклом:</w:t>
              <w:br/>
              <w:t>Лек С.А., Польща;</w:t>
              <w:br/>
              <w:br/>
              <w:t>первинне та вторинне пакування, випуск серії:</w:t>
              <w:br/>
              <w:t>Лек С.А., Польща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додавання упаковки для готового лікарського засобу Торасемід Сандоз® для зареєстрованого ряду дозувань (по 10 мг, по 20 мг, по 50 мг, по 100 мг, по 200 мг), а саме: по 10 таблеток у блістері; по 3 блістери у картонній коробці. Матеріал і розмір (кількість одиниць лікарської форми) первинної упаковки не змінюються. Затверджено: По 10 таблеток у блістері; по 2 або 10 блістерів у картонній коробці; Запропоновано: по 10 таблеток у блістері; по 2 або 3 або 9 або 10 блістерів у картонній коробці. Зміни внесено до розділу "Упаковка" інструкції для медичного застосування лікарського засобу, та як наслідок додавання додаткового виду упаковки (по 10 таблеток у блістері; по 3 блістери у картонній коробці з маркуванням українською мовою).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додавання упаковки для готового лікарського засобу Торасемід Сандоз® для зареєстрованого ряду дозувань (по 10 мг, по 20 мг, по 50 мг, по 100 мг, по 200 мг), а саме: по 10 таблеток у блістері; по 9 блістерів у картонній коробці. Матеріал і розмір (кількість одиниць лікарської форми) первинної упаковки не змінюються. Затверджено: По 10 таблеток у блістері; по 2 або 10 блістерів у картонній коробці; Запропоновано: по 10 таблеток у блістері; по 2 або 3 або 9 або 10 блістерів у картонній коробці. Зміни внесено до розділу "Упаковка" інструкції для медичного застосування лікарського засобу, та як наслідок додавання додаткового виду упаковки (по 10 таблеток у блістері; по 9 блістерів у картонній коробці з маркуванням українською мовою). Введення змін протягом 6-ти місяців після затвердження. Зміни І типу - Зміни щодо безпеки/ефективності та фармаконагляду. Вилучення (сила дії) Вилучення сили дії 5 мг (РП № UA/9619/01/02) для лікарського засобу Торасемід Сандоз®, таблетки по 5 мг, по 10 мг, по 20 мг, по 50 мг, по 100 мг, по 200 мг за ініціативи заявника. Сили дії лікарського засобу (по 10 мг, по 20 мг, по 50 мг, по 100 мг, по 200 мг), для яких реєстраційні посвідчення продовжують бути чинними, відповідають вказівкам з дозування та тривалості лікування, як вказано інструкції для медичного застосування. Зміни внесено до інструкції для медичного застосування лікарського засобу до розділів: "Склад", "Лікарська форма", "Показання", "Особливості застосування", "Спосіб застосування та дози" щодо вилучення дозування 5 мг, з відповідними змінами до тексту маркування упаковки лікарського засобу (вилучення тексту маркування упаковки лікарського засобу для дозування 5 мг).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UA/9619/01/04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ТОРАСЕМІД САНДОЗ®</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C03CA04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2 або 3 або 9 або 10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Салютас Фарма ГмбХ, Німеччина;</w:t>
              <w:br/>
              <w:br/>
              <w:t>виробництво за повним циклом:</w:t>
              <w:br/>
              <w:t>Лек С.А., Польща;</w:t>
              <w:br/>
              <w:br/>
              <w:t>первинне та вторинне пакування, випуск серії:</w:t>
              <w:br/>
              <w:t>Лек С.А., Польща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додавання упаковки для готового лікарського засобу Торасемід Сандоз® для зареєстрованого ряду дозувань (по 10 мг, по 20 мг, по 50 мг, по 100 мг, по 200 мг), а саме: по 10 таблеток у блістері; по 3 блістери у картонній коробці. Матеріал і розмір (кількість одиниць лікарської форми) первинної упаковки не змінюються. Затверджено: По 10 таблеток у блістері; по 2 або 10 блістерів у картонній коробці; Запропоновано: по 10 таблеток у блістері; по 2 або 3 або 9 або 10 блістерів у картонній коробці. Зміни внесено до розділу "Упаковка" інструкції для медичного застосування лікарського засобу, та як наслідок додавання додаткового виду упаковки (по 10 таблеток у блістері; по 3 блістери у картонній коробці з маркуванням українською мовою).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додавання упаковки для готового лікарського засобу Торасемід Сандоз® для зареєстрованого ряду дозувань (по 10 мг, по 20 мг, по 50 мг, по 100 мг, по 200 мг), а саме: по 10 таблеток у блістері; по 9 блістерів у картонній коробці. Матеріал і розмір (кількість одиниць лікарської форми) первинної упаковки не змінюються. Затверджено: По 10 таблеток у блістері; по 2 або 10 блістерів у картонній коробці; Запропоновано: по 10 таблеток у блістері; по 2 або 3 або 9 або 10 блістерів у картонній коробці. Зміни внесено до розділу "Упаковка" інструкції для медичного застосування лікарського засобу, та як наслідок додавання додаткового виду упаковки (по 10 таблеток у блістері; по 9 блістерів у картонній коробці з маркуванням українською мовою). Введення змін протягом 6-ти місяців після затвердження. Зміни І типу - Зміни щодо безпеки/ефективності та фармаконагляду. Вилучення (сила дії) Вилучення сили дії 5 мг (РП № UA/9619/01/02) для лікарського засобу Торасемід Сандоз®, таблетки по 5 мг, по 10 мг, по 20 мг, по 50 мг, по 100 мг, по 200 мг за ініціативи заявника. Сили дії лікарського засобу (по 10 мг, по 20 мг, по 50 мг, по 100 мг, по 200 мг), для яких реєстраційні посвідчення продовжують бути чинними, відповідають вказівкам з дозування та тривалості лікування, як вказано інструкції для медичного застосування. Зміни внесено до інструкції для медичного застосування лікарського засобу до розділів: "Склад", "Лікарська форма", "Показання", "Особливості застосування", "Спосіб застосування та дози" щодо вилучення дозування 5 мг, з відповідними змінами до тексту маркування упаковки лікарського засобу (вилучення тексту маркування упаковки лікарського засобу для дозування 5 мг).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UA/9619/01/05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ТОРАСЕМІД САНДОЗ®</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C03CA04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2 або 3 або 9 або 10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Салютас Фарма ГмбХ, Німеччина;</w:t>
              <w:br/>
              <w:br/>
              <w:t>виробництво за повним циклом:</w:t>
              <w:br/>
              <w:t>Лек С.А., Польща;</w:t>
              <w:br/>
              <w:br/>
              <w:t>первинне та вторинне пакування, випуск серії:</w:t>
              <w:br/>
              <w:t>Лек С.А., Польща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додавання упаковки для готового лікарського засобу Торасемід Сандоз® для зареєстрованого ряду дозувань (по 10 мг, по 20 мг, по 50 мг, по 100 мг, по 200 мг), а саме: по 10 таблеток у блістері; по 3 блістери у картонній коробці. Матеріал і розмір (кількість одиниць лікарської форми) первинної упаковки не змінюються. Затверджено: По 10 таблеток у блістері; по 2 або 10 блістерів у картонній коробці; Запропоновано: по 10 таблеток у блістері; по 2 або 3 або 9 або 10 блістерів у картонній коробці. Зміни внесено до розділу "Упаковка" інструкції для медичного застосування лікарського засобу, та як наслідок додавання додаткового виду упаковки (по 10 таблеток у блістері; по 3 блістери у картонній коробці з маркуванням українською мовою).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додавання упаковки для готового лікарського засобу Торасемід Сандоз® для зареєстрованого ряду дозувань (по 10 мг, по 20 мг, по 50 мг, по 100 мг, по 200 мг), а саме: по 10 таблеток у блістері; по 9 блістерів у картонній коробці. Матеріал і розмір (кількість одиниць лікарської форми) первинної упаковки не змінюються. Затверджено: По 10 таблеток у блістері; по 2 або 10 блістерів у картонній коробці; Запропоновано: по 10 таблеток у блістері; по 2 або 3 або 9 або 10 блістерів у картонній коробці. Зміни внесено до розділу "Упаковка" інструкції для медичного застосування лікарського засобу, та як наслідок додавання додаткового виду упаковки (по 10 таблеток у блістері; по 9 блістерів у картонній коробці з маркуванням українською мовою). Введення змін протягом 6-ти місяців після затвердження. Зміни І типу - Зміни щодо безпеки/ефективності та фармаконагляду. Вилучення (сила дії) Вилучення сили дії 5 мг (РП № UA/9619/01/02) для лікарського засобу Торасемід Сандоз®, таблетки по 5 мг, по 10 мг, по 20 мг, по 50 мг, по 100 мг, по 200 мг за ініціативи заявника. Сили дії лікарського засобу (по 10 мг, по 20 мг, по 50 мг, по 100 мг, по 200 мг), для яких реєстраційні посвідчення продовжують бути чинними, відповідають вказівкам з дозування та тривалості лікування, як вказано інструкції для медичного застосування. Зміни внесено до інструкції для медичного застосування лікарського засобу до розділів: "Склад", "Лікарська форма", "Показання", "Особливості застосування", "Спосіб застосування та дози" щодо вилучення дозування 5 мг, з відповідними змінами до тексту маркування упаковки лікарського засобу (вилучення тексту маркування упаковки лікарського засобу для дозування 5 мг).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UA/9619/01/06</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ТОРАСЕМІД САНДОЗ®</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C03CA04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200 мг по 10 таблеток у блістері; по 2 або 3 або 9 або 10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Салютас Фарма ГмбХ, Німеччина;</w:t>
              <w:br/>
              <w:br/>
              <w:t>виробництво за повним циклом:</w:t>
              <w:br/>
              <w:t>Лек С.А., Польща;</w:t>
              <w:br/>
              <w:br/>
              <w:t>первинне та вторинне пакування, випуск серії:</w:t>
              <w:br/>
              <w:t>Лек С.А., Польща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додавання упаковки для готового лікарського засобу Торасемід Сандоз® для зареєстрованого ряду дозувань (по 10 мг, по 20 мг, по 50 мг, по 100 мг, по 200 мг), а саме: по 10 таблеток у блістері; по 3 блістери у картонній коробці. Матеріал і розмір (кількість одиниць лікарської форми) первинної упаковки не змінюються. Затверджено: По 10 таблеток у блістері; по 2 або 10 блістерів у картонній коробці; Запропоновано: по 10 таблеток у блістері; по 2 або 3 або 9 або 10 блістерів у картонній коробці. Зміни внесено до розділу "Упаковка" інструкції для медичного застосування лікарського засобу, та як наслідок додавання додаткового виду упаковки (по 10 таблеток у блістері; по 3 блістери у картонній коробці з маркуванням українською мовою).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додавання упаковки для готового лікарського засобу Торасемід Сандоз® для зареєстрованого ряду дозувань (по 10 мг, по 20 мг, по 50 мг, по 100 мг, по 200 мг), а саме: по 10 таблеток у блістері; по 9 блістерів у картонній коробці. Матеріал і розмір (кількість одиниць лікарської форми) первинної упаковки не змінюються. Затверджено: По 10 таблеток у блістері; по 2 або 10 блістерів у картонній коробці; Запропоновано: по 10 таблеток у блістері; по 2 або 3 або 9 або 10 блістерів у картонній коробці. Зміни внесено до розділу "Упаковка" інструкції для медичного застосування лікарського засобу, та як наслідок додавання додаткового виду упаковки (по 10 таблеток у блістері; по 9 блістерів у картонній коробці з маркуванням українською мовою). Введення змін протягом 6-ти місяців після затвердження. Зміни І типу - Зміни щодо безпеки/ефективності та фармаконагляду. Вилучення (сила дії) Вилучення сили дії 5 мг (РП № UA/9619/01/02) для лікарського засобу Торасемід Сандоз®, таблетки по 5 мг, по 10 мг, по 20 мг, по 50 мг, по 100 мг, по 200 мг за ініціативи заявника. Сили дії лікарського засобу (по 10 мг, по 20 мг, по 50 мг, по 100 мг, по 200 мг), для яких реєстраційні посвідчення продовжують бути чинними, відповідають вказівкам з дозування та тривалості лікування, як вказано інструкції для медичного застосування. Зміни внесено до інструкції для медичного застосування лікарського засобу до розділів: "Склад", "Лікарська форма", "Показання", "Особливості застосування", "Спосіб застосування та дози" щодо вилучення дозування 5 мг, з відповідними змінами до тексту маркування упаковки лікарського засобу (вилучення тексту маркування упаковки лікарського засобу для дозування 5 мг).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UA/9619/01/07</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ТОРНІД РГ</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torasemide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торасемід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C03CA04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 мг/мл, по 4 мл в ампулі; по 5 ампул у блістері; по 1 блістеру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додано менший розмір серій 20 000 штук ампул, у зв’язку з виробничою необхідністю. Затверджено: 50 000 штук ампул ; 65 000 штук ампул. Запропоновано: 20 000 штук ампул; 50 000 штук ампул ; 65 000 штук ампул.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UA/18488/01/01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ТРАЗОДОН МС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trazodone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тразодону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N06AX05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випуск серії:</w:t>
              <w:br/>
              <w:t>Фармацевтіш Аналітіш Лабораторіум Дуівен Б.В., Нідерланди;</w:t>
              <w:br/>
              <w:br/>
              <w:t>первинне та вторинне пакування, контроль якості, випуск серії:</w:t>
              <w:br/>
              <w:t xml:space="preserve">Медокемі Лімітед, Кіпр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 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адреси виробничої дільниці Медокемі Лімітед, Кіпр у відповідності до сертифікату GMP, без зміни місця виробництва.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UA/18391/01/01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ТРАЗОДОН МС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trazodone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тразодону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N06AX05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випуск серії:</w:t>
              <w:br/>
              <w:t>Фармацевтіш Аналітіш Лабораторіум Дуівен Б.В., Нідерланди;</w:t>
              <w:br/>
              <w:br/>
              <w:t>первинне та вторинне пакування, контроль якості, випуск серії:</w:t>
              <w:br/>
              <w:t xml:space="preserve">Медокемі Лімітед, Кіпр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 Кіпр</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адреси виробничої дільниці Медокемі Лімітед, Кіпр у відповідності до сертифікату GMP, без зміни місця виробництва.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UA/18391/01/02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ТРИ-РЕГОЛ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Levonorgestrel and ethinylestradiol</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етинілестрадіол, левоноргестрел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G03AB03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комбі-упаковка № 21х1, № 21х3: по 21 таблетці в блістері (6 таблеток рожевого кольору, 5 таблеток білого кольору, 10 таблеток темно-жовтого кольору), по 1 або 3 блістери разом з картонним футляром для зберігання блістерів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ТРУКАП</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Capivasertib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капівасертиб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L01EX27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160 мг; по 16 таблеток, вкритих плівковою оболонкою, в блістері; по 4 блістери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АСТРАЗЕНЕКА 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випробування контролю якості, пакування (первинне та вторинне), випуск серії:</w:t>
              <w:br/>
              <w:t>АстраЗенека АБ, Швеція</w:t>
              <w:br/>
              <w:t>Випробування контролю якості:</w:t>
              <w:br/>
              <w:t>АстраЗенека АБ, Швеція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ТРУКАП</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Capivasertib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капівасертиб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L01EX27</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200 мг; по 16 таблеток, вкритих плівковою оболонкою, в блістері; по 4 блістери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АСТРАЗЕНЕКА 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випробування контролю якості, пакування (первинне та вторинне), випуск серії:</w:t>
              <w:br/>
              <w:t>АстраЗенека АБ, Швеція</w:t>
              <w:br/>
              <w:t>Випробування контролю якості:</w:t>
              <w:br/>
              <w:t>АстраЗенека АБ, Швеція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UA/21160/01/02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УМКАЛОР®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екстракт рідкий з коріння пеларгонії очиткової (Pelargonium sidoides)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15 таблеток у блістері; по 1 або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Вільмар Швабе ГмбХ і Ко. КГ</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Вільмар Швабе ГмбХ і Ко. КГ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 вилучення пунктів IP1 (випробування в процесі виробництва) «Насипна щільність» як несуттєвого і застарілого параметра для проміжної подукції «Готової для пресування суміші пеларгонії»; вилучення пункту ІР7 (випробування в процесі виробництва) «Однорідність маси» на «Таблетки вкриті плівковою оболонкою».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 зміна у первинній упаковці готового лікарського засобу з ПВДХ 40 г/м</w:t>
            </w:r>
            <w:r>
              <w:rPr>
                <w:rFonts w:cs="Arial" w:ascii="Arial" w:hAnsi="Arial"/>
                <w:color w:val="000000"/>
                <w:sz w:val="16"/>
                <w:szCs w:val="16"/>
                <w:vertAlign w:val="superscript"/>
              </w:rPr>
              <w:t>2</w:t>
            </w:r>
            <w:r>
              <w:rPr>
                <w:rFonts w:cs="Arial" w:ascii="Arial" w:hAnsi="Arial"/>
                <w:color w:val="000000"/>
                <w:sz w:val="16"/>
                <w:szCs w:val="16"/>
              </w:rPr>
              <w:t xml:space="preserve"> на ПВДХ 90 г/м</w:t>
            </w:r>
            <w:r>
              <w:rPr>
                <w:rFonts w:cs="Arial" w:ascii="Arial" w:hAnsi="Arial"/>
                <w:color w:val="000000"/>
                <w:sz w:val="16"/>
                <w:szCs w:val="16"/>
                <w:vertAlign w:val="superscript"/>
              </w:rPr>
              <w:t>2</w:t>
            </w:r>
            <w:r>
              <w:rPr>
                <w:rFonts w:cs="Arial" w:ascii="Arial" w:hAnsi="Arial"/>
                <w:color w:val="000000"/>
                <w:sz w:val="16"/>
                <w:szCs w:val="16"/>
              </w:rPr>
              <w:t>, алюмінієва блістерна фольга залишається без змін.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у методі випробування ГЛЗ за показником «Ідентифікація» ТШХ.</w:t>
              <w:br/>
              <w:t xml:space="preserve">Зміни І типу - Зміни з якості. Готовий лікарський засіб. Опис та склад. Зміна у складі (допоміжних речовинах) готового лікарського засобу (інші допоміжні речовини) - Будь-яка незначна зміна кількісного складу допоміжних речовин у готовому лікарському засобі. Барвники діоксид титану і оксид заліза жовтий (Е 172) виключаються зі складу плівкового покриття та замінюється шляхом коригування кількості всіх інших допоміжних речовин, які містяться в покритті. Зміни внесено у розділ "Склад" (допоміжні речовини) в інструкцію для медичного застосування лікарського засобу.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UA/6691/03/01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УНІКЛОФЕН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S01BC03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краплі очні, розчин 0,1%, по 5 мл або по 10 мл у контейнері-крапельниці; по 1 контейнеру-крапельниці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2009-303-Rev 05 (затверджено: R1- CEP 2009-303-Rev 04) для Діючої речовини Диклофенак натрію від затвердженого виробника OLON S.P.A., Італія. Введення змін протягом 6 місяців з дати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ФАРМАСУЛІН® Н 30/70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Insulin (human)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людський біосинтетичний (ДНК-рекомбінантний)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A10AD01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cуспензія для ін'єкцій, 100 МО/мл; по 3 мл в картриджі; по 5 картриджів у блістері; по 1 блістеру в пачці з картону; по 5 мл або по 10 мл у флаконі; по 1 флакону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Зміни в розділ 3.2.Р.3.4. Контроль критичних стадій і проміжної продукції в специфікацію Немаркована продукція в процесі розливу для показника «Загальний вміст інсуліну» додається альтернативна методика визначення ДФУ, 2.2.25.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ФАРМАСУЛІН® Н NP</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Insulin (human)</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людський біосинтетичний (ДНК-рекомбінантний)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A10AC01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100 МО/мл; по 3 мл в картриджі; по 5 картриджів у блістері; по 1 блістеру в пачці з картону; по 5 мл або по 10 мл у флаконі; по 1 флакону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Зміни в розділ 3.2.Р.3.4. Контроль критичних стадій і проміжної продукції в специфікацію Немаркована продукція в процесі розливу для показника «Загальний вміст інсуліну» додається альтернативна методика визначення ДФУ, 2.2.25.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ФЕСГО®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Pertuzumab and trastuzumab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пертузумаб та трастузумаб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L01FY01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1200 мг/600 мг; по 15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Ф.Хоффманн-Ля Рош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заміна виробничих функцій дільниці Roche Diagnostics GmbH (адреса: Nonnenwald 2, 82377 Penzberg, Німеччина) з "додаткової дільниці з тестування на лептоспіри для банку клітин" на "додаткова дільниця з тестування на віруси та мікоплазми". Введення змін протягом 6-ти місяців після затвердження. </w:t>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заміна поточної процедури тестування «Ідентифікація методом пептидного картування (УФ)» (Identity by Peptide Map (UV)) на нову процедуру «Ідентифікація методом пептидного картування Lys-C» (Identity by Lys-C Peptide Mapping) для діючої речовини пертузумаб для підшкірного введення (SC). Введення змін протягом 6-ти місяців після затвердження.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(зміна у затвердженому протоколі стабільності) внесення змін до затвердженого протоколу стабільності діючої речовини пертузумаб для підшкірного введення (SC), а саме: - включення контрольної точки «30 місяців» для узгодження з поточним затвердженим терміном придатності; - уточнення статусу контрольної точки «36 місяців» як «опціональної» (необов'язкової), оскільки вона виходить за межі поточного терміну придатності; - видалення «опціональної» контрольної точки «48 місяців», оскільки вона також виходить за межі поточного терміну придатності». Введення змін протягом 6-ти місяців після затвердження.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введення виробника діючої речовини пертузумаб для підшкірного введення Roche Diagnostics GmbH, Sandhofer Strasse 116, 68305 Mannheim, Germany, як додаткової дільниці відповідальної за контроль якості щодо проведення визначення активності, шляхом біологічного аналізу [антипроліферація], включаючи тестування стабільності.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Genentech, Inc., 1 DNA Way, South San Francisco, CA 94080, USA як додаткове місце відповідальне за проведення контролю клітинної культуральної рідини (CCF) та банку клітин в процесі виробництва діючої речовини пертузумаб для підшкірного введення (SC). Введення змін протягом 6-ти місяців після затвердження. Зміни І типу - Адміністративні зміни. (інші зміни) оновленої документації компанії щодо адміністративних змін, а саме: - реорганізування структури досьє шляхом перенесення процедур аналізу в процесі виробництва та пов'язаних з ними валідацій з розділу S.4.2 до розділу S.2.4.; - оновлення щорічного протоколу стабільності готового продукту FDC (розділ P.8.2), з метою уточнити 21-місячний часовий момент як «необов'язковий», що перевищує поточний термін придатності 18 місяців; - оновлення розділу S.2.1 «Виробники» щодо видалення функції місця зберігання діючої речовини пертузумаб для підшкірного введення.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незначних змін до Аналітичної процедури визначення активності за допомогою біологічного аналізу (антипроліферація) для діючої речовини пертузумаб для підшкірного введення. Пропоновано оновлення опису налаштувань температури та СО2 для СО2- інкубатора з контрольованою вологістю, а саме, оновлено з допустимого діапазону (встановленого на рівні 37 ± 1°C з 5 ± 1% СО2) до цільового заданого значення (встановленого на рівні 37°C з 5%) у підрозділі 2.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видалення незначного параметра «Сума важкого (HC) та легкого (LC) ланцюгів» (Sum of HC and LC by R-CE-SDS) зі специфікацій діючої речовини пертузумаб для підшкірного введення (SC). Введення змін протягом 6-ти місяців після затвердження.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впровадження процесу виробництва діючої речовини пертузумаб для підшкірного введення (SC) версії 2.0 та супровідних даних, що включають: - нова дворівнева система банку клітин (MCB/WCB), отримана з того ж фундаментального біологічного джерела (CHO-K1) та з ідентичною послідовністю кодування антитіл; така ж лінія клітин та система банку клітин, як і в затвердженому комерційному процесі виробництва діючої речовини пертузумаб для внутрішньовенного введення (IV) версії 2.0. - оновлений процес культивування клітин, збору та очищення для відповідності збільшеній масі продукту та оновлення до поточної платформи процесу виробництва антитіл з використанням найсучасніших технологій. Процес виробництва пертузумаб SC версії 2.0 є ідентичним затвердженому комерційному процесу виробництва діючої речовини пертузумаб (IV) версії 2.0 від розморожування WCB до фільтрації VF з незначними модифікаціями для адаптації до умов підприємства. Етапи UFDF та приготування лікарської форми (розведення та кондиціонування) залишаються такими ж, як і в поточно затвердженому процесі пертузумаб SC версії 1.0; - оновлення тестів та лімітів контролю в процесі виробництва для узгодження з оновленим виробничим процесом, включаючи тестування придатності методик для складів пулів (pool compositions) процесу версії 2.0; - незначні оновлення оцінки CQA, включаючи впровадження моделей стресу, релевантних для процесу версії 2.0. Введення змін протягом 6-ти місяців після затвердження. Зміни II типу - Зміни з якості. Готовий лікарський засіб. Безпека сторонніх агентів. Оновлення інформації "Оцінка безпеки сторонніх агентів" (розділ 3.2.А.2) (етапи виробництва, які досліджуються вперше щодо одного або більше сторонніх агентів) оновлення інформації «Оцінка безпеки сторонніх агентів» (розділ 3.2.А.2) для процесу виробництва діючої речовини пертузумаб для підшкірного введення (SC) версії 2.0. Інформація щодо безпеки банків клітин та досліджень вірусного очищення є такою ж, як і для затвердженого комерційного процесу виробництва діючої речовини версії 2.0 для пертузумабу для внутрішньовенного введення (IV), і залишається застосовною до процесу веробництва версії 2.0 діючої речовини пертузумабу SC. Введення змін протягом 6-ти місяців після затвердження.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досьє)(зміна в АФІ біологічного походження або вихідному матеріалі/реагенті/проміжному продукті, що використовуються для виробництва біологічного/імунологічного лікарського засобу ) заміна виробника відповідального за виробництво діючої речовини пертузумабу для підшкірного введення (SC) з Lonza Manufacturing LLC, 1000 New Horizons Way, Vacaville, CA 95688, USA на Genentech, Inc., 1 Antibody Way, Oceanside, CA 92056, USA. Введення змін протягом 6-ти місяців після затвердження.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введення Genentech, Inc., 1 Antibody Way, Oceanside, CA 92056, USA як додаткову дільницю з контролю якості (за винятком визначення активності шляхом біологічного аналізу [антипроліферація]), включаючи тестування стабільності діючої речовини пертузумаб для підшкірного введення (SC). Введення змін протягом 6-ти місяців після затвердження.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пропонується змінити визначення показника «Сума афукозилювання» (Sum of Afucosylation) для діючої речовини пертузумаб для підшкірного введення (SC), що визначається методом 2AB HILIC-UHPLC, зокрема: поточне визначення (що включає глікани G0, G1, G2) із критерієм прийнятності 1.8 - 6.8% замінюється на нове визначення (що включає глікани G0-N, G0, G1, M5) із критерієм прийнятності 2.5-8.0%. Одночасно пропонується змінити межу специфікації для показника Манноза 5 (визначається методом 2AB HILIC-UHPLC) для діючої речовини пертузумаб SC з ≤ 2,0% на ≤ 3,0%. Введення змін протягом 6-ти місяців після затвердження.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введення Genentech, Inc., 1 Antibody Way, Oceanside, CA 92056, USA як додаткову дільницю з контролю якості при випуску та випробування стабільності для процедури тестування активності шляхом біологічного аналізу (антипроліферація) діючої речовини пертузумаб для підшкірного введення (виготовленого за процесом версії 2.0).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UA/19640/01/02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ФЕСГО®</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Pertuzumab and trastuzumab</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пертузумаб та трастузумаб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L01FY01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мг/600 мг; по 10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Ф.Хоффманн-Ля Рош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заміна виробничих функцій дільниці Roche Diagnostics GmbH (адреса: Nonnenwald 2, 82377 Penzberg, Німеччина) з "додаткової дільниці з тестування на лептоспіри для банку клітин" на "додаткова дільниця з тестування на віруси та мікоплазми". Введення змін протягом 6-ти місяців після затвердження. </w:t>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заміна поточної процедури тестування «Ідентифікація методом пептидного картування (УФ)» (Identity by Peptide Map (UV)) на нову процедуру «Ідентифікація методом пептидного картування Lys-C» (Identity by Lys-C Peptide Mapping) для діючої речовини пертузумаб для підшкірного введення (SC). Введення змін протягом 6-ти місяців після затвердження.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(зміна у затвердженому протоколі стабільності) внесення змін до затвердженого протоколу стабільності діючої речовини пертузумаб для підшкірного введення (SC), а саме: - включення контрольної точки «30 місяців» для узгодження з поточним затвердженим терміном придатності; - уточнення статусу контрольної точки «36 місяців» як «опціональної» (необов'язкової), оскільки вона виходить за межі поточного терміну придатності; - видалення «опціональної» контрольної точки «48 місяців», оскільки вона також виходить за межі поточного терміну придатності». Введення змін протягом 6-ти місяців після затвердження.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введення виробника діючої речовини пертузумаб для підшкірного введення Roche Diagnostics GmbH, Sandhofer Strasse 116, 68305 Mannheim, Germany, як додаткової дільниці відповідальної за контроль якості щодо проведення визначення активності, шляхом біологічного аналізу [антипроліферація], включаючи тестування стабільності.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Genentech, Inc., 1 DNA Way, South San Francisco, CA 94080, USA як додаткове місце відповідальне за проведення контролю клітинної культуральної рідини (CCF) та банку клітин в процесі виробництва діючої речовини пертузумаб для підшкірного введення (SC). Введення змін протягом 6-ти місяців після затвердження. Зміни І типу - Адміністративні зміни. (інші зміни) оновленої документації компанії щодо адміністративних змін, а саме: - реорганізування структури досьє шляхом перенесення процедур аналізу в процесі виробництва та пов'язаних з ними валідацій з розділу S.4.2 до розділу S.2.4.; - оновлення щорічного протоколу стабільності готового продукту FDC (розділ P.8.2), з метою уточнити 21-місячний часовий момент як «необов'язковий», що перевищує поточний термін придатності 18 місяців; - оновлення розділу S.2.1 «Виробники» щодо видалення функції місця зберігання діючої речовини пертузумаб для підшкірного введення.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незначних змін до Аналітичної процедури визначення активності за допомогою біологічного аналізу (антипроліферація) для діючої речовини пертузумаб для підшкірного введення. Пропоновано оновлення опису налаштувань температури та СО2 для СО2- інкубатора з контрольованою вологістю, а саме, оновлено з допустимого діапазону (встановленого на рівні 37 ± 1°C з 5 ± 1% СО2) до цільового заданого значення (встановленого на рівні 37°C з 5%) у підрозділі 2.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видалення незначного параметра «Сума важкого (HC) та легкого (LC) ланцюгів» (Sum of HC and LC by R-CE-SDS) зі специфікацій діючої речовини пертузумаб для підшкірного введення (SC). Введення змін протягом 6-ти місяців після затвердження.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впровадження процесу виробництва діючої речовини пертузумаб для підшкірного введення (SC) версії 2.0 та супровідних даних, що включають: - нова дворівнева система банку клітин (MCB/WCB), отримана з того ж фундаментального біологічного джерела (CHO-K1) та з ідентичною послідовністю кодування антитіл; така ж лінія клітин та система банку клітин, як і в затвердженому комерційному процесі виробництва діючої речовини пертузумаб для внутрішньовенного введення (IV) версії 2.0. - оновлений процес культивування клітин, збору та очищення для відповідності збільшеній масі продукту та оновлення до поточної платформи процесу виробництва антитіл з використанням найсучасніших технологій. Процес виробництва пертузумаб SC версії 2.0 є ідентичним затвердженому комерційному процесу виробництва діючої речовини пертузумаб (IV) версії 2.0 від розморожування WCB до фільтрації VF з незначними модифікаціями для адаптації до умов підприємства. Етапи UFDF та приготування лікарської форми (розведення та кондиціонування) залишаються такими ж, як і в поточно затвердженому процесі пертузумаб SC версії 1.0; - оновлення тестів та лімітів контролю в процесі виробництва для узгодження з оновленим виробничим процесом, включаючи тестування придатності методик для складів пулів (pool compositions) процесу версії 2.0; - незначні оновлення оцінки CQA, включаючи впровадження моделей стресу, релевантних для процесу версії 2.0. Введення змін протягом 6-ти місяців після затвердження. Зміни II типу - Зміни з якості. Готовий лікарський засіб. Безпека сторонніх агентів. Оновлення інформації "Оцінка безпеки сторонніх агентів" (розділ 3.2.А.2) (етапи виробництва, які досліджуються вперше щодо одного або більше сторонніх агентів) оновлення інформації «Оцінка безпеки сторонніх агентів» (розділ 3.2.А.2) для процесу виробництва діючої речовини пертузумаб для підшкірного введення (SC) версії 2.0. Інформація щодо безпеки банків клітин та досліджень вірусного очищення є такою ж, як і для затвердженого комерційного процесу виробництва діючої речовини версії 2.0 для пертузумабу для внутрішньовенного введення (IV), і залишається застосовною до процесу веробництва версії 2.0 діючої речовини пертузумабу SC. Введення змін протягом 6-ти місяців після затвердження.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досьє)(зміна в АФІ біологічного походження або вихідному матеріалі/реагенті/проміжному продукті, що використовуються для виробництва біологічного/імунологічного лікарського засобу ) заміна виробника відповідального за виробництво діючої речовини пертузумабу для підшкірного введення (SC) з Lonza Manufacturing LLC, 1000 New Horizons Way, Vacaville, CA 95688, USA на Genentech, Inc., 1 Antibody Way, Oceanside, CA 92056, USA. Введення змін протягом 6-ти місяців після затвердження.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введення Genentech, Inc., 1 Antibody Way, Oceanside, CA 92056, USA як додаткову дільницю з контролю якості (за винятком визначення активності шляхом біологічного аналізу [антипроліферація]), включаючи тестування стабільності діючої речовини пертузумаб для підшкірного введення (SC). Введення змін протягом 6-ти місяців після затвердження.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пропонується змінити визначення показника «Сума афукозилювання» (Sum of Afucosylation) для діючої речовини пертузумаб для підшкірного введення (SC), що визначається методом 2AB HILIC-UHPLC, зокрема: поточне визначення (що включає глікани G0, G1, G2) із критерієм прийнятності 1.8 - 6.8% замінюється на нове визначення (що включає глікани G0-N, G0, G1, M5) із критерієм прийнятності 2.5-8.0%. Одночасно пропонується змінити межу специфікації для показника Манноза 5 (визначається методом 2AB HILIC-UHPLC) для діючої речовини пертузумаб SC з ≤ 2,0% на ≤ 3,0%. Введення змін протягом 6-ти місяців після затвердження.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введення Genentech, Inc., 1 Antibody Way, Oceanside, CA 92056, USA як додаткову дільницю з контролю якості при випуску та випробування стабільності для процедури тестування активності шляхом біологічного аналізу (антипроліферація) діючої речовини пертузумаб для підшкірного введення (виготовленого за процесом версії 2.0).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ФІБРИНАЗА-10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серратіопептидаза у вигляді гранул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M09AB</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кишковорозчинні по 10 мг; по 10 таблеток у блістері; по 1 або по 3, або по 10 блістерів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за рецептом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UA/10426/01/01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ФІБРИНАЗА-10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серратіопептидаза у вигляді гранул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кишковорозчинні по 10 мг in bulk: по 2500 таблеток у контейнерах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UA/10427/01/01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ФІБРИНАЗА-20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серратіопептидаза у вигляді гранул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M09AB</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кишковорозчинні по 20 мг; по 10 таблеток у блістері; по 1 або по 3, або по 10 блістерів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за рецептом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UA/10426/01/02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ФІБРИНАЗА-20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серратіопептидаза у вигляді гранул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кишковорозчинні по 20 мг in bulk: по 2500 таблеток у контейнерах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UA/10427/01/02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ФЛАМІДЕЗ ГЕЛЬ</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диклофенаку діетиламін (еквівалентно диклофенаку натрію), метилсаліцилат, левоментол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M02AA65</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по 20 г, 30 г, 40 г або 100 г в ламінованій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Енк`юб Етікалз Прайвіт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w:t>
              <w:br/>
              <w:t xml:space="preserve">Оновлено текст маркування первинної та вторинної упаковки лікарського засобу. Введення змін протягом 6-ти місяців після затвердження. Зміни І типу - Зміни з якості. Готовий лікарський засіб. Опис та склад. Зміна у складі (допоміжних речовинах) готового лікарського засобу (інші допоміжні речовини) - Заміна однієї допоміжної речовини на іншу з тими самими функціональними характеристиками та на тому самому рівні - заміна допоміжної речовини Карбопол 934 з максимальним вмістом бензолу 0,5% на Карбомерний гомополімер (тип В) з максимальним вмістом бензолу 0,0002% в складі готового лікарського засобу. Зміни внесено в р. "Склад" (допоміжні речовини)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ФЛАМІДЕЗ ФІТОПЛЮС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левоментол, камфора, тимол, метилсаліцилат, олія евкаліптова (Eucalyptus oil), олія терпентинова (Turpentineal oil)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M02AX10</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20 г у контейнері; по 1 контейнеру в пачці; по 20 г або по 40 г у тубі; по 1 тубі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Енк`юб Етікалз Прайвіт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ФТАЛАЗОЛ</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phthalylsulfathiazole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фталілсульфатіазол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A07AB02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0,5 г, по 10 таблеток у блістерах; по 10 таблеток у блістері; по 1 блістеру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w:t>
              <w:br/>
              <w:t>Вилучення упаковки по 10 таблеток у блістерах; по 10 таблеток у блістері; по 1 або 10 блістерів в пачці з картону, з відповідними змінами до розділу «Упаковка». Допускається упаковка блістерів, виготовлених з полівінілхлоридної кольорової плівки, разом з відповідною кількістю інструкцій для медичного застосування у коробки з картону. Зміни внесено у розділ "Упаковка" та "Категорія відпуску" в інструкцію для медичного застосування у зв'язку з вилученням упаковки певного розміру та як наслідок - вилучення тексту маркування відповідної упаковки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без рецепта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UA/7925/01/01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ФТОРОКОРТ®</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triamcinolone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тріамцинолону ацетонід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D07AB09</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1 мг/г по 15 г мазі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фармаконагляду).Зміна уповноваженої особи заявника, відповідальної за фармаконагляд.</w:t>
              <w:br/>
              <w:t xml:space="preserve">Діюча редакція: Аттіла Олаг. Пропонована редакція: Ласло Секей.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w:t>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UA/7093/01/01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ХЕЛПЕКС® ЛАР</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бензидаміну гідрохлорид, хлоргексидину диглюконат (у вигляді хлоргексидину диглюконату розчину 20%)</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A01AD02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обполіскувач для горла, розчин; по 200 мл розчину у пляшці; по 1 пляшці з мірним стаканчиком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Мові Хелс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Дева Холдинг 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Мові Хелс ГмбХ, Швейцарія, надано оновлений План управління ризиками версія 2.0. Зміни внесено до частин І «Загальна інформація», II «Специфікація з безпеки», III «План з фармаконагляду», V «Заходи з мінімізації ризиків», VI «Резюме плану управління ризиками», VII «Додатки» у зв’язку звидаленням добре охарактеризованих проблем з безпеки, що не потребують додаткових заходів з фармаконагляду та мінімізації ризиків у зв`язку з переходом на інтегрований формат ПУРа.Резюме Плану управління ризиками версія 2.0 додається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UA/18887/02/01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ХОНДРОІТИН® КОМПЛЕКС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глюкозаміну гідрохлорид, хондроїтину натрію сульфат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M09AX</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30 або 60 капсул у контейнері, по 1 контейнеру в пачці або по 6 капсул у блістері, по 5 або 10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первинне, вторинне пакування, контроль та випуск серії:</w:t>
              <w:br/>
              <w:t>ПРАТ "ФІТОФАРМ", Україна;</w:t>
              <w:br/>
              <w:t xml:space="preserve">виробник, відповідальний за випуск серії, не включаючи контроль/випробування серії: </w:t>
              <w:br/>
              <w:t xml:space="preserve">ПРАТ "ФІТОФАРМ", Україна; </w:t>
              <w:br/>
              <w:t xml:space="preserve">виробник, відповідальний за виробництво, первинне, вторинне пакування, контроль якості: </w:t>
              <w:br/>
              <w:t>АТ "Лубнифарм", Україна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зміна адреси виробничої дільниці для випуску серії ПРАТ "ФІТОФАРМ".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у зв'язку зі зміною адреси виробничої дільниці та як наслідок - у текст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(інші зміни) Зміни внесено у текст маркування первинної (п. 6) та вторинної (п. 3, 17) упаковки лікарського засобу. 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UA/17345/01/01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ЦЕТЛО® ПЛЮС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декстрометорфану гідробромід, левоцетиризину дигідрохлорид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таблеток у блістері; по 1 блістеру у картонній коробці; по 10 таблеток у блістері; по 2 блістери у картонній коробці;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UA/15638/01/01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ЦЕТЛО® ПЛЮС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декстрометорфану гідробромід, левоцетиризину дигідрохлорид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in bulk: по 1000 таблеток у поліетиленових пакетах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відповідальної за фармаконагляд. Вилучення інформації щодо контактної особи заявника, відповідальної за здійснення фармаконагляду в Україні та її контактних даних. 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UA/15639/01/01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ЦЕФОТРИН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cefepime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цефепіму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J01DE01</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1 флакон з порошком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Ананта Медікеар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методах контролю за показниками «Ідентифікація» та «Кількісне визначення».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UA/12006/01/01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ЦЕФПОТЕК® 200</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цефподоксиму проксетил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J01DD13</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200 мг; по 5 таблеток у блістері; по 2 або 4 блістери у картонній упаковці; по 7 таблеток у блістері; по 2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у методі контролю та специфікації ГЛЗ за показником "Ідентифікація. Цефподоксим. Методом ВЕРХ", а саме: деталізовано критерії прийнятності за даним показником.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UA/10429/01/01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ЦЕФУРОКСИМ ДЕВА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cefuroxime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цефуроксиму аксетил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J01DC02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5 таблеток, вкритих плівковою оболонкою,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Дева Холдинг А.С.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Дева Холдинг А.С.</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Зміна конфігурації упаковки готового лікарського засобу шляхом зміни кількості таблеток у блістері та кількості блістерів у вторинній упаковці, а саме з конфігурації: </w:t>
              <w:br/>
              <w:t xml:space="preserve">"По 10 таблеток, вкритих плівковою оболонкою, у блістері; по 1 блістеру у картонній коробці" на "По 5 таблеток, вкритих плівковою оболонкою, у блістері; по 2 блістери у картонній коробці", у зв'язку з приведенням у реєстраційної документації у відповідність до фактичної конфігурації пакування. </w:t>
              <w:br/>
              <w:t xml:space="preserve">Зміни внесено в інструкцію для медичного застосування лікарського засобу у розділ "Упаковка" (зміна розміру упаковки) з відповідними змінами в тексті маркування упаковок лікарського засобу. </w:t>
              <w:b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UA/20573/01/02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ЦЕФУРОКСИМ ДЕВА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cefuroxime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цефуроксиму аксетил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J01DC02</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по 5 таблеток, вкритих плівковою оболонкою,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Дева Холдинг А.С.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Дева Холдинг 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Зміна конфігурації упаковки готового лікарського засобу шляхом зміни кількості таблеток у блістері та кількості блістерів у вторинній упаковці, а саме з конфігурації: </w:t>
              <w:br/>
              <w:t xml:space="preserve">"По 10 таблеток, вкритих плівковою оболонкою, у блістері; по 1 блістеру у картонній коробці" на "По 5 таблеток, вкритих плівковою оболонкою, у блістері; по 2 блістери у картонній коробці", у зв'язку з приведенням у реєстраційної документації у відповідність до фактичної конфігурації пакування. </w:t>
              <w:br/>
              <w:t xml:space="preserve">Зміни внесено в інструкцію для медичного застосування лікарського засобу у розділ "Упаковка" (зміна розміру упаковки) з відповідними змінами в тексті маркування упаковок лікарського засобу. </w:t>
              <w:br/>
              <w:t>Введення змін протягом 6-ти місяців після затвердження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UA/20573/01/01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ЦИРЕЛАКС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cyclopentolate</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циклопентолату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S01FA04</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по 10 мг/мл, по 5 мл у флаконі-крапельниці; по 1 флакону-крапельниці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К.О. Ромфарм Компані С.Р.Л.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283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щодо невідповідності діапазону рН в методах контролю МКЯ ЛЗ. Затверджено: МЕТОДИ КОНТРОЛЮ 5. рН. Євр. Фарм. 2.2.3. 3,5 – 5,5. Запропоновано: МЕТОДИ КОНТРОЛЮ 5. рН. Євр. Фарм. 2.2.3. 3,0 – 5,5. Зазначене виправлення відповідає матеріалам реєстраційного досьє (розділи 3.2.Р.5.1. Специфікація та 3.2.Р.5.2. Аналітичні методики).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UA/17526/01/01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8">
        <w:r>
          <w:rPr>
            <w:rStyle w:val="InternetLink"/>
            <w:i/>
            <w:color w:val="000000"/>
            <w:szCs w:val="16"/>
          </w:rPr>
          <w:t>https://www.whocc.no/atc_ddd_index/</w:t>
        </w:r>
      </w:hyperlink>
      <w:r>
        <w:rPr>
          <w:rStyle w:val="InternetLink"/>
          <w:i/>
          <w:color w:val="000000"/>
          <w:szCs w:val="16"/>
        </w:rPr>
        <w:t>)</w:t>
      </w:r>
    </w:p>
    <w:p>
      <w:pPr>
        <w:pStyle w:val="Normal"/>
        <w:ind w:right="20" w:hanging="0"/>
        <w:rPr>
          <w:rFonts w:ascii="Arial" w:hAnsi="Arial" w:cs="Arial"/>
          <w:i/>
          <w:i/>
          <w:sz w:val="16"/>
          <w:szCs w:val="16"/>
        </w:rPr>
      </w:pPr>
      <w:r>
        <w:rPr>
          <w:rFonts w:cs="Arial" w:ascii="Arial" w:hAnsi="Arial"/>
          <w:i/>
          <w:sz w:val="16"/>
          <w:szCs w:val="16"/>
        </w:rPr>
        <w:t>**у разі внесення змін до інструкції про медичне застосування</w:t>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b/>
          <w:b/>
          <w:iCs/>
          <w:sz w:val="28"/>
          <w:szCs w:val="28"/>
        </w:rPr>
      </w:pPr>
      <w:r>
        <w:rPr>
          <w:b/>
          <w:iCs/>
          <w:sz w:val="28"/>
          <w:szCs w:val="28"/>
        </w:rPr>
        <w:t>В.о. начальника</w:t>
      </w:r>
    </w:p>
    <w:p>
      <w:pPr>
        <w:pStyle w:val="Normal"/>
        <w:ind w:right="20" w:hanging="0"/>
        <w:rPr>
          <w:b/>
          <w:b/>
          <w:iCs/>
          <w:sz w:val="28"/>
          <w:szCs w:val="28"/>
        </w:rPr>
      </w:pPr>
      <w:r>
        <w:rPr>
          <w:b/>
          <w:iCs/>
          <w:sz w:val="28"/>
          <w:szCs w:val="28"/>
        </w:rPr>
        <w:t>Фармацевтичного управління                                                                                                          Людмила ЯРКО</w:t>
      </w:r>
    </w:p>
    <w:p>
      <w:pPr>
        <w:pStyle w:val="33"/>
        <w:spacing w:before="0" w:after="0"/>
        <w:ind w:left="0" w:hanging="0"/>
        <w:rPr>
          <w:b/>
          <w:b/>
          <w:sz w:val="28"/>
          <w:szCs w:val="28"/>
          <w:lang w:val="uk-UA"/>
        </w:rPr>
      </w:pPr>
      <w:r>
        <w:rPr>
          <w:rFonts w:eastAsia="Times New Roman"/>
          <w:b/>
          <w:sz w:val="28"/>
          <w:szCs w:val="28"/>
          <w:lang w:val="uk-UA"/>
        </w:rPr>
        <w:t xml:space="preserve">     </w:t>
      </w:r>
    </w:p>
    <w:sectPr>
      <w:headerReference w:type="default" r:id="rId9"/>
      <w:headerReference w:type="first" r:id="rId10"/>
      <w:footerReference w:type="default" r:id="rId11"/>
      <w:footerReference w:type="first" r:id="rId12"/>
      <w:type w:val="nextPage"/>
      <w:pgSz w:orient="landscape" w:w="16838" w:h="11906"/>
      <w:pgMar w:left="1701" w:right="899" w:header="709" w:top="1701" w:footer="709" w:bottom="765"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Segoe UI">
    <w:charset w:val="cc"/>
    <w:family w:val="swiss"/>
    <w:pitch w:val="variable"/>
  </w:font>
  <w:font w:name="Tahoma">
    <w:charset w:val="cc"/>
    <w:family w:val="swiss"/>
    <w:pitch w:val="variable"/>
  </w:font>
  <w:font w:name="Microsoft YaHei">
    <w:charset w:val="86"/>
    <w:family w:val="swiss"/>
    <w:pitch w:val="variable"/>
  </w:font>
  <w:font w:name="Cambria">
    <w:charset w:val="cc"/>
    <w:family w:val="roman"/>
    <w:pitch w:val="variable"/>
  </w:font>
  <w:font w:name="Calibri Light">
    <w:charset w:val="cc"/>
    <w:family w:val="swiss"/>
    <w:pitch w:val="variable"/>
  </w:font>
  <w:font w:name="Calibri">
    <w:charset w:val="cc"/>
    <w:family w:val="swiss"/>
    <w:pitch w:val="variable"/>
  </w:font>
  <w:font w:name="Times New Roman CYR">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r>
      <mc:AlternateContent>
        <mc:Choice Requires="wps">
          <w:drawing>
            <wp:anchor behindDoc="0" distT="0" distB="0" distL="0" distR="0" simplePos="0" locked="0" layoutInCell="1" allowOverlap="1" relativeHeight="3">
              <wp:simplePos x="0" y="0"/>
              <wp:positionH relativeFrom="margin">
                <wp:align>center</wp:align>
              </wp:positionH>
              <wp:positionV relativeFrom="paragraph">
                <wp:posOffset>635</wp:posOffset>
              </wp:positionV>
              <wp:extent cx="64135" cy="145415"/>
              <wp:effectExtent l="0" t="0" r="0" b="0"/>
              <wp:wrapSquare wrapText="largest"/>
              <wp:docPr id="2" name="Frame1"/>
              <a:graphic xmlns:a="http://schemas.openxmlformats.org/drawingml/2006/main">
                <a:graphicData uri="http://schemas.microsoft.com/office/word/2010/wordprocessingShape">
                  <wps:wsp>
                    <wps:cNvSpPr txBox="1"/>
                    <wps:spPr>
                      <a:xfrm>
                        <a:off x="0" y="0"/>
                        <a:ext cx="64135" cy="145415"/>
                      </a:xfrm>
                      <a:prstGeom prst="rect"/>
                      <a:solidFill>
                        <a:srgbClr val="FFFFFF">
                          <a:alpha val="0"/>
                        </a:srgbClr>
                      </a:solidFill>
                    </wps:spPr>
                    <wps:txbx>
                      <w:txbxContent>
                        <w:p>
                          <w:pPr>
                            <w:pStyle w:val="Header"/>
                            <w:rPr>
                              <w:rStyle w:val="PageNumber"/>
                            </w:rPr>
                          </w:pPr>
                          <w:r>
                            <w:rPr>
                              <w:rStyle w:val="PageNumber"/>
                            </w:rPr>
                            <w:fldChar w:fldCharType="begin"/>
                          </w:r>
                          <w:r>
                            <w:instrText> PAGE </w:instrText>
                          </w:r>
                          <w:r>
                            <w:fldChar w:fldCharType="separate"/>
                          </w:r>
                          <w:r>
                            <w:t>2</w:t>
                          </w:r>
                          <w:r>
                            <w:fldChar w:fldCharType="end"/>
                          </w:r>
                        </w:p>
                      </w:txbxContent>
                    </wps:txbx>
                    <wps:bodyPr anchor="t">
                      <a:noAutofit/>
                    </wps:bodyPr>
                  </wps:wsp>
                </a:graphicData>
              </a:graphic>
            </wp:anchor>
          </w:drawing>
        </mc:Choice>
        <mc:Fallback>
          <w:pict>
            <v:rect fillcolor="#FFFFFF" style="position:absolute;rotation:0;width:5.05pt;height:11.45pt;margin-top:0.05pt;mso-position-vertical-relative:text;margin-left:238.45pt;mso-position-horizontal:center;mso-position-horizontal-relative:margin">
              <v:fill opacity="0f"/>
              <v:textbox>
                <w:txbxContent>
                  <w:p>
                    <w:pPr>
                      <w:pStyle w:val="Header"/>
                      <w:rPr>
                        <w:rStyle w:val="PageNumber"/>
                      </w:rPr>
                    </w:pPr>
                    <w:r>
                      <w:rPr>
                        <w:rStyle w:val="PageNumber"/>
                      </w:rPr>
                      <w:fldChar w:fldCharType="begin"/>
                    </w:r>
                    <w:r>
                      <w:instrText> PAGE </w:instrText>
                    </w:r>
                    <w:r>
                      <w:fldChar w:fldCharType="separate"/>
                    </w:r>
                    <w:r>
                      <w:t>2</w:t>
                    </w:r>
                    <w:r>
                      <w:fldChar w:fldCharType="end"/>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r>
      <mc:AlternateContent>
        <mc:Choice Requires="wps">
          <w:drawing>
            <wp:anchor behindDoc="0" distT="0" distB="0" distL="0" distR="0" simplePos="0" locked="0" layoutInCell="1" allowOverlap="1" relativeHeight="294">
              <wp:simplePos x="0" y="0"/>
              <wp:positionH relativeFrom="margin">
                <wp:align>center</wp:align>
              </wp:positionH>
              <wp:positionV relativeFrom="paragraph">
                <wp:posOffset>635</wp:posOffset>
              </wp:positionV>
              <wp:extent cx="191135" cy="145415"/>
              <wp:effectExtent l="0" t="0" r="0" b="0"/>
              <wp:wrapSquare wrapText="largest"/>
              <wp:docPr id="3" name="Frame2"/>
              <a:graphic xmlns:a="http://schemas.openxmlformats.org/drawingml/2006/main">
                <a:graphicData uri="http://schemas.microsoft.com/office/word/2010/wordprocessingShape">
                  <wps:wsp>
                    <wps:cNvSpPr txBox="1"/>
                    <wps:spPr>
                      <a:xfrm>
                        <a:off x="0" y="0"/>
                        <a:ext cx="191135" cy="145415"/>
                      </a:xfrm>
                      <a:prstGeom prst="rect"/>
                      <a:solidFill>
                        <a:srgbClr val="FFFFFF">
                          <a:alpha val="0"/>
                        </a:srgbClr>
                      </a:solidFill>
                    </wps:spPr>
                    <wps:txbx>
                      <w:txbxContent>
                        <w:p>
                          <w:pPr>
                            <w:pStyle w:val="Header"/>
                            <w:rPr/>
                          </w:pPr>
                          <w:r>
                            <w:rPr>
                              <w:rStyle w:val="PageNumber"/>
                            </w:rPr>
                            <w:fldChar w:fldCharType="begin"/>
                          </w:r>
                          <w:r>
                            <w:instrText> PAGE </w:instrText>
                          </w:r>
                          <w:r>
                            <w:fldChar w:fldCharType="separate"/>
                          </w:r>
                          <w:r>
                            <w:t>294</w:t>
                          </w:r>
                          <w:r>
                            <w:fldChar w:fldCharType="end"/>
                          </w:r>
                        </w:p>
                      </w:txbxContent>
                    </wps:txbx>
                    <wps:bodyPr anchor="t">
                      <a:noAutofit/>
                    </wps:bodyPr>
                  </wps:wsp>
                </a:graphicData>
              </a:graphic>
            </wp:anchor>
          </w:drawing>
        </mc:Choice>
        <mc:Fallback>
          <w:pict>
            <v:rect fillcolor="#FFFFFF" style="position:absolute;rotation:0;width:15.05pt;height:11.45pt;margin-top:0.05pt;mso-position-vertical-relative:text;margin-left:348.45pt;mso-position-horizontal:center;mso-position-horizontal-relative:margin">
              <v:fill opacity="0f"/>
              <v:textbox>
                <w:txbxContent>
                  <w:p>
                    <w:pPr>
                      <w:pStyle w:val="Header"/>
                      <w:rPr/>
                    </w:pPr>
                    <w:r>
                      <w:rPr>
                        <w:rStyle w:val="PageNumber"/>
                      </w:rPr>
                      <w:fldChar w:fldCharType="begin"/>
                    </w:r>
                    <w:r>
                      <w:instrText> PAGE </w:instrText>
                    </w:r>
                    <w:r>
                      <w:fldChar w:fldCharType="separate"/>
                    </w:r>
                    <w:r>
                      <w:t>294</w:t>
                    </w:r>
                    <w:r>
                      <w:fldChar w:fldCharType="end"/>
                    </w:r>
                  </w:p>
                </w:txbxContent>
              </v:textbox>
              <w10:wrap type="square" side="largest"/>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right"/>
      <w:pPr>
        <w:ind w:left="720" w:hanging="360"/>
      </w:pPr>
      <w:rPr/>
    </w:lvl>
  </w:abstractNum>
  <w:abstractNum w:abstractNumId="3">
    <w:lvl w:ilvl="0">
      <w:start w:val="1"/>
      <w:numFmt w:val="decimal"/>
      <w:lvlText w:val="%1."/>
      <w:lvlJc w:val="right"/>
      <w:pPr>
        <w:ind w:left="720" w:hanging="36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4"/>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ru-RU"/>
    </w:rPr>
  </w:style>
  <w:style w:type="paragraph" w:styleId="Heading2">
    <w:name w:val="Heading 2"/>
    <w:basedOn w:val="Normal"/>
    <w:next w:val="12"/>
    <w:qFormat/>
    <w:pPr>
      <w:keepNext w:val="true"/>
      <w:numPr>
        <w:ilvl w:val="1"/>
        <w:numId w:val="1"/>
      </w:numPr>
      <w:outlineLvl w:val="1"/>
    </w:pPr>
    <w:rPr>
      <w:rFonts w:ascii="Arial" w:hAnsi="Arial" w:eastAsia="Times New Roman" w:cs="Arial"/>
      <w:b/>
      <w:caps/>
      <w:sz w:val="16"/>
      <w:lang w:val="uk-UA"/>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6">
    <w:name w:val="Heading 6"/>
    <w:basedOn w:val="Normal"/>
    <w:next w:val="TextBody"/>
    <w:qFormat/>
    <w:pPr>
      <w:numPr>
        <w:ilvl w:val="5"/>
        <w:numId w:val="1"/>
      </w:numPr>
      <w:spacing w:before="240" w:after="60"/>
      <w:outlineLvl w:val="5"/>
    </w:pPr>
    <w:rPr>
      <w:b/>
      <w:bCs/>
      <w:sz w:val="22"/>
      <w:szCs w:val="22"/>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Style9">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0">
    <w:name w:val="Верхний колонтитул Знак"/>
    <w:qFormat/>
    <w:rPr>
      <w:rFonts w:ascii="Times New Roman" w:hAnsi="Times New Roman" w:cs="Times New Roman"/>
      <w:lang w:val="ru-RU"/>
    </w:rPr>
  </w:style>
  <w:style w:type="character" w:styleId="Style11">
    <w:name w:val="Нижний колонтитул Знак"/>
    <w:qFormat/>
    <w:rPr>
      <w:rFonts w:ascii="Times New Roman" w:hAnsi="Times New Roman" w:cs="Times New Roman"/>
      <w:lang w:val="ru-RU"/>
    </w:rPr>
  </w:style>
  <w:style w:type="character" w:styleId="PageNumber">
    <w:name w:val="Page Number"/>
    <w:basedOn w:val="Style9"/>
    <w:rPr/>
  </w:style>
  <w:style w:type="character" w:styleId="Appleconvertedspace">
    <w:name w:val="apple-converted-space"/>
    <w:basedOn w:val="Style9"/>
    <w:qFormat/>
    <w:rPr/>
  </w:style>
  <w:style w:type="character" w:styleId="InternetLink">
    <w:name w:val="Internet Link"/>
    <w:rPr>
      <w:rFonts w:ascii="Segoe UI" w:hAnsi="Segoe UI" w:cs="Segoe UI"/>
      <w:color w:val="0000FF"/>
      <w:sz w:val="18"/>
      <w:szCs w:val="18"/>
      <w:u w:val="single"/>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2">
    <w:name w:val="Заголовок 2 Знак"/>
    <w:qFormat/>
    <w:rPr>
      <w:rFonts w:ascii="Arial" w:hAnsi="Arial" w:eastAsia="Times New Roman" w:cs="Arial"/>
      <w:b/>
      <w:caps/>
      <w:sz w:val="16"/>
    </w:rPr>
  </w:style>
  <w:style w:type="character" w:styleId="6">
    <w:name w:val="Заголовок 6 Знак"/>
    <w:qFormat/>
    <w:rPr>
      <w:rFonts w:ascii="Times New Roman" w:hAnsi="Times New Roman" w:cs="Times New Roman"/>
      <w:b/>
      <w:bCs/>
      <w:sz w:val="22"/>
      <w:szCs w:val="22"/>
      <w:lang w:val="en-US"/>
    </w:rPr>
  </w:style>
  <w:style w:type="character" w:styleId="4">
    <w:name w:val="Заголовок 4 Знак"/>
    <w:qFormat/>
    <w:rPr>
      <w:rFonts w:ascii="Times New Roman" w:hAnsi="Times New Roman" w:cs="Times New Roman"/>
      <w:b/>
      <w:bCs/>
      <w:sz w:val="28"/>
      <w:szCs w:val="28"/>
      <w:lang w:val="ru-RU"/>
    </w:rPr>
  </w:style>
  <w:style w:type="character" w:styleId="Heading2Char">
    <w:name w:val="Heading 2 Char"/>
    <w:qFormat/>
    <w:rPr>
      <w:rFonts w:ascii="Arial" w:hAnsi="Arial" w:eastAsia="Times New Roman" w:cs="Arial"/>
      <w:b/>
      <w:caps/>
      <w:sz w:val="16"/>
      <w:lang w:val="ru-RU"/>
    </w:rPr>
  </w:style>
  <w:style w:type="character" w:styleId="Heading4Char">
    <w:name w:val="Heading 4 Char"/>
    <w:qFormat/>
    <w:rPr>
      <w:rFonts w:ascii="Arial" w:hAnsi="Arial" w:eastAsia="Times New Roman" w:cs="Arial"/>
      <w:b/>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2">
    <w:name w:val="Основной текст 3 Знак"/>
    <w:qFormat/>
    <w:rPr>
      <w:rFonts w:ascii="Times New Roman" w:hAnsi="Times New Roman" w:eastAsia="Times New Roman" w:cs="Times New Roman"/>
      <w:sz w:val="16"/>
      <w:szCs w:val="16"/>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ing">
    <w:name w:val="Line Numbering"/>
    <w:rPr>
      <w:rFonts w:ascii="Segoe UI" w:hAnsi="Segoe UI" w:cs="Segoe UI"/>
      <w:color w:val="000000"/>
      <w:sz w:val="18"/>
      <w:szCs w:val="18"/>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rPr>
  </w:style>
  <w:style w:type="character" w:styleId="Style16">
    <w:name w:val="Тема примечания Знак"/>
    <w:qFormat/>
    <w:rPr>
      <w:rFonts w:ascii="Times New Roman" w:hAnsi="Times New Roman" w:eastAsia="Times New Roman" w:cs="Times New Roman"/>
      <w:b/>
      <w:bCs/>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ru-RU"/>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VisitedInternetLink">
    <w:name w:val="Visited Internet Link"/>
    <w:rPr>
      <w:color w:val="954F72"/>
      <w:u w:val="single"/>
    </w:rPr>
  </w:style>
  <w:style w:type="character" w:styleId="Style17">
    <w:name w:val="Заголовок Знак"/>
    <w:qFormat/>
    <w:rPr>
      <w:rFonts w:ascii="Times New Roman" w:hAnsi="Times New Roman" w:cs="Times New Roman"/>
      <w:sz w:val="24"/>
      <w:szCs w:val="24"/>
      <w:lang w:val="en-US"/>
    </w:rPr>
  </w:style>
  <w:style w:type="character" w:styleId="22">
    <w:name w:val="Основной текст 2 Знак"/>
    <w:qFormat/>
    <w:rPr>
      <w:rFonts w:ascii="Times New Roman" w:hAnsi="Times New Roman" w:cs="Times New Roman"/>
      <w:sz w:val="24"/>
      <w:szCs w:val="24"/>
      <w:lang w:val="en-US"/>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paragraph" w:styleId="Heading">
    <w:name w:val="Heading"/>
    <w:basedOn w:val="Normal"/>
    <w:next w:val="TextBody"/>
    <w:qFormat/>
    <w:pPr/>
    <w:rPr>
      <w:sz w:val="24"/>
      <w:szCs w:val="24"/>
      <w:lang w:val="en-US"/>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rPr>
      <w:rFonts w:ascii="Courier New" w:hAnsi="Courier New" w:cs="Courier New"/>
      <w:color w:val="000000"/>
      <w:sz w:val="21"/>
      <w:szCs w:val="21"/>
    </w:rPr>
  </w:style>
  <w:style w:type="paragraph" w:styleId="33">
    <w:name w:val="Основной текст с отступом 3"/>
    <w:basedOn w:val="Normal"/>
    <w:qFormat/>
    <w:pPr>
      <w:spacing w:before="0" w:after="120"/>
      <w:ind w:left="283" w:hanging="0"/>
    </w:pPr>
    <w:rPr>
      <w:sz w:val="16"/>
      <w:szCs w:val="16"/>
    </w:rPr>
  </w:style>
  <w:style w:type="paragraph" w:styleId="Header">
    <w:name w:val="Header"/>
    <w:basedOn w:val="Normal"/>
    <w:pPr/>
    <w:rPr/>
  </w:style>
  <w:style w:type="paragraph" w:styleId="Footer">
    <w:name w:val="Footer"/>
    <w:basedOn w:val="Normal"/>
    <w:pPr/>
    <w:rPr/>
  </w:style>
  <w:style w:type="paragraph" w:styleId="11">
    <w:name w:val="Обычный11"/>
    <w:basedOn w:val="Normal"/>
    <w:qFormat/>
    <w:pPr/>
    <w:rPr>
      <w:rFonts w:eastAsia="Times New Roman"/>
      <w:sz w:val="24"/>
      <w:szCs w:val="24"/>
      <w:lang w:val="uk-UA"/>
    </w:rPr>
  </w:style>
  <w:style w:type="paragraph" w:styleId="12">
    <w:name w:val="Обычный1"/>
    <w:basedOn w:val="Normal"/>
    <w:qFormat/>
    <w:pPr/>
    <w:rPr>
      <w:rFonts w:eastAsia="Times New Roman"/>
      <w:sz w:val="24"/>
      <w:szCs w:val="24"/>
      <w:lang w:val="uk-UA"/>
    </w:rPr>
  </w:style>
  <w:style w:type="paragraph" w:styleId="Msolistparagraph">
    <w:name w:val="msolistparagraph"/>
    <w:basedOn w:val="Normal"/>
    <w:qFormat/>
    <w:pPr>
      <w:spacing w:before="0" w:after="0"/>
      <w:ind w:left="720" w:hanging="0"/>
      <w:contextualSpacing/>
    </w:pPr>
    <w:rPr>
      <w:rFonts w:eastAsia="Times New Roman"/>
      <w:sz w:val="24"/>
      <w:szCs w:val="24"/>
      <w:lang w:val="uk-UA"/>
    </w:rPr>
  </w:style>
  <w:style w:type="paragraph" w:styleId="Encryption">
    <w:name w:val="Encryption"/>
    <w:basedOn w:val="Normal"/>
    <w:qFormat/>
    <w:pPr>
      <w:jc w:val="both"/>
    </w:pPr>
    <w:rPr>
      <w:rFonts w:eastAsia="Times New Roman"/>
      <w:b/>
      <w:bCs/>
      <w:i/>
      <w:iCs/>
      <w:sz w:val="24"/>
      <w:szCs w:val="24"/>
      <w:lang w:val="uk-UA"/>
    </w:rPr>
  </w:style>
  <w:style w:type="paragraph" w:styleId="211">
    <w:name w:val="Заголовок 21"/>
    <w:basedOn w:val="Normal"/>
    <w:qFormat/>
    <w:pPr/>
    <w:rPr>
      <w:rFonts w:ascii="Arial" w:hAnsi="Arial" w:eastAsia="Times New Roman" w:cs="Arial"/>
      <w:b/>
      <w:caps/>
      <w:sz w:val="16"/>
    </w:rPr>
  </w:style>
  <w:style w:type="paragraph" w:styleId="411">
    <w:name w:val="Заголовок 41"/>
    <w:basedOn w:val="Normal"/>
    <w:qFormat/>
    <w:pPr/>
    <w:rPr>
      <w:rFonts w:ascii="Arial" w:hAnsi="Arial" w:eastAsia="Times New Roman" w:cs="Arial"/>
      <w:b/>
    </w:rPr>
  </w:style>
  <w:style w:type="paragraph" w:styleId="Style23">
    <w:name w:val="Текст выноски"/>
    <w:basedOn w:val="Normal"/>
    <w:qFormat/>
    <w:pPr/>
    <w:rPr>
      <w:rFonts w:ascii="Tahoma" w:hAnsi="Tahoma" w:eastAsia="Times New Roman" w:cs="Tahoma"/>
      <w:sz w:val="16"/>
      <w:szCs w:val="16"/>
    </w:rPr>
  </w:style>
  <w:style w:type="paragraph" w:styleId="BodyTextIndent2">
    <w:name w:val="Body Text Indent2"/>
    <w:basedOn w:val="Normal"/>
    <w:qFormat/>
    <w:pPr>
      <w:jc w:val="center"/>
    </w:pPr>
    <w:rPr>
      <w:rFonts w:ascii="Arial" w:hAnsi="Arial" w:eastAsia="Times New Roman" w:cs="Arial"/>
      <w:b/>
      <w:i/>
      <w:sz w:val="18"/>
      <w:lang w:val="uk-UA"/>
    </w:rPr>
  </w:style>
  <w:style w:type="paragraph" w:styleId="13">
    <w:name w:val="Основной текст с отступом1"/>
    <w:basedOn w:val="Normal"/>
    <w:qFormat/>
    <w:pPr>
      <w:spacing w:before="120" w:after="120"/>
    </w:pPr>
    <w:rPr>
      <w:rFonts w:ascii="Arial" w:hAnsi="Arial" w:eastAsia="Times New Roman" w:cs="Arial"/>
      <w:sz w:val="18"/>
    </w:rPr>
  </w:style>
  <w:style w:type="paragraph" w:styleId="Cs95e872d0">
    <w:name w:val="cs95e872d0"/>
    <w:basedOn w:val="Normal"/>
    <w:qFormat/>
    <w:pPr/>
    <w:rPr>
      <w:rFonts w:eastAsia="Times New Roman"/>
      <w:sz w:val="24"/>
      <w:szCs w:val="24"/>
    </w:rPr>
  </w:style>
  <w:style w:type="paragraph" w:styleId="TextBodyIndent">
    <w:name w:val="Body Text Indent"/>
    <w:basedOn w:val="Normal"/>
    <w:pPr>
      <w:spacing w:before="0" w:after="120"/>
      <w:ind w:left="283" w:hanging="0"/>
    </w:pPr>
    <w:rPr>
      <w:rFonts w:eastAsia="Times New Roman"/>
      <w:sz w:val="24"/>
      <w:szCs w:val="24"/>
    </w:rPr>
  </w:style>
  <w:style w:type="paragraph" w:styleId="34">
    <w:name w:val="Основной текст 3"/>
    <w:basedOn w:val="Normal"/>
    <w:qFormat/>
    <w:pPr>
      <w:spacing w:before="0" w:after="120"/>
    </w:pPr>
    <w:rPr>
      <w:rFonts w:eastAsia="Times New Roman"/>
      <w:sz w:val="16"/>
      <w:szCs w:val="16"/>
      <w:lang w:val="uk-UA"/>
    </w:rPr>
  </w:style>
  <w:style w:type="paragraph" w:styleId="24">
    <w:name w:val="Основной текст с отступом2"/>
    <w:basedOn w:val="Normal"/>
    <w:qFormat/>
    <w:pPr>
      <w:ind w:firstLine="708"/>
      <w:jc w:val="both"/>
    </w:pPr>
    <w:rPr>
      <w:rFonts w:ascii="Arial" w:hAnsi="Arial" w:eastAsia="Times New Roman" w:cs="Arial"/>
      <w:b/>
      <w:sz w:val="18"/>
      <w:lang w:val="uk-UA"/>
    </w:rPr>
  </w:style>
  <w:style w:type="paragraph" w:styleId="35">
    <w:name w:val="Основной текст с отступом3"/>
    <w:basedOn w:val="Normal"/>
    <w:qFormat/>
    <w:pPr>
      <w:ind w:firstLine="708"/>
      <w:jc w:val="both"/>
    </w:pPr>
    <w:rPr>
      <w:rFonts w:ascii="Arial" w:hAnsi="Arial" w:eastAsia="Times New Roman" w:cs="Arial"/>
      <w:b/>
      <w:sz w:val="18"/>
      <w:lang w:val="uk-UA"/>
    </w:rPr>
  </w:style>
  <w:style w:type="paragraph" w:styleId="42">
    <w:name w:val="Основной текст с отступом4"/>
    <w:basedOn w:val="Normal"/>
    <w:qFormat/>
    <w:pPr>
      <w:ind w:firstLine="708"/>
      <w:jc w:val="both"/>
    </w:pPr>
    <w:rPr>
      <w:rFonts w:ascii="Arial" w:hAnsi="Arial" w:eastAsia="Times New Roman" w:cs="Arial"/>
      <w:b/>
      <w:sz w:val="18"/>
      <w:lang w:val="uk-UA"/>
    </w:rPr>
  </w:style>
  <w:style w:type="paragraph" w:styleId="5">
    <w:name w:val="Основной текст с отступом5"/>
    <w:basedOn w:val="Normal"/>
    <w:qFormat/>
    <w:pPr>
      <w:ind w:firstLine="708"/>
      <w:jc w:val="both"/>
    </w:pPr>
    <w:rPr>
      <w:rFonts w:ascii="Arial" w:hAnsi="Arial" w:eastAsia="Times New Roman" w:cs="Arial"/>
      <w:b/>
      <w:sz w:val="18"/>
      <w:lang w:val="uk-UA"/>
    </w:rPr>
  </w:style>
  <w:style w:type="paragraph" w:styleId="Cse71256d6">
    <w:name w:val="cse71256d6"/>
    <w:basedOn w:val="Normal"/>
    <w:qFormat/>
    <w:pPr>
      <w:ind w:left="1440" w:hanging="0"/>
    </w:pPr>
    <w:rPr>
      <w:rFonts w:eastAsia="Times New Roman"/>
      <w:sz w:val="24"/>
      <w:szCs w:val="24"/>
      <w:lang w:val="uk-UA"/>
    </w:rPr>
  </w:style>
  <w:style w:type="paragraph" w:styleId="61">
    <w:name w:val="Основной текст с отступом6"/>
    <w:basedOn w:val="Normal"/>
    <w:qFormat/>
    <w:pPr>
      <w:ind w:firstLine="708"/>
      <w:jc w:val="both"/>
    </w:pPr>
    <w:rPr>
      <w:rFonts w:ascii="Arial" w:hAnsi="Arial" w:eastAsia="Times New Roman" w:cs="Arial"/>
      <w:b/>
      <w:sz w:val="18"/>
      <w:lang w:val="uk-UA"/>
    </w:rPr>
  </w:style>
  <w:style w:type="paragraph" w:styleId="7">
    <w:name w:val="Основной текст с отступом7"/>
    <w:basedOn w:val="Normal"/>
    <w:qFormat/>
    <w:pPr>
      <w:ind w:firstLine="708"/>
      <w:jc w:val="both"/>
    </w:pPr>
    <w:rPr>
      <w:rFonts w:ascii="Arial" w:hAnsi="Arial" w:eastAsia="Times New Roman" w:cs="Arial"/>
      <w:b/>
      <w:sz w:val="18"/>
      <w:lang w:val="uk-UA"/>
    </w:rPr>
  </w:style>
  <w:style w:type="paragraph" w:styleId="8">
    <w:name w:val="Основной текст с отступом8"/>
    <w:basedOn w:val="Normal"/>
    <w:qFormat/>
    <w:pPr>
      <w:ind w:firstLine="708"/>
      <w:jc w:val="both"/>
    </w:pPr>
    <w:rPr>
      <w:rFonts w:ascii="Arial" w:hAnsi="Arial" w:eastAsia="Times New Roman" w:cs="Arial"/>
      <w:b/>
      <w:sz w:val="18"/>
      <w:lang w:val="uk-UA"/>
    </w:rPr>
  </w:style>
  <w:style w:type="paragraph" w:styleId="9">
    <w:name w:val="Основной текст с отступом9"/>
    <w:basedOn w:val="Normal"/>
    <w:qFormat/>
    <w:pPr>
      <w:ind w:firstLine="708"/>
      <w:jc w:val="both"/>
    </w:pPr>
    <w:rPr>
      <w:rFonts w:ascii="Arial" w:hAnsi="Arial" w:eastAsia="Times New Roman" w:cs="Arial"/>
      <w:b/>
      <w:sz w:val="18"/>
      <w:lang w:val="uk-UA"/>
    </w:rPr>
  </w:style>
  <w:style w:type="paragraph" w:styleId="111">
    <w:name w:val="Основной текст с отступом11"/>
    <w:basedOn w:val="Normal"/>
    <w:qFormat/>
    <w:pPr>
      <w:ind w:firstLine="708"/>
      <w:jc w:val="both"/>
    </w:pPr>
    <w:rPr>
      <w:rFonts w:ascii="Arial" w:hAnsi="Arial" w:eastAsia="Times New Roman" w:cs="Arial"/>
      <w:b/>
      <w:sz w:val="18"/>
      <w:lang w:val="uk-UA"/>
    </w:rPr>
  </w:style>
  <w:style w:type="paragraph" w:styleId="10">
    <w:name w:val="Основной текст с отступом10"/>
    <w:basedOn w:val="Normal"/>
    <w:qFormat/>
    <w:pPr>
      <w:ind w:firstLine="708"/>
      <w:jc w:val="both"/>
    </w:pPr>
    <w:rPr>
      <w:rFonts w:ascii="Arial" w:hAnsi="Arial" w:eastAsia="Times New Roman" w:cs="Arial"/>
      <w:b/>
      <w:sz w:val="18"/>
      <w:lang w:val="uk-UA"/>
    </w:rPr>
  </w:style>
  <w:style w:type="paragraph" w:styleId="110">
    <w:name w:val="Основной текст с отступом110"/>
    <w:basedOn w:val="Normal"/>
    <w:qFormat/>
    <w:pPr>
      <w:ind w:firstLine="708"/>
      <w:jc w:val="both"/>
    </w:pPr>
    <w:rPr>
      <w:rFonts w:ascii="Arial" w:hAnsi="Arial" w:eastAsia="Times New Roman" w:cs="Arial"/>
      <w:b/>
      <w:sz w:val="18"/>
      <w:szCs w:val="22"/>
      <w:lang w:val="uk-UA"/>
    </w:rPr>
  </w:style>
  <w:style w:type="paragraph" w:styleId="121">
    <w:name w:val="Основной текст с отступом12"/>
    <w:basedOn w:val="Normal"/>
    <w:qFormat/>
    <w:pPr>
      <w:ind w:firstLine="708"/>
      <w:jc w:val="both"/>
    </w:pPr>
    <w:rPr>
      <w:rFonts w:ascii="Arial" w:hAnsi="Arial" w:eastAsia="Times New Roman" w:cs="Arial"/>
      <w:b/>
      <w:sz w:val="18"/>
      <w:lang w:val="uk-UA"/>
    </w:rPr>
  </w:style>
  <w:style w:type="paragraph" w:styleId="131">
    <w:name w:val="Основной текст с отступом13"/>
    <w:basedOn w:val="Normal"/>
    <w:qFormat/>
    <w:pPr>
      <w:ind w:firstLine="708"/>
      <w:jc w:val="both"/>
    </w:pPr>
    <w:rPr>
      <w:rFonts w:ascii="Arial" w:hAnsi="Arial" w:eastAsia="Times New Roman" w:cs="Arial"/>
      <w:b/>
      <w:sz w:val="18"/>
      <w:lang w:val="uk-UA"/>
    </w:rPr>
  </w:style>
  <w:style w:type="paragraph" w:styleId="141">
    <w:name w:val="Основной текст с отступом14"/>
    <w:basedOn w:val="Normal"/>
    <w:qFormat/>
    <w:pPr>
      <w:ind w:firstLine="708"/>
      <w:jc w:val="both"/>
    </w:pPr>
    <w:rPr>
      <w:rFonts w:ascii="Arial" w:hAnsi="Arial" w:eastAsia="Times New Roman" w:cs="Arial"/>
      <w:b/>
      <w:sz w:val="18"/>
      <w:lang w:val="uk-UA"/>
    </w:rPr>
  </w:style>
  <w:style w:type="paragraph" w:styleId="15">
    <w:name w:val="Основной текст с отступом15"/>
    <w:basedOn w:val="Normal"/>
    <w:qFormat/>
    <w:pPr>
      <w:ind w:firstLine="708"/>
      <w:jc w:val="both"/>
    </w:pPr>
    <w:rPr>
      <w:rFonts w:ascii="Arial" w:hAnsi="Arial" w:eastAsia="Times New Roman" w:cs="Arial"/>
      <w:b/>
      <w:sz w:val="18"/>
      <w:lang w:val="uk-UA"/>
    </w:rPr>
  </w:style>
  <w:style w:type="paragraph" w:styleId="16">
    <w:name w:val="Основной текст с отступом16"/>
    <w:basedOn w:val="Normal"/>
    <w:qFormat/>
    <w:pPr>
      <w:ind w:firstLine="708"/>
      <w:jc w:val="both"/>
    </w:pPr>
    <w:rPr>
      <w:rFonts w:ascii="Arial" w:hAnsi="Arial" w:eastAsia="Times New Roman" w:cs="Arial"/>
      <w:b/>
      <w:sz w:val="18"/>
      <w:lang w:val="uk-UA"/>
    </w:rPr>
  </w:style>
  <w:style w:type="paragraph" w:styleId="17">
    <w:name w:val="Основной текст с отступом17"/>
    <w:basedOn w:val="Normal"/>
    <w:qFormat/>
    <w:pPr>
      <w:ind w:firstLine="708"/>
      <w:jc w:val="both"/>
    </w:pPr>
    <w:rPr>
      <w:rFonts w:ascii="Arial" w:hAnsi="Arial" w:eastAsia="Times New Roman" w:cs="Arial"/>
      <w:b/>
      <w:sz w:val="18"/>
      <w:lang w:val="uk-UA"/>
    </w:rPr>
  </w:style>
  <w:style w:type="paragraph" w:styleId="18">
    <w:name w:val="Основной текст с отступом18"/>
    <w:basedOn w:val="Normal"/>
    <w:qFormat/>
    <w:pPr>
      <w:ind w:firstLine="708"/>
      <w:jc w:val="both"/>
    </w:pPr>
    <w:rPr>
      <w:rFonts w:ascii="Arial" w:hAnsi="Arial" w:eastAsia="Times New Roman" w:cs="Arial"/>
      <w:b/>
      <w:sz w:val="18"/>
      <w:lang w:val="uk-UA"/>
    </w:rPr>
  </w:style>
  <w:style w:type="paragraph" w:styleId="19">
    <w:name w:val="Основной текст с отступом19"/>
    <w:basedOn w:val="Normal"/>
    <w:qFormat/>
    <w:pPr>
      <w:ind w:firstLine="708"/>
      <w:jc w:val="both"/>
    </w:pPr>
    <w:rPr>
      <w:rFonts w:ascii="Arial" w:hAnsi="Arial" w:eastAsia="Times New Roman" w:cs="Arial"/>
      <w:b/>
      <w:sz w:val="18"/>
      <w:lang w:val="uk-UA"/>
    </w:rPr>
  </w:style>
  <w:style w:type="paragraph" w:styleId="20">
    <w:name w:val="Основной текст с отступом20"/>
    <w:basedOn w:val="Normal"/>
    <w:qFormat/>
    <w:pPr>
      <w:ind w:firstLine="708"/>
      <w:jc w:val="both"/>
    </w:pPr>
    <w:rPr>
      <w:rFonts w:ascii="Arial" w:hAnsi="Arial" w:eastAsia="Times New Roman" w:cs="Arial"/>
      <w:b/>
      <w:sz w:val="18"/>
      <w:lang w:val="uk-UA"/>
    </w:rPr>
  </w:style>
  <w:style w:type="paragraph" w:styleId="Cs80d9435b">
    <w:name w:val="cs80d9435b"/>
    <w:basedOn w:val="Normal"/>
    <w:qFormat/>
    <w:pPr>
      <w:jc w:val="both"/>
    </w:pPr>
    <w:rPr>
      <w:rFonts w:ascii="Arial" w:hAnsi="Arial" w:eastAsia="Times New Roman" w:cs="Arial"/>
      <w:sz w:val="24"/>
      <w:szCs w:val="24"/>
      <w:lang w:val="uk-UA"/>
    </w:rPr>
  </w:style>
  <w:style w:type="paragraph" w:styleId="212">
    <w:name w:val="Основной текст с отступом21"/>
    <w:basedOn w:val="Normal"/>
    <w:qFormat/>
    <w:pPr>
      <w:ind w:firstLine="708"/>
      <w:jc w:val="both"/>
    </w:pPr>
    <w:rPr>
      <w:rFonts w:ascii="Arial" w:hAnsi="Arial" w:eastAsia="Times New Roman" w:cs="Arial"/>
      <w:b/>
      <w:sz w:val="18"/>
      <w:lang w:val="uk-UA"/>
    </w:rPr>
  </w:style>
  <w:style w:type="paragraph" w:styleId="231">
    <w:name w:val="Основной текст с отступом23"/>
    <w:basedOn w:val="Normal"/>
    <w:qFormat/>
    <w:pPr>
      <w:ind w:firstLine="708"/>
      <w:jc w:val="both"/>
    </w:pPr>
    <w:rPr>
      <w:rFonts w:ascii="Arial" w:hAnsi="Arial" w:eastAsia="Times New Roman" w:cs="Arial"/>
      <w:b/>
      <w:sz w:val="18"/>
      <w:lang w:val="uk-UA"/>
    </w:rPr>
  </w:style>
  <w:style w:type="paragraph" w:styleId="26">
    <w:name w:val="Основной текст с отступом26"/>
    <w:basedOn w:val="Normal"/>
    <w:qFormat/>
    <w:pPr>
      <w:ind w:firstLine="708"/>
      <w:jc w:val="both"/>
    </w:pPr>
    <w:rPr>
      <w:rFonts w:ascii="Arial" w:hAnsi="Arial" w:eastAsia="Times New Roman" w:cs="Arial"/>
      <w:b/>
      <w:sz w:val="18"/>
      <w:lang w:val="uk-UA"/>
    </w:rPr>
  </w:style>
  <w:style w:type="paragraph" w:styleId="28">
    <w:name w:val="Основной текст с отступом28"/>
    <w:basedOn w:val="Normal"/>
    <w:qFormat/>
    <w:pPr>
      <w:ind w:firstLine="708"/>
      <w:jc w:val="both"/>
    </w:pPr>
    <w:rPr>
      <w:rFonts w:ascii="Arial" w:hAnsi="Arial" w:eastAsia="Times New Roman" w:cs="Arial"/>
      <w:b/>
      <w:sz w:val="18"/>
      <w:lang w:val="uk-UA"/>
    </w:rPr>
  </w:style>
  <w:style w:type="paragraph" w:styleId="29">
    <w:name w:val="Основной текст с отступом29"/>
    <w:basedOn w:val="Normal"/>
    <w:qFormat/>
    <w:pPr>
      <w:ind w:firstLine="708"/>
      <w:jc w:val="both"/>
    </w:pPr>
    <w:rPr>
      <w:rFonts w:ascii="Arial" w:hAnsi="Arial" w:eastAsia="Times New Roman" w:cs="Arial"/>
      <w:b/>
      <w:sz w:val="18"/>
      <w:lang w:val="uk-UA"/>
    </w:rPr>
  </w:style>
  <w:style w:type="paragraph" w:styleId="311">
    <w:name w:val="Основной текст с отступом31"/>
    <w:basedOn w:val="Normal"/>
    <w:qFormat/>
    <w:pPr>
      <w:ind w:firstLine="708"/>
      <w:jc w:val="both"/>
    </w:pPr>
    <w:rPr>
      <w:rFonts w:ascii="Arial" w:hAnsi="Arial" w:eastAsia="Times New Roman" w:cs="Arial"/>
      <w:b/>
      <w:sz w:val="18"/>
      <w:lang w:val="uk-UA"/>
    </w:rPr>
  </w:style>
  <w:style w:type="paragraph" w:styleId="321">
    <w:name w:val="Основной текст с отступом32"/>
    <w:basedOn w:val="Normal"/>
    <w:qFormat/>
    <w:pPr>
      <w:ind w:firstLine="708"/>
      <w:jc w:val="both"/>
    </w:pPr>
    <w:rPr>
      <w:rFonts w:ascii="Arial" w:hAnsi="Arial" w:eastAsia="Times New Roman" w:cs="Arial"/>
      <w:b/>
      <w:sz w:val="18"/>
      <w:lang w:val="uk-UA"/>
    </w:rPr>
  </w:style>
  <w:style w:type="paragraph" w:styleId="331">
    <w:name w:val="Основной текст с отступом33"/>
    <w:basedOn w:val="Normal"/>
    <w:qFormat/>
    <w:pPr>
      <w:ind w:firstLine="708"/>
      <w:jc w:val="both"/>
    </w:pPr>
    <w:rPr>
      <w:rFonts w:ascii="Arial" w:hAnsi="Arial" w:eastAsia="Times New Roman" w:cs="Arial"/>
      <w:b/>
      <w:sz w:val="18"/>
      <w:lang w:val="uk-UA"/>
    </w:rPr>
  </w:style>
  <w:style w:type="paragraph" w:styleId="351">
    <w:name w:val="Основной текст с отступом35"/>
    <w:basedOn w:val="Normal"/>
    <w:qFormat/>
    <w:pPr>
      <w:ind w:firstLine="708"/>
      <w:jc w:val="both"/>
    </w:pPr>
    <w:rPr>
      <w:rFonts w:ascii="Arial" w:hAnsi="Arial" w:eastAsia="Times New Roman" w:cs="Arial"/>
      <w:b/>
      <w:sz w:val="18"/>
      <w:lang w:val="uk-UA"/>
    </w:rPr>
  </w:style>
  <w:style w:type="paragraph" w:styleId="341">
    <w:name w:val="Основной текст с отступом34"/>
    <w:basedOn w:val="Normal"/>
    <w:qFormat/>
    <w:pPr>
      <w:ind w:firstLine="708"/>
      <w:jc w:val="both"/>
    </w:pPr>
    <w:rPr>
      <w:rFonts w:ascii="Arial" w:hAnsi="Arial" w:eastAsia="Times New Roman" w:cs="Arial"/>
      <w:b/>
      <w:sz w:val="18"/>
      <w:lang w:val="uk-UA"/>
    </w:rPr>
  </w:style>
  <w:style w:type="paragraph" w:styleId="36">
    <w:name w:val="Основной текст с отступом36"/>
    <w:basedOn w:val="Normal"/>
    <w:qFormat/>
    <w:pPr>
      <w:ind w:firstLine="708"/>
      <w:jc w:val="both"/>
    </w:pPr>
    <w:rPr>
      <w:rFonts w:ascii="Arial" w:hAnsi="Arial" w:eastAsia="Times New Roman" w:cs="Arial"/>
      <w:b/>
      <w:sz w:val="18"/>
      <w:lang w:val="uk-UA"/>
    </w:rPr>
  </w:style>
  <w:style w:type="paragraph" w:styleId="37">
    <w:name w:val="Основной текст с отступом37"/>
    <w:basedOn w:val="Normal"/>
    <w:qFormat/>
    <w:pPr>
      <w:ind w:firstLine="708"/>
      <w:jc w:val="both"/>
    </w:pPr>
    <w:rPr>
      <w:rFonts w:ascii="Arial" w:hAnsi="Arial" w:eastAsia="Times New Roman" w:cs="Arial"/>
      <w:b/>
      <w:sz w:val="18"/>
      <w:lang w:val="uk-UA"/>
    </w:rPr>
  </w:style>
  <w:style w:type="paragraph" w:styleId="Style24">
    <w:name w:val="Текст примечания"/>
    <w:basedOn w:val="Normal"/>
    <w:qFormat/>
    <w:pPr/>
    <w:rPr>
      <w:rFonts w:eastAsia="Times New Roman"/>
      <w:lang w:val="uk-UA"/>
    </w:rPr>
  </w:style>
  <w:style w:type="paragraph" w:styleId="Style25">
    <w:name w:val="Тема примечания"/>
    <w:basedOn w:val="Style24"/>
    <w:next w:val="Style24"/>
    <w:qFormat/>
    <w:pPr/>
    <w:rPr>
      <w:b/>
      <w:bCs/>
    </w:rPr>
  </w:style>
  <w:style w:type="paragraph" w:styleId="Style26">
    <w:name w:val="Рецензия"/>
    <w:qFormat/>
    <w:pPr>
      <w:widowControl/>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eastAsia="Times New Roman" w:cs="Arial"/>
      <w:sz w:val="24"/>
      <w:szCs w:val="24"/>
      <w:lang w:val="uk-UA"/>
    </w:rPr>
  </w:style>
  <w:style w:type="paragraph" w:styleId="38">
    <w:name w:val="Основной текст с отступом38"/>
    <w:basedOn w:val="Normal"/>
    <w:qFormat/>
    <w:pPr>
      <w:ind w:firstLine="708"/>
      <w:jc w:val="both"/>
    </w:pPr>
    <w:rPr>
      <w:rFonts w:ascii="Arial" w:hAnsi="Arial" w:eastAsia="Times New Roman" w:cs="Arial"/>
      <w:b/>
      <w:sz w:val="18"/>
      <w:lang w:val="uk-UA"/>
    </w:rPr>
  </w:style>
  <w:style w:type="paragraph" w:styleId="39">
    <w:name w:val="Основной текст с отступом39"/>
    <w:basedOn w:val="Normal"/>
    <w:qFormat/>
    <w:pPr>
      <w:ind w:firstLine="708"/>
      <w:jc w:val="both"/>
    </w:pPr>
    <w:rPr>
      <w:rFonts w:ascii="Arial" w:hAnsi="Arial" w:eastAsia="Times New Roman" w:cs="Arial"/>
      <w:b/>
      <w:sz w:val="18"/>
      <w:lang w:val="uk-UA"/>
    </w:rPr>
  </w:style>
  <w:style w:type="paragraph" w:styleId="40">
    <w:name w:val="Основной текст с отступом40"/>
    <w:basedOn w:val="Normal"/>
    <w:qFormat/>
    <w:pPr>
      <w:ind w:firstLine="708"/>
      <w:jc w:val="both"/>
    </w:pPr>
    <w:rPr>
      <w:rFonts w:ascii="Arial" w:hAnsi="Arial" w:eastAsia="Times New Roman" w:cs="Arial"/>
      <w:b/>
      <w:sz w:val="18"/>
      <w:lang w:val="uk-UA"/>
    </w:rPr>
  </w:style>
  <w:style w:type="paragraph" w:styleId="412">
    <w:name w:val="Основной текст с отступом41"/>
    <w:basedOn w:val="Normal"/>
    <w:qFormat/>
    <w:pPr>
      <w:ind w:firstLine="708"/>
      <w:jc w:val="both"/>
    </w:pPr>
    <w:rPr>
      <w:rFonts w:ascii="Arial" w:hAnsi="Arial" w:eastAsia="Times New Roman" w:cs="Arial"/>
      <w:b/>
      <w:sz w:val="18"/>
      <w:lang w:val="uk-UA"/>
    </w:rPr>
  </w:style>
  <w:style w:type="paragraph" w:styleId="421">
    <w:name w:val="Основной текст с отступом42"/>
    <w:basedOn w:val="Normal"/>
    <w:qFormat/>
    <w:pPr>
      <w:ind w:firstLine="708"/>
      <w:jc w:val="both"/>
    </w:pPr>
    <w:rPr>
      <w:rFonts w:ascii="Arial" w:hAnsi="Arial" w:eastAsia="Times New Roman" w:cs="Arial"/>
      <w:b/>
      <w:sz w:val="18"/>
      <w:lang w:val="uk-UA"/>
    </w:rPr>
  </w:style>
  <w:style w:type="paragraph" w:styleId="43">
    <w:name w:val="Основной текст с отступом43"/>
    <w:basedOn w:val="Normal"/>
    <w:qFormat/>
    <w:pPr>
      <w:ind w:firstLine="708"/>
      <w:jc w:val="both"/>
    </w:pPr>
    <w:rPr>
      <w:rFonts w:ascii="Arial" w:hAnsi="Arial" w:eastAsia="Times New Roman" w:cs="Arial"/>
      <w:b/>
      <w:sz w:val="18"/>
      <w:lang w:val="uk-UA"/>
    </w:rPr>
  </w:style>
  <w:style w:type="paragraph" w:styleId="44">
    <w:name w:val="Основной текст с отступом44"/>
    <w:basedOn w:val="Normal"/>
    <w:qFormat/>
    <w:pPr>
      <w:ind w:firstLine="708"/>
      <w:jc w:val="both"/>
    </w:pPr>
    <w:rPr>
      <w:rFonts w:ascii="Arial" w:hAnsi="Arial" w:eastAsia="Times New Roman" w:cs="Arial"/>
      <w:b/>
      <w:sz w:val="18"/>
      <w:lang w:val="uk-UA"/>
    </w:rPr>
  </w:style>
  <w:style w:type="paragraph" w:styleId="45">
    <w:name w:val="Основной текст с отступом45"/>
    <w:basedOn w:val="Normal"/>
    <w:qFormat/>
    <w:pPr>
      <w:ind w:firstLine="708"/>
      <w:jc w:val="both"/>
    </w:pPr>
    <w:rPr>
      <w:rFonts w:ascii="Arial" w:hAnsi="Arial" w:eastAsia="Times New Roman" w:cs="Arial"/>
      <w:b/>
      <w:sz w:val="18"/>
      <w:lang w:val="uk-UA"/>
    </w:rPr>
  </w:style>
  <w:style w:type="paragraph" w:styleId="46">
    <w:name w:val="Основной текст с отступом46"/>
    <w:basedOn w:val="Normal"/>
    <w:qFormat/>
    <w:pPr>
      <w:ind w:firstLine="708"/>
      <w:jc w:val="both"/>
    </w:pPr>
    <w:rPr>
      <w:rFonts w:ascii="Arial" w:hAnsi="Arial" w:eastAsia="Times New Roman" w:cs="Arial"/>
      <w:b/>
      <w:sz w:val="18"/>
      <w:lang w:val="uk-UA"/>
    </w:rPr>
  </w:style>
  <w:style w:type="paragraph" w:styleId="47">
    <w:name w:val="Основной текст с отступом47"/>
    <w:basedOn w:val="Normal"/>
    <w:qFormat/>
    <w:pPr>
      <w:ind w:firstLine="708"/>
      <w:jc w:val="both"/>
    </w:pPr>
    <w:rPr>
      <w:rFonts w:ascii="Arial" w:hAnsi="Arial" w:eastAsia="Times New Roman" w:cs="Arial"/>
      <w:b/>
      <w:sz w:val="18"/>
      <w:lang w:val="uk-UA"/>
    </w:rPr>
  </w:style>
  <w:style w:type="paragraph" w:styleId="48">
    <w:name w:val="Основной текст с отступом48"/>
    <w:basedOn w:val="Normal"/>
    <w:qFormat/>
    <w:pPr>
      <w:ind w:firstLine="708"/>
      <w:jc w:val="both"/>
    </w:pPr>
    <w:rPr>
      <w:rFonts w:ascii="Arial" w:hAnsi="Arial" w:eastAsia="Times New Roman" w:cs="Arial"/>
      <w:b/>
      <w:sz w:val="18"/>
      <w:lang w:val="uk-UA"/>
    </w:rPr>
  </w:style>
  <w:style w:type="paragraph" w:styleId="49">
    <w:name w:val="Основной текст с отступом49"/>
    <w:basedOn w:val="Normal"/>
    <w:qFormat/>
    <w:pPr>
      <w:ind w:firstLine="708"/>
      <w:jc w:val="both"/>
    </w:pPr>
    <w:rPr>
      <w:rFonts w:ascii="Arial" w:hAnsi="Arial" w:eastAsia="Times New Roman" w:cs="Arial"/>
      <w:b/>
      <w:sz w:val="18"/>
      <w:lang w:val="uk-UA"/>
    </w:rPr>
  </w:style>
  <w:style w:type="paragraph" w:styleId="50">
    <w:name w:val="Основной текст с отступом50"/>
    <w:basedOn w:val="Normal"/>
    <w:qFormat/>
    <w:pPr>
      <w:ind w:firstLine="708"/>
      <w:jc w:val="both"/>
    </w:pPr>
    <w:rPr>
      <w:rFonts w:ascii="Arial" w:hAnsi="Arial" w:eastAsia="Times New Roman" w:cs="Arial"/>
      <w:b/>
      <w:sz w:val="18"/>
      <w:lang w:val="uk-UA"/>
    </w:rPr>
  </w:style>
  <w:style w:type="paragraph" w:styleId="52">
    <w:name w:val="Основной текст с отступом52"/>
    <w:basedOn w:val="Normal"/>
    <w:qFormat/>
    <w:pPr>
      <w:ind w:firstLine="708"/>
      <w:jc w:val="both"/>
    </w:pPr>
    <w:rPr>
      <w:rFonts w:ascii="Arial" w:hAnsi="Arial" w:eastAsia="Times New Roman" w:cs="Arial"/>
      <w:b/>
      <w:sz w:val="18"/>
      <w:lang w:val="uk-UA"/>
    </w:rPr>
  </w:style>
  <w:style w:type="paragraph" w:styleId="53">
    <w:name w:val="Основной текст с отступом53"/>
    <w:basedOn w:val="Normal"/>
    <w:qFormat/>
    <w:pPr>
      <w:ind w:firstLine="708"/>
      <w:jc w:val="both"/>
    </w:pPr>
    <w:rPr>
      <w:rFonts w:ascii="Arial" w:hAnsi="Arial" w:eastAsia="Times New Roman" w:cs="Arial"/>
      <w:b/>
      <w:sz w:val="18"/>
      <w:lang w:val="uk-UA"/>
    </w:rPr>
  </w:style>
  <w:style w:type="paragraph" w:styleId="54">
    <w:name w:val="Основной текст с отступом54"/>
    <w:basedOn w:val="Normal"/>
    <w:qFormat/>
    <w:pPr>
      <w:ind w:firstLine="708"/>
      <w:jc w:val="both"/>
    </w:pPr>
    <w:rPr>
      <w:rFonts w:ascii="Arial" w:hAnsi="Arial" w:eastAsia="Times New Roman" w:cs="Arial"/>
      <w:b/>
      <w:sz w:val="18"/>
      <w:lang w:val="uk-UA"/>
    </w:rPr>
  </w:style>
  <w:style w:type="paragraph" w:styleId="57">
    <w:name w:val="Основной текст с отступом57"/>
    <w:basedOn w:val="Normal"/>
    <w:qFormat/>
    <w:pPr>
      <w:ind w:firstLine="708"/>
      <w:jc w:val="both"/>
    </w:pPr>
    <w:rPr>
      <w:rFonts w:ascii="Arial" w:hAnsi="Arial" w:eastAsia="Times New Roman" w:cs="Arial"/>
      <w:b/>
      <w:sz w:val="18"/>
      <w:lang w:val="uk-UA"/>
    </w:rPr>
  </w:style>
  <w:style w:type="paragraph" w:styleId="59">
    <w:name w:val="Основной текст с отступом59"/>
    <w:basedOn w:val="Normal"/>
    <w:qFormat/>
    <w:pPr>
      <w:ind w:firstLine="708"/>
      <w:jc w:val="both"/>
    </w:pPr>
    <w:rPr>
      <w:rFonts w:ascii="Arial" w:hAnsi="Arial" w:eastAsia="Times New Roman" w:cs="Arial"/>
      <w:b/>
      <w:sz w:val="18"/>
      <w:lang w:val="uk-UA"/>
    </w:rPr>
  </w:style>
  <w:style w:type="paragraph" w:styleId="60">
    <w:name w:val="Основной текст с отступом60"/>
    <w:basedOn w:val="Normal"/>
    <w:qFormat/>
    <w:pPr>
      <w:ind w:firstLine="708"/>
      <w:jc w:val="both"/>
    </w:pPr>
    <w:rPr>
      <w:rFonts w:ascii="Arial" w:hAnsi="Arial" w:eastAsia="Times New Roman" w:cs="Arial"/>
      <w:b/>
      <w:sz w:val="18"/>
      <w:lang w:val="uk-UA"/>
    </w:rPr>
  </w:style>
  <w:style w:type="paragraph" w:styleId="611">
    <w:name w:val="Основной текст с отступом61"/>
    <w:basedOn w:val="Normal"/>
    <w:qFormat/>
    <w:pPr>
      <w:ind w:firstLine="708"/>
      <w:jc w:val="both"/>
    </w:pPr>
    <w:rPr>
      <w:rFonts w:ascii="Arial" w:hAnsi="Arial" w:eastAsia="Times New Roman" w:cs="Arial"/>
      <w:b/>
      <w:sz w:val="18"/>
      <w:lang w:val="uk-UA"/>
    </w:rPr>
  </w:style>
  <w:style w:type="paragraph" w:styleId="25">
    <w:name w:val="Обычный2"/>
    <w:qFormat/>
    <w:pPr>
      <w:widowControl/>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eastAsia="Times New Roman" w:cs="Arial"/>
      <w:sz w:val="18"/>
    </w:rPr>
  </w:style>
  <w:style w:type="paragraph" w:styleId="222">
    <w:name w:val="Заголовок 22"/>
    <w:basedOn w:val="Normal"/>
    <w:qFormat/>
    <w:pPr/>
    <w:rPr>
      <w:rFonts w:ascii="Arial" w:hAnsi="Arial" w:eastAsia="Times New Roman" w:cs="Arial"/>
      <w:b/>
      <w:caps/>
      <w:sz w:val="16"/>
    </w:rPr>
  </w:style>
  <w:style w:type="paragraph" w:styleId="422">
    <w:name w:val="Заголовок 42"/>
    <w:basedOn w:val="Normal"/>
    <w:qFormat/>
    <w:pPr/>
    <w:rPr>
      <w:rFonts w:ascii="Arial" w:hAnsi="Arial" w:eastAsia="Times New Roman" w:cs="Arial"/>
      <w:b/>
    </w:rPr>
  </w:style>
  <w:style w:type="paragraph" w:styleId="310">
    <w:name w:val="Обычный3"/>
    <w:qFormat/>
    <w:pPr>
      <w:widowControl/>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eastAsia="Times New Roman" w:cs="Arial"/>
      <w:sz w:val="18"/>
    </w:rPr>
  </w:style>
  <w:style w:type="paragraph" w:styleId="232">
    <w:name w:val="Заголовок 23"/>
    <w:basedOn w:val="Normal"/>
    <w:qFormat/>
    <w:pPr/>
    <w:rPr>
      <w:rFonts w:ascii="Arial" w:hAnsi="Arial" w:eastAsia="Times New Roman" w:cs="Arial"/>
      <w:b/>
      <w:caps/>
      <w:sz w:val="16"/>
    </w:rPr>
  </w:style>
  <w:style w:type="paragraph" w:styleId="431">
    <w:name w:val="Заголовок 43"/>
    <w:basedOn w:val="Normal"/>
    <w:qFormat/>
    <w:pPr/>
    <w:rPr>
      <w:rFonts w:ascii="Arial" w:hAnsi="Arial" w:eastAsia="Times New Roman" w:cs="Arial"/>
      <w:b/>
    </w:rPr>
  </w:style>
  <w:style w:type="paragraph" w:styleId="BodyTextIndent">
    <w:name w:val="Body Text Indent"/>
    <w:basedOn w:val="Normal"/>
    <w:qFormat/>
    <w:pPr>
      <w:spacing w:before="120" w:after="120"/>
    </w:pPr>
    <w:rPr>
      <w:rFonts w:ascii="Arial" w:hAnsi="Arial" w:eastAsia="Times New Roman" w:cs="Arial"/>
      <w:sz w:val="18"/>
    </w:rPr>
  </w:style>
  <w:style w:type="paragraph" w:styleId="WWHeading2">
    <w:name w:val="WW-Heading 2"/>
    <w:basedOn w:val="Normal"/>
    <w:qFormat/>
    <w:pPr/>
    <w:rPr>
      <w:rFonts w:ascii="Arial" w:hAnsi="Arial" w:eastAsia="Times New Roman" w:cs="Arial"/>
      <w:b/>
      <w:caps/>
      <w:sz w:val="16"/>
    </w:rPr>
  </w:style>
  <w:style w:type="paragraph" w:styleId="WWHeading4">
    <w:name w:val="WW-Heading 4"/>
    <w:basedOn w:val="Normal"/>
    <w:qFormat/>
    <w:pPr/>
    <w:rPr>
      <w:rFonts w:ascii="Arial" w:hAnsi="Arial" w:eastAsia="Times New Roman" w:cs="Arial"/>
      <w:b/>
    </w:rPr>
  </w:style>
  <w:style w:type="paragraph" w:styleId="62">
    <w:name w:val="Основной текст с отступом62"/>
    <w:basedOn w:val="Normal"/>
    <w:qFormat/>
    <w:pPr>
      <w:ind w:firstLine="708"/>
      <w:jc w:val="both"/>
    </w:pPr>
    <w:rPr>
      <w:rFonts w:ascii="Arial" w:hAnsi="Arial" w:eastAsia="Times New Roman" w:cs="Arial"/>
      <w:b/>
      <w:sz w:val="18"/>
      <w:lang w:val="uk-UA"/>
    </w:rPr>
  </w:style>
  <w:style w:type="paragraph" w:styleId="64">
    <w:name w:val="Основной текст с отступом64"/>
    <w:basedOn w:val="Normal"/>
    <w:qFormat/>
    <w:pPr>
      <w:ind w:firstLine="708"/>
      <w:jc w:val="both"/>
    </w:pPr>
    <w:rPr>
      <w:rFonts w:ascii="Arial" w:hAnsi="Arial" w:eastAsia="Times New Roman" w:cs="Arial"/>
      <w:b/>
      <w:sz w:val="18"/>
      <w:lang w:val="uk-UA"/>
    </w:rPr>
  </w:style>
  <w:style w:type="paragraph" w:styleId="63">
    <w:name w:val="Основной текст с отступом63"/>
    <w:basedOn w:val="Normal"/>
    <w:qFormat/>
    <w:pPr>
      <w:ind w:firstLine="708"/>
      <w:jc w:val="both"/>
    </w:pPr>
    <w:rPr>
      <w:rFonts w:ascii="Arial" w:hAnsi="Arial" w:eastAsia="Times New Roman" w:cs="Arial"/>
      <w:b/>
      <w:sz w:val="18"/>
      <w:lang w:val="uk-UA"/>
    </w:rPr>
  </w:style>
  <w:style w:type="paragraph" w:styleId="65">
    <w:name w:val="Основной текст с отступом65"/>
    <w:basedOn w:val="Normal"/>
    <w:qFormat/>
    <w:pPr>
      <w:ind w:firstLine="708"/>
      <w:jc w:val="both"/>
    </w:pPr>
    <w:rPr>
      <w:rFonts w:ascii="Arial" w:hAnsi="Arial" w:eastAsia="Times New Roman" w:cs="Arial"/>
      <w:b/>
      <w:sz w:val="18"/>
      <w:lang w:val="uk-UA"/>
    </w:rPr>
  </w:style>
  <w:style w:type="paragraph" w:styleId="66">
    <w:name w:val="Основной текст с отступом66"/>
    <w:basedOn w:val="Normal"/>
    <w:qFormat/>
    <w:pPr>
      <w:ind w:firstLine="708"/>
      <w:jc w:val="both"/>
    </w:pPr>
    <w:rPr>
      <w:rFonts w:ascii="Arial" w:hAnsi="Arial" w:eastAsia="Times New Roman" w:cs="Arial"/>
      <w:b/>
      <w:sz w:val="18"/>
      <w:lang w:val="uk-UA"/>
    </w:rPr>
  </w:style>
  <w:style w:type="paragraph" w:styleId="67">
    <w:name w:val="Основной текст с отступом67"/>
    <w:basedOn w:val="Normal"/>
    <w:qFormat/>
    <w:pPr>
      <w:ind w:firstLine="708"/>
      <w:jc w:val="both"/>
    </w:pPr>
    <w:rPr>
      <w:rFonts w:ascii="Arial" w:hAnsi="Arial" w:eastAsia="Times New Roman" w:cs="Arial"/>
      <w:b/>
      <w:sz w:val="18"/>
      <w:lang w:val="uk-UA"/>
    </w:rPr>
  </w:style>
  <w:style w:type="paragraph" w:styleId="68">
    <w:name w:val="Основной текст с отступом68"/>
    <w:basedOn w:val="Normal"/>
    <w:qFormat/>
    <w:pPr>
      <w:ind w:firstLine="708"/>
      <w:jc w:val="both"/>
    </w:pPr>
    <w:rPr>
      <w:rFonts w:ascii="Arial" w:hAnsi="Arial" w:eastAsia="Times New Roman" w:cs="Arial"/>
      <w:b/>
      <w:sz w:val="18"/>
      <w:lang w:val="uk-UA"/>
    </w:rPr>
  </w:style>
  <w:style w:type="paragraph" w:styleId="69">
    <w:name w:val="Основной текст с отступом69"/>
    <w:basedOn w:val="Normal"/>
    <w:qFormat/>
    <w:pPr>
      <w:ind w:firstLine="708"/>
      <w:jc w:val="both"/>
    </w:pPr>
    <w:rPr>
      <w:rFonts w:ascii="Arial" w:hAnsi="Arial" w:eastAsia="Times New Roman" w:cs="Arial"/>
      <w:b/>
      <w:sz w:val="18"/>
      <w:lang w:val="uk-UA"/>
    </w:rPr>
  </w:style>
  <w:style w:type="paragraph" w:styleId="70">
    <w:name w:val="Основной текст с отступом70"/>
    <w:basedOn w:val="Normal"/>
    <w:qFormat/>
    <w:pPr>
      <w:ind w:firstLine="708"/>
      <w:jc w:val="both"/>
    </w:pPr>
    <w:rPr>
      <w:rFonts w:ascii="Arial" w:hAnsi="Arial" w:eastAsia="Times New Roman" w:cs="Arial"/>
      <w:b/>
      <w:sz w:val="18"/>
      <w:lang w:val="uk-UA"/>
    </w:rPr>
  </w:style>
  <w:style w:type="paragraph" w:styleId="71">
    <w:name w:val="Основной текст с отступом71"/>
    <w:basedOn w:val="Normal"/>
    <w:qFormat/>
    <w:pPr>
      <w:ind w:firstLine="708"/>
      <w:jc w:val="both"/>
    </w:pPr>
    <w:rPr>
      <w:rFonts w:ascii="Arial" w:hAnsi="Arial" w:eastAsia="Times New Roman" w:cs="Arial"/>
      <w:b/>
      <w:sz w:val="18"/>
      <w:lang w:val="uk-UA"/>
    </w:rPr>
  </w:style>
  <w:style w:type="paragraph" w:styleId="72">
    <w:name w:val="Основной текст с отступом72"/>
    <w:basedOn w:val="Normal"/>
    <w:qFormat/>
    <w:pPr>
      <w:ind w:firstLine="708"/>
      <w:jc w:val="both"/>
    </w:pPr>
    <w:rPr>
      <w:rFonts w:ascii="Arial" w:hAnsi="Arial" w:eastAsia="Times New Roman" w:cs="Arial"/>
      <w:b/>
      <w:sz w:val="18"/>
      <w:lang w:val="uk-UA"/>
    </w:rPr>
  </w:style>
  <w:style w:type="paragraph" w:styleId="142">
    <w:name w:val="Основной текст (14)"/>
    <w:basedOn w:val="Normal"/>
    <w:qFormat/>
    <w:pPr>
      <w:widowControl w:val="false"/>
      <w:shd w:fill="FFFFFF" w:val="clear"/>
      <w:spacing w:lineRule="exact" w:line="278"/>
      <w:jc w:val="center"/>
    </w:pPr>
    <w:rPr>
      <w:sz w:val="21"/>
      <w:szCs w:val="21"/>
      <w:lang w:val="uk-UA"/>
    </w:rPr>
  </w:style>
  <w:style w:type="paragraph" w:styleId="73">
    <w:name w:val="Основной текст с отступом73"/>
    <w:basedOn w:val="Normal"/>
    <w:qFormat/>
    <w:pPr>
      <w:ind w:firstLine="708"/>
      <w:jc w:val="both"/>
    </w:pPr>
    <w:rPr>
      <w:rFonts w:ascii="Arial" w:hAnsi="Arial" w:eastAsia="Times New Roman" w:cs="Arial"/>
      <w:b/>
      <w:sz w:val="18"/>
      <w:lang w:val="uk-UA"/>
    </w:rPr>
  </w:style>
  <w:style w:type="paragraph" w:styleId="74">
    <w:name w:val="Основной текст с отступом74"/>
    <w:basedOn w:val="Normal"/>
    <w:qFormat/>
    <w:pPr>
      <w:ind w:firstLine="708"/>
      <w:jc w:val="both"/>
    </w:pPr>
    <w:rPr>
      <w:rFonts w:ascii="Arial" w:hAnsi="Arial" w:eastAsia="Times New Roman" w:cs="Arial"/>
      <w:b/>
      <w:sz w:val="18"/>
      <w:lang w:val="uk-UA"/>
    </w:rPr>
  </w:style>
  <w:style w:type="paragraph" w:styleId="75">
    <w:name w:val="Основной текст с отступом75"/>
    <w:basedOn w:val="Normal"/>
    <w:qFormat/>
    <w:pPr>
      <w:ind w:firstLine="708"/>
      <w:jc w:val="both"/>
    </w:pPr>
    <w:rPr>
      <w:rFonts w:ascii="Arial" w:hAnsi="Arial" w:eastAsia="Times New Roman" w:cs="Arial"/>
      <w:b/>
      <w:sz w:val="18"/>
      <w:lang w:val="uk-UA"/>
    </w:rPr>
  </w:style>
  <w:style w:type="paragraph" w:styleId="76">
    <w:name w:val="Основной текст с отступом76"/>
    <w:basedOn w:val="Normal"/>
    <w:qFormat/>
    <w:pPr>
      <w:ind w:firstLine="708"/>
      <w:jc w:val="both"/>
    </w:pPr>
    <w:rPr>
      <w:rFonts w:ascii="Arial" w:hAnsi="Arial" w:eastAsia="Times New Roman" w:cs="Arial"/>
      <w:b/>
      <w:sz w:val="18"/>
      <w:lang w:val="uk-UA"/>
    </w:rPr>
  </w:style>
  <w:style w:type="paragraph" w:styleId="77">
    <w:name w:val="Основной текст с отступом77"/>
    <w:basedOn w:val="Normal"/>
    <w:qFormat/>
    <w:pPr>
      <w:ind w:firstLine="708"/>
      <w:jc w:val="both"/>
    </w:pPr>
    <w:rPr>
      <w:rFonts w:ascii="Arial" w:hAnsi="Arial" w:eastAsia="Times New Roman" w:cs="Arial"/>
      <w:b/>
      <w:sz w:val="18"/>
      <w:lang w:val="uk-UA"/>
    </w:rPr>
  </w:style>
  <w:style w:type="paragraph" w:styleId="78">
    <w:name w:val="Основной текст с отступом78"/>
    <w:basedOn w:val="Normal"/>
    <w:qFormat/>
    <w:pPr>
      <w:ind w:firstLine="708"/>
      <w:jc w:val="both"/>
    </w:pPr>
    <w:rPr>
      <w:rFonts w:ascii="Arial" w:hAnsi="Arial" w:eastAsia="Times New Roman" w:cs="Arial"/>
      <w:b/>
      <w:sz w:val="18"/>
      <w:lang w:val="uk-UA"/>
    </w:rPr>
  </w:style>
  <w:style w:type="paragraph" w:styleId="79">
    <w:name w:val="Основной текст с отступом79"/>
    <w:basedOn w:val="Normal"/>
    <w:qFormat/>
    <w:pPr>
      <w:ind w:firstLine="708"/>
      <w:jc w:val="both"/>
    </w:pPr>
    <w:rPr>
      <w:rFonts w:ascii="Arial" w:hAnsi="Arial" w:eastAsia="Times New Roman" w:cs="Arial"/>
      <w:b/>
      <w:sz w:val="18"/>
      <w:lang w:val="uk-UA"/>
    </w:rPr>
  </w:style>
  <w:style w:type="paragraph" w:styleId="81">
    <w:name w:val="Основной текст с отступом81"/>
    <w:basedOn w:val="Normal"/>
    <w:qFormat/>
    <w:pPr>
      <w:ind w:firstLine="708"/>
      <w:jc w:val="both"/>
    </w:pPr>
    <w:rPr>
      <w:rFonts w:ascii="Arial" w:hAnsi="Arial" w:eastAsia="Times New Roman" w:cs="Arial"/>
      <w:b/>
      <w:sz w:val="18"/>
      <w:lang w:val="uk-UA"/>
    </w:rPr>
  </w:style>
  <w:style w:type="paragraph" w:styleId="82">
    <w:name w:val="Основной текст с отступом82"/>
    <w:basedOn w:val="Normal"/>
    <w:qFormat/>
    <w:pPr>
      <w:ind w:firstLine="708"/>
      <w:jc w:val="both"/>
    </w:pPr>
    <w:rPr>
      <w:rFonts w:ascii="Arial" w:hAnsi="Arial" w:eastAsia="Times New Roman" w:cs="Arial"/>
      <w:b/>
      <w:sz w:val="18"/>
      <w:lang w:val="uk-UA"/>
    </w:rPr>
  </w:style>
  <w:style w:type="paragraph" w:styleId="84">
    <w:name w:val="Основной текст с отступом84"/>
    <w:basedOn w:val="Normal"/>
    <w:qFormat/>
    <w:pPr>
      <w:ind w:firstLine="708"/>
      <w:jc w:val="both"/>
    </w:pPr>
    <w:rPr>
      <w:rFonts w:ascii="Arial" w:hAnsi="Arial" w:eastAsia="Times New Roman" w:cs="Arial"/>
      <w:b/>
      <w:sz w:val="18"/>
      <w:lang w:val="uk-UA"/>
    </w:rPr>
  </w:style>
  <w:style w:type="paragraph" w:styleId="85">
    <w:name w:val="Основной текст с отступом85"/>
    <w:basedOn w:val="Normal"/>
    <w:qFormat/>
    <w:pPr>
      <w:ind w:firstLine="708"/>
      <w:jc w:val="both"/>
    </w:pPr>
    <w:rPr>
      <w:rFonts w:ascii="Arial" w:hAnsi="Arial" w:eastAsia="Times New Roman" w:cs="Arial"/>
      <w:b/>
      <w:sz w:val="18"/>
      <w:lang w:val="uk-UA"/>
    </w:rPr>
  </w:style>
  <w:style w:type="paragraph" w:styleId="86">
    <w:name w:val="Основной текст с отступом86"/>
    <w:basedOn w:val="Normal"/>
    <w:qFormat/>
    <w:pPr>
      <w:ind w:firstLine="708"/>
      <w:jc w:val="both"/>
    </w:pPr>
    <w:rPr>
      <w:rFonts w:ascii="Arial" w:hAnsi="Arial" w:eastAsia="Times New Roman" w:cs="Arial"/>
      <w:b/>
      <w:sz w:val="18"/>
      <w:lang w:val="uk-UA"/>
    </w:rPr>
  </w:style>
  <w:style w:type="paragraph" w:styleId="87">
    <w:name w:val="Основной текст с отступом87"/>
    <w:basedOn w:val="Normal"/>
    <w:qFormat/>
    <w:pPr>
      <w:ind w:firstLine="708"/>
      <w:jc w:val="both"/>
    </w:pPr>
    <w:rPr>
      <w:rFonts w:ascii="Arial" w:hAnsi="Arial" w:eastAsia="Times New Roman" w:cs="Arial"/>
      <w:b/>
      <w:sz w:val="18"/>
      <w:lang w:val="uk-UA"/>
    </w:rPr>
  </w:style>
  <w:style w:type="paragraph" w:styleId="88">
    <w:name w:val="Основной текст с отступом88"/>
    <w:basedOn w:val="Normal"/>
    <w:qFormat/>
    <w:pPr>
      <w:ind w:firstLine="708"/>
      <w:jc w:val="both"/>
    </w:pPr>
    <w:rPr>
      <w:rFonts w:ascii="Arial" w:hAnsi="Arial" w:eastAsia="Times New Roman" w:cs="Arial"/>
      <w:b/>
      <w:sz w:val="18"/>
      <w:lang w:val="uk-UA"/>
    </w:rPr>
  </w:style>
  <w:style w:type="paragraph" w:styleId="89">
    <w:name w:val="Основной текст с отступом89"/>
    <w:basedOn w:val="Normal"/>
    <w:qFormat/>
    <w:pPr>
      <w:ind w:firstLine="708"/>
      <w:jc w:val="both"/>
    </w:pPr>
    <w:rPr>
      <w:rFonts w:ascii="Arial" w:hAnsi="Arial" w:eastAsia="Times New Roman" w:cs="Arial"/>
      <w:b/>
      <w:sz w:val="18"/>
      <w:lang w:val="uk-UA"/>
    </w:rPr>
  </w:style>
  <w:style w:type="paragraph" w:styleId="91">
    <w:name w:val="Основной текст с отступом91"/>
    <w:basedOn w:val="Normal"/>
    <w:qFormat/>
    <w:pPr>
      <w:ind w:firstLine="708"/>
      <w:jc w:val="both"/>
    </w:pPr>
    <w:rPr>
      <w:rFonts w:ascii="Arial" w:hAnsi="Arial" w:eastAsia="Times New Roman" w:cs="Arial"/>
      <w:b/>
      <w:sz w:val="18"/>
      <w:lang w:val="uk-UA"/>
    </w:rPr>
  </w:style>
  <w:style w:type="paragraph" w:styleId="92">
    <w:name w:val="Основной текст с отступом92"/>
    <w:basedOn w:val="Normal"/>
    <w:qFormat/>
    <w:pPr>
      <w:ind w:firstLine="708"/>
      <w:jc w:val="both"/>
    </w:pPr>
    <w:rPr>
      <w:rFonts w:ascii="Arial" w:hAnsi="Arial" w:eastAsia="Times New Roman" w:cs="Arial"/>
      <w:b/>
      <w:sz w:val="18"/>
      <w:lang w:val="uk-UA"/>
    </w:rPr>
  </w:style>
  <w:style w:type="paragraph" w:styleId="93">
    <w:name w:val="Основной текст с отступом93"/>
    <w:basedOn w:val="Normal"/>
    <w:qFormat/>
    <w:pPr>
      <w:ind w:firstLine="708"/>
      <w:jc w:val="both"/>
    </w:pPr>
    <w:rPr>
      <w:rFonts w:ascii="Arial" w:hAnsi="Arial" w:eastAsia="Times New Roman" w:cs="Arial"/>
      <w:b/>
      <w:sz w:val="18"/>
      <w:lang w:val="uk-UA"/>
    </w:rPr>
  </w:style>
  <w:style w:type="paragraph" w:styleId="94">
    <w:name w:val="Основной текст с отступом94"/>
    <w:basedOn w:val="Normal"/>
    <w:qFormat/>
    <w:pPr>
      <w:ind w:firstLine="708"/>
      <w:jc w:val="both"/>
    </w:pPr>
    <w:rPr>
      <w:rFonts w:ascii="Arial" w:hAnsi="Arial" w:eastAsia="Times New Roman" w:cs="Arial"/>
      <w:b/>
      <w:sz w:val="18"/>
      <w:lang w:val="uk-UA"/>
    </w:rPr>
  </w:style>
  <w:style w:type="paragraph" w:styleId="95">
    <w:name w:val="Основной текст с отступом95"/>
    <w:basedOn w:val="Normal"/>
    <w:qFormat/>
    <w:pPr>
      <w:ind w:firstLine="708"/>
      <w:jc w:val="both"/>
    </w:pPr>
    <w:rPr>
      <w:rFonts w:ascii="Arial" w:hAnsi="Arial" w:eastAsia="Times New Roman" w:cs="Arial"/>
      <w:b/>
      <w:sz w:val="18"/>
      <w:lang w:val="uk-UA"/>
    </w:rPr>
  </w:style>
  <w:style w:type="paragraph" w:styleId="97">
    <w:name w:val="Основной текст с отступом97"/>
    <w:basedOn w:val="Normal"/>
    <w:qFormat/>
    <w:pPr>
      <w:ind w:firstLine="708"/>
      <w:jc w:val="both"/>
    </w:pPr>
    <w:rPr>
      <w:rFonts w:ascii="Arial" w:hAnsi="Arial" w:eastAsia="Times New Roman" w:cs="Arial"/>
      <w:b/>
      <w:sz w:val="18"/>
      <w:lang w:val="uk-UA"/>
    </w:rPr>
  </w:style>
  <w:style w:type="paragraph" w:styleId="99">
    <w:name w:val="Основной текст с отступом99"/>
    <w:basedOn w:val="Normal"/>
    <w:qFormat/>
    <w:pPr>
      <w:ind w:firstLine="708"/>
      <w:jc w:val="both"/>
    </w:pPr>
    <w:rPr>
      <w:rFonts w:ascii="Arial" w:hAnsi="Arial" w:eastAsia="Times New Roman" w:cs="Arial"/>
      <w:b/>
      <w:sz w:val="18"/>
      <w:lang w:val="uk-UA"/>
    </w:rPr>
  </w:style>
  <w:style w:type="paragraph" w:styleId="100">
    <w:name w:val="Основной текст с отступом100"/>
    <w:basedOn w:val="Normal"/>
    <w:qFormat/>
    <w:pPr>
      <w:ind w:firstLine="708"/>
      <w:jc w:val="both"/>
    </w:pPr>
    <w:rPr>
      <w:rFonts w:ascii="Arial" w:hAnsi="Arial" w:eastAsia="Times New Roman" w:cs="Arial"/>
      <w:b/>
      <w:sz w:val="18"/>
      <w:lang w:val="uk-UA"/>
    </w:rPr>
  </w:style>
  <w:style w:type="paragraph" w:styleId="101">
    <w:name w:val="Основной текст с отступом101"/>
    <w:basedOn w:val="Normal"/>
    <w:qFormat/>
    <w:pPr>
      <w:ind w:firstLine="708"/>
      <w:jc w:val="both"/>
    </w:pPr>
    <w:rPr>
      <w:rFonts w:ascii="Arial" w:hAnsi="Arial" w:eastAsia="Times New Roman" w:cs="Arial"/>
      <w:b/>
      <w:sz w:val="18"/>
      <w:lang w:val="uk-UA"/>
    </w:rPr>
  </w:style>
  <w:style w:type="paragraph" w:styleId="102">
    <w:name w:val="Основной текст с отступом102"/>
    <w:basedOn w:val="Normal"/>
    <w:qFormat/>
    <w:pPr>
      <w:ind w:firstLine="708"/>
      <w:jc w:val="both"/>
    </w:pPr>
    <w:rPr>
      <w:rFonts w:ascii="Arial" w:hAnsi="Arial" w:eastAsia="Times New Roman" w:cs="Arial"/>
      <w:b/>
      <w:sz w:val="18"/>
      <w:lang w:val="uk-UA"/>
    </w:rPr>
  </w:style>
  <w:style w:type="paragraph" w:styleId="103">
    <w:name w:val="Основной текст с отступом103"/>
    <w:basedOn w:val="Normal"/>
    <w:qFormat/>
    <w:pPr>
      <w:ind w:firstLine="708"/>
      <w:jc w:val="both"/>
    </w:pPr>
    <w:rPr>
      <w:rFonts w:ascii="Arial" w:hAnsi="Arial" w:eastAsia="Times New Roman" w:cs="Arial"/>
      <w:b/>
      <w:sz w:val="18"/>
      <w:lang w:val="uk-UA"/>
    </w:rPr>
  </w:style>
  <w:style w:type="paragraph" w:styleId="104">
    <w:name w:val="Основной текст с отступом104"/>
    <w:basedOn w:val="Normal"/>
    <w:qFormat/>
    <w:pPr>
      <w:ind w:firstLine="708"/>
      <w:jc w:val="both"/>
    </w:pPr>
    <w:rPr>
      <w:rFonts w:ascii="Arial" w:hAnsi="Arial" w:eastAsia="Times New Roman" w:cs="Arial"/>
      <w:b/>
      <w:sz w:val="18"/>
      <w:lang w:val="uk-UA"/>
    </w:rPr>
  </w:style>
  <w:style w:type="paragraph" w:styleId="105">
    <w:name w:val="Основной текст с отступом105"/>
    <w:basedOn w:val="Normal"/>
    <w:qFormat/>
    <w:pPr>
      <w:ind w:firstLine="708"/>
      <w:jc w:val="both"/>
    </w:pPr>
    <w:rPr>
      <w:rFonts w:ascii="Arial" w:hAnsi="Arial" w:eastAsia="Times New Roman" w:cs="Arial"/>
      <w:b/>
      <w:sz w:val="18"/>
      <w:lang w:val="uk-UA"/>
    </w:rPr>
  </w:style>
  <w:style w:type="paragraph" w:styleId="107">
    <w:name w:val="Основной текст с отступом107"/>
    <w:basedOn w:val="Normal"/>
    <w:qFormat/>
    <w:pPr>
      <w:ind w:firstLine="708"/>
      <w:jc w:val="both"/>
    </w:pPr>
    <w:rPr>
      <w:rFonts w:ascii="Arial" w:hAnsi="Arial" w:eastAsia="Times New Roman" w:cs="Arial"/>
      <w:b/>
      <w:sz w:val="18"/>
      <w:lang w:val="uk-UA"/>
    </w:rPr>
  </w:style>
  <w:style w:type="paragraph" w:styleId="109">
    <w:name w:val="Основной текст с отступом109"/>
    <w:basedOn w:val="Normal"/>
    <w:qFormat/>
    <w:pPr>
      <w:ind w:firstLine="708"/>
      <w:jc w:val="both"/>
    </w:pPr>
    <w:rPr>
      <w:rFonts w:ascii="Arial" w:hAnsi="Arial" w:eastAsia="Times New Roman" w:cs="Arial"/>
      <w:b/>
      <w:sz w:val="18"/>
      <w:lang w:val="uk-UA"/>
    </w:rPr>
  </w:style>
  <w:style w:type="paragraph" w:styleId="1111">
    <w:name w:val="Основной текст с отступом111"/>
    <w:basedOn w:val="Normal"/>
    <w:qFormat/>
    <w:pPr>
      <w:ind w:firstLine="708"/>
      <w:jc w:val="both"/>
    </w:pPr>
    <w:rPr>
      <w:rFonts w:ascii="Arial" w:hAnsi="Arial" w:eastAsia="Times New Roman" w:cs="Arial"/>
      <w:b/>
      <w:sz w:val="18"/>
      <w:lang w:val="uk-UA"/>
    </w:rPr>
  </w:style>
  <w:style w:type="paragraph" w:styleId="112">
    <w:name w:val="Основной текст с отступом112"/>
    <w:basedOn w:val="Normal"/>
    <w:qFormat/>
    <w:pPr>
      <w:ind w:firstLine="708"/>
      <w:jc w:val="both"/>
    </w:pPr>
    <w:rPr>
      <w:rFonts w:ascii="Arial" w:hAnsi="Arial" w:eastAsia="Times New Roman" w:cs="Arial"/>
      <w:b/>
      <w:sz w:val="18"/>
      <w:lang w:val="uk-UA"/>
    </w:rPr>
  </w:style>
  <w:style w:type="paragraph" w:styleId="113">
    <w:name w:val="Основной текст с отступом113"/>
    <w:basedOn w:val="Normal"/>
    <w:qFormat/>
    <w:pPr>
      <w:ind w:firstLine="708"/>
      <w:jc w:val="both"/>
    </w:pPr>
    <w:rPr>
      <w:rFonts w:ascii="Arial" w:hAnsi="Arial" w:eastAsia="Times New Roman" w:cs="Arial"/>
      <w:b/>
      <w:sz w:val="18"/>
      <w:lang w:val="uk-UA"/>
    </w:rPr>
  </w:style>
  <w:style w:type="paragraph" w:styleId="114">
    <w:name w:val="Основной текст с отступом114"/>
    <w:basedOn w:val="Normal"/>
    <w:qFormat/>
    <w:pPr>
      <w:ind w:firstLine="708"/>
      <w:jc w:val="both"/>
    </w:pPr>
    <w:rPr>
      <w:rFonts w:ascii="Arial" w:hAnsi="Arial" w:eastAsia="Times New Roman" w:cs="Arial"/>
      <w:b/>
      <w:sz w:val="18"/>
      <w:lang w:val="uk-UA"/>
    </w:rPr>
  </w:style>
  <w:style w:type="paragraph" w:styleId="115">
    <w:name w:val="Основной текст с отступом115"/>
    <w:basedOn w:val="Normal"/>
    <w:qFormat/>
    <w:pPr>
      <w:ind w:firstLine="708"/>
      <w:jc w:val="both"/>
    </w:pPr>
    <w:rPr>
      <w:rFonts w:ascii="Arial" w:hAnsi="Arial" w:eastAsia="Times New Roman" w:cs="Arial"/>
      <w:b/>
      <w:sz w:val="18"/>
      <w:lang w:val="uk-UA"/>
    </w:rPr>
  </w:style>
  <w:style w:type="paragraph" w:styleId="116">
    <w:name w:val="Основной текст с отступом116"/>
    <w:basedOn w:val="Normal"/>
    <w:qFormat/>
    <w:pPr>
      <w:ind w:firstLine="708"/>
      <w:jc w:val="both"/>
    </w:pPr>
    <w:rPr>
      <w:rFonts w:ascii="Arial" w:hAnsi="Arial" w:eastAsia="Times New Roman" w:cs="Arial"/>
      <w:b/>
      <w:sz w:val="18"/>
      <w:lang w:val="uk-UA"/>
    </w:rPr>
  </w:style>
  <w:style w:type="paragraph" w:styleId="117">
    <w:name w:val="Основной текст с отступом117"/>
    <w:basedOn w:val="Normal"/>
    <w:qFormat/>
    <w:pPr>
      <w:ind w:firstLine="708"/>
      <w:jc w:val="both"/>
    </w:pPr>
    <w:rPr>
      <w:rFonts w:ascii="Arial" w:hAnsi="Arial" w:eastAsia="Times New Roman" w:cs="Arial"/>
      <w:b/>
      <w:sz w:val="18"/>
      <w:lang w:val="uk-UA"/>
    </w:rPr>
  </w:style>
  <w:style w:type="paragraph" w:styleId="118">
    <w:name w:val="Основной текст с отступом118"/>
    <w:basedOn w:val="Normal"/>
    <w:qFormat/>
    <w:pPr>
      <w:ind w:firstLine="708"/>
      <w:jc w:val="both"/>
    </w:pPr>
    <w:rPr>
      <w:rFonts w:ascii="Arial" w:hAnsi="Arial" w:eastAsia="Times New Roman" w:cs="Arial"/>
      <w:b/>
      <w:sz w:val="18"/>
      <w:lang w:val="uk-UA"/>
    </w:rPr>
  </w:style>
  <w:style w:type="paragraph" w:styleId="119">
    <w:name w:val="Основной текст с отступом119"/>
    <w:basedOn w:val="Normal"/>
    <w:qFormat/>
    <w:pPr>
      <w:ind w:firstLine="708"/>
      <w:jc w:val="both"/>
    </w:pPr>
    <w:rPr>
      <w:rFonts w:ascii="Arial" w:hAnsi="Arial" w:eastAsia="Times New Roman" w:cs="Arial"/>
      <w:b/>
      <w:sz w:val="18"/>
      <w:lang w:val="uk-UA"/>
    </w:rPr>
  </w:style>
  <w:style w:type="paragraph" w:styleId="120">
    <w:name w:val="Основной текст с отступом120"/>
    <w:basedOn w:val="Normal"/>
    <w:qFormat/>
    <w:pPr>
      <w:ind w:firstLine="708"/>
      <w:jc w:val="both"/>
    </w:pPr>
    <w:rPr>
      <w:rFonts w:ascii="Arial" w:hAnsi="Arial" w:eastAsia="Times New Roman" w:cs="Arial"/>
      <w:b/>
      <w:sz w:val="18"/>
      <w:lang w:val="uk-UA"/>
    </w:rPr>
  </w:style>
  <w:style w:type="paragraph" w:styleId="1211">
    <w:name w:val="Основной текст с отступом121"/>
    <w:basedOn w:val="Normal"/>
    <w:qFormat/>
    <w:pPr>
      <w:ind w:firstLine="708"/>
      <w:jc w:val="both"/>
    </w:pPr>
    <w:rPr>
      <w:rFonts w:ascii="Arial" w:hAnsi="Arial" w:eastAsia="Times New Roman" w:cs="Arial"/>
      <w:b/>
      <w:sz w:val="18"/>
      <w:lang w:val="uk-UA"/>
    </w:rPr>
  </w:style>
  <w:style w:type="paragraph" w:styleId="122">
    <w:name w:val="Основной текст с отступом122"/>
    <w:basedOn w:val="Normal"/>
    <w:qFormat/>
    <w:pPr>
      <w:ind w:firstLine="708"/>
      <w:jc w:val="both"/>
    </w:pPr>
    <w:rPr>
      <w:rFonts w:ascii="Arial" w:hAnsi="Arial" w:eastAsia="Times New Roman" w:cs="Arial"/>
      <w:b/>
      <w:sz w:val="18"/>
      <w:lang w:val="uk-UA"/>
    </w:rPr>
  </w:style>
  <w:style w:type="paragraph" w:styleId="125">
    <w:name w:val="Основной текст с отступом125"/>
    <w:basedOn w:val="Normal"/>
    <w:qFormat/>
    <w:pPr>
      <w:ind w:firstLine="708"/>
      <w:jc w:val="both"/>
    </w:pPr>
    <w:rPr>
      <w:rFonts w:ascii="Arial" w:hAnsi="Arial" w:eastAsia="Times New Roman" w:cs="Arial"/>
      <w:b/>
      <w:sz w:val="18"/>
      <w:lang w:val="uk-UA"/>
    </w:rPr>
  </w:style>
  <w:style w:type="paragraph" w:styleId="124">
    <w:name w:val="Основной текст с отступом124"/>
    <w:basedOn w:val="Normal"/>
    <w:qFormat/>
    <w:pPr>
      <w:ind w:firstLine="708"/>
      <w:jc w:val="both"/>
    </w:pPr>
    <w:rPr>
      <w:rFonts w:ascii="Arial" w:hAnsi="Arial" w:eastAsia="Times New Roman" w:cs="Arial"/>
      <w:b/>
      <w:sz w:val="18"/>
      <w:lang w:val="uk-UA"/>
    </w:rPr>
  </w:style>
  <w:style w:type="paragraph" w:styleId="126">
    <w:name w:val="Основной текст с отступом126"/>
    <w:basedOn w:val="Normal"/>
    <w:qFormat/>
    <w:pPr>
      <w:ind w:firstLine="708"/>
      <w:jc w:val="both"/>
    </w:pPr>
    <w:rPr>
      <w:rFonts w:ascii="Arial" w:hAnsi="Arial" w:eastAsia="Times New Roman" w:cs="Arial"/>
      <w:b/>
      <w:sz w:val="18"/>
      <w:lang w:val="uk-UA"/>
    </w:rPr>
  </w:style>
  <w:style w:type="paragraph" w:styleId="127">
    <w:name w:val="Основной текст с отступом127"/>
    <w:basedOn w:val="Normal"/>
    <w:qFormat/>
    <w:pPr>
      <w:ind w:firstLine="708"/>
      <w:jc w:val="both"/>
    </w:pPr>
    <w:rPr>
      <w:rFonts w:ascii="Arial" w:hAnsi="Arial" w:eastAsia="Times New Roman" w:cs="Arial"/>
      <w:b/>
      <w:sz w:val="18"/>
      <w:lang w:val="uk-UA"/>
    </w:rPr>
  </w:style>
  <w:style w:type="paragraph" w:styleId="128">
    <w:name w:val="Основной текст с отступом128"/>
    <w:basedOn w:val="Normal"/>
    <w:qFormat/>
    <w:pPr>
      <w:ind w:firstLine="708"/>
      <w:jc w:val="both"/>
    </w:pPr>
    <w:rPr>
      <w:rFonts w:ascii="Arial" w:hAnsi="Arial" w:eastAsia="Times New Roman" w:cs="Arial"/>
      <w:b/>
      <w:sz w:val="18"/>
      <w:lang w:val="uk-UA"/>
    </w:rPr>
  </w:style>
  <w:style w:type="paragraph" w:styleId="129">
    <w:name w:val="Основной текст с отступом129"/>
    <w:basedOn w:val="Normal"/>
    <w:qFormat/>
    <w:pPr>
      <w:ind w:firstLine="708"/>
      <w:jc w:val="both"/>
    </w:pPr>
    <w:rPr>
      <w:rFonts w:ascii="Arial" w:hAnsi="Arial" w:eastAsia="Times New Roman" w:cs="Arial"/>
      <w:b/>
      <w:sz w:val="18"/>
      <w:lang w:val="uk-UA"/>
    </w:rPr>
  </w:style>
  <w:style w:type="paragraph" w:styleId="130">
    <w:name w:val="Основной текст с отступом130"/>
    <w:basedOn w:val="Normal"/>
    <w:qFormat/>
    <w:pPr>
      <w:ind w:firstLine="708"/>
      <w:jc w:val="both"/>
    </w:pPr>
    <w:rPr>
      <w:rFonts w:ascii="Arial" w:hAnsi="Arial" w:eastAsia="Times New Roman" w:cs="Arial"/>
      <w:b/>
      <w:sz w:val="18"/>
      <w:lang w:val="uk-UA"/>
    </w:rPr>
  </w:style>
  <w:style w:type="paragraph" w:styleId="1311">
    <w:name w:val="Основной текст с отступом131"/>
    <w:basedOn w:val="Normal"/>
    <w:qFormat/>
    <w:pPr>
      <w:ind w:firstLine="708"/>
      <w:jc w:val="both"/>
    </w:pPr>
    <w:rPr>
      <w:rFonts w:ascii="Arial" w:hAnsi="Arial" w:eastAsia="Times New Roman" w:cs="Arial"/>
      <w:b/>
      <w:sz w:val="18"/>
      <w:lang w:val="uk-UA"/>
    </w:rPr>
  </w:style>
  <w:style w:type="paragraph" w:styleId="133">
    <w:name w:val="Основной текст с отступом133"/>
    <w:basedOn w:val="Normal"/>
    <w:qFormat/>
    <w:pPr>
      <w:ind w:firstLine="708"/>
      <w:jc w:val="both"/>
    </w:pPr>
    <w:rPr>
      <w:rFonts w:ascii="Arial" w:hAnsi="Arial" w:eastAsia="Times New Roman" w:cs="Arial"/>
      <w:b/>
      <w:sz w:val="18"/>
      <w:lang w:val="uk-UA"/>
    </w:rPr>
  </w:style>
  <w:style w:type="paragraph" w:styleId="132">
    <w:name w:val="Основной текст с отступом132"/>
    <w:basedOn w:val="Normal"/>
    <w:qFormat/>
    <w:pPr>
      <w:ind w:firstLine="708"/>
      <w:jc w:val="both"/>
    </w:pPr>
    <w:rPr>
      <w:rFonts w:ascii="Arial" w:hAnsi="Arial" w:eastAsia="Times New Roman" w:cs="Arial"/>
      <w:b/>
      <w:sz w:val="18"/>
      <w:lang w:val="uk-UA"/>
    </w:rPr>
  </w:style>
  <w:style w:type="paragraph" w:styleId="135">
    <w:name w:val="Основной текст с отступом135"/>
    <w:basedOn w:val="Normal"/>
    <w:qFormat/>
    <w:pPr>
      <w:ind w:firstLine="708"/>
      <w:jc w:val="both"/>
    </w:pPr>
    <w:rPr>
      <w:rFonts w:ascii="Arial" w:hAnsi="Arial" w:eastAsia="Times New Roman" w:cs="Arial"/>
      <w:b/>
      <w:sz w:val="18"/>
      <w:lang w:val="uk-UA"/>
    </w:rPr>
  </w:style>
  <w:style w:type="paragraph" w:styleId="136">
    <w:name w:val="Основной текст с отступом136"/>
    <w:basedOn w:val="Normal"/>
    <w:qFormat/>
    <w:pPr>
      <w:ind w:firstLine="708"/>
      <w:jc w:val="both"/>
    </w:pPr>
    <w:rPr>
      <w:rFonts w:ascii="Arial" w:hAnsi="Arial" w:eastAsia="Times New Roman" w:cs="Arial"/>
      <w:b/>
      <w:sz w:val="18"/>
      <w:lang w:val="uk-UA"/>
    </w:rPr>
  </w:style>
  <w:style w:type="paragraph" w:styleId="137">
    <w:name w:val="Основной текст с отступом137"/>
    <w:basedOn w:val="Normal"/>
    <w:qFormat/>
    <w:pPr>
      <w:ind w:firstLine="708"/>
      <w:jc w:val="both"/>
    </w:pPr>
    <w:rPr>
      <w:rFonts w:ascii="Arial" w:hAnsi="Arial" w:eastAsia="Times New Roman" w:cs="Arial"/>
      <w:b/>
      <w:sz w:val="18"/>
      <w:lang w:val="uk-UA"/>
    </w:rPr>
  </w:style>
  <w:style w:type="paragraph" w:styleId="138">
    <w:name w:val="Основной текст с отступом138"/>
    <w:basedOn w:val="Normal"/>
    <w:qFormat/>
    <w:pPr>
      <w:ind w:firstLine="708"/>
      <w:jc w:val="both"/>
    </w:pPr>
    <w:rPr>
      <w:rFonts w:ascii="Arial" w:hAnsi="Arial" w:eastAsia="Times New Roman" w:cs="Arial"/>
      <w:b/>
      <w:sz w:val="18"/>
      <w:lang w:val="uk-UA"/>
    </w:rPr>
  </w:style>
  <w:style w:type="paragraph" w:styleId="139">
    <w:name w:val="Основной текст с отступом139"/>
    <w:basedOn w:val="Normal"/>
    <w:qFormat/>
    <w:pPr>
      <w:ind w:firstLine="708"/>
      <w:jc w:val="both"/>
    </w:pPr>
    <w:rPr>
      <w:rFonts w:ascii="Arial" w:hAnsi="Arial" w:eastAsia="Times New Roman" w:cs="Arial"/>
      <w:b/>
      <w:sz w:val="18"/>
      <w:lang w:val="uk-UA"/>
    </w:rPr>
  </w:style>
  <w:style w:type="paragraph" w:styleId="140">
    <w:name w:val="Основной текст с отступом140"/>
    <w:basedOn w:val="Normal"/>
    <w:qFormat/>
    <w:pPr>
      <w:ind w:firstLine="708"/>
      <w:jc w:val="both"/>
    </w:pPr>
    <w:rPr>
      <w:rFonts w:ascii="Arial" w:hAnsi="Arial" w:eastAsia="Times New Roman" w:cs="Arial"/>
      <w:b/>
      <w:sz w:val="18"/>
      <w:lang w:val="uk-UA"/>
    </w:rPr>
  </w:style>
  <w:style w:type="paragraph" w:styleId="1411">
    <w:name w:val="Основной текст с отступом141"/>
    <w:basedOn w:val="Normal"/>
    <w:qFormat/>
    <w:pPr>
      <w:ind w:firstLine="708"/>
      <w:jc w:val="both"/>
    </w:pPr>
    <w:rPr>
      <w:rFonts w:ascii="Arial" w:hAnsi="Arial" w:eastAsia="Times New Roman" w:cs="Arial"/>
      <w:b/>
      <w:sz w:val="18"/>
      <w:lang w:val="uk-UA"/>
    </w:rPr>
  </w:style>
  <w:style w:type="paragraph" w:styleId="Arial92">
    <w:name w:val="Arial9(без отступов)"/>
    <w:qFormat/>
    <w:pPr>
      <w:widowControl/>
      <w:ind w:left="-113" w:hanging="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left="720" w:hanging="0"/>
      <w:contextualSpacing/>
    </w:pPr>
    <w:rPr>
      <w:rFonts w:ascii="Arial" w:hAnsi="Arial" w:eastAsia="Times New Roman" w:cs="Arial"/>
      <w:sz w:val="28"/>
    </w:rPr>
  </w:style>
  <w:style w:type="paragraph" w:styleId="Arial93">
    <w:name w:val="Arial9(жирн)"/>
    <w:qFormat/>
    <w:pPr>
      <w:keepNext w:val="true"/>
      <w:widowControl/>
      <w:tabs>
        <w:tab w:val="left" w:pos="210" w:leader="none"/>
      </w:tabs>
      <w:autoSpaceDE w:val="false"/>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cs="Arial"/>
      <w:sz w:val="18"/>
      <w:lang w:val="ru-RU"/>
    </w:rPr>
  </w:style>
  <w:style w:type="paragraph" w:styleId="Msonormal">
    <w:name w:val="msonormal"/>
    <w:basedOn w:val="Normal"/>
    <w:qFormat/>
    <w:pPr>
      <w:spacing w:before="280" w:after="280"/>
    </w:pPr>
    <w:rPr>
      <w:sz w:val="24"/>
      <w:szCs w:val="24"/>
      <w:lang w:val="en-US"/>
    </w:rPr>
  </w:style>
  <w:style w:type="paragraph" w:styleId="27">
    <w:name w:val="Основной текст 2"/>
    <w:basedOn w:val="Normal"/>
    <w:qFormat/>
    <w:pPr/>
    <w:rPr>
      <w:sz w:val="24"/>
      <w:szCs w:val="24"/>
      <w:lang w:val="en-US"/>
    </w:rPr>
  </w:style>
  <w:style w:type="paragraph" w:styleId="Style28">
    <w:name w:val="Название"/>
    <w:basedOn w:val="Normal"/>
    <w:qFormat/>
    <w:pPr/>
    <w:rPr>
      <w:rFonts w:ascii="Cambria" w:hAnsi="Cambria" w:cs="Cambria"/>
      <w:color w:val="17365D"/>
      <w:spacing w:val="5"/>
      <w:lang w:val="uk-UA"/>
    </w:rPr>
  </w:style>
  <w:style w:type="paragraph" w:styleId="210">
    <w:name w:val="Верхній колонтитул2"/>
    <w:basedOn w:val="Normal"/>
    <w:qFormat/>
    <w:pPr/>
    <w:rPr>
      <w:rFonts w:ascii="Calibri" w:hAnsi="Calibri" w:cs="Calibri"/>
      <w:lang w:val="uk-UA"/>
    </w:rPr>
  </w:style>
  <w:style w:type="paragraph" w:styleId="213">
    <w:name w:val="Нижній колонтитул2"/>
    <w:basedOn w:val="Normal"/>
    <w:qFormat/>
    <w:pPr/>
    <w:rPr>
      <w:rFonts w:ascii="Calibri" w:hAnsi="Calibri" w:cs="Calibri"/>
      <w:lang w:val="uk-UA"/>
    </w:rPr>
  </w:style>
  <w:style w:type="paragraph" w:styleId="214">
    <w:name w:val="Назва2"/>
    <w:basedOn w:val="Normal"/>
    <w:qFormat/>
    <w:pPr/>
    <w:rPr>
      <w:rFonts w:ascii="Calibri Light" w:hAnsi="Calibri Light" w:cs="Calibri Light"/>
      <w:spacing w:val="-10"/>
      <w:lang w:val="uk-UA"/>
    </w:rPr>
  </w:style>
  <w:style w:type="paragraph" w:styleId="223">
    <w:name w:val="Основний текст 22"/>
    <w:basedOn w:val="Normal"/>
    <w:qFormat/>
    <w:pPr/>
    <w:rPr>
      <w:rFonts w:ascii="Calibri" w:hAnsi="Calibri" w:cs="Calibri"/>
      <w:lang w:val="uk-UA"/>
    </w:rPr>
  </w:style>
  <w:style w:type="paragraph" w:styleId="215">
    <w:name w:val="Текст у виносці2"/>
    <w:basedOn w:val="Normal"/>
    <w:qFormat/>
    <w:pPr/>
    <w:rPr>
      <w:rFonts w:ascii="Segoe UI" w:hAnsi="Segoe UI" w:cs="Segoe UI"/>
      <w:lang w:val="uk-UA"/>
    </w:rPr>
  </w:style>
  <w:style w:type="paragraph" w:styleId="143">
    <w:name w:val="Основной текст с отступом143"/>
    <w:basedOn w:val="Normal"/>
    <w:qFormat/>
    <w:pPr>
      <w:ind w:firstLine="708"/>
      <w:jc w:val="both"/>
    </w:pPr>
    <w:rPr>
      <w:rFonts w:ascii="Arial" w:hAnsi="Arial" w:eastAsia="Times New Roman" w:cs="Arial"/>
      <w:b/>
      <w:sz w:val="18"/>
      <w:lang w:val="en-US"/>
    </w:rPr>
  </w:style>
  <w:style w:type="paragraph" w:styleId="144">
    <w:name w:val="Основной текст с отступом144"/>
    <w:basedOn w:val="Normal"/>
    <w:qFormat/>
    <w:pPr>
      <w:ind w:firstLine="708"/>
      <w:jc w:val="both"/>
    </w:pPr>
    <w:rPr>
      <w:rFonts w:ascii="Arial" w:hAnsi="Arial" w:eastAsia="Times New Roman" w:cs="Arial"/>
      <w:b/>
      <w:sz w:val="18"/>
      <w:lang w:val="en-US"/>
    </w:rPr>
  </w:style>
  <w:style w:type="paragraph" w:styleId="145">
    <w:name w:val="Основной текст с отступом145"/>
    <w:basedOn w:val="Normal"/>
    <w:qFormat/>
    <w:pPr>
      <w:ind w:firstLine="708"/>
      <w:jc w:val="both"/>
    </w:pPr>
    <w:rPr>
      <w:rFonts w:ascii="Arial" w:hAnsi="Arial" w:eastAsia="Times New Roman" w:cs="Arial"/>
      <w:b/>
      <w:sz w:val="18"/>
      <w:lang w:val="en-US"/>
    </w:rPr>
  </w:style>
  <w:style w:type="paragraph" w:styleId="147">
    <w:name w:val="Основной текст с отступом147"/>
    <w:basedOn w:val="Normal"/>
    <w:qFormat/>
    <w:pPr>
      <w:ind w:firstLine="708"/>
      <w:jc w:val="both"/>
    </w:pPr>
    <w:rPr>
      <w:rFonts w:ascii="Arial" w:hAnsi="Arial" w:eastAsia="Times New Roman" w:cs="Arial"/>
      <w:b/>
      <w:sz w:val="18"/>
      <w:lang w:val="en-US"/>
    </w:rPr>
  </w:style>
  <w:style w:type="paragraph" w:styleId="148">
    <w:name w:val="Основной текст с отступом148"/>
    <w:basedOn w:val="Normal"/>
    <w:qFormat/>
    <w:pPr>
      <w:ind w:firstLine="708"/>
      <w:jc w:val="both"/>
    </w:pPr>
    <w:rPr>
      <w:rFonts w:ascii="Arial" w:hAnsi="Arial" w:eastAsia="Times New Roman" w:cs="Arial"/>
      <w:b/>
      <w:sz w:val="18"/>
      <w:lang w:val="en-US"/>
    </w:rPr>
  </w:style>
  <w:style w:type="paragraph" w:styleId="149">
    <w:name w:val="Основной текст с отступом149"/>
    <w:basedOn w:val="Normal"/>
    <w:qFormat/>
    <w:pPr>
      <w:ind w:firstLine="708"/>
      <w:jc w:val="both"/>
    </w:pPr>
    <w:rPr>
      <w:rFonts w:ascii="Arial" w:hAnsi="Arial" w:eastAsia="Times New Roman" w:cs="Arial"/>
      <w:b/>
      <w:sz w:val="18"/>
      <w:lang w:val="en-US"/>
    </w:rPr>
  </w:style>
  <w:style w:type="paragraph" w:styleId="Arial94">
    <w:name w:val="Стиль Arial9(жирн) + не полужирный"/>
    <w:basedOn w:val="Normal"/>
    <w:qFormat/>
    <w:pPr>
      <w:keepNext w:val="true"/>
      <w:tabs>
        <w:tab w:val="left" w:pos="210" w:leader="none"/>
      </w:tabs>
      <w:autoSpaceDE w:val="false"/>
      <w:spacing w:before="120" w:after="0"/>
    </w:pPr>
    <w:rPr>
      <w:rFonts w:ascii="Arial" w:hAnsi="Arial" w:cs="Arial"/>
      <w:b/>
      <w:sz w:val="18"/>
      <w:lang w:val="en-US"/>
    </w:rPr>
  </w:style>
  <w:style w:type="paragraph" w:styleId="150">
    <w:name w:val="Основной текст с отступом150"/>
    <w:basedOn w:val="Normal"/>
    <w:qFormat/>
    <w:pPr>
      <w:ind w:firstLine="708"/>
      <w:jc w:val="both"/>
    </w:pPr>
    <w:rPr>
      <w:rFonts w:ascii="Arial" w:hAnsi="Arial" w:eastAsia="Times New Roman" w:cs="Arial"/>
      <w:b/>
      <w:sz w:val="18"/>
      <w:lang w:val="en-US"/>
    </w:rPr>
  </w:style>
  <w:style w:type="paragraph" w:styleId="156">
    <w:name w:val="Основной текст с отступом156"/>
    <w:basedOn w:val="Normal"/>
    <w:qFormat/>
    <w:pPr>
      <w:ind w:firstLine="708"/>
      <w:jc w:val="both"/>
    </w:pPr>
    <w:rPr>
      <w:rFonts w:ascii="Arial" w:hAnsi="Arial" w:eastAsia="Times New Roman" w:cs="Arial"/>
      <w:b/>
      <w:sz w:val="18"/>
      <w:lang w:val="en-US"/>
    </w:rPr>
  </w:style>
  <w:style w:type="paragraph" w:styleId="157">
    <w:name w:val="Основной текст с отступом157"/>
    <w:basedOn w:val="Normal"/>
    <w:qFormat/>
    <w:pPr>
      <w:ind w:firstLine="708"/>
      <w:jc w:val="both"/>
    </w:pPr>
    <w:rPr>
      <w:rFonts w:ascii="Arial" w:hAnsi="Arial" w:eastAsia="Times New Roman" w:cs="Arial"/>
      <w:b/>
      <w:sz w:val="18"/>
      <w:lang w:val="en-US"/>
    </w:rPr>
  </w:style>
  <w:style w:type="paragraph" w:styleId="162">
    <w:name w:val="Основной текст с отступом162"/>
    <w:basedOn w:val="Normal"/>
    <w:qFormat/>
    <w:pPr>
      <w:ind w:firstLine="708"/>
      <w:jc w:val="both"/>
    </w:pPr>
    <w:rPr>
      <w:rFonts w:ascii="Arial" w:hAnsi="Arial" w:eastAsia="Times New Roman" w:cs="Arial"/>
      <w:b/>
      <w:sz w:val="18"/>
      <w:lang w:val="en-US"/>
    </w:rPr>
  </w:style>
  <w:style w:type="paragraph" w:styleId="163">
    <w:name w:val="Основной текст с отступом163"/>
    <w:basedOn w:val="Normal"/>
    <w:qFormat/>
    <w:pPr>
      <w:ind w:firstLine="708"/>
      <w:jc w:val="both"/>
    </w:pPr>
    <w:rPr>
      <w:rFonts w:ascii="Arial" w:hAnsi="Arial" w:eastAsia="Times New Roman" w:cs="Arial"/>
      <w:b/>
      <w:sz w:val="18"/>
      <w:lang w:val="en-US"/>
    </w:rPr>
  </w:style>
  <w:style w:type="paragraph" w:styleId="165">
    <w:name w:val="Основной текст с отступом165"/>
    <w:basedOn w:val="Normal"/>
    <w:qFormat/>
    <w:pPr>
      <w:ind w:firstLine="708"/>
      <w:jc w:val="both"/>
    </w:pPr>
    <w:rPr>
      <w:rFonts w:ascii="Arial" w:hAnsi="Arial" w:eastAsia="Times New Roman" w:cs="Arial"/>
      <w:b/>
      <w:sz w:val="18"/>
      <w:lang w:val="en-US"/>
    </w:rPr>
  </w:style>
  <w:style w:type="paragraph" w:styleId="168">
    <w:name w:val="Основной текст с отступом168"/>
    <w:basedOn w:val="Normal"/>
    <w:qFormat/>
    <w:pPr>
      <w:ind w:firstLine="708"/>
      <w:jc w:val="both"/>
    </w:pPr>
    <w:rPr>
      <w:rFonts w:ascii="Arial" w:hAnsi="Arial" w:eastAsia="Times New Roman" w:cs="Arial"/>
      <w:b/>
      <w:sz w:val="18"/>
      <w:lang w:val="en-US"/>
    </w:rPr>
  </w:style>
  <w:style w:type="paragraph" w:styleId="169">
    <w:name w:val="Основной текст с отступом169"/>
    <w:basedOn w:val="Normal"/>
    <w:qFormat/>
    <w:pPr>
      <w:ind w:firstLine="708"/>
      <w:jc w:val="both"/>
    </w:pPr>
    <w:rPr>
      <w:rFonts w:ascii="Arial" w:hAnsi="Arial" w:eastAsia="Times New Roman" w:cs="Arial"/>
      <w:b/>
      <w:sz w:val="18"/>
      <w:lang w:val="en-US"/>
    </w:rPr>
  </w:style>
  <w:style w:type="paragraph" w:styleId="170">
    <w:name w:val="Основной текст с отступом170"/>
    <w:basedOn w:val="Normal"/>
    <w:qFormat/>
    <w:pPr>
      <w:ind w:firstLine="708"/>
      <w:jc w:val="both"/>
    </w:pPr>
    <w:rPr>
      <w:rFonts w:ascii="Arial" w:hAnsi="Arial" w:eastAsia="Times New Roman" w:cs="Arial"/>
      <w:b/>
      <w:sz w:val="18"/>
      <w:lang w:val="en-US"/>
    </w:rPr>
  </w:style>
  <w:style w:type="paragraph" w:styleId="171">
    <w:name w:val="Основной текст с отступом171"/>
    <w:basedOn w:val="Normal"/>
    <w:qFormat/>
    <w:pPr>
      <w:ind w:firstLine="708"/>
      <w:jc w:val="both"/>
    </w:pPr>
    <w:rPr>
      <w:rFonts w:ascii="Arial" w:hAnsi="Arial" w:eastAsia="Times New Roman" w:cs="Arial"/>
      <w:b/>
      <w:sz w:val="18"/>
      <w:lang w:val="en-US"/>
    </w:rPr>
  </w:style>
  <w:style w:type="paragraph" w:styleId="172">
    <w:name w:val="Основной текст с отступом172"/>
    <w:basedOn w:val="Normal"/>
    <w:qFormat/>
    <w:pPr>
      <w:ind w:firstLine="708"/>
      <w:jc w:val="both"/>
    </w:pPr>
    <w:rPr>
      <w:rFonts w:ascii="Arial" w:hAnsi="Arial" w:eastAsia="Times New Roman" w:cs="Arial"/>
      <w:b/>
      <w:sz w:val="18"/>
      <w:lang w:val="en-US"/>
    </w:rPr>
  </w:style>
  <w:style w:type="paragraph" w:styleId="173">
    <w:name w:val="Основной текст с отступом173"/>
    <w:basedOn w:val="Normal"/>
    <w:qFormat/>
    <w:pPr>
      <w:ind w:firstLine="708"/>
      <w:jc w:val="both"/>
    </w:pPr>
    <w:rPr>
      <w:rFonts w:ascii="Arial" w:hAnsi="Arial" w:eastAsia="Times New Roman" w:cs="Arial"/>
      <w:b/>
      <w:sz w:val="18"/>
      <w:lang w:val="en-US"/>
    </w:rPr>
  </w:style>
  <w:style w:type="paragraph" w:styleId="174">
    <w:name w:val="Основной текст с отступом174"/>
    <w:basedOn w:val="Normal"/>
    <w:qFormat/>
    <w:pPr>
      <w:ind w:firstLine="708"/>
      <w:jc w:val="both"/>
    </w:pPr>
    <w:rPr>
      <w:rFonts w:ascii="Arial" w:hAnsi="Arial" w:eastAsia="Times New Roman" w:cs="Arial"/>
      <w:b/>
      <w:sz w:val="18"/>
      <w:lang w:val="en-US"/>
    </w:rPr>
  </w:style>
  <w:style w:type="paragraph" w:styleId="175">
    <w:name w:val="Основной текст с отступом175"/>
    <w:basedOn w:val="Normal"/>
    <w:qFormat/>
    <w:pPr>
      <w:ind w:firstLine="708"/>
      <w:jc w:val="both"/>
    </w:pPr>
    <w:rPr>
      <w:rFonts w:ascii="Arial" w:hAnsi="Arial" w:eastAsia="Times New Roman" w:cs="Arial"/>
      <w:b/>
      <w:sz w:val="18"/>
      <w:lang w:val="en-US"/>
    </w:rPr>
  </w:style>
  <w:style w:type="paragraph" w:styleId="176">
    <w:name w:val="Основной текст с отступом176"/>
    <w:basedOn w:val="Normal"/>
    <w:qFormat/>
    <w:pPr>
      <w:ind w:firstLine="708"/>
      <w:jc w:val="both"/>
    </w:pPr>
    <w:rPr>
      <w:rFonts w:ascii="Arial" w:hAnsi="Arial" w:eastAsia="Times New Roman" w:cs="Arial"/>
      <w:b/>
      <w:sz w:val="18"/>
      <w:lang w:val="en-US"/>
    </w:rPr>
  </w:style>
  <w:style w:type="paragraph" w:styleId="177">
    <w:name w:val="Основной текст с отступом177"/>
    <w:basedOn w:val="Normal"/>
    <w:qFormat/>
    <w:pPr>
      <w:ind w:firstLine="708"/>
      <w:jc w:val="both"/>
    </w:pPr>
    <w:rPr>
      <w:rFonts w:ascii="Arial" w:hAnsi="Arial" w:eastAsia="Times New Roman" w:cs="Arial"/>
      <w:b/>
      <w:sz w:val="18"/>
      <w:lang w:val="en-US"/>
    </w:rPr>
  </w:style>
  <w:style w:type="paragraph" w:styleId="178">
    <w:name w:val="Основной текст с отступом178"/>
    <w:basedOn w:val="Normal"/>
    <w:qFormat/>
    <w:pPr>
      <w:ind w:firstLine="708"/>
      <w:jc w:val="both"/>
    </w:pPr>
    <w:rPr>
      <w:rFonts w:ascii="Arial" w:hAnsi="Arial" w:eastAsia="Times New Roman" w:cs="Arial"/>
      <w:b/>
      <w:sz w:val="18"/>
      <w:lang w:val="en-US"/>
    </w:rPr>
  </w:style>
  <w:style w:type="paragraph" w:styleId="179">
    <w:name w:val="Основной текст с отступом179"/>
    <w:basedOn w:val="Normal"/>
    <w:qFormat/>
    <w:pPr>
      <w:ind w:firstLine="708"/>
      <w:jc w:val="both"/>
    </w:pPr>
    <w:rPr>
      <w:rFonts w:ascii="Arial" w:hAnsi="Arial" w:eastAsia="Times New Roman" w:cs="Arial"/>
      <w:b/>
      <w:sz w:val="18"/>
      <w:lang w:val="en-US"/>
    </w:rPr>
  </w:style>
  <w:style w:type="paragraph" w:styleId="180">
    <w:name w:val="Основной текст с отступом180"/>
    <w:basedOn w:val="Normal"/>
    <w:qFormat/>
    <w:pPr>
      <w:ind w:firstLine="708"/>
      <w:jc w:val="both"/>
    </w:pPr>
    <w:rPr>
      <w:rFonts w:ascii="Arial" w:hAnsi="Arial" w:eastAsia="Times New Roman" w:cs="Arial"/>
      <w:b/>
      <w:sz w:val="18"/>
      <w:lang w:val="en-US"/>
    </w:rPr>
  </w:style>
  <w:style w:type="paragraph" w:styleId="181">
    <w:name w:val="Основной текст с отступом181"/>
    <w:basedOn w:val="Normal"/>
    <w:qFormat/>
    <w:pPr>
      <w:ind w:firstLine="708"/>
      <w:jc w:val="both"/>
    </w:pPr>
    <w:rPr>
      <w:rFonts w:ascii="Arial" w:hAnsi="Arial" w:eastAsia="Times New Roman" w:cs="Arial"/>
      <w:b/>
      <w:sz w:val="18"/>
      <w:lang w:val="en-US"/>
    </w:rPr>
  </w:style>
  <w:style w:type="paragraph" w:styleId="182">
    <w:name w:val="Основной текст с отступом182"/>
    <w:basedOn w:val="Normal"/>
    <w:qFormat/>
    <w:pPr>
      <w:ind w:firstLine="708"/>
      <w:jc w:val="both"/>
    </w:pPr>
    <w:rPr>
      <w:rFonts w:ascii="Arial" w:hAnsi="Arial" w:eastAsia="Times New Roman" w:cs="Arial"/>
      <w:b/>
      <w:sz w:val="18"/>
      <w:lang w:val="en-US"/>
    </w:rPr>
  </w:style>
  <w:style w:type="paragraph" w:styleId="123">
    <w:name w:val="Верхній колонтитул1"/>
    <w:basedOn w:val="Normal"/>
    <w:qFormat/>
    <w:pPr/>
    <w:rPr>
      <w:rFonts w:ascii="Calibri" w:hAnsi="Calibri" w:cs="Calibri"/>
      <w:lang w:val="en-US"/>
    </w:rPr>
  </w:style>
  <w:style w:type="paragraph" w:styleId="134">
    <w:name w:val="Нижній колонтитул1"/>
    <w:basedOn w:val="Normal"/>
    <w:qFormat/>
    <w:pPr/>
    <w:rPr>
      <w:rFonts w:ascii="Calibri" w:hAnsi="Calibri" w:cs="Calibri"/>
      <w:lang w:val="en-US"/>
    </w:rPr>
  </w:style>
  <w:style w:type="paragraph" w:styleId="146">
    <w:name w:val="Назва1"/>
    <w:basedOn w:val="Normal"/>
    <w:qFormat/>
    <w:pPr/>
    <w:rPr>
      <w:rFonts w:ascii="Calibri Light" w:hAnsi="Calibri Light" w:cs="Calibri Light"/>
      <w:spacing w:val="-10"/>
      <w:lang w:val="en-US"/>
    </w:rPr>
  </w:style>
  <w:style w:type="paragraph" w:styleId="216">
    <w:name w:val="Основний текст 21"/>
    <w:basedOn w:val="Normal"/>
    <w:qFormat/>
    <w:pPr/>
    <w:rPr>
      <w:rFonts w:ascii="Calibri" w:hAnsi="Calibri" w:cs="Calibri"/>
      <w:lang w:val="en-US"/>
    </w:rPr>
  </w:style>
  <w:style w:type="paragraph" w:styleId="151">
    <w:name w:val="Текст у виносці1"/>
    <w:basedOn w:val="Normal"/>
    <w:qFormat/>
    <w:pPr/>
    <w:rPr>
      <w:rFonts w:ascii="Segoe UI" w:hAnsi="Segoe UI" w:cs="Segoe UI"/>
      <w:lang w:val="en-US"/>
    </w:rPr>
  </w:style>
  <w:style w:type="paragraph" w:styleId="164">
    <w:name w:val="Основной текст с отступом164"/>
    <w:basedOn w:val="Normal"/>
    <w:qFormat/>
    <w:pPr>
      <w:ind w:firstLine="708"/>
      <w:jc w:val="both"/>
    </w:pPr>
    <w:rPr>
      <w:rFonts w:ascii="Arial" w:hAnsi="Arial" w:eastAsia="Times New Roman" w:cs="Arial"/>
      <w:b/>
      <w:sz w:val="18"/>
      <w:lang w:val="en-US"/>
    </w:rPr>
  </w:style>
  <w:style w:type="paragraph" w:styleId="Arial95">
    <w:name w:val="arial9(жирнбез интерв)"/>
    <w:basedOn w:val="Normal"/>
    <w:qFormat/>
    <w:pPr/>
    <w:rPr>
      <w:rFonts w:ascii="Arial" w:hAnsi="Arial" w:cs="Arial"/>
      <w:b/>
      <w:sz w:val="18"/>
    </w:rPr>
  </w:style>
  <w:style w:type="paragraph" w:styleId="203">
    <w:name w:val="Основной текст с отступом203"/>
    <w:basedOn w:val="Normal"/>
    <w:qFormat/>
    <w:pPr>
      <w:ind w:firstLine="708"/>
      <w:jc w:val="both"/>
    </w:pPr>
    <w:rPr>
      <w:rFonts w:ascii="Arial" w:hAnsi="Arial" w:eastAsia="Times New Roman" w:cs="Arial"/>
      <w:b/>
      <w:sz w:val="18"/>
      <w:lang w:val="en-US"/>
    </w:rPr>
  </w:style>
  <w:style w:type="paragraph" w:styleId="204">
    <w:name w:val="Основной текст с отступом204"/>
    <w:basedOn w:val="Normal"/>
    <w:qFormat/>
    <w:pPr>
      <w:ind w:firstLine="708"/>
      <w:jc w:val="both"/>
    </w:pPr>
    <w:rPr>
      <w:rFonts w:ascii="Arial" w:hAnsi="Arial" w:eastAsia="Times New Roman" w:cs="Arial"/>
      <w:b/>
      <w:sz w:val="18"/>
      <w:lang w:val="en-US"/>
    </w:rPr>
  </w:style>
  <w:style w:type="paragraph" w:styleId="217">
    <w:name w:val="Основний текст з відступом2"/>
    <w:basedOn w:val="Normal"/>
    <w:qFormat/>
    <w:pPr>
      <w:ind w:firstLine="708"/>
      <w:jc w:val="both"/>
    </w:pPr>
    <w:rPr>
      <w:rFonts w:ascii="Arial" w:hAnsi="Arial" w:eastAsia="Times New Roman" w:cs="Arial"/>
      <w:b/>
      <w:sz w:val="18"/>
      <w:lang w:val="en-US"/>
    </w:rPr>
  </w:style>
  <w:style w:type="paragraph" w:styleId="152">
    <w:name w:val="Основний текст з відступом1"/>
    <w:basedOn w:val="Normal"/>
    <w:qFormat/>
    <w:pPr>
      <w:ind w:firstLine="708"/>
      <w:jc w:val="both"/>
    </w:pPr>
    <w:rPr>
      <w:rFonts w:ascii="Arial" w:hAnsi="Arial" w:eastAsia="Times New Roman" w:cs="Arial"/>
      <w:b/>
      <w:sz w:val="18"/>
      <w:lang w:val="en-US"/>
    </w:rPr>
  </w:style>
  <w:style w:type="paragraph" w:styleId="207">
    <w:name w:val="Основной текст с отступом207"/>
    <w:basedOn w:val="Normal"/>
    <w:qFormat/>
    <w:pPr>
      <w:ind w:firstLine="708"/>
      <w:jc w:val="both"/>
    </w:pPr>
    <w:rPr>
      <w:rFonts w:ascii="Arial" w:hAnsi="Arial" w:eastAsia="Times New Roman" w:cs="Arial"/>
      <w:b/>
      <w:sz w:val="18"/>
      <w:lang w:val="en-US"/>
    </w:rPr>
  </w:style>
  <w:style w:type="paragraph" w:styleId="2101">
    <w:name w:val="Основной текст с отступом210"/>
    <w:basedOn w:val="Normal"/>
    <w:qFormat/>
    <w:pPr>
      <w:ind w:firstLine="708"/>
      <w:jc w:val="both"/>
    </w:pPr>
    <w:rPr>
      <w:rFonts w:ascii="Arial" w:hAnsi="Arial" w:eastAsia="Times New Roman" w:cs="Arial"/>
      <w:b/>
      <w:sz w:val="18"/>
      <w:lang w:val="en-US"/>
    </w:rPr>
  </w:style>
  <w:style w:type="paragraph" w:styleId="312">
    <w:name w:val="Основний текст з відступом3"/>
    <w:basedOn w:val="Normal"/>
    <w:qFormat/>
    <w:pPr>
      <w:ind w:firstLine="708"/>
      <w:jc w:val="both"/>
    </w:pPr>
    <w:rPr>
      <w:rFonts w:ascii="Arial" w:hAnsi="Arial" w:eastAsia="Times New Roman" w:cs="Arial"/>
      <w:b/>
      <w:sz w:val="18"/>
      <w:lang w:val="en-US"/>
    </w:rPr>
  </w:style>
  <w:style w:type="paragraph" w:styleId="2171">
    <w:name w:val="Основной текст с отступом217"/>
    <w:basedOn w:val="Normal"/>
    <w:qFormat/>
    <w:pPr>
      <w:ind w:firstLine="708"/>
      <w:jc w:val="both"/>
    </w:pPr>
    <w:rPr>
      <w:rFonts w:ascii="Arial" w:hAnsi="Arial" w:eastAsia="Times New Roman" w:cs="Arial"/>
      <w:b/>
      <w:sz w:val="18"/>
      <w:lang w:val="en-US"/>
    </w:rPr>
  </w:style>
  <w:style w:type="paragraph" w:styleId="218">
    <w:name w:val="Основной текст с отступом218"/>
    <w:basedOn w:val="Normal"/>
    <w:qFormat/>
    <w:pPr>
      <w:ind w:firstLine="708"/>
      <w:jc w:val="both"/>
    </w:pPr>
    <w:rPr>
      <w:rFonts w:ascii="Arial" w:hAnsi="Arial" w:eastAsia="Times New Roman" w:cs="Arial"/>
      <w:b/>
      <w:sz w:val="18"/>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s://www.whocc.no/atc_ddd_index/" TargetMode="External"/><Relationship Id="rId8" Type="http://schemas.openxmlformats.org/officeDocument/2006/relationships/hyperlink" Target="https://www.whocc.no/atc_ddd_index/" TargetMode="Externa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17</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2026-08-03T09:40:00Z</dcterms:created>
  <dc:creator>Valentina</dc:creator>
  <dc:description/>
  <dc:language>ru-RU</dc:language>
  <cp:lastModifiedBy>Кунцевич Олена Іванівна</cp:lastModifiedBy>
  <cp:lastPrinted>2025-11-12T16:00:00Z</cp:lastPrinted>
  <dcterms:modified xsi:type="dcterms:W3CDTF">2026-08-03T10:13:00Z</dcterms:modified>
  <cp:revision>4</cp:revision>
  <dc:subject/>
  <dc:title/>
</cp:coreProperties>
</file>