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3825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</w:tblGrid>
      <w:tr>
        <w:trPr>
          <w:trHeight w:val="711" w:hRule="atLeast"/>
        </w:trPr>
        <w:tc>
          <w:tcPr>
            <w:tcW w:w="3825" w:type="dxa"/>
            <w:tcBorders/>
            <w:shd w:fill="auto" w:val="clear"/>
          </w:tcPr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Додаток</w:t>
            </w:r>
            <w:r>
              <w:rPr>
                <w:rFonts w:cs="Arial"/>
                <w:lang w:val="ru-RU"/>
              </w:rPr>
              <w:t xml:space="preserve"> 1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до Наказу Міністерства охорони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здоров’я України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____________________ № _______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  <w:t xml:space="preserve">ЛІКАРСЬКИХ ЗАСОБІВ, що пропонуються до державної реєстрації 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</w:r>
    </w:p>
    <w:tbl>
      <w:tblPr>
        <w:tblW w:w="16170" w:type="dxa"/>
        <w:jc w:val="left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7"/>
        <w:gridCol w:w="1276"/>
        <w:gridCol w:w="1134"/>
        <w:gridCol w:w="992"/>
        <w:gridCol w:w="851"/>
        <w:gridCol w:w="1701"/>
        <w:gridCol w:w="1134"/>
        <w:gridCol w:w="1134"/>
        <w:gridCol w:w="1276"/>
        <w:gridCol w:w="1134"/>
        <w:gridCol w:w="1275"/>
        <w:gridCol w:w="1134"/>
        <w:gridCol w:w="993"/>
        <w:gridCol w:w="1569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АДЕЛЬ® Д ФАРМАК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tamsulosin and dutasteride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дутастерид, тамсулозину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G04CA52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тверді, 0,5 мг/0,4 мг; по 30 капсул у флаконі, по 1 флакону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 "Фармак"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виробництво інтермедіату (дутастериду м’які желатинові капсули), виробництво лікарського засобу; первинне та вторинне пакування, контроль (хімічний/фізичний) і випуск серії: </w:t>
              <w:br/>
              <w:t>ЛАБОРАТОРІОС ЛЕОН ФАРМА С.А., Іспанiя;</w:t>
              <w:br/>
              <w:t>виробництво інтермедіату (пелети модифікованого вивільнення тамсулозину):</w:t>
              <w:br/>
              <w:t>ЗЕНТІВА С.А., Румунiя;</w:t>
              <w:br/>
              <w:t>виробництво інтермедіату (пелети модифікованого вивільнення тамсулозину), первинне та вторинне пакування лікарського засобу:</w:t>
              <w:br/>
              <w:t>ЛАБОРАТОРІОС ЛІКОНСА С.А., Іспанiя;</w:t>
              <w:br/>
              <w:t>мікробіологічний контроль:</w:t>
              <w:br/>
              <w:t>ЛАБОРАТОРІО ЕЧЕВАРНЕ, С.А., Іспанiя;</w:t>
              <w:br/>
              <w:t>хімічний / фізичний контроль:</w:t>
              <w:br/>
              <w:t>ФУНДАСЬОН ТЕКНАЛІЯ РІСЕРЧ ЕНД ІННОВЕЙШН, Іспанiя;</w:t>
              <w:br/>
              <w:t>хімічний / фізичний та мікробіологічний контроль:</w:t>
              <w:br/>
              <w:t>НЕТФАРМАЛАБ КОНСАЛТІНГ СЕРВІСЕЗ, Іспанiя;</w:t>
              <w:br/>
              <w:t xml:space="preserve">вторинне пакування: </w:t>
              <w:br/>
              <w:t>АТДІС ФАРМА, С.Л., Іспанiя;</w:t>
              <w:br/>
              <w:t>вторинне пакування:</w:t>
              <w:br/>
              <w:t>МАНАНТІАЛЬ ІНТЕГРА С.Л., Іспанiя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Іспанія/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Румунія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UA/21460/01/0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КЕТОРОЛАКУ ТРОМЕТАМОЛ (КЕТОРОЛАКУ ТРОМЕТАМІН)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ketorolac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кеторолаку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 "Фармак"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ВАСУДХА ФАРМА ЧЕМ ЛІМІТЕД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UA/21461/01/0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МЕПЕНАМ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meropenem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меропенем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розчину для ін'єкцій та інфузій по 0,5 г у флаконі; in bulk: по 190 флаконів у коробці; in bulk: по 176 флаконів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ПАТ "Київмедпрепарат"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 стерильної суміші, контроль якості:</w:t>
              <w:br/>
              <w:t>ЕйСіЕс ДОБФАР С.П.А., Італія;</w:t>
              <w:br/>
              <w:t>первинне пакування, контроль якості та випуск серії:</w:t>
              <w:br/>
              <w:t>ЕйСіЕс ДОБФАР С.П.А., Італія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Італія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UA/21462/01/0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МЕПЕНАМ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meropenem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меропенем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розчину для ін'єкцій та інфузій по 1,0 г у флаконі; in bulk: по 190 флаконів у коробці; in bulk: по 176 флаконів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ПАТ "Київмедпрепарат"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 стерильної суміші, контроль якості:</w:t>
              <w:br/>
              <w:t>ЕйСіЕс ДОБФАР С.П.А., Італія;</w:t>
              <w:br/>
              <w:t>первинне пакування, контроль якості та випуск серії:</w:t>
              <w:br/>
              <w:t>ЕйСіЕс ДОБФАР С.П.А., Італія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Італія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UA/21462/01/0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МЕПЕНАМ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meropenem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меропенем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J01DH02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розчину для ін’єкцій та інфузій по 0,5 г у флаконі; по 1 або по 10 флаконів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ПАТ "Київмедпрепарат"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ПАТ "Київмедпрепарат"</w:t>
              <w:br/>
              <w:t>(Виробництво з продукції in bulk фірми-виробника ЕйСіЕс ДОБФАР С.П.А., Італія: вторинне пакування, контроль якості, випуск серії)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5років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UA/21463/01/0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МЕПЕНАМ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meropenem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меропенем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J01DH02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розчину для ін’єкцій та інфузій по 1,0 г у флаконі; по 1 або по 10 флаконів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ПАТ "Київмедпрепарат"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ПАТ "Київмедпрепарат"</w:t>
              <w:br/>
              <w:t>(Виробництво з продукції in bulk фірми-виробника ЕйСіЕс ДОБФАР С.П.А., Італія: вторинне пакування, контроль якості, випуск серії)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5років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UA/21463/01/0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НІФУРОКСАЗИД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nifuroxazide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ніфуроксазид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A07AX03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200 мг, по 10 таблеток у блістері; по 1 блістеру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"Тернофарм"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"Тернофарм"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UA/21464/01/0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ПІКРЕЙ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alpelisib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алпелісіб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L01EM03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150 мг; 28 таблеток: по 14 таблеток у блістер-карті, по 2 блістер-карти у коробці; 56 таблеток: по 14 таблеток у блістер-карті, по 4 блістер-карти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Фарма АГ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Виробництво, контроль якості:</w:t>
              <w:br/>
              <w:t>Новартіс Фарма Штейн АГ, Швейцарія;</w:t>
              <w:br/>
              <w:t>Первинне та вторинне пакування, випуск серії:</w:t>
              <w:br/>
              <w:t>Новартіс Фармасьютикал Мануфактурінг ЛЛС, Словенія;</w:t>
              <w:br/>
              <w:t>Контроль якості:</w:t>
              <w:br/>
              <w:t>Новартіс Фармасьютикалс С.Р.Л., Румунія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Словенія/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Румунія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UA/21465/01/0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ПІКРЕЙ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alpelisib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алпелісіб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L01EM03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таблетки, вкриті плівковою оболонкою, по 200 мг; 14 таблеток: по 14 таблеток у блістер-карті, по 1 блістер-карті у коробці; </w:t>
              <w:br/>
              <w:t>28 таблеток: по 14 таблеток у блістер-карті, по 2 блістер-карти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Фарма АГ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Виробництво, контроль якості:</w:t>
              <w:br/>
              <w:t>Новартіс Фарма Штейн АГ, Швейцарія;</w:t>
              <w:br/>
              <w:t>Первинне та вторинне пакування, випуск серії:</w:t>
              <w:br/>
              <w:t>Новартіс Фармасьютикал Мануфактурінг ЛЛС, Словенія;</w:t>
              <w:br/>
              <w:t>Контроль якості:</w:t>
              <w:br/>
              <w:t>Новартіс Фармасьютикалс С.Р.Л., Румунія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Словенія/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Румунія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UA/21465/01/0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ПІКРЕЙ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alpelisib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алпелісіб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sz w:val="16"/>
                <w:szCs w:val="16"/>
              </w:rPr>
              <w:t>L01EM03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200 мг та по 50 мг; 28 таблеток (14 таблеток по 50 мг та 14 таблеток по 200 мг): по 7 таблеток дозуванням 50 мг та по 7 таблеток дозуванням 200 мг у блістер-карті, по 2 блістер-карти у коробці; 56 таблеток (28 таблеток по 50 мг та 28 таблеток по 200 мг): по 7 таблеток дозуванням 50 мг та по 7 таблеток дозуванням 200 мг у блістер-карті, по 4 блістер-карти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Фарма АГ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Виробництво, контроль якості:</w:t>
              <w:br/>
              <w:t>Новартіс Фарма Штейн АГ, Швейцарія;</w:t>
              <w:br/>
              <w:t>Первинне та вторинне пакування, випуск серії:</w:t>
              <w:br/>
              <w:t>Новартіс Фармасьютикал Мануфактурінг ЛЛС, Словенія;</w:t>
              <w:br/>
              <w:t>Контроль якості:</w:t>
              <w:br/>
              <w:t>Новартіс Фармасьютикалс С.Р.Л., Румунія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Словенія/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Румунія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UA/21466/01/0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ФІБГАЛ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sz w:val="16"/>
                <w:szCs w:val="16"/>
              </w:rPr>
              <w:t>fenofibrate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фенофібрат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C10AB05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145 мг, по 10 таблеток у блістері, по 10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Ауробіндо Фарма Лтд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Ауробіндо Фарма Лімітед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UA/21467/01/0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/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2">
        <w:r>
          <w:rPr>
            <w:rStyle w:val="Internet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Internet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snapToGrid w:val="false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pStyle w:val="Normal"/>
        <w:rPr>
          <w:rStyle w:val="Cs7864ebcf1"/>
          <w:rFonts w:ascii="Arial" w:hAnsi="Arial" w:cs="Arial"/>
          <w:color w:val="000000"/>
          <w:sz w:val="16"/>
          <w:szCs w:val="16"/>
          <w:lang w:val="ru-RU"/>
        </w:rPr>
      </w:pPr>
      <w:r>
        <w:rPr/>
      </w:r>
      <w:r>
        <w:br w:type="page"/>
      </w:r>
    </w:p>
    <w:p>
      <w:pPr>
        <w:pStyle w:val="Normal"/>
        <w:rPr>
          <w:rFonts w:ascii="Arial" w:hAnsi="Arial" w:cs="Arial"/>
          <w:sz w:val="16"/>
          <w:szCs w:val="16"/>
          <w:lang w:val="ru-RU"/>
        </w:rPr>
      </w:pPr>
      <w:r>
        <w:rPr>
          <w:rFonts w:cs="Arial" w:ascii="Arial" w:hAnsi="Arial"/>
          <w:sz w:val="16"/>
          <w:szCs w:val="16"/>
          <w:lang w:val="ru-RU"/>
        </w:rPr>
      </w:r>
    </w:p>
    <w:tbl>
      <w:tblPr>
        <w:tblW w:w="3825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</w:tblGrid>
      <w:tr>
        <w:trPr/>
        <w:tc>
          <w:tcPr>
            <w:tcW w:w="3825" w:type="dxa"/>
            <w:tcBorders/>
            <w:shd w:fill="auto" w:val="clear"/>
          </w:tcPr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Додаток</w:t>
            </w:r>
            <w:r>
              <w:rPr>
                <w:rFonts w:cs="Arial"/>
                <w:lang w:val="ru-RU"/>
              </w:rPr>
              <w:t xml:space="preserve"> 2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до Наказу Міністерства охорони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здоров’я України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____________________ № _______</w:t>
            </w:r>
          </w:p>
          <w:p>
            <w:pPr>
              <w:pStyle w:val="1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  <w:t>ЛІКАРСЬКИХ ЗАСОБІВ, що пропонуються до державної ПЕРЕреєстрації</w:t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</w:r>
    </w:p>
    <w:tbl>
      <w:tblPr>
        <w:tblW w:w="16028" w:type="dxa"/>
        <w:jc w:val="left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7"/>
        <w:gridCol w:w="1418"/>
        <w:gridCol w:w="992"/>
        <w:gridCol w:w="992"/>
        <w:gridCol w:w="851"/>
        <w:gridCol w:w="1701"/>
        <w:gridCol w:w="1134"/>
        <w:gridCol w:w="992"/>
        <w:gridCol w:w="1418"/>
        <w:gridCol w:w="992"/>
        <w:gridCol w:w="1559"/>
        <w:gridCol w:w="992"/>
        <w:gridCol w:w="993"/>
        <w:gridCol w:w="1427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АНГЕЛОН®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adenosine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аденозин-5’-трифосфатогістидинато-магнію(ІІ) трикалієву сіль октагідрат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C01EB10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20 мг; по 10 таблеток у блістері; по 3 або 4 блістери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"Фармацевтична компанія "ФарКоС"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ТОВ "Фармацевтична компанія "ФарКоС"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перереєстрація на необмежений термін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UA/18594/01/01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АНГЕЛОН®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adenosine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аденозин-5’-трифосфатогістидинато-магнію(ІІ) трикалієву сіль октагідрат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C01EB10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зі смаком ментолу по 20 мг; по 10 таблеток у блістері; по 3 або 4 блістери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"Фармацевтична компанія "ФарКоС"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ТОВ "Фармацевтична компанія "ФарКоС"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Перереєстрація на необмежений термін.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br/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UA/19051/01/02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БІОТЕБАЛ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sz w:val="16"/>
                <w:szCs w:val="16"/>
              </w:rPr>
              <w:t>biotin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біотин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A11HA05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10 мг; по 15 таблеток у блістері; по 2, 4 або 6 блістерів у картонній коробці; по 20 таблеток у блістері;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Фармацевтичний завод “ПОЛЬФАРМА”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Фармацевтичний завод “ПОЛЬФАРМА”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Польща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Перереєстрація на необмежений термін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UA/18951/01/02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ГЕПАМЕТІОН®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ademetionine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S-аденозил-L-метіоніну 1,4 бутандисульфонат (у перерахуванні на адеметіоніну катіон)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A16AA02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ліофілізат для розчину для ін'єкцій по 500 мг, по 5 флаконів з ліофілізатом у комплекті з 5 ампулами розчинника по 5 мл в контурній чарунковій упаковці; по 1 контурній чарунковій упаковці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"АРТЕРІУМ ЛТД"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 розчинника:</w:t>
              <w:br/>
              <w:t>ПАТ "Галичфарм"</w:t>
              <w:br/>
              <w:t>Україна;</w:t>
              <w:br/>
              <w:t>виробництво ліофілізату, випуск серії готового лікарського засобу:</w:t>
              <w:br/>
              <w:t>ПАТ "Київмедпрепарат",</w:t>
              <w:br/>
              <w:t>Україна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Перереєстрація на необмежений термін. </w:t>
              <w:br/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UA/18995/01/01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ІКЗИМ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cefixime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цефіксиму тригідрат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J01DD08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400 мг; по 10 таблеток у блістері, по 1 блістеру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Скай Фарма ВЗ-ТОВ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Об'єднанi Арабськi Емiрати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Сенс Лабораторіс Пвт.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Перереєстрація на необмежений термін.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UA/19050/01/01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МІНОКСИДИЛ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minoxidil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міноксидил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(субстанція) в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ПП "МЕДЕО"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ВПЛ Кемікалз Пвт. Лтд.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UA/18568/01/01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ПАНТЕНОЛ-ЗДОРОВ'Я АЕРОЗОЛЬ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dexpanthenol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декспантенол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D03AX03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піна нашкірна, 50 мг/г; по 58,5 г або по 117,0 г у балоні з клапаном-насосом, насадкою-розпилювачем та захисним ковпачком; по 1 балону у коробці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ТОВАРИСТВО З ОБМЕЖЕНОЮ ВІДПОВІДАЛЬНІСТЮ «КОРПОРАЦІЯ «ЗДОРОВ’Я»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Перереєстрація на необмежений термін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UA/19009/02/01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САНЦЕД - 1000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ceftazidime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цефтазидиму пентагідрат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J01DD02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розчину для ін'єкцій по 1000 мг, по 1 флакону з порошком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Cенс Лабораторіc Пвт.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Cенс Лабораторіc Пвт. Лтд.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Перереєстрація на необмежений термін.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UA/19070/01/01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СКАЙПІМ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cefepime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цефепіму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J01DE01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розчину для ін'єкцій по 1000 мг, по 1 флакону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Сенс Лабораторіс Пвт.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Сенс Лабораторіс Пвт.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перереєстрація на необмежений термін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UA/19031/01/01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ТАЛІПРЕС® АСІНО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chlortalidone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хлорталідон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C03BA04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25 мг, по 10 таблеток у блістері; по 1 або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ТОВ "АСІНО УКРАЇНА"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Перереєстрація на необмежений термін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UA/19326/01/01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5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ТАЛІПРЕС® АСІНО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chlortalidone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хлорталідон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C03BA04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50 мг, по 10 таблеток у блістері; по 1 або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ТОВ "АСІНО УКРАЇНА"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Перереєстрація на необмежений термін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UA/19326/01/02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3">
        <w:r>
          <w:rPr>
            <w:rStyle w:val="Internet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Internet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snapToGrid w:val="false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tbl>
      <w:tblPr>
        <w:tblW w:w="3828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</w:tblGrid>
      <w:tr>
        <w:trPr/>
        <w:tc>
          <w:tcPr>
            <w:tcW w:w="3828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left" w:pos="12600" w:leader="none"/>
              </w:tabs>
              <w:outlineLvl w:val="3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Додаток 3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до Наказу Міністерства охорони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здоров’я України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__________________ № _______</w:t>
            </w:r>
          </w:p>
        </w:tc>
      </w:tr>
    </w:tbl>
    <w:p>
      <w:pPr>
        <w:pStyle w:val="Normal"/>
        <w:tabs>
          <w:tab w:val="left" w:pos="12600" w:leader="none"/>
        </w:tabs>
        <w:jc w:val="center"/>
        <w:rPr>
          <w:rStyle w:val="Cs7864ebcf1"/>
          <w:rFonts w:ascii="Arial" w:hAnsi="Arial" w:cs="Arial"/>
          <w:b/>
          <w:b/>
          <w:color w:val="000000"/>
          <w:sz w:val="16"/>
          <w:szCs w:val="16"/>
          <w:u w:val="single"/>
          <w:lang w:val="uk-UA"/>
        </w:rPr>
      </w:pPr>
      <w:r>
        <w:rPr/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Fonts w:ascii="Arial" w:hAnsi="Arial" w:cs="Arial"/>
          <w:b/>
          <w:b/>
          <w:caps/>
          <w:sz w:val="16"/>
          <w:szCs w:val="16"/>
          <w:u w:val="single"/>
        </w:rPr>
      </w:pPr>
      <w:r>
        <w:rPr>
          <w:rFonts w:cs="Arial" w:ascii="Arial" w:hAnsi="Arial"/>
          <w:b/>
          <w:caps/>
          <w:sz w:val="16"/>
          <w:szCs w:val="16"/>
          <w:u w:val="single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Fonts w:ascii="Arial" w:hAnsi="Arial" w:cs="Arial"/>
          <w:b/>
          <w:b/>
          <w:lang w:val="ru-RU"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</w:rPr>
      </w:pPr>
      <w:r>
        <w:rPr>
          <w:rFonts w:cs="Arial" w:ascii="Arial" w:hAnsi="Arial"/>
          <w:b/>
          <w:caps/>
        </w:rPr>
        <w:t>ЛІКАРСЬКИХ засобів, щодо яких пропонується внесеНня змін до реєстраційних матеріалів</w:t>
      </w:r>
    </w:p>
    <w:p>
      <w:pPr>
        <w:pStyle w:val="11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6312" w:type="dxa"/>
        <w:jc w:val="left"/>
        <w:tblInd w:w="-60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6"/>
        <w:gridCol w:w="1561"/>
        <w:gridCol w:w="992"/>
        <w:gridCol w:w="992"/>
        <w:gridCol w:w="851"/>
        <w:gridCol w:w="1701"/>
        <w:gridCol w:w="1134"/>
        <w:gridCol w:w="992"/>
        <w:gridCol w:w="1418"/>
        <w:gridCol w:w="850"/>
        <w:gridCol w:w="1985"/>
        <w:gridCol w:w="850"/>
        <w:gridCol w:w="992"/>
        <w:gridCol w:w="1428"/>
      </w:tblGrid>
      <w:tr>
        <w:trPr>
          <w:tblHeader w:val="true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Рекламування**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АВАСТИН®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bevacizumab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бевацизумаб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L01FG01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концентрат для розчину для інфузій, 100 мг/4 мл; по 4 мл (100 мг) або 16 мл (400 мг)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 нерозфасованої продукції, первинне пакування, вторинне пакування, випробування контролю якості та випуск серії:</w:t>
              <w:br/>
              <w:t>Рош Діагностикс ГмбХ, Німеччина;</w:t>
              <w:br/>
              <w:t>Виробництво нерозфасованої продукції, первинне пакування, вторинне пакування, випробування контролю якості та випуск серії:</w:t>
              <w:br/>
              <w:t>Ф.Хоффманн-Ля Рош Лтд, Швейцарія;</w:t>
              <w:br/>
              <w:t>Виробництво нерозфасованої продукції, первинне пакування: Дженентек Інк., США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Німеччина/ Швейцарія/ США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UA/16665/01/01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АЙВІАЛ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tibolone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тиболон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G03CX01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2,5 мг; по 28 таблеток у блістері; по 1 або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Айкор Лайф Сайєнсіз Б.В.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Нідерланди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Ценексі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UA/20730/01/01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АМОКСИКЛАВ® 2X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Amoxicillin and beta-lactamase inhibitor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амоксицилін у формі тригідрату та кислота клавуланова у формі калієвої солі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J01CR02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875 мг/125 мг, по 7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Сандоз ГмбХ - Виробнича дільниця Антиінфекційні ГЛЗ та Хімічні Операції Кундль (АІХО ГЛЗ Кундль), Австрія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Австрія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UA/7064/01/02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АЦЦ® 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acetylcysteine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ацетилцистеїн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R05CB01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шипучі по 200 мг; по 20 таблеток у тубі; по 1 тубі у картонній коробці; по 1 таблетці у саше; по 20 саше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Випуск серії: </w:t>
              <w:br/>
              <w:t xml:space="preserve">Салютас Фарма ГмбХ, Німеччина; </w:t>
              <w:br/>
              <w:br/>
              <w:t xml:space="preserve">Виробник in bulk, пакування, випуск серії: </w:t>
              <w:br/>
              <w:t xml:space="preserve">Хермес Фарма Гес.м.б.Х., Австрія; </w:t>
              <w:br/>
              <w:br/>
              <w:t>Альтернативний виробник in bulk, пакування, випуск серії:</w:t>
              <w:br/>
              <w:t>Хермес Фарма ГмбХ, Німеччина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 Австрія 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UA/8272/01/02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БАРБОВАЛ®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Barbiturates in combination with other drugs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етиловий ефір α-бромізовалеріанової кислоти, розчин ментолу в ментиловому ефірі кислоти ізовалеріанової, фенобарбітал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N05CB02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тверді, по 10 капсул у блістері; по 1 або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АТ "Фармак"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UA/1196/02/01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БАРБОВАЛ®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Barbiturates in combination with other drugs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етиловий ефір α-бромізовалеріанової кислоти, розчин ментолу в ментиловому ефірі кислоти ізовалеріанової (валідол), фенобарбітал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N05CB02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краплі оральні по 25 мл у флаконі з пробкою-крапельницею; по 1 флакону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АТ "Фармак"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UA/1196/01/01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БАРБОВАЛ®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Barbiturates in combination with other drugs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етиловий ефір α-бромізовалеріанової кислоти, розчин ментолу в ментиловому ефірі кислоти ізовалеріанової (валідол), фенобарбітал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N05CB02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краплі оральні; по 25 мл у флаконі з пробкою-крапельницею; по 1 флакону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АТ "Фармак"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UA/1196/01/01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БАРБОВАЛ®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Barbiturates in combination with other drugs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етиловий ефір α-бромізовалеріанової кислоти, розчин ментолу в ментиловому ефірі кислоти ізовалеріанової, фенобарбітал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N05CB02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тверді; по 10 капсул у блістері; по 1 або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АТ "Фармак"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UA/1196/02/01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БОМ-БЕНГЕ МАЗЬ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левоментол, метилсаліцилат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M02AC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мазь, по 25 г у контейнерах пластмасових; по 20 г у тубах алюмінієвих; по 20 г у тубі алюмінієвій; по 1 тубі у пачці з картону; по 20 г або по 25 г, або по 30 г у тубах ламінатних; по 20 г або по 25 г, або по 30 г у тубі ламінатній; по 1 тубі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ПрАТ Фармацевтична фабрика "Віола"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ПрАТ Фармацевтична фабрика "Віола"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UA/7622/01/01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ВЕРМОКС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mebendazole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мебендазол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P02CA01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100 мг; по 6 таблеток у блістері; по 1 блістеру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Гедеон Ріхтер Румунія А.Т., Румунія;</w:t>
              <w:br/>
              <w:t>додатковий виробник, відповідальний за випуск серії, оформлення сертифікату якості: ВАТ "Гедеон Ріхтер",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Румунія/ 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UA/7363/01/01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ВОЛЬТАРЕН®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M01AB05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гастрорезистентні по 25 мг; по 10 таблеток у блістері; по 3 блістери в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Саглік, Гіда ве Тарім Урунлері Сан. Ве Тік. А.С.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UA/9383/02/01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ВОЛЬТАРЕН®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M01AB05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гастрорезистентні по 50 мг; по 10 таблеток у блістері; по 2 блістери в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Фарма АГ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Новартіс Саглік, Гіда ве Тарім Урунлері Сан. Ве Тік. А.С.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UA/9383/02/02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ВОРИКОНАЗОЛ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voriconazole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вориконазол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J02AC03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200 мг; по 14 таблеток у блістері; по 1 або по 2 блістери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 лікарського засобу, первинне та вторинне пакування, контроль якості серії: ІНТАС ФАРМАСЬЮТІКАЛС ЛІМІТЕД, Індія;</w:t>
              <w:br/>
              <w:t>дільниця з контролю якості: АСТРОН РЕСЬОРЧ ЛІМІТЕД, Велика Британія;</w:t>
              <w:br/>
              <w:t>дільниця з контролю якості: Фармадокс Хелскеа Лтд., Мальта;</w:t>
              <w:br/>
              <w:t>додаткова дільниця з первинного та вторинного пакування: АККОРД ХЕЛСКЕА ЛІМІТЕД, Велика Британiя;</w:t>
              <w:br/>
              <w:t xml:space="preserve">додаткова дільниця з вторинного пакування: АККОРД-ЮКЕЙ ЛІМІТЕД, Велика Британія; </w:t>
              <w:br/>
              <w:t>додаткова дільниця з вторинного пакування: ДЧЛ САПЛІ ЧЕЙН (Італія) СПА, Італiя;</w:t>
              <w:br/>
              <w:t>відповідальний за випуск серії: АККОРД ХЕЛСКЕА ЛІМІТЕД, Велика Британія;</w:t>
              <w:br/>
              <w:t>Аккорд Хелскеа Полска Сп. з o.o.,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Велика Британія/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Мальта/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Італія/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UA/20312/01/01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ВОРИТАБ®-200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voriconazole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вориконазол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J02AC03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таблетки, вкриті плівковою оболонкою, по 200 мг; по 10 таблеток у блістері; по 1 блістеру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UA/10647/01/01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ВОРИТАБ®-50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voriconazole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вориконазол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J02AC03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таблетки, вкриті плівковою оболонкою, по 50 мг; по 10 таблеток у блістері; по 1 блістеру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UA/10647/01/02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ГЕРЦЕПТИН®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trastuzumab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трастузумаб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L01FD01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ліофілізат для концентрату для розчину для інфузій по 440 мг; ліофілізат для концентрату для розчину для iнфузiй у флаконі, разом з 20 мл розчинника (розчинник: бактеріостатична вода для ін'єкцій 20 мл, що містить 1,1% бензилового спирту та воду для ін'єкцій) у флаконі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ТОВ «Рош Україна»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 нерозфасованої продукції, первинне пакування, випробування контролю якості (тільки стерильність та механічні включення): Дженентек Інк., США; Дженентек Інк., США; Виробництво нерозфасованої продукції, первинне пакування, випробування контролю якості: Рош Діагностикс ГмбХ, Німеччина; Вторинне пакування, випробування контролю якості, випуск серії: Ф.Хоффманн-Ля Рош Лтд, Швейцарія; Розчинник: Виробництво нерозфасованої продукції, первинне пакування, вторинне пакування, випробування контролю якості, випуск серії: Ф.Хоффманн-Ля Рош Лтд, Швейцарія; Виробництво нерозфасованої продукції, первинне пакування, випробування контролю якості: Зігфрід Гамельн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США/ Німеччина/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UA/13007/01/02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ГЕРЦЕПТИН®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trastuzumab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трастузумаб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sz w:val="16"/>
                <w:szCs w:val="16"/>
              </w:rPr>
              <w:t>L01FD01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ліофілізат для концентрату для розчину для інфузій по 150 мг, ліофілізат для концентрату для розчину для iнфузiй у флаконі,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ТОВ «Рош Україна»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 нерозфасованої продукції, первинне пакування: Дженентек Інк., США; Виробництво нерозфасованої продукції, первинне пакування, вторинне пакування, випробування контролю якості, випуск серії: Рош Діагностикс ГмбХ, Німеччина; Вторинне пакування, випробування контролю якості, випуск серії: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США/ Німеччина/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UA/13007/01/01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ГІДРАСЕК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racecadotril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рацекадотрил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A07XA04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гранули для оральної суспензії по 10 мг, по 16 саше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Абботт Лабораторіз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Софартекс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UA/13273/01/01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ГІДРАСЕК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racecadotril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рацекадотрил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A07XA04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гранули для оральної суспензії по 30 мг, по 16 саше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Абботт Лабораторіз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Софартекс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UA/13273/01/02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ГІДРАСЕК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racecadotril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рацекадотрил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A07XA04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тверді по 100 мг; по 10 капсул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Абботт Лабораторіз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Софартекс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UA/13273/02/01 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ГІДРОКСИКАРБАМІД-ВІСТА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hydroxycarbamide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гідроксикарбамід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L01XX05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капсули по 500 мг; по 10 капсул у блістері; по 10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Містрал Кепітал Менеджмент Лімітед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Дева Холдінг А.Ш.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виправлення технічної помилки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UA/18217/01/01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ГІНЕКИТ®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1 таблетка містить: азитроміцину дигідрат; 1 таблетка містить: секнідазол; 1 таблетка містить: флуконазол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1 г + таблетки, вкриті плівковою оболонкою, по 1 г + таблетки по 150 мг; in bulk: по 5000 таблеток азитроміцину, 5000 таблеток секнідазолу, 5000 таблеток флуконазолу в пакеті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UA/8793/01/01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ГІНЕКИТ®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1 таблетка містить: азитроміцину дигідрат; 1 таблетка містить: секнідазол; 1 таблетка містить: флуконазол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G01A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1 г + таблетки, вкриті плівковою оболонкою, по 1 г + таблетки по 150 мг; комбі-упаковка № 1: по 1 таблетці азитроміцину, 2 таблетки секнідазолу, 1 таблетці флуконазолу у блістері; по 1 блістеру в картонній пачці; комбі-упаковка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флуконазолу у стрипі;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UA/8792/01/01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ГЛАУТАН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travoprost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травопрост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S01EE04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краплі очні, 0,04 мг/мл, по 2,5 мл у флаконі; по 1 флакону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АТ "Фармак"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UA/14725/01/01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ГЛІВЕК®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imatinib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іматинібу мезилат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L01EA01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100 мг, по 10 таблеток у блістері; по 6 блістерів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контроль якості (частковий):</w:t>
              <w:br/>
              <w:t>Новартіс Фарма Штейн АГ, Швейцарія;</w:t>
              <w:br/>
              <w:t>виробництво за повним циклом:</w:t>
              <w:br/>
              <w:t>Новартіс Фарма Продакшн ГмбХ, Німеччина;</w:t>
              <w:br/>
              <w:t>первинне, вторинне пакування, випуск серії:</w:t>
              <w:br/>
              <w:t>Лек Фармасьютикалс д.д., виробнича дільниця Лендава, Словенія;</w:t>
              <w:br/>
              <w:t>виробництво, первинне та вторинне пакування, контроль якості (частковий), випуск серії:</w:t>
              <w:br/>
              <w:t>Новартіс Фармасьютикал Мануфактурінг ЛЛС, Словенія;</w:t>
              <w:br/>
              <w:t>контроль якості (частковий):</w:t>
              <w:br/>
              <w:t>Лек Фармасьютикалс д.д.,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Швейцарія/ Німеччина/ Словенія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UA/9469/01/01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ГЛІВЕК®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imatinib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іматинібу мезилат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L01EA01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400 мг, по 10 таблеток у блістері; по 3 блістери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контроль якості (частковий):</w:t>
              <w:br/>
              <w:t>Новартіс Фарма Штейн АГ, Швейцарія;</w:t>
              <w:br/>
              <w:t>виробництво за повним циклом:</w:t>
              <w:br/>
              <w:t>Новартіс Фарма Продакшн ГмбХ, Німеччина;</w:t>
              <w:br/>
              <w:t>первинне, вторинне пакування, випуск серії:</w:t>
              <w:br/>
              <w:t>Лек Фармасьютикалс д.д., виробнича дільниця Лендава, Словенія;</w:t>
              <w:br/>
              <w:t>виробництво, первинне та вторинне пакування, контроль якості (частковий), випуск серії:</w:t>
              <w:br/>
              <w:t>Новартіс Фармасьютикал Мануфактурінг ЛЛС, Словенія;</w:t>
              <w:br/>
              <w:t>контроль якості (частковий):</w:t>
              <w:br/>
              <w:t>Лек Фармасьютикалс д.д.,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Швейцарія/ Німеччина/ Словенія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UA/9469/01/02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ДАКАРБАЗИН МЕДАК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dacarbazine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дакарбазину цитрат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L01AX04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приготування розчину для ін’єкцій або інфузій по 200 мг, 10 флаконів з порошком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Медак Гезельшафт фюр клініше Шпеціальпрепарате 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Вторинне пакування, маркування, контроль та випуск серії: Медак Гезельшафт фюр клініше Шпеціальпрепарате мбХ, Німеччина; Виробництво "in bulk", первинне та вторинне пакування, маркування та контроль серії: Онкомед меньюфекчерінг а.с., Чеська Республiка; Виробництво "in bulk", первинне пакування та контроль серії: Онкотек Фарма Продакшн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Чеська Республіка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UA/6987/01/02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ДАКАРБАЗИН МЕДАК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dacarbazine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дакарбазину цитрат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L01AX04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приготування розчину для інфузій по 500 мг, 1 флакон з порошком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Медак Гезельшафт фюр клініше Шпеціальпрепарате 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Вторинне пакування, маркування, контроль та випуск серії: Медак Гезельшафт фюр клініше Шпеціальпрепарате мбХ, Німеччина; Виробництво "in bulk", первинне та вторинне пакування, маркування та контроль серії: Онкомед меньюфекчерінг а.с., Чеська Республiка; Виробництво "in bulk", первинне пакування та контроль серії: Онкотек Фарма Продакшн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Чеська Республіка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UA/6987/01/03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ДАКАРБАЗИН МЕДАК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dacarbazine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дакарбазину цитрат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L01AX04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приготування розчину для інфузій по 1000 мг, 1 флакон з порошком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Медак Гезельшафт фюр клініше Шпеціальпрепарате 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Вторинне пакування, маркування, контроль та випуск серії: Медак Гезельшафт фюр клініше Шпеціальпрепарате мбХ, Німеччина; Виробництво "in bulk", первинне та вторинне пакування, маркування та контроль серії: Онкомед меньюфекчерінг а.с., Чеська Республiка; Виробництво "in bulk", первинне пакування та контроль серії: Онкотек Фарма Продакшн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Чеська Республіка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UA/6987/01/04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ДАКАРБАЗИН МЕДАК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dacarbazine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дакарбазину цитрат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L01AX04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приготування розчину для ін’єкцій або інфузій по 100 мг, 10 флаконів з порошком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Медак Гезельшафт фюр клініше Шпеціальпрепарате 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Вторинне пакування, маркування, контроль та випуск серії: Медак Гезельшафт фюр клініше Шпеціальпрепарате мбХ, Німеччина; Виробництво "in bulk", первинне та вторинне пакування, маркування та контроль серії: Онкомед меньюфекчерінг а.с., Чеська Республiка; Виробництво "in bulk", первинне пакування та контроль серії: Онкотек Фарма Продакшн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Чеська Республіка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UA/6987/01/01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ДАЛАЦИН 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clindamycin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кліндаміцину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J01FF01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по 300 мг; по 8 капсул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Фарева Амбуаз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UA/1903/02/02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ДАЛАЦИН 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clindamycin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кліндаміцину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J01FF01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по 150 мг; по 8 капсул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Фарева Амбуаз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UA/1903/02/01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ДЕЙЛІПОРТ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tacrolimus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такролімус у вигляді такролімусу моногідрату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пролонгованої дії по 1 мг, по 10 капсул у блістері; по 5 блістерів у алюмінієвому пакеті; по 1 алюмінієвому пакету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первинне та вторинне пакування, випуск серій: Лек Фармацевтична компанія д.д., Словенія; контроль серій (тільки мікробіологічний):</w:t>
              <w:br/>
              <w:t>Лек Фармацевтична компанія д.д., Словенія; виробництво «in bulk», контроль серій (крім мікробіологічного): Новартіс Фармасьютікал Мануфактуринг ЛЛС, Словенія; контроль серій (альтернативна ділянка для проведення ГХ аналізу): Новартіс Фармасьютікал Мануфактуринг ЛЛС,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UA/20954/01/02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ДЕЙЛІПОРТ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tacrolimus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такролімус у вигляді такролімусу моногідрату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пролонгованої дії по 5 мг; по 10 капсул у блістері; по 5 блістерів у алюмінієвому пакеті; по 1 алюмінієвому пакету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первинне та вторинне пакування, випуск серій: Лек Фармацевтична компанія д.д., Словенія; контроль серій (тільки мікробіологічний):</w:t>
              <w:br/>
              <w:t>Лек Фармацевтична компанія д.д., Словенія; виробництво «in bulk», контроль серій (крім мікробіологічного): Новартіс Фармасьютікал Мануфактуринг ЛЛС, Словенія; контроль серій (альтернативна ділянка для проведення ГХ аналізу): Новартіс Фармасьютікал Мануфактуринг ЛЛС,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UA/20954/01/04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ДЕЙЛІПОРТ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tacrolimus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такролімус у вигляді такролімусу моногідрату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пролонгованої дії по 3 мг; по 10 капсул у блістері; по 5 блістерів у алюмінієвому пакеті; по 1 алюмінієвому пакету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первинне та вторинне пакування, випуск серій: Лек Фармацевтична компанія д.д., Словенія; контроль серій (тільки мікробіологічний):</w:t>
              <w:br/>
              <w:t>Лек Фармацевтична компанія д.д., Словенія; виробництво «in bulk», контроль серій (крім мікробіологічного): Новартіс Фармасьютікал Мануфактуринг ЛЛС, Словенія; контроль серій (альтернативна ділянка для проведення ГХ аналізу): Новартіс Фармасьютікал Мануфактуринг ЛЛС,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UA/20954/01/03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ДЕЙЛІПОРТ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tacrolimus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такролімус у вигляді такролімусу моногідрату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пролонгованої дії по 0,5 мг, по 10 капсул у блістері; по 5 блістерів у алюмінієвому пакеті; по 1 алюмінієвому пакету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первинне та вторинне пакування, випуск серій: Лек Фармацевтична компанія д.д., Словенія; контроль серій (тільки мікробіологічний):</w:t>
              <w:br/>
              <w:t>Лек Фармацевтична компанія д.д., Словенія; виробництво «in bulk», контроль серій (крім мікробіологічного): Новартіс Фармасьютікал Мануфактуринг ЛЛС, Словенія; контроль серій (альтернативна ділянка для проведення ГХ аналізу): Новартіс Фармасьютікал Мануфактуринг ЛЛС,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UA/20954/01/01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ДЕНІЗИД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ceftazidime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цефтазидиму пентагідрат (у складі стерильної суміші з натрію карбонатом безводним)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J01DD02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розчину для ін’єкцій по 1 г, 1 флакон з порошком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Ананта Медікеар Лтд.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Ананта Медікеар Лімітед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UA/15338/01/01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ДЕНІПІМ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cefepime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цефепіму гідрохлорид (у вигляді стерильної суміші цефепіму гідрохлориду та L-аргініну)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J01DE01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розчину для ін'єкцій по 1000 мг; 1 флакон з порошком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Ананта Медікеар Лтд.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Ананта Медікеар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UA/15339/01/01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ДЕПАКІН®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valproic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вальпроат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N03AG01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сироп, 57,64 мг/мл; № 1: по 150 мл у флаконі; по 1 флакону з дозуючим пристроєм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"Санофі-Авентіс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 нерозфасованого продукту, первинне пакування, вторинне пакування, контроль/випробування серії, включаючи випуск серії: Юнітер Ліквід Мануфекчурінг, Франція; виробництво нерозфасованого продукту, первинне пакування, вторинне пакування:</w:t>
              <w:br/>
              <w:t>Санофі Іляч Санаї Ве Тіджарет Анонім Шіркеті, Туреччина; Контроль/випробування серії, включаючи випуск серії: Санофі Вінтроп Індастріа,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Франція/ Туреччина/ 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UA/3817/01/01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ДОБУТАМІН АДМЕДА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dobutamine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добутаміну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C01CA07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інфузій, 250 мг/50 мл; по 50 мл (250 мг)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Адмеда Арцнайміттель ГмбХ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Солюфарм Фармацойтіше Ерцойгніссе ГмбХ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UA/5714/01/01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ДУАКЛІР® ДЖЕНУЕЙР®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Formoterol and aclidinium bromide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аклідинію бромід та формотеролу фумарату дигідрат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R03AL05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інгаляцій, 340 мкг/12 мкг; по 60 доз порошку для інгаляцій в інгаляторі; по 1 або по 3 інгалятори в алюмінієвому ламінованому пакеті кожен, разом із пакетиком з осушувачем в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БЕРЛІН-ХЕМІ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Індастріас Фармасеутікас Алмірал С.А.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Іспанiя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UA/17698/01/01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ЕГІЛОК®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metoprolol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метопрололу тартрат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C07AB02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таблетки по 25 мг, 60 таблеток у флаконі; по 1 флакону в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Виробник відповідальний за повний цикл виробництва, включаючи випуск серії:</w:t>
              <w:br/>
              <w:t>ЗАТ Фармацевтичний завод ЕГІС, Угорщина;</w:t>
              <w:br/>
              <w:t>Виробник відповідальний за вторинне та первинне пакування контроль серії та випуск серії:</w:t>
              <w:br/>
              <w:t>ЗАТ Фармацевтичний завод ЕГІС, Угорщина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UA/9635/01/01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ЕГІЛОК®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metoprolol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метопрололу тартрат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C07AB02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таблетки по 50 мг, 60 таблеток у флаконі; по 1 флакону в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Виробник відповідальний за повний цикл виробництва, включаючи випуск серії:</w:t>
              <w:br/>
              <w:t>ЗАТ Фармацевтичний завод ЕГІС, Угорщина;</w:t>
              <w:br/>
              <w:t>Виробник відповідальний за вторинне та первинне пакування контроль серії та випуск серії:</w:t>
              <w:br/>
              <w:t>ЗАТ Фармацевтичний завод ЕГІС, Угорщина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UA/9635/01/02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ЕГІЛОК®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metoprolol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метопрололу тартрат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C07AB02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таблетки по 100 мг, по 30 або 60 таблеток у флаконі; по 1 флакону в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Виробник відповідальний за повний цикл виробництва, включаючи випуск серії:</w:t>
              <w:br/>
              <w:t>ЗАТ Фармацевтичний завод ЕГІС, Угорщина;</w:t>
              <w:br/>
              <w:t>Виробник відповідальний за вторинне та первинне пакування контроль серії та випуск серії:</w:t>
              <w:br/>
              <w:t>ЗАТ Фармацевтичний завод ЕГІС, Угорщина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UA/9635/01/03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ЕЗОПРОТЕКТ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esomeprazole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езомепразол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A02BC05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ліофілізат для розчину для ін'єкцій та інфузій по 40 мг,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Містрал Кепітал Менеджмент Лімітед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ВЕМ Ілач Сан. ве Тік. А.С.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UA/19210/01/01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ЕНХЕРТУ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Trastuzumab deruxtecan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трастузумабу дерукстекан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L01FD04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концентрату для розчину для інфузій, 100 мг; стерильний ліофілізований порошок для концентрату для розчину для інфузій для одноразового використання у скляному флаконі, закупореному гумовою пробкою з обжимною кришкою "flip-off crimp cap";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АСТРАЗЕНЕКА ЮК ЛІМІТЕД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виробництво, випробування контролю якості при випуску:</w:t>
              <w:br/>
              <w:t>Бакстер Онколоджі ГмбХ, Німеччина;</w:t>
              <w:br/>
              <w:t xml:space="preserve">випробування контролю якості при випуску </w:t>
              <w:br/>
              <w:t>(тільки пригнічення росту клітин):</w:t>
              <w:br/>
              <w:t>Чарльз Рівер Лабораторіз Джормані ГмбХ, Німеччина;</w:t>
              <w:br/>
              <w:br/>
              <w:t>вторинне пакування, маркування та випуск серії (сертифікація) готового лікарського засобу:</w:t>
              <w:br/>
              <w:t>Даічі Санкіо Юроп ГмбХ, Німеччина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UA/20895/01/01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ЕПОБІОКРИН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erythropoietin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рекомбінантний еритропоетин людини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B03XA01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ін'єкцій по 1000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"ФЗ "СТАДА"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"ФЗ "СТАДА"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UA/17088/01/01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ЕПОБІОКРИН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erythropoietin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рекомбінантний еритропоетин людини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B03XA01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ін'єкцій по 2000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"ФЗ "СТАДА"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"ФЗ "СТАДА"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UA/17088/01/02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ЕПОБІОКРИН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erythropoietin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рекомбінантний еритропоетин людини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B03XA01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ін'єкцій по 4000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"ФЗ "СТАДА"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"ФЗ "СТАДА"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UA/17088/01/03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ЕПОБІОКРИН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erythropoietin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рекомбінантний еритропоетин людини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B03XA01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ін'єкцій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"ФЗ "СТАДА"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"ФЗ "СТАДА"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UA/17088/01/04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ЕРБІТУКС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cetuximab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цетуксимаб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L01FE01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інфузій, 5 мг/мл; по 20 мл або по 100 мл у скляному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Мерк Юроп Б.В.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Нідерланди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 готового лікарського засобу, первинне та вторинне пакування, маркування, контроль якості та випуск серій:</w:t>
              <w:br/>
              <w:t>Мерк Хелскеа КГаА, Німеччина;</w:t>
              <w:br/>
              <w:br/>
              <w:t xml:space="preserve">виробництво готового лікарського засобу, первинне та вторинне пакування, контроль якості та випуск серій: </w:t>
              <w:br/>
              <w:t>Мерк Сероно С.А., відділення у м. Обонн, Швейцарія;</w:t>
              <w:br/>
              <w:br/>
              <w:t>контроль якості:</w:t>
              <w:br/>
              <w:t>Мерк Сероно С.п.А., Італія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Німеччина/ Швейцарія/ Італія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UA/13055/01/01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ЕТАМБУТОЛ ДТ 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Ethambutol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етамбутолу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J04AK02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що диспергуються по 100 мг; по 10 таблеток у блістері, по 10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Маклеодс Фармасьютикалс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Оксаліс Лабс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UA/20918/01/01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ЕФМЕРИН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ceftriaxone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цефтриаксон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J01DD04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розчину для ін’єкцій по 1 г; 1 флакон з порошком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Ананта Медікеар Лтд.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Ананта Медікеар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UA/16125/01/01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ЕФМЕРИН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ceftriaxone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цефтриаксон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J01DD04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розчину для ін’єкцій по 2 г; 1 флакон з порошком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Ананта Медікеар Лтд.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Ананта Медікеар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UA/16125/01/02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ІЗІКАРД® 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Telmisartan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телміcартан та гідрохлоротіазид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C09DA07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40 мг/12,5 мг; по 7 таблеток в алюмінієвому блістері, по 2 блістери у картонній коробці; по 7 таблеток в алюмінієвому блістері,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UA/16929/01/01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ІЗІКАРД® 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sz w:val="16"/>
                <w:szCs w:val="16"/>
              </w:rPr>
              <w:t>Telmisartan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телміcартан та гідрохлоротіазид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C09DA07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80 мг/12,5 мг; по 7 таблеток в алюмінієвому блістері, по 2 блістери у картонній коробці; по 7 таблеток в алюмінієвому блістері,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UA/16929/01/02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ІЗІКАРД® 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Telmisartan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телміcартан та гідрохлоротіазид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C09DA07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80 мг/25 мг; по 7 таблеток в алюмінієвому блістері, по 2 блістери у картонній коробці; по 7 таблеток в алюмінієвому блістері,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UA/16929/01/03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КАНДІД-Б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Imidazoles/triazoles in combination with corticosteroids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клотримазол, беклометазону дипропіонат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D01AC20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крем, по 15 г у тубі; по 1 тубі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реєстраційної процедури в наказі МОЗ України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UA/8210/01/01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КЕЙДЕКС ІН'ЄКТ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розчин для ін'єкцій, 25 мг/мл, по 2 мл в ампулі, по 5 ампул у блістері, по 1 блістеру в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Приватне акціонерне товариство "Лекхім-Харків"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Приватне акціонерне товариство "Лекхім-Харків"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sz w:val="16"/>
                <w:szCs w:val="16"/>
              </w:rPr>
              <w:t>уточнення реєстраційної процедури в наказі МОЗ України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UA/19022/01/01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КЕТАНІКС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ketorolac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кеторолаку трометамін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M01AB15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ін’єкцій, 30 мг/мл; по 1 мл в ампулі; по 10 ампул у пачці; по 1 мл в ампулі; по 100 ампул у пачці; по 1 мл в ампулі; по 5 ампул в блістері; по 2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UA/3314/02/01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КЕТОДЕКСА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«Представництво БАУМ ФАРМ ГМБХ»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виробництво за повним циклом: ТОВ «АСТРАФАРМ», Україна; сертифікація серії та видача дозволу на реалізацію </w:t>
              <w:br/>
              <w:t>(випуск серії: ТОВ "Представництво БАУМ ФАРМ ГМБХ",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UA/16020/01/01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КЕТОТИФЕН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ketotifen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кетотифен (у вигляді кетотифену гідрофумарату)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0,001 г; іn bulk: по 3000 таблеток у контейнерах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UA/0207/01/01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КЕТОТИФЕН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ketotifen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кетотифен (у вигляді кетотифену гідрофумарату)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R06AX17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0,001 г; по 10 таблеток у блістері; по 1 або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UA/3317/01/01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КЛАТІНОЛ®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Lansoprazole, clarithromycin and tinidazole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1 таблетка містить кларитроміцин;</w:t>
              <w:br/>
              <w:t>1 таблетка містить тинідазол;</w:t>
              <w:br/>
              <w:t>1 капсула містить пелети лансопразолу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A02BD09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оболонкою, по 500 мг + таблетки, вкриті оболонкою, по 250 мг + капсули по 30 мг; комбінований набір для перорального застосування №42: 2 таблетки жовтого кольору круглої форми (тинідазолу) + 2 таблетки жовтого кольору довгастої форми (кларитроміцину) + 2 капсули (лансопразолу) - у стрипі, по 7 стрипів у картонній пачці; комбінований набір для перорального застосування №42: 2 таблетки жовтого кольору круглої форми (тинідазолу) + 2 таблетки жовтого кольору довгастої форми (кларитроміцину) + 2 капсули (лансопразолу) - у блістері, по 7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UA/5974/01/01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КЛОПІКСОЛ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zuclopenthixol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зуклопентиксолу дигідрохлорид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N05AF05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10 мг; по 100 таблеток у пластиковому контейнері; по 1 пластиковому контейнеру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Лундбек Експорт А/С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 нерозфасованого продукту, первинне та вторинне пакування, випуск серій: Х. Лундбек А/С, Данія;</w:t>
              <w:br/>
              <w:t>випробування за показником "мікробіологічна чистота": Еурофінс Біофарма Продакт Тестінг Денмарк А/С, Данія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UA/2205/01/02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КЛОПІКСОЛ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zuclopenthixol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зуклопентиксолу дигідрохлорид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N05AF05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2 мг; по 100 таблеток у пластиковому контейнері; по 1 пластиковому контейнеру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Лундбек Експорт А/С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 нерозфасованого продукту, первинне та вторинне пакування, випуск серій: Х. Лундбек А/С, Данія;</w:t>
              <w:br/>
              <w:t>випробування за показником "мікробіологічна чистота": Еурофінс Біофарма Продакт Тестінг Денмарк А/С, Данія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UA/2205/01/01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КЛОТРИМАЗОЛ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clotrimazole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клотримазол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G01AF02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вагінальні по 100 мг; по 6 таблеток у стрипі; по 1 стрипу з аплікатором у картонній пачці; по 6 таблеток у блістері; по 1 блістеру з аплікатором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UA/8794/02/01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КОКОМІД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bicalutamide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бікалутамід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L02BB03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50 мг,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Містрал Кепітал Менеджмент Лімітед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Сінтон Хіспанія, С.Л.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UA/18657/01/01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КОКОМІД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bicalutamide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бікалутамід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L02BB03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150 мг,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Містрал Кепітал Менеджмент Лімітед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Сінтон Хіспанія, С.Л.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UA/18657/01/02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КОМБІГРИП ХОТ СІП®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парацетамол, цетиризину гідрохлорид, фенілефрину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орального розчину з лимонним смаком; по 5 г порошку в саше; по 10 саше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Евертоджен Лайф Саєнсиз Лімітед, Індія; Сага Лайфсаєнсиз Лімітед, Індія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UA/11503/01/01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КОМБІГРИП ХОТ СІП®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парацетамол, цетиризину гідрохлорид, фенілефрину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орального розчину з малиновим смаком; по 5 г порошку в саше; по 10 саше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Евертоджен Лайф Саєнсиз Лімітед, Індія; Сага Лайфсаєнсиз Лімітед, Індія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UA/11504/01/01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КОМБІГРИП®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парацетамол, кофеїн, фенілефрину гідрохлорид, хлорфеніраміну малеат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таблетки у блістері з фольги алюмінієвої; по 1 блістеру у пачці з картону; по 20 пачок у груповій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UA/2913/01/01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КОМБІГРИП®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парацетамол, кофеїн, фенілефрину гідрохлорид, хлорфеніраміну малеат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in bulk: по 5000 таблеток у пакетах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UA/2914/01/01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КРЕОН® 10000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Multienzymes (lipase, protease etc.)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панкреатин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A09AA02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тверді з гастрорезистентними гранулами по 150 мг; по 20 або 50, або 100 капсул у флаконі; по 1 флакону в картонній коробці; по 10 капсул у блістері; по 1 або 2, або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Абботт Лабораторіз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Абботт Лабораторіз ГмбХ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UA/9842/01/01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КРЕОН® 25000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Multienzymes (lipase, protease etc.)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панкреатин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A09AA02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тверді з гастрорезистентними гранулами по 300 мг; по 20 або 50, або 100 капсул у флаконі; по 1 флакону в картонній коробці; по 10 капсул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Абботт Лабораторіз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Абботт Лабораторіз ГмбХ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UA/9842/01/02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КРЕОН® 40000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Multienzymes (lipase, protease etc.)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панкреатин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A09AA02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тверді з гастрорезистентними гранулами по 400 мг; по 20 або 50, або 100 капсул у флаконі; по 1 флакону в картонній коробці; по 10 капсул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Абботт Лабораторіз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Абботт Лабораторіз ГмбХ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UA/9842/01/03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КРЕОН®ЧИК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Multienzymes (lipase, protease etc.)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панкреатин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A09AA02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гастрорезистентні гранули, по 60,12 мг/100 мг; по 20 г гранул у скляній пляшці; 1 пляшка з мірною ложкою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Абботт Лабораторіз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Абботт Лабораторіз ГмбХ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UA/15046/01/01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КСОЛАР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omalizumab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омалізумаб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R03DX05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порошок для розчину для ін’єкцій по 150 мг; 1 флакон з порошком у комплекті з розчинником (вода для ін’єкцій) по 2 мл в ампулах №1 в упаковкці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Фарма Штейн АГ, Швейцарія; Вторинне пакування, випуск серії: Лек Фармасьютикалс д.д., Словенія; Виробництво, контроль якості, первинне пакування розчинника: ДЕЛЬФАРМ ДІЖОН,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Швейцарія/ Словенія/ 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UA/9055/01/02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КСОЛАР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omalizumab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омалізумаб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R03DX05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порошок для розчину для ін`єкцій по 75 мг; 1 флакон з порошком у комплекті з розчинником (вода для ін`єкцій) </w:t>
              <w:br/>
              <w:t>по 2 мл в ампулах № 1 в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Фарма Штейн АГ, Швейцарія; Виробництво, контроль якості, первинне пакування розчинника: ДЕЛЬФАРМ ДІЖОН,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Швейцарія/ 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UA/9055/01/01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ЛАГЕВРІО/LAGEVRIO™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Molnupiravir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молнупіравір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капсули по 200 мг; по 40 капсул у пляшці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Мерк Шарп і Доум ІДЕА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МСД Інтернешнл ГмбХ (Філія Пуерто-Ріко) ТОВ, Cполучені Штати Америки; Патеон Інк., Канада; Патеон Інк., Канада; Шарп Пекеджінг Сервісес, ЛЛС, Cполучені Штати Америки; Патеон Фармасьютікалз Інк., Cполучені Штати Америки; Мерк Шарп і Доум ЛЛС, Сполучені Штати Америки; Мерк Шарп і Доум ЛЛС, Сполучені Штати Америки; Мерк Шарп і Доум ЛЛС, Сполучені Штати Америки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Cполучені Штати Америки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UA/19184/01/01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ЛАМОТРИН 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lamotrigine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ламотриджин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N03AX09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100 мг, по 10 таблеток у блістері; по 1, 3 або 6 блістерів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UA/2112/01/02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ЛАМОТРИН 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lamotrigine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ламотриджин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N03AX09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25 мг, по 10 таблеток у блістері; по 1, 3 або 6 блістерів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UA/2112/01/03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ЛАМОТРИН 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lamotrigine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ламотриджин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N03AX09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50 мг, по 10 таблеток у блістері; по 1, 3 або 6 блістерів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UA/2112/01/01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ЛАПРОНЕКСТ КОМБІ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timolol,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латанопрост, тимололу малеат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S01ED51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краплі очні, розчин, (50 мкг+5 мг)/мл; по 2,5 мл у флаконі-крапельниці; по 1 флакону-крапельниці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БІОСАЙНС ГРУП ЛАБОРАТОРІЗ с.р.о.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Словацька Республіка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РАФАРМ СА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Греція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UA/17840/01/01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ЛЕВОФЛОКСАЦИН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левофлоксацин (у вигляді левофлоксацину гемігідрату)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оболонкою, по 500 мг; по 5 або по 10 таблеток у блістері; по 1 блістеру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Сімпекс Фарма Пвт. Лтд.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Сімпекс Фарма Пвт. Лтд.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UA/13896/01/02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ЛЕВОФЛОКСАЦИН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левофлоксацин (у вигляді левофлоксацину гемігідрату)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оболонкою, по 250 мг, in bulk: по 5 таблеток у блістері по 100 або по 200 блістерів у коробках; in bulk: по 10 таблеток у блістері по 50 або по 100 блістерів у коробках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Сімпекс Фарма Пвт. Лтд.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Сімпекс Фарма Пвт. Лтд.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UA/13897/01/01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ЛЕВОФЛОКСАЦИН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левофлоксацин (у вигляді левофлоксацину гемігідрату)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оболонкою, по 500 мг; in bulk: по 5 таблеток у блістері по 100 або по 200 блістерів у коробках; in bulk: по 10 таблеток у блістері по 50 або по 100 блістерів у коробках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Сімпекс Фарма Пвт. Лтд.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Сімпекс Фарма Пвт. Лтд.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UA/13897/01/02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ЛЕВОФЛОКСАЦИН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левофлоксацин (у вигляді левофлоксацину гемігідрату)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оболонкою, по 250 мг; по 5 або по 10 таблеток у блістері; по 1 блістеру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Сімпекс Фарма Пвт.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Сімпекс Фарма Пвт. Лтд.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UA/13896/01/01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ЛЕТРАМ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levetiracetam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леветирацетам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N03AX14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концентрат для розчину для інфузій, 100 мг/мл; по 5 мл (500 мг) у флаконі, по 1 або по 10 флаконів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Аспіро Фарма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Аспіро Фарма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Зміни II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UA/17233/01/01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ЛІДОКАЇНУ ГІДРОХЛОРИДУ МОНОГІДРАТ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lidocaine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лідокаїну гідрохлориду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ТОВАРИСТВО З ОБМЕЖЕНОЮ ВІДПОВІДАЛЬНІСТЮ "КОРПОРАЦІЯ "ЗДОРОВ`Я"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ГУФІК БІОСАЙЄНСІЗ ЛТД.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UA/14598/01/01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800 мг, по 30 таблеток у скляних флаконах; по 15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UA/8165/01/02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UA/8165/01/03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400 мг; по 60 таблеток у скляному флаконі; по 1 флакону у картонній коробці;</w:t>
              <w:br/>
              <w:t>по 15 таблеток у блістері;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800 мг по 30 таблеток у скляних флаконах; по 15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UA/8165/01/02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1200 мг по 20 таблеток у скляних флаконах; по 10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UA/8165/01/03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800 мг, по 30 таблеток у скляних флаконах; по 15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UA/8165/01/02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UA/8165/01/03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800 мг; по 30 таблеток у скляних флаконах; по 15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UA/8165/01/02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UA/8165/01/03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UA/8165/01/01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МАГНІЮ СУЛЬФАТ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Magnesium sulfate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магнію сульфат гептагідрат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B05XA05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ін`єкцій 250 мг/мл; по 5 мл в ампулі; по 10 ампул в пачці; по 5 мл в ампулі; по 100 ампул в пачці; по 5 мл в ампулі; по 5 ампул в блістері; по 2 блістери в пачці; по 10 мл в ампулі; по 10 ампул в пачці; по 10 мл в ампулі; по 5 ампул в блістері; по 2 блістери в пачці; по 10 мл в ампулі; по 100 ампул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Приватне акціонерне товариство "Лекхім-Харків"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UA/14637/01/01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МІНОКСИДИЛ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minoxidil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міноксидил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(субстанція) в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ПП "МЕДЕО"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ВПЛ Кемікалз Пвт. Лтд.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UA/18568/01/01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МІРАМІСТИН®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мірамістин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D08AJ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зовнішнього застосування, 0,1 мг/мл; по 50 мл у флаконі, по 1 флакону з уретральною насадкою або по 1 флакону з розпилювачем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UA/1804/02/01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МОМІКСОН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mometasone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мометазону фуроату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R01AD09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спрей назальний, суспензія, 50 мкг/дозу; по 10 г (60 доз), по 16 г (120 доз), 18 г (140 доз) суспензії у поліетиленовому флаконі з дозуючим насосом та назальним аплікатором; по 1 флакону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АТ "Адамед Фарма"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Фармеа, Франція; Виробник відповідальний за випуск серії, не включаючи контроль: АТ "Адамед Фарма", Польща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UA/16749/01/01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МОНОПРОСТ®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latanoprost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латанопрост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S01EE01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краплі очні, розчин, 50 мкг/мл; по 0,2 мл в однодозовому контейнері; по 5 однодозових контейнерів, з`єднаних між собою у стрічку (стрип), у саше; по 6 саше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ЛАБОРАТУАР ТЕА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ЕКСЕЛВІЗІОН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UA/16308/01/01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НЕБІДО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testosterone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тестостерону ундеканоат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G03BA03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ін`єкцій, 250 мг/мл; по 4 мл у флаконі; по 1 флакону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Байєр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Байєр АГ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UA/2629/01/01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НЕОТРИЗОЛ®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орнідазол, неоміцину сульфат, міконазолу нітрат, преднізолон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G01BF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вагінальні, по 4 таблетки у стрипі; по 2 стрипи в картонній коробці у комплекті з аплікатором; по 8 таблеток у блістері; по 1 блістеру в картонній коробці у комплекті з аплікатором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UA/10674/01/01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НОВОКС®-500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500 мг; по 5 таблеток у блістері; по 1 блістеру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UA/12673/01/01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НОВОКС®-500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500 мг; in bulk: по 1000 таблеток у подвійному пакеті; по 1 пакету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UA/12674/01/01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НОВОКС®-750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750 мг; по 5 таблеток у блістері; по 1 блістеру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UA/12673/01/02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НОВОКС®-750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750 мг; in bulk: по 1000 таблеток у подвійному пакеті; по 1 пакету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UA/12674/01/02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РЕПЛАГАЛ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agalsidase alfa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агалсидаза альфа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A16AB03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концентрат для розчину для інфузій, 1 мг/мл; по 3,5 мл концентрату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Такеда Фармасьютікалз Інтернешнл АГ Ірландія Бренч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відповідальний за випуск серії: Шайєр Фармасьютікалз Ірландія Лімітед, Ірландія; Такеда Фармасьютікалз Інтернешнл АГ Ірландія Бренч, Ірландія; виробництво лікарського засобу, контроль якості серії, візуальна інспекція: Веттер Фарма-Фертігюнг ГмбХ Енд Ко. КГ, Німеччина; виробництво лікарського засобу, контроль якості ГЛЗ: Бора Фармасьютікалз Інжектеблс Інк. (БіПіАйАй), США; контроль якості серії, візуальна інспекція: Веттер Фарма-Фертігюнг ГмбХ Енд Ко. КГ, Німеччина; візуальна інспекція: Веттер Фарма-Фертігюнг ГмбХ Енд Ко. КГ, Німеччина; контроль якості ГЛЗ, випробування стабільності: Шайєр Хьюмен Дженетік Терапіс, США; контроль якості серії, випробування стабільності: Чарльз Рівер Лабораторіз Айленд Лтд, Ірландія; контроль якості серії: Веттер Фарма-Фертігюнг ГмбХ Енд Ко. КГ, Німеччина; Кованс Лабораторіз Лімітед, Сполучене Королівство; маркування та пакування, дистрибуція готового лікарського засобу: Емінент Сервісез Корпорейшн, США; ДіЕйчЕл Сапплай Чейн, Нідерланди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Ірландія/ Німеччина/ США/ Сполучене Королівство/ Нідерланди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UA/15890/01/01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РЕПЛАГАЛ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agalsidase alfa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агалсидаза альфа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A16AB03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концентрат для розчину для інфузій, 1 мг/мл; по 3,5 мл концентрату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Такеда Фармасьютікалз Інтернешнл АГ Ірландія Бренч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відповідальний за випуск серії: Шайєр Фармасьютікалз Ірландія Лімітед, Ірландія; Такеда Фармасьютікалз Інтернешнл АГ Ірландія Бренч, Ірландія; виробництво лікарського засобу, контроль якості серії, візуальна інспекція: Веттер Фарма-Фертігюнг ГмбХ Енд Ко. КГ, Німеччина; виробництво лікарського засобу, контроль якості ГЛЗ: Бора Фармасьютікалз Інжектеблс Інк. (БіПіАйАй), США; контроль якості серії, візуальна інспекція: Веттер Фарма-Фертігюнг ГмбХ Енд Ко. КГ, Німеччина; візуальна інспекція: Веттер Фарма-Фертігюнг ГмбХ Енд Ко. КГ, Німеччина; контроль якості ГЛЗ, випробування стабільності: Шайєр Хьюмен Дженетік Терапіс, США; контроль якості серії, випробування стабільності: Чарльз Рівер Лабораторіз Айленд Лтд, Ірландія; контроль якості серії: Веттер Фарма-Фертігюнг ГмбХ Енд Ко. КГ, Німеччина; Кованс Лабораторіз Лімітед, Сполучене Королівство; маркування та пакування, дистрибуція готового лікарського засобу: Емінент Сервісез Корпорейшн, США; ДіЕйчЕл Сапплай Чейн, Нідерланди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Ірландія/ Німеччина/ США/ Сполучене Королівство/ Нідерланди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виправлення технічної помилки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UA/15890/01/01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РІНВОК®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upadacitinib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упадацитиніб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L04AF03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ЕббВі Біофармасьютікалз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первинне та вторинне пакування, випуск серії: Еббві С.р.л., Італія; виробництво лікарського засобу, тестування: Еббві Айрленд НЛ Б.В., Ірландiя; тестування під час зберігання: Еббві Інк., США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Італія/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Ірландія/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США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UA/18371/01/01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СЕРТИКАН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everolimus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еверолімус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L04AA18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0,75 мг, по 10 таблеток у блістері; по 6 блістерів у коробці з картону пакувального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Виробництво, контроль якості, первинне пакування, вторинне пакування, випуск серії: Новартіс Фарма Штейн АГ, Швейцарія;</w:t>
              <w:br/>
              <w:t xml:space="preserve">Виробництво за повним циклом: Новартіс Фармасьютикалс С.Р.Л. , Румунія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Швейцарія/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Румунія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UA/3913/01/03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СИГНІФОР ЛАР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pasireotide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пасиреотид (у формі пасиреотиду памоату)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H01CB05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суспензії для ін`єкцій по 20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Рекордаті Реа Дізізес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випуск серії: Рекордаті Реа Дізізес, Франція; випуск серії: Рекордаті Реа Дізізес, Франція; виробництво, контроль якості, первинне пакування розчинника та вторинне пакування готового продукту: Абботт Біолоджикалс Б.В., Нідерланди; контроль якості за всіма параметрами за виключенням тесту "Бактеріальні ендотоксини", первинне пакування порошку: Новартіс Фармасютікал Мануфактурінг ГмбХ, Австрія; контроль якості за всіма параметрами за виключенням молекулярної маси полімеру та тесту "Бактеріальні ендотоксини": Новартіс Фармасютікал Мануфактурінг ГмбХ, Австрія; виробництво порошку in bulk для суспензії для ін'єкцій: РЕКОРДАТІ АГ Реа Дізізес Бранч, Швейцарія; контроль якості за показником "Бактеріальні ендотоксини": Еурофінс Біофарма Продакт Тестінг Мюніх ГмбХ, Німеччина; термінальна стерилізація флаконів: Сінерджи Хелс Денікен АГ, Швейцарія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Франція/ Нідерланди/ Австрія/ Швейцарія/ 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UA/15926/01/01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СИГНІФОР ЛАР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pasireotide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пасиреотид (у формі пасиреотиду памоату)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H01CB05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суспензії для ін`єкцій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Рекордаті Реа Дізізес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випуск серії: Рекордаті Реа Дізізес, Франція; випуск серії: Рекордаті Реа Дізізес, Франція; виробництво, контроль якості, первинне пакування розчинника та вторинне пакування готового продукту: Абботт Біолоджикалс Б.В., Нідерланди; контроль якості за всіма параметрами за виключенням тесту "Бактеріальні ендотоксини", первинне пакування порошку: Новартіс Фармасютікал Мануфактурінг ГмбХ, Австрія; контроль якості за всіма параметрами за виключенням молекулярної маси полімеру та тесту "Бактеріальні ендотоксини": Новартіс Фармасютікал Мануфактурінг ГмбХ, Австрія; виробництво порошку in bulk для суспензії для ін'єкцій: РЕКОРДАТІ АГ Реа Дізізес Бранч, Швейцарія; контроль якості за показником "Бактеріальні ендотоксини": Еурофінс Біофарма Продакт Тестінг Мюніх ГмбХ, Німеччина; термінальна стерилізація флаконів: Сінерджи Хелс Денікен АГ, Швейцарія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Франція/ Нідерланди/ Австрія/ Швейцарія/ 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UA/15926/01/03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СИГНІФОР ЛАР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pasireotide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пасиреотид (у формі пасиреотиду памоату)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H01CB05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порошок для суспензії для ін`єкцій по 40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Рекордаті Реа Дізізес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випуск серії: Рекордаті Реа Дізізес, Франція; випуск серії: Рекордаті Реа Дізізес, Франція; виробництво, контроль якості, первинне пакування розчинника та вторинне пакування готового продукту: Абботт Біолоджикалс Б.В., Нідерланди; контроль якості за всіма параметрами за виключенням тесту "Бактеріальні ендотоксини", первинне пакування порошку: Новартіс Фармасютікал Мануфактурінг ГмбХ, Австрія; контроль якості за всіма параметрами за виключенням молекулярної маси полімеру та тесту "Бактеріальні ендотоксини": Новартіс Фармасютікал Мануфактурінг ГмбХ, Австрія; виробництво порошку in bulk для суспензії для ін'єкцій: РЕКОРДАТІ АГ Реа Дізізес Бранч, Швейцарія; контроль якості за показником "Бактеріальні ендотоксини": Еурофінс Біофарма Продакт Тестінг Мюніх ГмбХ, Німеччина; термінальна стерилізація флаконів: Сінерджи Хелс Денікен АГ, Швейцарія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Франція/ Нідерланди/ Австрія/ Швейцарія/ 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UA/15926/01/02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СІНМЕТОН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nabumetone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набуметон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M01AX01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оболонкою, по 500 мг; по 10 таблеток у блістері; по 1 або по 3, або по 10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UA/10667/01/01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СІНМЕТОН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nabumetone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набуметон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M01AX01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оболонкою, по 750 мг; по 10 таблеток у блістері; по 1 або по 3, або по 10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UA/10667/01/02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СІНМЕТОН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nabumetone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набуметон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таблетки, вкриті оболонкою, по 500 мг; іn bulk: по 1000 таблеток у пакетах із фольги алюмінієвої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UA/10668/01/01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СІНМЕТОН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nabumetone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набуметон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таблетки, вкриті оболонкою, по 750 мг; іn bulk: по 1000 таблеток у пакетах із фольги алюмінієвої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UA/10668/01/02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ТРЕСІБА® ФЛЕКСТАЧ®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insulin degludec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інсулін деглюдек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A10AE05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ін'єкцій 100 ОД/мл;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А/Т Ново Нордіск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Виробництво, наповнення в первинну упаковку та контроль балку. Відповідальний за випуск: А/Т Ново Нордіск, Данія; </w:t>
              <w:br/>
              <w:t>Комплектування, маркування та вторинне пакування готового продукту. Контроль якості балку готового продукту та кінцевого готового продукту: А/Т Ново Нордіск, Данія; Виробник нерозфасованого продукту, наповнення в первинну упаковку та перевірка якості продукції балку. Контроль якості зразків в процесі виробництва та продукції bulk. Контроль якості готового продукту. Комплектування, маркування та вторинне пакування готового продукту. Відповідальний за випуск серії: Ново Нордіск Продюксьон САС,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Данія/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UA/14264/01/01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УЛЬТРАВІСТ 370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iopromide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йопромід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V08AB05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ін’єкцій та інфузій, 370 мг/мл по 50 або 100 мл у флаконі; по 1 флакону у картонній пачці; по 500 мл у флаконі; по 8 флаконів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Байєр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виробництво продукції in-bulk, первинне пакування, вторинне пакування, контроль серії, випуск серії: Байєр АГ, Німеччина;</w:t>
              <w:br/>
              <w:t>виробництво продукції in-bulk, первинне пакування, вторинне пакування, контроль серії, випуск серії: Берлімед, С.А., Іспанiя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Німеччина/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UA/1987/01/01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ФАНІГАН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Diclofenac,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парацетамол, диклофенак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M01AB55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по 4 таблетки у блістері; по 25 блістерів у картонній упаковці; по 10 таблеток у блістері; по 10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  <w:br/>
              <w:t xml:space="preserve">або </w:t>
              <w:br/>
              <w:t>виробництво продукції in bulk:</w:t>
              <w:br/>
              <w:t>КУСУМ ХЕЛТХКЕР ПВТ ЛТД, Індія</w:t>
              <w:br/>
              <w:t xml:space="preserve">або </w:t>
              <w:br/>
              <w:t>КУСУМ ХЕЛТХКЕР ПВТ ЛТД, Індія;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серії: </w:t>
              <w:br/>
              <w:t>ТОВ "КУСУМ ФАРМ", Україна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або</w:t>
              <w:br/>
              <w:t>ТОВ «КУСУМ», Україна;</w:t>
              <w:br/>
              <w:t>вторинне пакування, випуск серії з продукції in bulk:</w:t>
              <w:br/>
              <w:t>ТОВ «КУСУМ», Україна;</w:t>
              <w:br/>
              <w:t>контроль якості:</w:t>
              <w:br/>
              <w:t>ТОВ «КУСУМ»,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UA/7260/01/01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ФАНІГАН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Diclofenac,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парацетамол, диклофенак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in bulk № 880 (10х88) таблеток: по 10 таблеток у блістері, по 88 блістерів у картонній коробці; in bulk № 7290 (10х729) таблеток: по 10 таблеток у блістері, по 729 блістерів у картонній коробці (виробник "Кусум Хелтхкер Пвт Лтд" / СП-289 (A), РІІКО Індастріал ареа, Чопанкі, Бхіваді, Діст. Алвар (Раджастан), Індія); in bulk: № 9000 (10х900) таблеток: по 10 таблеток у блістері, по 900 блістерів у картонній коробці (виробник "Кусум Хелтхкер Пвт Лтд" / Плот № М-3, Індор Спешел Ікономік Зоун, Фейз-ІІ, Пітампур, Діст. Дхар, Мадхья Прадеш, Пін 454774, Індія)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UA/12274/01/01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ФЛАМІДЕЗ ГЕЛЬ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диклофенаку діетиламін, метилсаліцилат, левоментол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M02AA65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гель по 20 г, 30 г, 40 г або 100 г в ламінованій тубі;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Енк`юб Етікалз Прайвіт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UA/12794/01/01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ФЛАМІДЕЗ®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Diclofenac,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парацетамол, диклофенак калію, серратіопептидаза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 in bulk: 2500 таблеток у пакетах із фольги алюмінієвої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Евертоджен Лайф Саєнсиз Лімітед, Індія; Сага Лайфсаєнсиз Лімітед, Індія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UA/7062/01/01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ФЛАМІДЕЗ®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Diclofenac,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парацетамол, диклофенак калію, серратіопептидаза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M01AB55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по 10 таблеток у блістері; по 1, або по 3, або по 10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Евертоджен Лайф Саєнсиз Лімітед, Індія; Сага Лайфсаєнсиз Лімітед, Індія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UA/7061/01/01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4">
        <w:r>
          <w:rPr>
            <w:rStyle w:val="Internet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Internet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ind w:right="20" w:hanging="0"/>
        <w:rPr/>
      </w:pPr>
      <w:r>
        <w:rPr>
          <w:rFonts w:cs="Arial" w:ascii="Arial" w:hAnsi="Arial"/>
          <w:i/>
          <w:sz w:val="16"/>
          <w:szCs w:val="16"/>
        </w:rPr>
        <w:t>**у разі внесення змін до інструкції про медичне застосування</w:t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1077" w:right="1134" w:header="709" w:top="907" w:footer="0" w:bottom="907" w:gutter="0"/>
          <w:pgNumType w:fmt="decimal"/>
          <w:formProt w:val="false"/>
          <w:titlePg/>
          <w:textDirection w:val="lrTb"/>
          <w:docGrid w:type="default" w:linePitch="360" w:charSpace="0"/>
        </w:sectPr>
        <w:pStyle w:val="11"/>
        <w:rPr>
          <w:rStyle w:val="Cs7864ebcf1"/>
          <w:rFonts w:ascii="Arial" w:hAnsi="Arial" w:cs="Arial"/>
          <w:color w:val="000000"/>
          <w:sz w:val="16"/>
          <w:szCs w:val="16"/>
          <w:lang w:val="uk-UA"/>
        </w:rPr>
      </w:pPr>
      <w:r>
        <w:rPr/>
      </w:r>
    </w:p>
    <w:p>
      <w:pPr>
        <w:pStyle w:val="11"/>
        <w:rPr>
          <w:rStyle w:val="Cs7864ebcf1"/>
          <w:rFonts w:ascii="Arial" w:hAnsi="Arial" w:cs="Arial"/>
          <w:color w:val="000000"/>
          <w:sz w:val="16"/>
          <w:szCs w:val="16"/>
        </w:rPr>
      </w:pPr>
      <w:r>
        <w:rPr/>
      </w:r>
    </w:p>
    <w:tbl>
      <w:tblPr>
        <w:tblW w:w="3828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</w:tblGrid>
      <w:tr>
        <w:trPr/>
        <w:tc>
          <w:tcPr>
            <w:tcW w:w="3828" w:type="dxa"/>
            <w:tcBorders/>
            <w:shd w:fill="auto" w:val="clear"/>
          </w:tcPr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both"/>
              <w:rPr/>
            </w:pPr>
            <w:r>
              <w:rPr>
                <w:rStyle w:val="Cs7864ebcf1"/>
                <w:rFonts w:cs="Arial"/>
                <w:color w:val="000000"/>
                <w:sz w:val="18"/>
                <w:szCs w:val="18"/>
              </w:rPr>
              <w:t>Додаток 4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до наказу Міністерства охорони</w:t>
            </w:r>
          </w:p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здоров’я України</w:t>
            </w:r>
          </w:p>
          <w:p>
            <w:pPr>
              <w:pStyle w:val="Normal"/>
              <w:tabs>
                <w:tab w:val="left" w:pos="12600" w:leader="none"/>
              </w:tabs>
              <w:jc w:val="both"/>
              <w:rPr/>
            </w:pPr>
            <w:r>
              <w:rPr>
                <w:rFonts w:cs="Arial" w:ascii="Arial" w:hAnsi="Arial"/>
                <w:b/>
                <w:sz w:val="18"/>
                <w:szCs w:val="18"/>
              </w:rPr>
              <w:t>від ________________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</w:rPr>
              <w:t xml:space="preserve"> № _____</w:t>
            </w:r>
          </w:p>
        </w:tc>
      </w:tr>
    </w:tbl>
    <w:p>
      <w:pPr>
        <w:pStyle w:val="Normal"/>
        <w:tabs>
          <w:tab w:val="left" w:pos="12600" w:leader="none"/>
        </w:tabs>
        <w:rPr>
          <w:rStyle w:val="Cs7864ebcf1"/>
          <w:rFonts w:ascii="Arial" w:hAnsi="Arial" w:cs="Arial"/>
          <w:b/>
          <w:b/>
          <w:color w:val="000000"/>
          <w:sz w:val="18"/>
          <w:szCs w:val="18"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ПЕРЕЛІК</w:t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 xml:space="preserve">ЛІКАРСЬКИХ ЗАСОБІВ, ЯКІ НЕ РЕКОМЕНДОВАНІ ДО ДЕРЖАВНОЇ РЕЄСТРАЦІЇ, ПЕРЕРЕЄСТРАЦІЇ ТА ВНЕСЕННЯ ЗМІН ДО РЕЄСТРАЦІЙНИХ МАТЕРІАЛІВ </w:t>
      </w:r>
    </w:p>
    <w:p>
      <w:pPr>
        <w:pStyle w:val="Normal"/>
        <w:jc w:val="center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tbl>
      <w:tblPr>
        <w:tblW w:w="15345" w:type="dxa"/>
        <w:jc w:val="left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88"/>
        <w:gridCol w:w="1730"/>
        <w:gridCol w:w="1701"/>
        <w:gridCol w:w="1559"/>
        <w:gridCol w:w="1276"/>
        <w:gridCol w:w="1559"/>
        <w:gridCol w:w="1134"/>
        <w:gridCol w:w="1985"/>
        <w:gridCol w:w="3808"/>
        <w:gridCol w:w="5"/>
      </w:tblGrid>
      <w:tr>
        <w:trPr>
          <w:tblHeader w:val="true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  <w:lang w:eastAsia="en-US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  <w:lang w:eastAsia="en-US"/>
              </w:rPr>
              <w:t>Назва лікарського засобу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  <w:lang w:eastAsia="en-US"/>
              </w:rPr>
              <w:t>Форма випуску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  <w:lang w:eastAsia="en-US"/>
              </w:rPr>
              <w:t>Заявник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  <w:lang w:eastAsia="en-US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  <w:lang w:eastAsia="en-US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  <w:lang w:eastAsia="en-US"/>
              </w:rPr>
              <w:t>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insideH w:val="single" w:sz="4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  <w:lang w:eastAsia="en-US"/>
              </w:rPr>
              <w:t>Підстава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E5E5E5" w:val="clear"/>
            <w:tcMar>
              <w:left w:w="100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  <w:lang w:eastAsia="en-US"/>
              </w:rPr>
              <w:t>Процедура</w:t>
            </w:r>
          </w:p>
        </w:tc>
      </w:tr>
      <w:tr>
        <w:trPr>
          <w:trHeight w:val="352" w:hRule="atLeast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>
                <w:rFonts w:ascii="Arial" w:hAnsi="Arial" w:cs="Arial"/>
                <w:b/>
                <w:b/>
                <w:i/>
                <w:i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  <w:lang w:eastAsia="en-US"/>
              </w:rPr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 xml:space="preserve">ВІДОРА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таблетки, вкриті плівковою оболонкою, 3,0 мг/0,03 мг по 28 таблеток в блістері (21 таблетка жовтого кольору та 7 таблеток білого кольору); по 1 або по 3 блістери в картонній коробці</w:t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Зентіва, к.с.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Чеська Республiка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виробник –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АТДІС ФАРМА, С.Л., Іспанiя (Виробник, який відповідає за вторинне пакування); ЛАБОРАТОРІО ЕЧЕВАРНЕ, С.А., Іспанiя (виробник, який відповідає за мікробіологічне тестування); Лабораторіос Леон Фарма, С.А., Іспанiя (Повний цикл виробництва); МАНАНТІАЛ ІНТЕГРА, С.Л.У., Іспанiя (Виробник, який відповідає за вторинне пакування)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extBodyIndent"/>
              <w:spacing w:before="0" w:after="0"/>
              <w:ind w:left="0" w:hanging="0"/>
              <w:jc w:val="center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Іспанiя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312"/>
              <w:ind w:hanging="0"/>
              <w:jc w:val="left"/>
              <w:rPr>
                <w:rFonts w:cs="Arial"/>
                <w:b w:val="false"/>
                <w:b w:val="false"/>
                <w:iCs/>
                <w:szCs w:val="18"/>
              </w:rPr>
            </w:pPr>
            <w:r>
              <w:rPr>
                <w:rFonts w:cs="Arial"/>
                <w:b w:val="false"/>
                <w:iCs/>
                <w:szCs w:val="18"/>
              </w:rPr>
              <w:t>засідання НТР № 36 від 10.09.2026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extBodyIndent"/>
              <w:spacing w:before="0" w:after="0"/>
              <w:ind w:left="0" w:hang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не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</w:rPr>
              <w:t>рекомендувати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</w:rPr>
              <w:t>до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</w:rPr>
              <w:t>затвердження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 xml:space="preserve"> - </w:t>
            </w:r>
            <w:r>
              <w:rPr>
                <w:rFonts w:cs="Arial" w:ascii="Arial" w:hAnsi="Arial"/>
                <w:sz w:val="18"/>
                <w:szCs w:val="18"/>
              </w:rPr>
              <w:t>технічна</w:t>
            </w:r>
            <w:r>
              <w:rPr>
                <w:rFonts w:cs="Arial" w:ascii="Arial" w:hAnsi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помилка</w:t>
            </w:r>
          </w:p>
          <w:p>
            <w:pPr>
              <w:pStyle w:val="TextBodyIndent"/>
              <w:spacing w:before="0" w:after="0"/>
              <w:ind w:left="0" w:hang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TextBodyIndent"/>
              <w:spacing w:before="0" w:after="0"/>
              <w:ind w:left="0" w:hang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TextBodyIndent"/>
              <w:spacing w:before="0" w:after="0"/>
              <w:ind w:left="0" w:hanging="0"/>
              <w:jc w:val="both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 xml:space="preserve"> </w:t>
            </w:r>
          </w:p>
        </w:tc>
      </w:tr>
      <w:tr>
        <w:trPr>
          <w:trHeight w:val="557" w:hRule="atLeast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>
                <w:rFonts w:ascii="Arial" w:hAnsi="Arial" w:cs="Arial"/>
                <w:b/>
                <w:b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sz w:val="18"/>
                <w:szCs w:val="18"/>
                <w:lang w:eastAsia="en-US"/>
              </w:rPr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 xml:space="preserve">ЛАПРОНЕКСТ КОМБІ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краплі очні, розчин, (50 мкг+5 мг)/мл; по 2,5 мл у флаконі-крапельниці; по 1 флакону-крапельниці у картонній коробці</w:t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БІОСАЙНС ГРУП ЛАБОРАТОРІЗ с.р.о.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Словацька Республіка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РАФАРМ 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extBodyIndent"/>
              <w:spacing w:before="0" w:after="0"/>
              <w:ind w:left="0" w:hanging="0"/>
              <w:jc w:val="center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Грецiя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312"/>
              <w:ind w:hanging="0"/>
              <w:jc w:val="left"/>
              <w:rPr>
                <w:rFonts w:cs="Arial"/>
                <w:b w:val="false"/>
                <w:b w:val="false"/>
                <w:iCs/>
                <w:szCs w:val="18"/>
              </w:rPr>
            </w:pPr>
            <w:r>
              <w:rPr>
                <w:rFonts w:cs="Arial"/>
                <w:b w:val="false"/>
                <w:iCs/>
                <w:szCs w:val="18"/>
              </w:rPr>
              <w:t>засідання НТР № 36 від 10.09.2026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extBodyIndent"/>
              <w:spacing w:before="0" w:after="0"/>
              <w:ind w:left="0" w:hang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 xml:space="preserve">не рекомендувати до затвердження - </w:t>
            </w:r>
            <w:r>
              <w:rPr>
                <w:rFonts w:cs="Arial" w:ascii="Arial" w:hAnsi="Arial"/>
                <w:sz w:val="18"/>
                <w:szCs w:val="18"/>
              </w:rPr>
              <w:t>зміни І типу</w:t>
            </w:r>
          </w:p>
          <w:p>
            <w:pPr>
              <w:pStyle w:val="TextBodyIndent"/>
              <w:spacing w:before="0" w:after="0"/>
              <w:ind w:left="0" w:hang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TextBodyIndent"/>
              <w:spacing w:before="0" w:after="0"/>
              <w:ind w:left="0" w:hanging="0"/>
              <w:jc w:val="both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</w:r>
          </w:p>
        </w:tc>
      </w:tr>
      <w:tr>
        <w:trPr>
          <w:trHeight w:val="557" w:hRule="atLeast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>
                <w:rFonts w:ascii="Arial" w:hAnsi="Arial" w:cs="Arial"/>
                <w:b/>
                <w:b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sz w:val="18"/>
                <w:szCs w:val="18"/>
                <w:lang w:eastAsia="en-US"/>
              </w:rPr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 xml:space="preserve">ПОЛІДЕКСА З ФЕНІЛЕФРИНОМ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спрей назальний, розчин; по 15 мл у флаконі з розпилювачем; по 1 флакону в картонній коробці</w:t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Лабораторії Бушара Рекордаті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Францiя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РЕКОРДАТІ ІЛАЧ САНАЇ ВЕ ТІК. А. С., Туреччина; Софартекс, Францiя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extBodyIndent"/>
              <w:spacing w:before="0" w:after="0"/>
              <w:ind w:left="0" w:hang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Туреччина/ 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312"/>
              <w:ind w:hanging="0"/>
              <w:jc w:val="left"/>
              <w:rPr>
                <w:rFonts w:cs="Arial"/>
                <w:b w:val="false"/>
                <w:b w:val="false"/>
                <w:iCs/>
                <w:szCs w:val="18"/>
              </w:rPr>
            </w:pPr>
            <w:r>
              <w:rPr>
                <w:rFonts w:cs="Arial"/>
                <w:b w:val="false"/>
                <w:iCs/>
                <w:szCs w:val="18"/>
              </w:rPr>
              <w:t>засідання НТР № 36 від 10.09.2026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extBodyIndent"/>
              <w:spacing w:before="0" w:after="0"/>
              <w:ind w:left="0" w:hang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не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</w:rPr>
              <w:t>рекомендувати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</w:rPr>
              <w:t>до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</w:rPr>
              <w:t>затвердження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 xml:space="preserve"> - </w:t>
            </w:r>
            <w:r>
              <w:rPr>
                <w:rFonts w:cs="Arial" w:ascii="Arial" w:hAnsi="Arial"/>
                <w:sz w:val="18"/>
                <w:szCs w:val="18"/>
              </w:rPr>
              <w:t>технічна</w:t>
            </w:r>
            <w:r>
              <w:rPr>
                <w:rFonts w:cs="Arial" w:ascii="Arial" w:hAnsi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помилка</w:t>
            </w:r>
          </w:p>
          <w:p>
            <w:pPr>
              <w:pStyle w:val="TextBodyIndent"/>
              <w:spacing w:before="0" w:after="0"/>
              <w:ind w:left="0" w:hang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TextBodyIndent"/>
              <w:spacing w:before="0" w:after="0"/>
              <w:ind w:left="0" w:hang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TextBodyIndent"/>
              <w:spacing w:before="0" w:after="0"/>
              <w:ind w:left="0" w:hanging="0"/>
              <w:jc w:val="both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</w:r>
          </w:p>
        </w:tc>
      </w:tr>
    </w:tbl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pStyle w:val="11"/>
        <w:rPr>
          <w:rStyle w:val="Cs7864ebcf1"/>
          <w:rFonts w:ascii="Arial" w:hAnsi="Arial" w:cs="Arial"/>
          <w:color w:val="000000"/>
          <w:sz w:val="16"/>
          <w:szCs w:val="16"/>
          <w:lang w:val="uk-UA"/>
        </w:rPr>
      </w:pPr>
      <w:r>
        <w:rPr/>
      </w:r>
    </w:p>
    <w:sectPr>
      <w:headerReference w:type="default" r:id="rId7"/>
      <w:type w:val="nextPage"/>
      <w:pgSz w:orient="landscape" w:w="16838" w:h="11906"/>
      <w:pgMar w:left="1077" w:right="1134" w:header="709" w:top="907" w:footer="0" w:bottom="90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 Light">
    <w:charset w:val="cc"/>
    <w:family w:val="swiss"/>
    <w:pitch w:val="variable"/>
  </w:font>
  <w:font w:name="Cambria">
    <w:charset w:val="cc"/>
    <w:family w:val="roman"/>
    <w:pitch w:val="variable"/>
  </w:font>
  <w:font w:name="Tahoma">
    <w:charset w:val="cc"/>
    <w:family w:val="swiss"/>
    <w:pitch w:val="variable"/>
  </w:font>
  <w:font w:name="Segoe UI">
    <w:charset w:val="cc"/>
    <w:family w:val="swiss"/>
    <w:pitch w:val="variable"/>
  </w:font>
  <w:font w:name="Microsoft YaHei">
    <w:charset w:val="86"/>
    <w:family w:val="swiss"/>
    <w:pitch w:val="variable"/>
  </w:font>
  <w:font w:name="Calibri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9</w:t>
    </w:r>
    <w:r>
      <w:fldChar w:fldCharType="end"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61</w:t>
    </w:r>
    <w:r>
      <w:fldChar w:fldCharType="end"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</w:abstractNum>
  <w:abstractNum w:abstractNumId="4">
    <w:lvl w:ilvl="0">
      <w:start w:val="1"/>
      <w:numFmt w:val="decimal"/>
      <w:lvlText w:val="%1."/>
      <w:lvlJc w:val="right"/>
      <w:pPr>
        <w:ind w:left="720" w:hanging="360"/>
      </w:pPr>
      <w:rPr/>
    </w:lvl>
  </w:abstractNum>
  <w:abstractNum w:abstractNumId="5">
    <w:lvl w:ilvl="0">
      <w:start w:val="1"/>
      <w:numFmt w:val="decimal"/>
      <w:lvlText w:val="%1."/>
      <w:lvlJc w:val="right"/>
      <w:pPr>
        <w:ind w:left="72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libri Light" w:hAnsi="Calibri Light" w:cs="Calibri Light"/>
      <w:b/>
      <w:bCs/>
      <w:sz w:val="32"/>
      <w:szCs w:val="32"/>
    </w:rPr>
  </w:style>
  <w:style w:type="paragraph" w:styleId="Heading2">
    <w:name w:val="Heading 2"/>
    <w:basedOn w:val="Normal"/>
    <w:next w:val="11"/>
    <w:qFormat/>
    <w:pPr>
      <w:keepNext w:val="true"/>
      <w:numPr>
        <w:ilvl w:val="1"/>
        <w:numId w:val="1"/>
      </w:numPr>
      <w:outlineLvl w:val="1"/>
    </w:pPr>
    <w:rPr>
      <w:rFonts w:ascii="Arial" w:hAnsi="Arial" w:cs="Arial"/>
      <w:b/>
      <w:caps/>
      <w:sz w:val="16"/>
      <w:szCs w:val="20"/>
    </w:rPr>
  </w:style>
  <w:style w:type="paragraph" w:styleId="Heading3">
    <w:name w:val="Heading 3"/>
    <w:basedOn w:val="Normal"/>
    <w:next w:val="TextBody"/>
    <w:qFormat/>
    <w:pPr>
      <w:keepNext w:val="true"/>
      <w:numPr>
        <w:ilvl w:val="2"/>
        <w:numId w:val="1"/>
      </w:numPr>
      <w:outlineLvl w:val="2"/>
    </w:pPr>
    <w:rPr>
      <w:rFonts w:ascii="Arial" w:hAnsi="Arial" w:eastAsia="Calibri" w:cs="Arial"/>
      <w:b/>
      <w:bCs/>
      <w:lang w:val="en-US"/>
    </w:rPr>
  </w:style>
  <w:style w:type="paragraph" w:styleId="Heading4">
    <w:name w:val="Heading 4"/>
    <w:basedOn w:val="Normal"/>
    <w:next w:val="11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cs="Arial"/>
      <w:b/>
      <w:sz w:val="20"/>
      <w:szCs w:val="20"/>
    </w:rPr>
  </w:style>
  <w:style w:type="paragraph" w:styleId="Heading6">
    <w:name w:val="Heading 6"/>
    <w:basedOn w:val="Normal"/>
    <w:next w:val="TextBody"/>
    <w:qFormat/>
    <w:pPr>
      <w:numPr>
        <w:ilvl w:val="5"/>
        <w:numId w:val="1"/>
      </w:numPr>
      <w:spacing w:before="240" w:after="60"/>
      <w:outlineLvl w:val="5"/>
    </w:pPr>
    <w:rPr>
      <w:rFonts w:eastAsia="Calibri"/>
      <w:b/>
      <w:bCs/>
      <w:sz w:val="22"/>
      <w:szCs w:val="22"/>
      <w:lang w:val="en-US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/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/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/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Style9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4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eading2Char">
    <w:name w:val="Heading 2 Char"/>
    <w:qFormat/>
    <w:rPr>
      <w:rFonts w:ascii="Arial" w:hAnsi="Arial" w:eastAsia="Times New Roman" w:cs="Times New Roman"/>
      <w:b/>
      <w:bCs w:val="false"/>
      <w:caps/>
      <w:sz w:val="16"/>
      <w:lang w:val="ru-RU"/>
    </w:rPr>
  </w:style>
  <w:style w:type="character" w:styleId="Heading4Char">
    <w:name w:val="Heading 4 Char"/>
    <w:qFormat/>
    <w:rPr>
      <w:rFonts w:ascii="Arial" w:hAnsi="Arial" w:eastAsia="Times New Roman" w:cs="Times New Roman"/>
      <w:b/>
      <w:bCs w:val="false"/>
      <w:lang w:val="ru-RU"/>
    </w:rPr>
  </w:style>
  <w:style w:type="character" w:styleId="Csb3e8c9cf24">
    <w:name w:val="csb3e8c9cf2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1">
    <w:name w:val="Заголовок 1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0">
    <w:name w:val="Верх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1">
    <w:name w:val="Ниж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rPr/>
  </w:style>
  <w:style w:type="character" w:styleId="Style12">
    <w:name w:val="Текст выноски Знак"/>
    <w:qFormat/>
    <w:rPr>
      <w:rFonts w:ascii="Tahoma" w:hAnsi="Tahoma" w:eastAsia="Times New Roman" w:cs="Tahoma"/>
      <w:sz w:val="16"/>
      <w:szCs w:val="16"/>
      <w:lang w:val="ru-RU"/>
    </w:rPr>
  </w:style>
  <w:style w:type="character" w:styleId="BodyTextIndentChar">
    <w:name w:val="Body Text Indent Char"/>
    <w:qFormat/>
    <w:rPr>
      <w:rFonts w:ascii="Arial" w:hAnsi="Arial" w:eastAsia="Times New Roman" w:cs="Arial"/>
      <w:sz w:val="18"/>
      <w:lang w:val="ru-RU"/>
    </w:rPr>
  </w:style>
  <w:style w:type="character" w:styleId="Csab6e076947">
    <w:name w:val="csab6e07694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6">
    <w:name w:val="csab6e07698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8">
    <w:name w:val="csf229d0ff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">
    <w:name w:val="csf229d0ff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">
    <w:name w:val="csf229d0ff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0">
    <w:name w:val="csab6e0769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7">
    <w:name w:val="csab6e076910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">
    <w:name w:val="csab6e0769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9">
    <w:name w:val="csab6e07692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">
    <w:name w:val="csf229d0ff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1">
    <w:name w:val="csab6e07698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2">
    <w:name w:val="csab6e0769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1">
    <w:name w:val="csf229d0ff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2">
    <w:name w:val="csf229d0ff3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82">
    <w:name w:val="csafaf57418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80">
    <w:name w:val="csab6e07698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3">
    <w:name w:val="csf229d0ff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8">
    <w:name w:val="csb3e8c9cf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1">
    <w:name w:val="csab6e07696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7">
    <w:name w:val="csf229d0ff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">
    <w:name w:val="csf229d0ff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22">
    <w:name w:val="csab6e07691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7">
    <w:name w:val="csab6e0769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1">
    <w:name w:val="csab6e07694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1">
    <w:name w:val="csab6e0769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56">
    <w:name w:val="csab6e07691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248">
    <w:name w:val="csafaf574124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276">
    <w:name w:val="csab6e07692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19">
    <w:name w:val="csab6e07692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1">
    <w:name w:val="csafaf57411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3">
    <w:name w:val="csf229d0ff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31">
    <w:name w:val="csab6e0769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99">
    <w:name w:val="csafaf57419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0">
    <w:name w:val="csafaf574110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Style13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Csf229d0ff16">
    <w:name w:val="csf229d0ff1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188c92b51">
    <w:name w:val="cs188c92b5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6"/>
      <w:szCs w:val="26"/>
      <w:shd w:fill="auto" w:val="clear"/>
    </w:rPr>
  </w:style>
  <w:style w:type="character" w:styleId="3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Csab6e076931">
    <w:name w:val="csab6e0769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8">
    <w:name w:val="csab6e0769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">
    <w:name w:val="csf229d0ff1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4">
    <w:name w:val="csafaf57413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25">
    <w:name w:val="csf229d0ff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e872d01">
    <w:name w:val="cs95e872d01"/>
    <w:qFormat/>
    <w:rPr/>
  </w:style>
  <w:style w:type="character" w:styleId="Csb3e8c9cf10">
    <w:name w:val="csb3e8c9cf1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27">
    <w:name w:val="csafaf57412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0">
    <w:name w:val="csf229d0ff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3">
    <w:name w:val="csab6e076910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4">
    <w:name w:val="csab6e076910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05">
    <w:name w:val="csafaf574110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6">
    <w:name w:val="csafaf574110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216">
    <w:name w:val="csafaf574121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9">
    <w:name w:val="csf229d0ff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4">
    <w:name w:val="csf229d0ff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">
    <w:name w:val="csf229d0ff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31">
    <w:name w:val="Основной текст с отступом 3 Знак"/>
    <w:qFormat/>
    <w:rPr>
      <w:rFonts w:ascii="Times New Roman" w:hAnsi="Times New Roman" w:cs="Times New Roman"/>
      <w:sz w:val="16"/>
      <w:szCs w:val="16"/>
      <w:lang w:val="ru-RU"/>
    </w:rPr>
  </w:style>
  <w:style w:type="character" w:styleId="Csab6e0769225">
    <w:name w:val="csab6e07692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3">
    <w:name w:val="csb3e8c9cf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b86c8cfe1">
    <w:name w:val="csb86c8cfe1"/>
    <w:qFormat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</w:rPr>
  </w:style>
  <w:style w:type="character" w:styleId="Csf229d0ff21">
    <w:name w:val="csf229d0ff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Csf229d0ff26">
    <w:name w:val="csf229d0ff2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8c2cf3831">
    <w:name w:val="cs8c2cf3831"/>
    <w:qFormat/>
    <w:rPr>
      <w:rFonts w:ascii="Arial" w:hAnsi="Arial" w:cs="Arial"/>
      <w:b/>
      <w:bCs/>
      <w:i/>
      <w:iCs/>
      <w:color w:val="102B56"/>
      <w:sz w:val="18"/>
      <w:szCs w:val="18"/>
      <w:shd w:fill="auto" w:val="clear"/>
    </w:rPr>
  </w:style>
  <w:style w:type="character" w:styleId="Csd71f5e5a1">
    <w:name w:val="csd71f5e5a1"/>
    <w:qFormat/>
    <w:rPr>
      <w:rFonts w:ascii="Arial" w:hAnsi="Arial" w:cs="Arial"/>
      <w:b w:val="false"/>
      <w:bCs w:val="false"/>
      <w:i/>
      <w:iCs/>
      <w:color w:val="102B56"/>
      <w:sz w:val="18"/>
      <w:szCs w:val="18"/>
      <w:shd w:fill="auto" w:val="clear"/>
    </w:rPr>
  </w:style>
  <w:style w:type="character" w:styleId="Cs8f6c24af1">
    <w:name w:val="cs8f6c24af1"/>
    <w:qFormat/>
    <w:rPr>
      <w:rFonts w:ascii="Arial" w:hAnsi="Arial" w:cs="Arial"/>
      <w:b/>
      <w:bCs/>
      <w:i w:val="false"/>
      <w:iCs w:val="false"/>
      <w:color w:val="102B56"/>
      <w:sz w:val="18"/>
      <w:szCs w:val="18"/>
      <w:shd w:fill="auto" w:val="clear"/>
    </w:rPr>
  </w:style>
  <w:style w:type="character" w:styleId="Csa5a0f5421">
    <w:name w:val="csa5a0f5421"/>
    <w:qFormat/>
    <w:rPr>
      <w:rFonts w:ascii="Arial" w:hAnsi="Arial" w:cs="Arial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3f9137501">
    <w:name w:val="cs3f9137501"/>
    <w:qFormat/>
    <w:rPr>
      <w:rFonts w:ascii="Arial" w:hAnsi="Arial" w:cs="Arial"/>
      <w:b w:val="false"/>
      <w:bCs w:val="false"/>
      <w:i/>
      <w:iCs/>
      <w:color w:val="102B56"/>
      <w:sz w:val="18"/>
      <w:szCs w:val="18"/>
      <w:u w:val="single"/>
      <w:shd w:fill="auto" w:val="clear"/>
    </w:rPr>
  </w:style>
  <w:style w:type="character" w:styleId="LineNumbering">
    <w:name w:val="Line Numbering"/>
    <w:rPr>
      <w:rFonts w:ascii="Segoe UI" w:hAnsi="Segoe UI" w:cs="Segoe UI"/>
      <w:color w:val="000000"/>
      <w:sz w:val="18"/>
      <w:szCs w:val="18"/>
    </w:rPr>
  </w:style>
  <w:style w:type="character" w:styleId="InternetLink">
    <w:name w:val="Internet Link"/>
    <w:rPr>
      <w:rFonts w:ascii="Segoe UI" w:hAnsi="Segoe UI" w:cs="Segoe UI"/>
      <w:color w:val="0000FF"/>
      <w:sz w:val="18"/>
      <w:szCs w:val="18"/>
      <w:u w:val="single"/>
    </w:rPr>
  </w:style>
  <w:style w:type="character" w:styleId="Csa939b0971">
    <w:name w:val="csa939b0971"/>
    <w:qFormat/>
    <w:rPr>
      <w:rFonts w:ascii="Times New Roman" w:hAnsi="Times New Roman" w:cs="Times New Roman"/>
      <w:b/>
      <w:bCs/>
      <w:i/>
      <w:iCs/>
      <w:color w:val="000000"/>
      <w:sz w:val="20"/>
      <w:szCs w:val="20"/>
      <w:shd w:fill="auto" w:val="clear"/>
    </w:rPr>
  </w:style>
  <w:style w:type="character" w:styleId="Style14">
    <w:name w:val="Знак примечания"/>
    <w:qFormat/>
    <w:rPr>
      <w:sz w:val="16"/>
      <w:szCs w:val="16"/>
    </w:rPr>
  </w:style>
  <w:style w:type="character" w:styleId="Style15">
    <w:name w:val="Текст примечания Знак"/>
    <w:qFormat/>
    <w:rPr>
      <w:rFonts w:ascii="Times New Roman" w:hAnsi="Times New Roman" w:eastAsia="Times New Roman" w:cs="Times New Roman"/>
    </w:rPr>
  </w:style>
  <w:style w:type="character" w:styleId="Style16">
    <w:name w:val="Тема примечания Знак"/>
    <w:qFormat/>
    <w:rPr>
      <w:rFonts w:ascii="Times New Roman" w:hAnsi="Times New Roman" w:eastAsia="Times New Roman" w:cs="Times New Roman"/>
      <w:b/>
      <w:bCs/>
    </w:rPr>
  </w:style>
  <w:style w:type="character" w:styleId="Csb3e8c9cf69">
    <w:name w:val="csb3e8c9cf6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64">
    <w:name w:val="csf229d0ff6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d398459525">
    <w:name w:val="csd398459525"/>
    <w:qFormat/>
    <w:rPr>
      <w:rFonts w:ascii="Arial" w:hAnsi="Arial" w:cs="Arial"/>
      <w:b/>
      <w:bCs/>
      <w:i/>
      <w:iCs/>
      <w:color w:val="000000"/>
      <w:sz w:val="18"/>
      <w:szCs w:val="18"/>
      <w:u w:val="single"/>
      <w:shd w:fill="auto" w:val="clear"/>
    </w:rPr>
  </w:style>
  <w:style w:type="character" w:styleId="Csd3c90d4325">
    <w:name w:val="csd3c90d4325"/>
    <w:qFormat/>
    <w:rPr>
      <w:rFonts w:ascii="Arial" w:hAnsi="Arial" w:cs="Arial"/>
      <w:b w:val="false"/>
      <w:bCs w:val="false"/>
      <w:i/>
      <w:iCs/>
      <w:color w:val="000000"/>
      <w:sz w:val="18"/>
      <w:szCs w:val="18"/>
      <w:shd w:fill="auto" w:val="clear"/>
    </w:rPr>
  </w:style>
  <w:style w:type="character" w:styleId="Csb86c8cfe3">
    <w:name w:val="csb86c8cfe3"/>
    <w:qFormat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  <w:shd w:fill="auto" w:val="clear"/>
    </w:rPr>
  </w:style>
  <w:style w:type="character" w:styleId="Csab6e076977">
    <w:name w:val="csab6e07697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0a40401">
    <w:name w:val="cs9f0a40401"/>
    <w:qFormat/>
    <w:rPr>
      <w:rFonts w:ascii="Arial" w:hAnsi="Arial" w:cs="Arial"/>
      <w:b w:val="false"/>
      <w:bCs w:val="false"/>
      <w:i w:val="false"/>
      <w:iCs w:val="false"/>
      <w:color w:val="000000"/>
      <w:sz w:val="20"/>
      <w:szCs w:val="20"/>
      <w:shd w:fill="auto" w:val="clear"/>
    </w:rPr>
  </w:style>
  <w:style w:type="character" w:styleId="Csb3e8c9cf23">
    <w:name w:val="csb3e8c9cf2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607602ac2">
    <w:name w:val="cs607602ac2"/>
    <w:qFormat/>
    <w:rPr>
      <w:rFonts w:ascii="Arial" w:hAnsi="Arial" w:cs="Arial"/>
      <w:b/>
      <w:bCs/>
      <w:i w:val="false"/>
      <w:iCs w:val="false"/>
      <w:color w:val="000000"/>
      <w:sz w:val="18"/>
      <w:szCs w:val="18"/>
      <w:u w:val="single"/>
      <w:shd w:fill="auto" w:val="clear"/>
    </w:rPr>
  </w:style>
  <w:style w:type="character" w:styleId="Csab6e0769291">
    <w:name w:val="csab6e07692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219">
    <w:name w:val="csafaf57412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562b92915">
    <w:name w:val="csf562b92915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eed234731">
    <w:name w:val="cseed234731"/>
    <w:qFormat/>
    <w:rPr>
      <w:rFonts w:ascii="Arial" w:hAnsi="Arial" w:cs="Arial"/>
      <w:b/>
      <w:bCs/>
      <w:i/>
      <w:iCs/>
      <w:color w:val="000000"/>
      <w:sz w:val="12"/>
      <w:szCs w:val="12"/>
      <w:shd w:fill="auto" w:val="clear"/>
    </w:rPr>
  </w:style>
  <w:style w:type="character" w:styleId="Csb3e8c9cf35">
    <w:name w:val="csb3e8c9cf3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b3e8c9cf28">
    <w:name w:val="csb3e8c9cf2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562b9296">
    <w:name w:val="csf562b9296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ab6e076930">
    <w:name w:val="csab6e07693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14">
    <w:name w:val="Основной текст (14)_"/>
    <w:qFormat/>
    <w:rPr>
      <w:rFonts w:ascii="Times New Roman" w:hAnsi="Times New Roman" w:cs="Times New Roman"/>
      <w:sz w:val="21"/>
      <w:szCs w:val="21"/>
      <w:shd w:fill="FFFFFF" w:val="clear"/>
    </w:rPr>
  </w:style>
  <w:style w:type="character" w:styleId="Csab6e076965">
    <w:name w:val="csab6e07696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3">
    <w:name w:val="csf229d0ff3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0">
    <w:name w:val="csab6e0769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8">
    <w:name w:val="csf229d0ff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0">
    <w:name w:val="csf229d0ff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2">
    <w:name w:val="csf229d0ff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3">
    <w:name w:val="csf229d0ff8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76">
    <w:name w:val="csf229d0ff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0">
    <w:name w:val="csf229d0ff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">
    <w:name w:val="csab6e0769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94">
    <w:name w:val="csb3e8c9cf9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91">
    <w:name w:val="csf229d0ff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21">
    <w:name w:val="Заголовок 2 Знак1"/>
    <w:qFormat/>
    <w:rPr>
      <w:rFonts w:ascii="Arial" w:hAnsi="Arial" w:eastAsia="Times New Roman" w:cs="Arial"/>
      <w:b/>
      <w:caps/>
      <w:sz w:val="16"/>
      <w:lang w:val="ru-RU"/>
    </w:rPr>
  </w:style>
  <w:style w:type="character" w:styleId="41">
    <w:name w:val="Заголовок 4 Знак1"/>
    <w:qFormat/>
    <w:rPr>
      <w:rFonts w:ascii="Arial" w:hAnsi="Arial" w:eastAsia="Times New Roman" w:cs="Arial"/>
      <w:b/>
      <w:lang w:val="ru-RU"/>
    </w:rPr>
  </w:style>
  <w:style w:type="character" w:styleId="Csf229d0ff74">
    <w:name w:val="csf229d0ff7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7">
    <w:name w:val="csf229d0ff9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9">
    <w:name w:val="csab6e07693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7">
    <w:name w:val="csf229d0ff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9">
    <w:name w:val="csf229d0ff1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5">
    <w:name w:val="csf229d0ff6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32">
    <w:name w:val="csf229d0ff13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6">
    <w:name w:val="csf229d0ff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8">
    <w:name w:val="csf229d0ff14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6">
    <w:name w:val="csf229d0ff1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1">
    <w:name w:val="csf229d0ff2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8">
    <w:name w:val="csf229d0ff2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7">
    <w:name w:val="csf229d0ff1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1">
    <w:name w:val="csab6e07695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43">
    <w:name w:val="csf229d0ff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8d30211">
    <w:name w:val="cs958d30211"/>
    <w:qFormat/>
    <w:rPr>
      <w:rFonts w:ascii="Microsoft YaHei" w:hAnsi="Microsoft YaHei" w:eastAsia="Microsoft YaHei" w:cs="Microsoft YaHei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">
    <w:name w:val="csab6e076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93">
    <w:name w:val="csf229d0ff1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2">
    <w:name w:val="csab6e0769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6">
    <w:name w:val="csab6e0769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5">
    <w:name w:val="csab6e0769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00">
    <w:name w:val="csf229d0ff20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a294252">
    <w:name w:val="csba294252"/>
    <w:qFormat/>
    <w:rPr>
      <w:rFonts w:ascii="Segoe UI" w:hAnsi="Segoe UI" w:cs="Segoe UI"/>
      <w:b/>
      <w:bCs/>
      <w:i/>
      <w:iCs/>
      <w:color w:val="102B56"/>
      <w:sz w:val="18"/>
      <w:szCs w:val="18"/>
      <w:shd w:fill="auto" w:val="clear"/>
    </w:rPr>
  </w:style>
  <w:style w:type="character" w:styleId="Csf229d0ff131">
    <w:name w:val="csf229d0ff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4">
    <w:name w:val="csf229d0ff15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5a0f5422">
    <w:name w:val="csa5a0f5422"/>
    <w:qFormat/>
    <w:rPr>
      <w:rFonts w:ascii="Arial" w:hAnsi="Arial" w:cs="Arial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f229d0ff153">
    <w:name w:val="csf229d0ff1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7ca65d8c1">
    <w:name w:val="cs7ca65d8c1"/>
    <w:qFormat/>
    <w:rPr>
      <w:rFonts w:ascii="Segoe UI" w:hAnsi="Segoe UI" w:cs="Segoe UI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f229d0ff166">
    <w:name w:val="csf229d0ff16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7">
    <w:name w:val="csf229d0ff17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4">
    <w:name w:val="csf229d0ff10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6">
    <w:name w:val="csf229d0ff1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7">
    <w:name w:val="csab6e0769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5">
    <w:name w:val="csab6e07693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4">
    <w:name w:val="csab6e07693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1">
    <w:name w:val="csf229d0ff1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5">
    <w:name w:val="csf229d0ff10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6">
    <w:name w:val="csab6e0769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9">
    <w:name w:val="csf229d0ff1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8">
    <w:name w:val="csab6e0769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3">
    <w:name w:val="csf562b9293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44">
    <w:name w:val="csf229d0ff14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18">
    <w:name w:val="csf229d0ff3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4">
    <w:name w:val="csf562b9294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22">
    <w:name w:val="csf229d0ff1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7">
    <w:name w:val="csf229d0ff16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2">
    <w:name w:val="csf229d0ff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8">
    <w:name w:val="csf229d0ff6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38">
    <w:name w:val="csf229d0ff1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0">
    <w:name w:val="csf229d0ff16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06730b61">
    <w:name w:val="csf06730b61"/>
    <w:qFormat/>
    <w:rPr>
      <w:rFonts w:ascii="Times New Roman" w:hAnsi="Times New Roman" w:cs="Times New Roman"/>
      <w:b/>
      <w:bCs/>
      <w:i w:val="false"/>
      <w:iCs w:val="false"/>
      <w:color w:val="000000"/>
      <w:sz w:val="16"/>
      <w:szCs w:val="16"/>
      <w:shd w:fill="auto" w:val="clear"/>
    </w:rPr>
  </w:style>
  <w:style w:type="character" w:styleId="Csab6e076955">
    <w:name w:val="csab6e07695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1">
    <w:name w:val="csf229d0ff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66">
    <w:name w:val="csb3e8c9cf6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Arial9">
    <w:name w:val="Arial9(без отступов) Знак"/>
    <w:qFormat/>
    <w:rPr>
      <w:rFonts w:ascii="Arial" w:hAnsi="Arial" w:cs="Arial"/>
      <w:sz w:val="18"/>
      <w:szCs w:val="18"/>
      <w:lang w:val="ru-RU"/>
    </w:rPr>
  </w:style>
  <w:style w:type="character" w:styleId="Csf229d0ff178">
    <w:name w:val="csf229d0ff17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163">
    <w:name w:val="csb3e8c9cf16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7864ebcf1">
    <w:name w:val="cs7864ebcf1"/>
    <w:qFormat/>
    <w:rPr>
      <w:rFonts w:ascii="Times New Roman" w:hAnsi="Times New Roman" w:cs="Times New Roman"/>
      <w:b/>
      <w:bCs/>
      <w:i w:val="false"/>
      <w:iCs w:val="false"/>
      <w:color w:val="000000"/>
      <w:sz w:val="26"/>
      <w:szCs w:val="26"/>
      <w:shd w:fill="auto" w:val="clear"/>
    </w:rPr>
  </w:style>
  <w:style w:type="character" w:styleId="Csf229d0ff8">
    <w:name w:val="csf229d0ff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b006263">
    <w:name w:val="cs9b006263"/>
    <w:qFormat/>
    <w:rPr>
      <w:rFonts w:ascii="Arial" w:hAnsi="Arial" w:cs="Arial"/>
      <w:b/>
      <w:bCs/>
      <w:i w:val="false"/>
      <w:iCs w:val="false"/>
      <w:color w:val="000000"/>
      <w:sz w:val="20"/>
      <w:szCs w:val="20"/>
      <w:shd w:fill="auto" w:val="clear"/>
    </w:rPr>
  </w:style>
  <w:style w:type="character" w:styleId="Csf229d0ff36">
    <w:name w:val="csf229d0ff3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0">
    <w:name w:val="csf229d0ff10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10">
    <w:name w:val="csf229d0ff1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5">
    <w:name w:val="csf229d0ff1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0">
    <w:name w:val="csf229d0ff8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2">
    <w:name w:val="csf229d0ff10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49">
    <w:name w:val="csf229d0ff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4">
    <w:name w:val="csab6e07695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5">
    <w:name w:val="csf562b9295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42">
    <w:name w:val="csf229d0ff1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2">
    <w:name w:val="csf229d0ff1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5">
    <w:name w:val="csf229d0ff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2">
    <w:name w:val="csab6e07699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5">
    <w:name w:val="csab6e07697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">
    <w:name w:val="csf229d0ff2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4">
    <w:name w:val="csab6e07694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6">
    <w:name w:val="csab6e07694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3">
    <w:name w:val="csf229d0ff10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2">
    <w:name w:val="csf229d0ff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1">
    <w:name w:val="csf229d0ff10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108">
    <w:name w:val="csb3e8c9cf10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07">
    <w:name w:val="csf229d0ff10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1">
    <w:name w:val="csf562b9291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ab6e076993">
    <w:name w:val="csab6e0769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Arial96">
    <w:name w:val="Arial9+6пт Знак"/>
    <w:qFormat/>
    <w:rPr>
      <w:rFonts w:ascii="Arial" w:hAnsi="Arial" w:cs="Arial"/>
      <w:sz w:val="18"/>
      <w:lang w:val="ru-RU"/>
    </w:rPr>
  </w:style>
  <w:style w:type="character" w:styleId="Csf229d0ff86">
    <w:name w:val="csf229d0ff8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a2942511">
    <w:name w:val="csba2942511"/>
    <w:qFormat/>
    <w:rPr>
      <w:rFonts w:ascii="Segoe UI" w:hAnsi="Segoe UI" w:cs="Segoe UI"/>
      <w:b/>
      <w:bCs/>
      <w:i/>
      <w:iCs/>
      <w:color w:val="102B56"/>
      <w:sz w:val="18"/>
      <w:szCs w:val="18"/>
      <w:shd w:fill="auto" w:val="clear"/>
    </w:rPr>
  </w:style>
  <w:style w:type="character" w:styleId="Csab6e076914">
    <w:name w:val="csab6e0769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Csf229d0ff134">
    <w:name w:val="csf229d0ff13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ed36d4af2">
    <w:name w:val="csed36d4af2"/>
    <w:qFormat/>
    <w:rPr>
      <w:rFonts w:ascii="Arial" w:hAnsi="Arial" w:cs="Arial"/>
      <w:b/>
      <w:bCs/>
      <w:i/>
      <w:iCs/>
      <w:color w:val="000000"/>
      <w:sz w:val="20"/>
      <w:szCs w:val="20"/>
      <w:shd w:fill="auto" w:val="clear"/>
    </w:rPr>
  </w:style>
  <w:style w:type="character" w:styleId="32">
    <w:name w:val="Заголовок 3 Знак"/>
    <w:qFormat/>
    <w:rPr>
      <w:rFonts w:ascii="Arial" w:hAnsi="Arial" w:cs="Arial"/>
      <w:b/>
      <w:bCs/>
      <w:sz w:val="24"/>
      <w:szCs w:val="24"/>
    </w:rPr>
  </w:style>
  <w:style w:type="character" w:styleId="6">
    <w:name w:val="Заголовок 6 Знак"/>
    <w:qFormat/>
    <w:rPr>
      <w:rFonts w:ascii="Times New Roman" w:hAnsi="Times New Roman" w:cs="Times New Roman"/>
      <w:b/>
      <w:bCs/>
      <w:sz w:val="22"/>
      <w:szCs w:val="22"/>
    </w:rPr>
  </w:style>
  <w:style w:type="character" w:styleId="VisitedInternetLink">
    <w:name w:val="Visited Internet Link"/>
    <w:rPr>
      <w:color w:val="954F72"/>
      <w:u w:val="single"/>
    </w:rPr>
  </w:style>
  <w:style w:type="character" w:styleId="Style17">
    <w:name w:val="Заголовок Знак"/>
    <w:qFormat/>
    <w:rPr>
      <w:rFonts w:ascii="Times New Roman" w:hAnsi="Times New Roman" w:cs="Times New Roman"/>
      <w:sz w:val="24"/>
      <w:szCs w:val="24"/>
    </w:rPr>
  </w:style>
  <w:style w:type="character" w:styleId="22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styleId="Style18">
    <w:name w:val="Название Знак"/>
    <w:qFormat/>
    <w:rPr>
      <w:rFonts w:ascii="Cambria" w:hAnsi="Cambria" w:cs="Cambria"/>
      <w:color w:val="17365D"/>
      <w:spacing w:val="5"/>
    </w:rPr>
  </w:style>
  <w:style w:type="character" w:styleId="Style19">
    <w:name w:val="Верхній колонтитул Знак"/>
    <w:qFormat/>
    <w:rPr/>
  </w:style>
  <w:style w:type="character" w:styleId="Style20">
    <w:name w:val="Нижній колонтитул Знак"/>
    <w:qFormat/>
    <w:rPr/>
  </w:style>
  <w:style w:type="character" w:styleId="Style21">
    <w:name w:val="Назва Знак"/>
    <w:qFormat/>
    <w:rPr>
      <w:rFonts w:ascii="Calibri Light" w:hAnsi="Calibri Light" w:cs="Calibri Light"/>
      <w:spacing w:val="-10"/>
    </w:rPr>
  </w:style>
  <w:style w:type="character" w:styleId="23">
    <w:name w:val="Основний текст 2 Знак"/>
    <w:qFormat/>
    <w:rPr/>
  </w:style>
  <w:style w:type="character" w:styleId="Style22">
    <w:name w:val="Текст у виносці Знак"/>
    <w:qFormat/>
    <w:rPr>
      <w:rFonts w:ascii="Segoe UI" w:hAnsi="Segoe UI" w:cs="Segoe UI"/>
    </w:rPr>
  </w:style>
  <w:style w:type="character" w:styleId="Emailstyle45">
    <w:name w:val="emailstyle45"/>
    <w:qFormat/>
    <w:rPr>
      <w:rFonts w:ascii="Calibri" w:hAnsi="Calibri" w:cs="Calibri"/>
      <w:color w:val="000000"/>
    </w:rPr>
  </w:style>
  <w:style w:type="character" w:styleId="Error">
    <w:name w:val="error"/>
    <w:qFormat/>
    <w:rPr/>
  </w:style>
  <w:style w:type="character" w:styleId="TimesNewRoman121">
    <w:name w:val="Стиль Times New Roman 12 пт1"/>
    <w:qFormat/>
    <w:rPr>
      <w:rFonts w:ascii="Times New Roman" w:hAnsi="Times New Roman" w:cs="Times New Roman"/>
    </w:rPr>
  </w:style>
  <w:style w:type="character" w:styleId="Cs95e872d03">
    <w:name w:val="cs95e872d03"/>
    <w:qFormat/>
    <w:rPr/>
  </w:style>
  <w:style w:type="character" w:styleId="Cs7a65ad241">
    <w:name w:val="cs7a65ad241"/>
    <w:qFormat/>
    <w:rPr>
      <w:rFonts w:ascii="Times New Roman" w:hAnsi="Times New Roman" w:cs="Times New Roman"/>
      <w:b/>
      <w:bCs/>
      <w:i w:val="false"/>
      <w:iCs w:val="false"/>
      <w:color w:val="000000"/>
      <w:sz w:val="26"/>
      <w:szCs w:val="26"/>
    </w:rPr>
  </w:style>
  <w:style w:type="character" w:styleId="Csccf5e31620">
    <w:name w:val="csccf5e3162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0">
    <w:name w:val="cs9ff1b611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1">
    <w:name w:val="cs9ff1b611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05">
    <w:name w:val="cs9ff1b61120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73">
    <w:name w:val="csab6e076917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1">
    <w:name w:val="cs9ff1b611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19">
    <w:name w:val="csccf5e3162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10">
    <w:name w:val="cs9ff1b6112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0">
    <w:name w:val="csab6e07697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52">
    <w:name w:val="cs9ff1b611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e1a752c62">
    <w:name w:val="cse1a752c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9">
    <w:name w:val="cs9ff1b61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38">
    <w:name w:val="cs9ff1b611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d30b5e52">
    <w:name w:val="csbd30b5e52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2">
    <w:name w:val="cs176e94eb2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2">
    <w:name w:val="cscc47389a2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bd30b5e54">
    <w:name w:val="csbd30b5e54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4">
    <w:name w:val="cs176e94eb4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4">
    <w:name w:val="cscc47389a4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786de70b1">
    <w:name w:val="cs786de70b1"/>
    <w:qFormat/>
    <w:rPr>
      <w:rFonts w:ascii="Segoe UI" w:hAnsi="Segoe UI" w:cs="Segoe UI"/>
      <w:b w:val="false"/>
      <w:bCs w:val="false"/>
      <w:i w:val="false"/>
      <w:iCs w:val="false"/>
      <w:color w:val="000000"/>
      <w:sz w:val="18"/>
      <w:szCs w:val="18"/>
    </w:rPr>
  </w:style>
  <w:style w:type="character" w:styleId="Csbd30b5e56">
    <w:name w:val="csbd30b5e56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6">
    <w:name w:val="cs176e94eb6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6">
    <w:name w:val="cscc47389a6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9ff1b61195">
    <w:name w:val="cs9ff1b611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">
    <w:name w:val="csab6e0769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">
    <w:name w:val="csab6e0769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9">
    <w:name w:val="csafaf574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">
    <w:name w:val="csafaf57411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1">
    <w:name w:val="csab6e0769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2">
    <w:name w:val="csafaf57411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2">
    <w:name w:val="csab6e07691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3">
    <w:name w:val="csafaf57411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3">
    <w:name w:val="csab6e0769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4">
    <w:name w:val="csafaf57411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5">
    <w:name w:val="csafaf57411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5">
    <w:name w:val="csab6e07691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">
    <w:name w:val="csafaf5741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">
    <w:name w:val="csab6e076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">
    <w:name w:val="csafaf5741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">
    <w:name w:val="csab6e076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">
    <w:name w:val="csafaf5741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8">
    <w:name w:val="csafaf5741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ccf5e316113">
    <w:name w:val="csccf5e31611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113">
    <w:name w:val="cs9ff1b6111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bf81471">
    <w:name w:val="cs95bf8147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6"/>
      <w:szCs w:val="26"/>
      <w:shd w:fill="auto" w:val="clear"/>
    </w:rPr>
  </w:style>
  <w:style w:type="character" w:styleId="Csab6e076921">
    <w:name w:val="csab6e0769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40">
    <w:name w:val="cs9ff1b61114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42">
    <w:name w:val="cs9ff1b6111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59">
    <w:name w:val="cs9ff1b6115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9">
    <w:name w:val="csab6e076910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43">
    <w:name w:val="cs9ff1b611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2c72e392">
    <w:name w:val="csb2c72e392"/>
    <w:qFormat/>
    <w:rPr>
      <w:rFonts w:ascii="Segoe UI" w:hAnsi="Segoe UI" w:cs="Segoe UI"/>
      <w:b/>
      <w:bCs/>
      <w:i w:val="false"/>
      <w:iCs w:val="false"/>
      <w:color w:val="000000"/>
      <w:sz w:val="24"/>
      <w:szCs w:val="24"/>
      <w:shd w:fill="auto" w:val="clear"/>
    </w:rPr>
  </w:style>
  <w:style w:type="character" w:styleId="Csab6e076924">
    <w:name w:val="csab6e0769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9">
    <w:name w:val="csab6e07695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8">
    <w:name w:val="csccf5e316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27">
    <w:name w:val="csab6e07691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5">
    <w:name w:val="csccf5e3162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4">
    <w:name w:val="cs9ff1b611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6">
    <w:name w:val="csab6e07691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2e2c6f9f1">
    <w:name w:val="cs2e2c6f9f1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9ff1b61157">
    <w:name w:val="cs9ff1b611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4">
    <w:name w:val="cs9ff1b61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93">
    <w:name w:val="cs9ff1b611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01">
    <w:name w:val="cs9ff1b61110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8">
    <w:name w:val="cs9ff1b611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e872d02">
    <w:name w:val="cs95e872d02"/>
    <w:qFormat/>
    <w:rPr/>
  </w:style>
  <w:style w:type="character" w:styleId="Cs237f67f12">
    <w:name w:val="cs237f67f12"/>
    <w:qFormat/>
    <w:rPr>
      <w:rFonts w:ascii="Segoe UI" w:hAnsi="Segoe UI" w:cs="Segoe UI"/>
      <w:b w:val="false"/>
      <w:bCs w:val="false"/>
      <w:i w:val="false"/>
      <w:iCs w:val="false"/>
      <w:color w:val="000000"/>
      <w:sz w:val="24"/>
      <w:szCs w:val="24"/>
      <w:shd w:fill="auto" w:val="clear"/>
    </w:rPr>
  </w:style>
  <w:style w:type="character" w:styleId="Cs9ff1b6118">
    <w:name w:val="cs9ff1b61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Arial91">
    <w:name w:val="arial9(жирнбез интерв) Знак"/>
    <w:qFormat/>
    <w:rPr>
      <w:rFonts w:ascii="Arial" w:hAnsi="Arial" w:cs="Arial"/>
      <w:b/>
      <w:sz w:val="18"/>
      <w:lang w:val="ru-RU"/>
    </w:rPr>
  </w:style>
  <w:style w:type="character" w:styleId="Csccf5e316151">
    <w:name w:val="csccf5e31615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150">
    <w:name w:val="cs9ff1b6111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e0413f64">
    <w:name w:val="csae0413f6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55">
    <w:name w:val="cs9ff1b6115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82">
    <w:name w:val="cs9ff1b611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83">
    <w:name w:val="cs9ff1b6118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Spelle">
    <w:name w:val="spelle"/>
    <w:qFormat/>
    <w:rPr/>
  </w:style>
  <w:style w:type="character" w:styleId="Cs4df2502e8">
    <w:name w:val="cs4df2502e8"/>
    <w:qFormat/>
    <w:rPr>
      <w:rFonts w:ascii="Arial" w:hAnsi="Arial" w:cs="Arial"/>
      <w:b w:val="false"/>
      <w:bCs w:val="false"/>
      <w:i/>
      <w:iCs/>
      <w:color w:val="000000"/>
      <w:sz w:val="18"/>
      <w:szCs w:val="18"/>
      <w:shd w:fill="auto" w:val="clear"/>
    </w:rPr>
  </w:style>
  <w:style w:type="character" w:styleId="Cscc47389a1">
    <w:name w:val="cscc47389a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176e94eb1">
    <w:name w:val="cs176e94eb1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5">
    <w:name w:val="csafaf57413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6">
    <w:name w:val="csafaf57413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36">
    <w:name w:val="csab6e07693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7">
    <w:name w:val="csafaf57413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37">
    <w:name w:val="csab6e07693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8">
    <w:name w:val="csafaf57413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9">
    <w:name w:val="csafaf57413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0">
    <w:name w:val="csafaf57414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0">
    <w:name w:val="csab6e07694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1">
    <w:name w:val="csafaf57414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2">
    <w:name w:val="csafaf57414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2">
    <w:name w:val="csab6e0769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3">
    <w:name w:val="csafaf57414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3">
    <w:name w:val="csab6e0769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4">
    <w:name w:val="csafaf57414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5">
    <w:name w:val="csafaf57414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5">
    <w:name w:val="csab6e07694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6">
    <w:name w:val="csafaf57414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7">
    <w:name w:val="csafaf57414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8">
    <w:name w:val="csafaf57414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8">
    <w:name w:val="csab6e07694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9">
    <w:name w:val="csafaf57414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9">
    <w:name w:val="csab6e0769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0">
    <w:name w:val="csafaf57415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1">
    <w:name w:val="csafaf57415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2">
    <w:name w:val="csafaf57415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2">
    <w:name w:val="csab6e0769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3">
    <w:name w:val="csafaf57415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3">
    <w:name w:val="csab6e0769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4">
    <w:name w:val="csafaf57415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5">
    <w:name w:val="csafaf57415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6">
    <w:name w:val="csafaf57415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6">
    <w:name w:val="csab6e0769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7">
    <w:name w:val="csafaf57415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8">
    <w:name w:val="csafaf57415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8">
    <w:name w:val="csab6e07695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9">
    <w:name w:val="csafaf57415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0">
    <w:name w:val="csafaf57416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0">
    <w:name w:val="csab6e07696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3">
    <w:name w:val="csafaf57416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3">
    <w:name w:val="csab6e07696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4">
    <w:name w:val="csafaf57416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4">
    <w:name w:val="csab6e07696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5">
    <w:name w:val="csafaf57416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6">
    <w:name w:val="csafaf57416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6">
    <w:name w:val="csab6e07696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7">
    <w:name w:val="csafaf57416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7">
    <w:name w:val="csab6e07696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8">
    <w:name w:val="csafaf57416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8">
    <w:name w:val="csab6e07696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9">
    <w:name w:val="csafaf57416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9">
    <w:name w:val="csab6e0769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0">
    <w:name w:val="csafaf57417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1">
    <w:name w:val="csafaf57417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1">
    <w:name w:val="csab6e07697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2">
    <w:name w:val="csafaf57417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2">
    <w:name w:val="csab6e07697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3">
    <w:name w:val="csafaf57417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3">
    <w:name w:val="csab6e07697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4">
    <w:name w:val="csafaf57417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4">
    <w:name w:val="csab6e07697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5">
    <w:name w:val="csafaf57417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6">
    <w:name w:val="csafaf57417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7">
    <w:name w:val="csafaf57417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69">
    <w:name w:val="cs9ff1b611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16174ba1">
    <w:name w:val="csa16174ba1"/>
    <w:qFormat/>
    <w:rPr>
      <w:rFonts w:ascii="Arial" w:hAnsi="Arial" w:cs="Arial"/>
      <w:b w:val="false"/>
      <w:bCs w:val="false"/>
      <w:i w:val="false"/>
      <w:iCs w:val="false"/>
      <w:color w:val="000000"/>
      <w:sz w:val="20"/>
      <w:szCs w:val="20"/>
      <w:shd w:fill="auto" w:val="clear"/>
    </w:rPr>
  </w:style>
  <w:style w:type="character" w:styleId="Csafaf574161">
    <w:name w:val="csafaf57416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2">
    <w:name w:val="csafaf57416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2">
    <w:name w:val="csab6e0769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33">
    <w:name w:val="cs9ff1b6113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9">
    <w:name w:val="csccf5e3162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9">
    <w:name w:val="cs9ff1b6112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7">
    <w:name w:val="cs9ff1b611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31">
    <w:name w:val="csccf5e3163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31">
    <w:name w:val="cs9ff1b61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paragraph" w:styleId="Heading">
    <w:name w:val="Heading"/>
    <w:basedOn w:val="Normal"/>
    <w:next w:val="TextBody"/>
    <w:qFormat/>
    <w:pPr/>
    <w:rPr>
      <w:rFonts w:eastAsia="Calibri"/>
      <w:lang w:val="en-US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11">
    <w:name w:val="Обычный1"/>
    <w:basedOn w:val="Normal"/>
    <w:qFormat/>
    <w:pPr/>
    <w:rPr/>
  </w:style>
  <w:style w:type="paragraph" w:styleId="Msolistparagraph">
    <w:name w:val="msolistparagraph"/>
    <w:basedOn w:val="Normal"/>
    <w:qFormat/>
    <w:pPr>
      <w:spacing w:before="0" w:after="0"/>
      <w:ind w:left="720" w:hanging="0"/>
      <w:contextualSpacing/>
    </w:pPr>
    <w:rPr/>
  </w:style>
  <w:style w:type="paragraph" w:styleId="Encryption">
    <w:name w:val="Encryption"/>
    <w:basedOn w:val="Normal"/>
    <w:qFormat/>
    <w:pPr>
      <w:jc w:val="both"/>
    </w:pPr>
    <w:rPr>
      <w:b/>
      <w:bCs/>
      <w:i/>
      <w:iCs/>
    </w:rPr>
  </w:style>
  <w:style w:type="paragraph" w:styleId="211">
    <w:name w:val="Заголовок 21"/>
    <w:basedOn w:val="Normal"/>
    <w:qFormat/>
    <w:pPr/>
    <w:rPr/>
  </w:style>
  <w:style w:type="paragraph" w:styleId="411">
    <w:name w:val="Заголовок 41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23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BodyTextIndent2">
    <w:name w:val="Body Text Indent2"/>
    <w:basedOn w:val="Normal"/>
    <w:qFormat/>
    <w:pPr>
      <w:jc w:val="center"/>
    </w:pPr>
    <w:rPr>
      <w:rFonts w:ascii="Arial" w:hAnsi="Arial" w:cs="Arial"/>
      <w:b/>
      <w:i/>
      <w:sz w:val="18"/>
      <w:szCs w:val="20"/>
    </w:rPr>
  </w:style>
  <w:style w:type="paragraph" w:styleId="12">
    <w:name w:val="Основной текст с отступом1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Cs95e872d0">
    <w:name w:val="cs95e872d0"/>
    <w:basedOn w:val="Normal"/>
    <w:qFormat/>
    <w:pPr/>
    <w:rPr>
      <w:lang w:val="ru-RU"/>
    </w:rPr>
  </w:style>
  <w:style w:type="paragraph" w:styleId="TextBodyIndent">
    <w:name w:val="Body Text Indent"/>
    <w:basedOn w:val="Normal"/>
    <w:pPr>
      <w:spacing w:before="0" w:after="120"/>
      <w:ind w:left="283" w:hanging="0"/>
    </w:pPr>
    <w:rPr>
      <w:lang w:val="ru-RU"/>
    </w:rPr>
  </w:style>
  <w:style w:type="paragraph" w:styleId="33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24">
    <w:name w:val="Основной текст с отступом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4">
    <w:name w:val="Основной текст с отступом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2">
    <w:name w:val="Основной текст с отступом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">
    <w:name w:val="Основной текст с отступом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Cse71256d6">
    <w:name w:val="cse71256d6"/>
    <w:basedOn w:val="Normal"/>
    <w:qFormat/>
    <w:pPr>
      <w:ind w:left="1440" w:hanging="0"/>
    </w:pPr>
    <w:rPr/>
  </w:style>
  <w:style w:type="paragraph" w:styleId="61">
    <w:name w:val="Основной текст с отступом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">
    <w:name w:val="Основной текст с отступом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">
    <w:name w:val="Основной текст с отступом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">
    <w:name w:val="Основной текст с отступом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1">
    <w:name w:val="Основной текст с отступом1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">
    <w:name w:val="Основной текст с отступом1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2">
    <w:name w:val="Обычный11"/>
    <w:basedOn w:val="Normal"/>
    <w:qFormat/>
    <w:pPr/>
    <w:rPr/>
  </w:style>
  <w:style w:type="paragraph" w:styleId="110">
    <w:name w:val="Основной текст с отступом110"/>
    <w:basedOn w:val="Normal"/>
    <w:qFormat/>
    <w:pPr>
      <w:ind w:firstLine="708"/>
      <w:jc w:val="both"/>
    </w:pPr>
    <w:rPr>
      <w:rFonts w:ascii="Arial" w:hAnsi="Arial" w:cs="Arial"/>
      <w:b/>
      <w:sz w:val="18"/>
      <w:szCs w:val="22"/>
    </w:rPr>
  </w:style>
  <w:style w:type="paragraph" w:styleId="35">
    <w:name w:val="Основной текст с отступом 3"/>
    <w:basedOn w:val="Normal"/>
    <w:qFormat/>
    <w:pPr>
      <w:spacing w:before="0" w:after="120"/>
      <w:ind w:left="283" w:hanging="0"/>
    </w:pPr>
    <w:rPr>
      <w:rFonts w:eastAsia="Calibri"/>
      <w:sz w:val="16"/>
      <w:szCs w:val="16"/>
      <w:lang w:val="ru-RU"/>
    </w:rPr>
  </w:style>
  <w:style w:type="paragraph" w:styleId="121">
    <w:name w:val="Основной текст с отступом1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">
    <w:name w:val="Основной текст с отступом1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1">
    <w:name w:val="Основной текст с отступом1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5">
    <w:name w:val="Основной текст с отступом1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6">
    <w:name w:val="Основной текст с отступом1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7">
    <w:name w:val="Основной текст с отступом1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8">
    <w:name w:val="Основной текст с отступом1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9">
    <w:name w:val="Основной текст с отступом1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0">
    <w:name w:val="Основной текст с отступом2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Cs80d9435b">
    <w:name w:val="cs80d9435b"/>
    <w:basedOn w:val="Normal"/>
    <w:qFormat/>
    <w:pPr>
      <w:jc w:val="both"/>
    </w:pPr>
    <w:rPr>
      <w:rFonts w:ascii="Arial" w:hAnsi="Arial" w:cs="Arial"/>
    </w:rPr>
  </w:style>
  <w:style w:type="paragraph" w:styleId="212">
    <w:name w:val="Основной текст с отступом2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31">
    <w:name w:val="Основной текст с отступом2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6">
    <w:name w:val="Основной текст с отступом2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8">
    <w:name w:val="Основной текст с отступом2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9">
    <w:name w:val="Основной текст с отступом2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11">
    <w:name w:val="Основной текст с отступом3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21">
    <w:name w:val="Основной текст с отступом3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31">
    <w:name w:val="Основной текст с отступом3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51">
    <w:name w:val="Основной текст с отступом3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41">
    <w:name w:val="Основной текст с отступом3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6">
    <w:name w:val="Основной текст с отступом3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7">
    <w:name w:val="Основной текст с отступом3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Style24">
    <w:name w:val="Текст примечания"/>
    <w:basedOn w:val="Normal"/>
    <w:qFormat/>
    <w:pPr/>
    <w:rPr>
      <w:sz w:val="20"/>
      <w:szCs w:val="20"/>
    </w:rPr>
  </w:style>
  <w:style w:type="paragraph" w:styleId="Style25">
    <w:name w:val="Тема примечания"/>
    <w:basedOn w:val="Style24"/>
    <w:next w:val="Style24"/>
    <w:qFormat/>
    <w:pPr/>
    <w:rPr>
      <w:b/>
      <w:bCs/>
    </w:rPr>
  </w:style>
  <w:style w:type="paragraph" w:styleId="Style26">
    <w:name w:val="Рецензия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Csfeeeeb43">
    <w:name w:val="csfeeeeb43"/>
    <w:basedOn w:val="Normal"/>
    <w:qFormat/>
    <w:pPr/>
    <w:rPr>
      <w:rFonts w:ascii="Arial" w:hAnsi="Arial" w:cs="Arial"/>
    </w:rPr>
  </w:style>
  <w:style w:type="paragraph" w:styleId="38">
    <w:name w:val="Основной текст с отступом3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9">
    <w:name w:val="Основной текст с отступом3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0">
    <w:name w:val="Основной текст с отступом4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12">
    <w:name w:val="Основной текст с отступом4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21">
    <w:name w:val="Основной текст с отступом4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3">
    <w:name w:val="Основной текст с отступом4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4">
    <w:name w:val="Основной текст с отступом4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5">
    <w:name w:val="Основной текст с отступом4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6">
    <w:name w:val="Основной текст с отступом4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7">
    <w:name w:val="Основной текст с отступом4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8">
    <w:name w:val="Основной текст с отступом4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9">
    <w:name w:val="Основной текст с отступом4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0">
    <w:name w:val="Основной текст с отступом5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2">
    <w:name w:val="Основной текст с отступом5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3">
    <w:name w:val="Основной текст с отступом5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4">
    <w:name w:val="Основной текст с отступом5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7">
    <w:name w:val="Основной текст с отступом5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9">
    <w:name w:val="Основной текст с отступом5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0">
    <w:name w:val="Основной текст с отступом6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11">
    <w:name w:val="Основной текст с отступом6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5">
    <w:name w:val="Обычный2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0"/>
      <w:lang w:val="uk-UA" w:bidi="ar-SA" w:eastAsia="zh-CN"/>
    </w:rPr>
  </w:style>
  <w:style w:type="paragraph" w:styleId="221">
    <w:name w:val="Основной текст с отступом22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222">
    <w:name w:val="Заголовок 22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422">
    <w:name w:val="Заголовок 42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310">
    <w:name w:val="Обычный3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0"/>
      <w:lang w:val="uk-UA" w:bidi="ar-SA" w:eastAsia="zh-CN"/>
    </w:rPr>
  </w:style>
  <w:style w:type="paragraph" w:styleId="241">
    <w:name w:val="Основной текст с отступом24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232">
    <w:name w:val="Заголовок 23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431">
    <w:name w:val="Заголовок 43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BodyTextIndent">
    <w:name w:val="Body Text Indent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WWHeading2">
    <w:name w:val="WW-Heading 2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WWHeading4">
    <w:name w:val="WW-Heading 4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62">
    <w:name w:val="Основной текст с отступом6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4">
    <w:name w:val="Основной текст с отступом6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3">
    <w:name w:val="Основной текст с отступом6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5">
    <w:name w:val="Основной текст с отступом6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6">
    <w:name w:val="Основной текст с отступом6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7">
    <w:name w:val="Основной текст с отступом6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8">
    <w:name w:val="Основной текст с отступом6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9">
    <w:name w:val="Основной текст с отступом6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0">
    <w:name w:val="Основной текст с отступом7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1">
    <w:name w:val="Основной текст с отступом7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2">
    <w:name w:val="Основной текст с отступом7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2">
    <w:name w:val="Основной текст (14)"/>
    <w:basedOn w:val="Normal"/>
    <w:qFormat/>
    <w:pPr>
      <w:widowControl w:val="false"/>
      <w:shd w:fill="FFFFFF" w:val="clear"/>
      <w:spacing w:lineRule="exact" w:line="278"/>
      <w:jc w:val="center"/>
    </w:pPr>
    <w:rPr>
      <w:rFonts w:eastAsia="Calibri"/>
      <w:sz w:val="21"/>
      <w:szCs w:val="21"/>
    </w:rPr>
  </w:style>
  <w:style w:type="paragraph" w:styleId="73">
    <w:name w:val="Основной текст с отступом7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4">
    <w:name w:val="Основной текст с отступом7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5">
    <w:name w:val="Основной текст с отступом7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6">
    <w:name w:val="Основной текст с отступом7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7">
    <w:name w:val="Основной текст с отступом7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8">
    <w:name w:val="Основной текст с отступом7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9">
    <w:name w:val="Основной текст с отступом7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1">
    <w:name w:val="Основной текст с отступом8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2">
    <w:name w:val="Основной текст с отступом8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4">
    <w:name w:val="Основной текст с отступом8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5">
    <w:name w:val="Основной текст с отступом8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6">
    <w:name w:val="Основной текст с отступом8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7">
    <w:name w:val="Основной текст с отступом8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8">
    <w:name w:val="Основной текст с отступом8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9">
    <w:name w:val="Основной текст с отступом8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1">
    <w:name w:val="Основной текст с отступом9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2">
    <w:name w:val="Основной текст с отступом9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3">
    <w:name w:val="Основной текст с отступом9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4">
    <w:name w:val="Основной текст с отступом9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5">
    <w:name w:val="Основной текст с отступом9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7">
    <w:name w:val="Основной текст с отступом9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9">
    <w:name w:val="Основной текст с отступом9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0">
    <w:name w:val="Основной текст с отступом10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1">
    <w:name w:val="Основной текст с отступом10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2">
    <w:name w:val="Основной текст с отступом10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3">
    <w:name w:val="Основной текст с отступом10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4">
    <w:name w:val="Основной текст с отступом10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5">
    <w:name w:val="Основной текст с отступом10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7">
    <w:name w:val="Основной текст с отступом10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9">
    <w:name w:val="Основной текст с отступом10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11">
    <w:name w:val="Основной текст с отступом11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21">
    <w:name w:val="Основной текст с отступом11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3">
    <w:name w:val="Основной текст с отступом11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4">
    <w:name w:val="Основной текст с отступом11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5">
    <w:name w:val="Основной текст с отступом11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6">
    <w:name w:val="Основной текст с отступом11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7">
    <w:name w:val="Основной текст с отступом11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8">
    <w:name w:val="Основной текст с отступом11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9">
    <w:name w:val="Основной текст с отступом11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0">
    <w:name w:val="Основной текст с отступом12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11">
    <w:name w:val="Основной текст с отступом12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2">
    <w:name w:val="Основной текст с отступом12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5">
    <w:name w:val="Основной текст с отступом12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4">
    <w:name w:val="Основной текст с отступом12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6">
    <w:name w:val="Основной текст с отступом12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7">
    <w:name w:val="Основной текст с отступом12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8">
    <w:name w:val="Основной текст с отступом12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9">
    <w:name w:val="Основной текст с отступом12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0">
    <w:name w:val="Основной текст с отступом13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1">
    <w:name w:val="Основной текст с отступом13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3">
    <w:name w:val="Основной текст с отступом13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2">
    <w:name w:val="Основной текст с отступом13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5">
    <w:name w:val="Основной текст с отступом13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6">
    <w:name w:val="Основной текст с отступом13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7">
    <w:name w:val="Основной текст с отступом13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8">
    <w:name w:val="Основной текст с отступом13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9">
    <w:name w:val="Основной текст с отступом13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0">
    <w:name w:val="Основной текст с отступом14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11">
    <w:name w:val="Основной текст с отступом14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Arial92">
    <w:name w:val="Arial9(без отступов)"/>
    <w:qFormat/>
    <w:pPr>
      <w:widowControl/>
      <w:ind w:left="-113" w:hanging="0"/>
    </w:pPr>
    <w:rPr>
      <w:rFonts w:ascii="Arial" w:hAnsi="Arial" w:eastAsia="Calibri" w:cs="Arial"/>
      <w:color w:val="auto"/>
      <w:sz w:val="18"/>
      <w:szCs w:val="18"/>
      <w:lang w:val="ru-RU" w:bidi="ar-SA" w:eastAsia="zh-CN"/>
    </w:rPr>
  </w:style>
  <w:style w:type="paragraph" w:styleId="Style27">
    <w:name w:val="Абзац списка"/>
    <w:basedOn w:val="Normal"/>
    <w:qFormat/>
    <w:pPr>
      <w:snapToGrid w:val="false"/>
      <w:spacing w:before="0" w:after="0"/>
      <w:ind w:left="720" w:hanging="0"/>
      <w:contextualSpacing/>
    </w:pPr>
    <w:rPr>
      <w:rFonts w:ascii="Arial" w:hAnsi="Arial" w:cs="Arial"/>
      <w:sz w:val="28"/>
      <w:szCs w:val="20"/>
      <w:lang w:val="ru-RU"/>
    </w:rPr>
  </w:style>
  <w:style w:type="paragraph" w:styleId="Arial93">
    <w:name w:val="Arial9(жирн)"/>
    <w:qFormat/>
    <w:pPr>
      <w:keepNext w:val="true"/>
      <w:widowControl/>
      <w:tabs>
        <w:tab w:val="left" w:pos="210" w:leader="none"/>
      </w:tabs>
      <w:autoSpaceDE w:val="false"/>
      <w:spacing w:before="120" w:after="0"/>
    </w:pPr>
    <w:rPr>
      <w:rFonts w:ascii="Arial" w:hAnsi="Arial" w:eastAsia="Times New Roman" w:cs="Arial"/>
      <w:b/>
      <w:bCs/>
      <w:color w:val="auto"/>
      <w:sz w:val="18"/>
      <w:szCs w:val="20"/>
      <w:lang w:val="en-US" w:bidi="ar-SA" w:eastAsia="zh-CN"/>
    </w:rPr>
  </w:style>
  <w:style w:type="paragraph" w:styleId="Arial961">
    <w:name w:val="Arial9+6пт"/>
    <w:basedOn w:val="Normal"/>
    <w:qFormat/>
    <w:pPr>
      <w:snapToGrid w:val="false"/>
      <w:spacing w:before="120" w:after="0"/>
    </w:pPr>
    <w:rPr>
      <w:rFonts w:ascii="Arial" w:hAnsi="Arial" w:eastAsia="Calibri" w:cs="Arial"/>
      <w:sz w:val="18"/>
      <w:szCs w:val="20"/>
      <w:lang w:val="ru-RU"/>
    </w:rPr>
  </w:style>
  <w:style w:type="paragraph" w:styleId="Msonormal">
    <w:name w:val="msonormal"/>
    <w:basedOn w:val="Normal"/>
    <w:qFormat/>
    <w:pPr>
      <w:spacing w:before="280" w:after="280"/>
    </w:pPr>
    <w:rPr>
      <w:rFonts w:eastAsia="Calibri"/>
      <w:lang w:val="en-US"/>
    </w:rPr>
  </w:style>
  <w:style w:type="paragraph" w:styleId="27">
    <w:name w:val="Основной текст 2"/>
    <w:basedOn w:val="Normal"/>
    <w:qFormat/>
    <w:pPr/>
    <w:rPr>
      <w:rFonts w:eastAsia="Calibri"/>
      <w:lang w:val="en-US"/>
    </w:rPr>
  </w:style>
  <w:style w:type="paragraph" w:styleId="Style28">
    <w:name w:val="Название"/>
    <w:basedOn w:val="Normal"/>
    <w:qFormat/>
    <w:pPr/>
    <w:rPr>
      <w:rFonts w:ascii="Cambria" w:hAnsi="Cambria" w:eastAsia="Calibri" w:cs="Cambria"/>
      <w:color w:val="17365D"/>
      <w:spacing w:val="5"/>
      <w:sz w:val="20"/>
      <w:szCs w:val="20"/>
      <w:lang w:val="en-US"/>
    </w:rPr>
  </w:style>
  <w:style w:type="paragraph" w:styleId="210">
    <w:name w:val="Верхній колонтитул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3">
    <w:name w:val="Нижній колонтитул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4">
    <w:name w:val="Назва2"/>
    <w:basedOn w:val="Normal"/>
    <w:qFormat/>
    <w:pPr/>
    <w:rPr>
      <w:rFonts w:ascii="Calibri Light" w:hAnsi="Calibri Light" w:eastAsia="Calibri" w:cs="Calibri Light"/>
      <w:spacing w:val="-10"/>
      <w:sz w:val="20"/>
      <w:szCs w:val="20"/>
      <w:lang w:val="en-US"/>
    </w:rPr>
  </w:style>
  <w:style w:type="paragraph" w:styleId="223">
    <w:name w:val="Основний текст 2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5">
    <w:name w:val="Текст у виносці2"/>
    <w:basedOn w:val="Normal"/>
    <w:qFormat/>
    <w:pPr/>
    <w:rPr>
      <w:rFonts w:ascii="Segoe UI" w:hAnsi="Segoe UI" w:eastAsia="Calibri" w:cs="Segoe UI"/>
      <w:sz w:val="20"/>
      <w:szCs w:val="20"/>
      <w:lang w:val="en-US"/>
    </w:rPr>
  </w:style>
  <w:style w:type="paragraph" w:styleId="143">
    <w:name w:val="Основной текст с отступом14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4">
    <w:name w:val="Основной текст с отступом14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5">
    <w:name w:val="Основной текст с отступом14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7">
    <w:name w:val="Основной текст с отступом14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8">
    <w:name w:val="Основной текст с отступом14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9">
    <w:name w:val="Основной текст с отступом14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Arial94">
    <w:name w:val="Стиль Arial9(жирн) + не полужирный"/>
    <w:basedOn w:val="Normal"/>
    <w:qFormat/>
    <w:pPr>
      <w:keepNext w:val="true"/>
      <w:tabs>
        <w:tab w:val="left" w:pos="210" w:leader="none"/>
      </w:tabs>
      <w:autoSpaceDE w:val="false"/>
      <w:spacing w:before="120" w:after="0"/>
    </w:pPr>
    <w:rPr>
      <w:rFonts w:ascii="Arial" w:hAnsi="Arial" w:eastAsia="Calibri" w:cs="Arial"/>
      <w:b/>
      <w:sz w:val="18"/>
      <w:szCs w:val="20"/>
      <w:lang w:val="en-US"/>
    </w:rPr>
  </w:style>
  <w:style w:type="paragraph" w:styleId="150">
    <w:name w:val="Основной текст с отступом15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6">
    <w:name w:val="Основной текст с отступом15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7">
    <w:name w:val="Основной текст с отступом15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2">
    <w:name w:val="Основной текст с отступом16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3">
    <w:name w:val="Основной текст с отступом16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5">
    <w:name w:val="Основной текст с отступом16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8">
    <w:name w:val="Основной текст с отступом16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9">
    <w:name w:val="Основной текст с отступом16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0">
    <w:name w:val="Основной текст с отступом17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1">
    <w:name w:val="Основной текст с отступом17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2">
    <w:name w:val="Основной текст с отступом17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3">
    <w:name w:val="Основной текст с отступом17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4">
    <w:name w:val="Основной текст с отступом17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5">
    <w:name w:val="Основной текст с отступом17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6">
    <w:name w:val="Основной текст с отступом17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7">
    <w:name w:val="Основной текст с отступом17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8">
    <w:name w:val="Основной текст с отступом17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9">
    <w:name w:val="Основной текст с отступом17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0">
    <w:name w:val="Основной текст с отступом18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1">
    <w:name w:val="Основной текст с отступом18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2">
    <w:name w:val="Основной текст с отступом18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23">
    <w:name w:val="Верхній колонтитул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34">
    <w:name w:val="Нижній колонтитул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46">
    <w:name w:val="Назва1"/>
    <w:basedOn w:val="Normal"/>
    <w:qFormat/>
    <w:pPr/>
    <w:rPr>
      <w:rFonts w:ascii="Calibri Light" w:hAnsi="Calibri Light" w:eastAsia="Calibri" w:cs="Calibri Light"/>
      <w:spacing w:val="-10"/>
      <w:sz w:val="20"/>
      <w:szCs w:val="20"/>
      <w:lang w:val="en-US"/>
    </w:rPr>
  </w:style>
  <w:style w:type="paragraph" w:styleId="216">
    <w:name w:val="Основний текст 2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51">
    <w:name w:val="Текст у виносці1"/>
    <w:basedOn w:val="Normal"/>
    <w:qFormat/>
    <w:pPr/>
    <w:rPr>
      <w:rFonts w:ascii="Segoe UI" w:hAnsi="Segoe UI" w:eastAsia="Calibri" w:cs="Segoe UI"/>
      <w:sz w:val="20"/>
      <w:szCs w:val="20"/>
      <w:lang w:val="en-US"/>
    </w:rPr>
  </w:style>
  <w:style w:type="paragraph" w:styleId="164">
    <w:name w:val="Основной текст с отступом16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Arial95">
    <w:name w:val="arial9(жирнбез интерв)"/>
    <w:basedOn w:val="Normal"/>
    <w:qFormat/>
    <w:pPr/>
    <w:rPr>
      <w:rFonts w:ascii="Arial" w:hAnsi="Arial" w:eastAsia="Calibri" w:cs="Arial"/>
      <w:b/>
      <w:sz w:val="18"/>
      <w:szCs w:val="20"/>
      <w:lang w:val="ru-RU"/>
    </w:rPr>
  </w:style>
  <w:style w:type="paragraph" w:styleId="203">
    <w:name w:val="Основной текст с отступом20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04">
    <w:name w:val="Основной текст с отступом20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7">
    <w:name w:val="Основний текст з відступом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2">
    <w:name w:val="Основний текст з відступом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07">
    <w:name w:val="Основной текст с отступом20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01">
    <w:name w:val="Основной текст с отступом21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312">
    <w:name w:val="Основний текст з відступом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71">
    <w:name w:val="Основной текст с отступом21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8">
    <w:name w:val="Основной текст с отступом21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9">
    <w:name w:val="Основной текст с отступом21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20">
    <w:name w:val="Основной текст с отступом22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Style29">
    <w:name w:val="Без интервала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2211">
    <w:name w:val="Основной текст с отступом22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231">
    <w:name w:val="Основной текст с отступом22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whocc.no/atc_ddd_index/" TargetMode="External"/><Relationship Id="rId3" Type="http://schemas.openxmlformats.org/officeDocument/2006/relationships/hyperlink" Target="https://www.whocc.no/atc_ddd_index/" TargetMode="External"/><Relationship Id="rId4" Type="http://schemas.openxmlformats.org/officeDocument/2006/relationships/hyperlink" Target="https://www.whocc.no/atc_ddd_index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2026-09-21T13:58:00Z</dcterms:created>
  <dc:creator>Vitaliya</dc:creator>
  <dc:description/>
  <dc:language>ru-RU</dc:language>
  <cp:lastModifiedBy>Пермінова Тетяна Миколаївна</cp:lastModifiedBy>
  <cp:lastPrinted>2021-12-06T14:34:00Z</cp:lastPrinted>
  <dcterms:modified xsi:type="dcterms:W3CDTF">2026-09-21T14:34:00Z</dcterms:modified>
  <cp:revision>6</cp:revision>
  <dc:subject/>
  <dc:title/>
</cp:coreProperties>
</file>