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footer2.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center"/>
        <w:rPr>
          <w:rFonts w:ascii="Arial" w:hAnsi="Arial" w:eastAsia="Times New Roman" w:cs="Arial"/>
          <w:b/>
          <w:b/>
          <w:sz w:val="24"/>
          <w:szCs w:val="24"/>
          <w:lang w:val="uk-UA" w:eastAsia="uk-UA"/>
        </w:rPr>
      </w:pPr>
      <w:r>
        <w:rPr>
          <w:rFonts w:eastAsia="Times New Roman" w:cs="Arial" w:ascii="Arial" w:hAnsi="Arial"/>
          <w:b/>
          <w:sz w:val="24"/>
          <w:szCs w:val="24"/>
          <w:lang w:val="uk-UA" w:eastAsia="uk-UA"/>
        </w:rPr>
        <w:t>ПЕРЕЛІК</w:t>
      </w:r>
    </w:p>
    <w:p>
      <w:pPr>
        <w:pStyle w:val="Normal"/>
        <w:spacing w:lineRule="auto" w:line="240" w:before="0" w:after="0"/>
        <w:jc w:val="center"/>
        <w:rPr/>
      </w:pPr>
      <w:r>
        <w:rPr>
          <w:rFonts w:eastAsia="Times New Roman" w:cs="Arial" w:ascii="Arial" w:hAnsi="Arial"/>
          <w:b/>
          <w:sz w:val="24"/>
          <w:szCs w:val="24"/>
          <w:lang w:val="uk-UA" w:eastAsia="uk-UA"/>
        </w:rPr>
        <w:t xml:space="preserve">ЛІКАРСЬКИХ ЗАСОБІВ ЩОДО ЯКИХ ЗАВЕРШЕНО РОЗГЛЯД РЕЄСТРАЦІЙНИХ МАТЕРІАЛІВ ПРО ВНЕСЕННЯ ЗМІН ДО РЕЄСТРАЦІЙНИХ МАТЕРІАЛІВ ПРОТЯГОМ ДІЇ РЕЄСТРАЦІЙНОГО ПОСВІДЧЕННЯ НА ЛІКАРСЬКІ ЗАСОБИ, </w:t>
      </w:r>
      <w:r>
        <w:rPr>
          <w:rFonts w:eastAsia="Times New Roman" w:cs="Arial" w:ascii="Arial" w:hAnsi="Arial"/>
          <w:b/>
          <w:sz w:val="24"/>
          <w:szCs w:val="24"/>
          <w:u w:val="single"/>
          <w:lang w:val="uk-UA" w:eastAsia="uk-UA"/>
        </w:rPr>
        <w:t>ЯКІ ЗАРЕЄСТРОВАНІ</w:t>
      </w:r>
      <w:r>
        <w:rPr>
          <w:rFonts w:eastAsia="Times New Roman" w:cs="Arial" w:ascii="Arial" w:hAnsi="Arial"/>
          <w:b/>
          <w:sz w:val="24"/>
          <w:szCs w:val="24"/>
          <w:lang w:val="uk-UA" w:eastAsia="uk-UA"/>
        </w:rPr>
        <w:t xml:space="preserve"> </w:t>
      </w:r>
      <w:r>
        <w:rPr>
          <w:rFonts w:eastAsia="Times New Roman" w:cs="Arial" w:ascii="Arial" w:hAnsi="Arial"/>
          <w:b/>
          <w:sz w:val="24"/>
          <w:szCs w:val="24"/>
          <w:u w:val="single"/>
          <w:lang w:val="uk-UA" w:eastAsia="uk-UA"/>
        </w:rPr>
        <w:t xml:space="preserve">КОМПЕТЕНТНИМИ ОРГАНАМИ </w:t>
      </w:r>
      <w:r>
        <w:rPr>
          <w:rFonts w:eastAsia="Times New Roman" w:cs="Arial" w:ascii="Arial" w:hAnsi="Arial"/>
          <w:b/>
          <w:sz w:val="24"/>
          <w:szCs w:val="24"/>
          <w:lang w:val="uk-UA" w:eastAsia="uk-UA"/>
        </w:rPr>
        <w:t xml:space="preserve">СПОЛУЧЕНИХ ШТАТІВ АМЕРИКИ, </w:t>
      </w:r>
      <w:r>
        <w:rPr>
          <w:rFonts w:cs="Arial" w:ascii="Arial" w:hAnsi="Arial"/>
          <w:b/>
          <w:sz w:val="24"/>
          <w:szCs w:val="24"/>
          <w:lang w:val="uk-UA" w:eastAsia="ru-RU"/>
        </w:rPr>
        <w:t>ВЕЛИКОЇ БРИТАНІЇ</w:t>
      </w:r>
      <w:r>
        <w:rPr>
          <w:rFonts w:cs="Arial" w:ascii="Arial" w:hAnsi="Arial"/>
          <w:sz w:val="24"/>
          <w:szCs w:val="24"/>
          <w:lang w:val="uk-UA" w:eastAsia="ru-RU"/>
        </w:rPr>
        <w:t xml:space="preserve">, </w:t>
      </w:r>
      <w:r>
        <w:rPr>
          <w:rFonts w:eastAsia="Times New Roman" w:cs="Arial" w:ascii="Arial" w:hAnsi="Arial"/>
          <w:b/>
          <w:sz w:val="24"/>
          <w:szCs w:val="24"/>
          <w:lang w:val="uk-UA"/>
        </w:rPr>
        <w:t>ШВЕЙЦАРСЬКОЇ КОНФЕДЕРАЦІЇ</w:t>
      </w:r>
      <w:r>
        <w:rPr>
          <w:rFonts w:eastAsia="Times New Roman" w:cs="Arial" w:ascii="Arial" w:hAnsi="Arial"/>
          <w:b/>
          <w:sz w:val="24"/>
          <w:szCs w:val="24"/>
          <w:lang w:val="uk-UA" w:eastAsia="uk-UA"/>
        </w:rPr>
        <w:t xml:space="preserve">, ЯПОНІЇ, АВСТРАЛІЇ, КАНАДИ, ЛІКАРСЬКИХ ЗАСОБІВ, ЩО ЗА ЦЕНТРАЛІЗОВАНОЮ ПРОЦЕДУРОЮ ЗАРЕЄСТРОВАНІ КОМПЕТЕНТНИМ ОРГАНОМ </w:t>
      </w:r>
      <w:r>
        <w:rPr>
          <w:rFonts w:eastAsia="Times New Roman" w:cs="Arial" w:ascii="Arial" w:hAnsi="Arial"/>
          <w:b/>
          <w:sz w:val="24"/>
          <w:szCs w:val="24"/>
          <w:u w:val="single"/>
          <w:lang w:val="uk-UA" w:eastAsia="uk-UA"/>
        </w:rPr>
        <w:t>ЄВРОПЕЙСЬКОГО СОЮЗУ</w:t>
      </w:r>
    </w:p>
    <w:p>
      <w:pPr>
        <w:pStyle w:val="Normal"/>
        <w:spacing w:lineRule="auto" w:line="240" w:before="0" w:after="0"/>
        <w:jc w:val="center"/>
        <w:rPr>
          <w:rFonts w:ascii="Arial" w:hAnsi="Arial" w:eastAsia="Times New Roman" w:cs="Arial"/>
          <w:b/>
          <w:b/>
          <w:sz w:val="24"/>
          <w:szCs w:val="24"/>
          <w:u w:val="single"/>
          <w:lang w:val="uk-UA" w:eastAsia="uk-UA"/>
        </w:rPr>
      </w:pPr>
      <w:r>
        <w:rPr>
          <w:rFonts w:eastAsia="Times New Roman" w:cs="Arial" w:ascii="Arial" w:hAnsi="Arial"/>
          <w:b/>
          <w:sz w:val="24"/>
          <w:szCs w:val="24"/>
          <w:u w:val="single"/>
          <w:lang w:val="uk-UA" w:eastAsia="uk-UA"/>
        </w:rPr>
      </w:r>
    </w:p>
    <w:tbl>
      <w:tblPr>
        <w:tblW w:w="15745" w:type="dxa"/>
        <w:jc w:val="left"/>
        <w:tblInd w:w="108"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61"/>
        <w:gridCol w:w="1282"/>
        <w:gridCol w:w="992"/>
        <w:gridCol w:w="993"/>
        <w:gridCol w:w="708"/>
        <w:gridCol w:w="1843"/>
        <w:gridCol w:w="1276"/>
        <w:gridCol w:w="1134"/>
        <w:gridCol w:w="1417"/>
        <w:gridCol w:w="1134"/>
        <w:gridCol w:w="1701"/>
        <w:gridCol w:w="1134"/>
        <w:gridCol w:w="1570"/>
      </w:tblGrid>
      <w:tr>
        <w:trPr>
          <w:tblHeader w:val="true"/>
        </w:trPr>
        <w:tc>
          <w:tcPr>
            <w:tcW w:w="561"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spacing w:lineRule="auto" w:line="240" w:before="0" w:after="0"/>
              <w:jc w:val="center"/>
              <w:rPr>
                <w:rFonts w:ascii="Arial" w:hAnsi="Arial" w:cs="Arial"/>
                <w:b/>
                <w:b/>
                <w:i/>
                <w:i/>
                <w:sz w:val="16"/>
                <w:szCs w:val="16"/>
                <w:lang w:val="uk-UA" w:eastAsia="uk-UA"/>
              </w:rPr>
            </w:pPr>
            <w:r>
              <w:rPr>
                <w:rFonts w:eastAsia="Times New Roman" w:cs="Arial" w:ascii="Arial" w:hAnsi="Arial"/>
                <w:b/>
                <w:i/>
                <w:sz w:val="16"/>
                <w:szCs w:val="16"/>
                <w:lang w:val="uk-UA" w:eastAsia="uk-UA"/>
              </w:rPr>
              <w:t>№</w:t>
            </w:r>
            <w:r>
              <w:rPr>
                <w:rFonts w:eastAsia="Arial" w:cs="Arial" w:ascii="Arial" w:hAnsi="Arial"/>
                <w:b/>
                <w:i/>
                <w:sz w:val="16"/>
                <w:szCs w:val="16"/>
                <w:lang w:val="uk-UA" w:eastAsia="uk-UA"/>
              </w:rPr>
              <w:t xml:space="preserve"> </w:t>
            </w:r>
            <w:r>
              <w:rPr>
                <w:rFonts w:eastAsia="Times New Roman" w:cs="Arial" w:ascii="Arial" w:hAnsi="Arial"/>
                <w:b/>
                <w:i/>
                <w:sz w:val="16"/>
                <w:szCs w:val="16"/>
                <w:lang w:val="uk-UA" w:eastAsia="uk-UA"/>
              </w:rPr>
              <w:t>п/п</w:t>
            </w:r>
          </w:p>
        </w:tc>
        <w:tc>
          <w:tcPr>
            <w:tcW w:w="1282"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spacing w:lineRule="auto" w:line="240" w:before="0" w:after="0"/>
              <w:jc w:val="center"/>
              <w:rPr>
                <w:rFonts w:ascii="Arial" w:hAnsi="Arial" w:eastAsia="Times New Roman" w:cs="Arial"/>
                <w:b/>
                <w:b/>
                <w:i/>
                <w:i/>
                <w:sz w:val="16"/>
                <w:szCs w:val="16"/>
                <w:lang w:val="uk-UA" w:eastAsia="uk-UA"/>
              </w:rPr>
            </w:pPr>
            <w:r>
              <w:rPr>
                <w:rFonts w:eastAsia="Times New Roman" w:cs="Arial" w:ascii="Arial" w:hAnsi="Arial"/>
                <w:b/>
                <w:i/>
                <w:sz w:val="16"/>
                <w:szCs w:val="16"/>
                <w:lang w:val="uk-UA" w:eastAsia="uk-UA"/>
              </w:rPr>
              <w:t>Назва лікарського засобу</w:t>
            </w:r>
          </w:p>
        </w:tc>
        <w:tc>
          <w:tcPr>
            <w:tcW w:w="992"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spacing w:lineRule="auto" w:line="240" w:before="0" w:after="160"/>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993"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spacing w:lineRule="auto" w:line="240" w:before="0" w:after="160"/>
              <w:jc w:val="center"/>
              <w:rPr>
                <w:rFonts w:ascii="Arial" w:hAnsi="Arial" w:cs="Arial"/>
                <w:b/>
                <w:b/>
                <w:i/>
                <w:i/>
                <w:sz w:val="16"/>
                <w:szCs w:val="16"/>
              </w:rPr>
            </w:pPr>
            <w:r>
              <w:rPr>
                <w:rFonts w:cs="Arial" w:ascii="Arial" w:hAnsi="Arial"/>
                <w:b/>
                <w:i/>
                <w:sz w:val="16"/>
                <w:szCs w:val="16"/>
              </w:rPr>
              <w:t>Назва діючої речовини</w:t>
            </w:r>
          </w:p>
        </w:tc>
        <w:tc>
          <w:tcPr>
            <w:tcW w:w="708"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spacing w:lineRule="auto" w:line="240" w:before="0" w:after="160"/>
              <w:jc w:val="center"/>
              <w:rPr>
                <w:rFonts w:ascii="Arial" w:hAnsi="Arial" w:cs="Arial"/>
                <w:b/>
                <w:b/>
                <w:i/>
                <w:i/>
                <w:sz w:val="16"/>
                <w:szCs w:val="16"/>
              </w:rPr>
            </w:pPr>
            <w:r>
              <w:rPr>
                <w:rFonts w:cs="Arial" w:ascii="Arial" w:hAnsi="Arial"/>
                <w:b/>
                <w:i/>
                <w:sz w:val="16"/>
                <w:szCs w:val="16"/>
              </w:rPr>
              <w:t>Код АТХ</w:t>
            </w:r>
          </w:p>
        </w:tc>
        <w:tc>
          <w:tcPr>
            <w:tcW w:w="1843"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spacing w:lineRule="auto" w:line="240" w:before="0" w:after="0"/>
              <w:jc w:val="center"/>
              <w:rPr>
                <w:rFonts w:ascii="Arial" w:hAnsi="Arial" w:eastAsia="Times New Roman" w:cs="Arial"/>
                <w:b/>
                <w:b/>
                <w:i/>
                <w:i/>
                <w:sz w:val="16"/>
                <w:szCs w:val="16"/>
                <w:lang w:val="uk-UA" w:eastAsia="uk-UA"/>
              </w:rPr>
            </w:pPr>
            <w:r>
              <w:rPr>
                <w:rFonts w:eastAsia="Times New Roman" w:cs="Arial" w:ascii="Arial" w:hAnsi="Arial"/>
                <w:b/>
                <w:i/>
                <w:sz w:val="16"/>
                <w:szCs w:val="16"/>
                <w:lang w:val="uk-UA" w:eastAsia="uk-UA"/>
              </w:rPr>
              <w:t>Форма випуску (лікарська форма, упаковка)</w:t>
            </w:r>
          </w:p>
        </w:tc>
        <w:tc>
          <w:tcPr>
            <w:tcW w:w="1276"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spacing w:lineRule="auto" w:line="240" w:before="0" w:after="0"/>
              <w:jc w:val="center"/>
              <w:rPr>
                <w:rFonts w:ascii="Arial" w:hAnsi="Arial" w:eastAsia="Times New Roman" w:cs="Arial"/>
                <w:b/>
                <w:b/>
                <w:i/>
                <w:i/>
                <w:sz w:val="16"/>
                <w:szCs w:val="16"/>
                <w:lang w:val="uk-UA" w:eastAsia="uk-UA"/>
              </w:rPr>
            </w:pPr>
            <w:r>
              <w:rPr>
                <w:rFonts w:eastAsia="Times New Roman" w:cs="Arial" w:ascii="Arial" w:hAnsi="Arial"/>
                <w:b/>
                <w:i/>
                <w:sz w:val="16"/>
                <w:szCs w:val="16"/>
                <w:lang w:val="uk-UA" w:eastAsia="uk-UA"/>
              </w:rPr>
              <w:t>Заявник</w:t>
            </w:r>
          </w:p>
        </w:tc>
        <w:tc>
          <w:tcPr>
            <w:tcW w:w="1134"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spacing w:lineRule="auto" w:line="240" w:before="0" w:after="0"/>
              <w:jc w:val="center"/>
              <w:rPr>
                <w:rFonts w:ascii="Arial" w:hAnsi="Arial" w:eastAsia="Times New Roman" w:cs="Arial"/>
                <w:b/>
                <w:b/>
                <w:i/>
                <w:i/>
                <w:sz w:val="16"/>
                <w:szCs w:val="16"/>
                <w:lang w:val="uk-UA" w:eastAsia="uk-UA"/>
              </w:rPr>
            </w:pPr>
            <w:r>
              <w:rPr>
                <w:rFonts w:eastAsia="Times New Roman" w:cs="Arial" w:ascii="Arial" w:hAnsi="Arial"/>
                <w:b/>
                <w:i/>
                <w:sz w:val="16"/>
                <w:szCs w:val="16"/>
                <w:lang w:val="uk-UA" w:eastAsia="uk-UA"/>
              </w:rPr>
              <w:t>Країна</w:t>
            </w:r>
          </w:p>
        </w:tc>
        <w:tc>
          <w:tcPr>
            <w:tcW w:w="1417"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spacing w:lineRule="auto" w:line="240" w:before="0" w:after="0"/>
              <w:jc w:val="center"/>
              <w:rPr>
                <w:rFonts w:ascii="Arial" w:hAnsi="Arial" w:eastAsia="Times New Roman" w:cs="Arial"/>
                <w:b/>
                <w:b/>
                <w:i/>
                <w:i/>
                <w:sz w:val="16"/>
                <w:szCs w:val="16"/>
                <w:lang w:val="uk-UA" w:eastAsia="uk-UA"/>
              </w:rPr>
            </w:pPr>
            <w:r>
              <w:rPr>
                <w:rFonts w:eastAsia="Times New Roman" w:cs="Arial" w:ascii="Arial" w:hAnsi="Arial"/>
                <w:b/>
                <w:i/>
                <w:sz w:val="16"/>
                <w:szCs w:val="16"/>
                <w:lang w:val="uk-UA" w:eastAsia="uk-UA"/>
              </w:rPr>
              <w:t>Виробник</w:t>
            </w:r>
          </w:p>
        </w:tc>
        <w:tc>
          <w:tcPr>
            <w:tcW w:w="1134"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spacing w:lineRule="auto" w:line="240" w:before="0" w:after="0"/>
              <w:jc w:val="center"/>
              <w:rPr>
                <w:rFonts w:ascii="Arial" w:hAnsi="Arial" w:eastAsia="Times New Roman" w:cs="Arial"/>
                <w:b/>
                <w:b/>
                <w:i/>
                <w:i/>
                <w:sz w:val="16"/>
                <w:szCs w:val="16"/>
                <w:lang w:val="uk-UA" w:eastAsia="uk-UA"/>
              </w:rPr>
            </w:pPr>
            <w:r>
              <w:rPr>
                <w:rFonts w:eastAsia="Times New Roman" w:cs="Arial" w:ascii="Arial" w:hAnsi="Arial"/>
                <w:b/>
                <w:i/>
                <w:sz w:val="16"/>
                <w:szCs w:val="16"/>
                <w:lang w:val="uk-UA" w:eastAsia="uk-UA"/>
              </w:rPr>
              <w:t>Країна</w:t>
            </w:r>
          </w:p>
        </w:tc>
        <w:tc>
          <w:tcPr>
            <w:tcW w:w="1701"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spacing w:lineRule="auto" w:line="240" w:before="0" w:after="0"/>
              <w:jc w:val="center"/>
              <w:rPr>
                <w:rFonts w:ascii="Arial" w:hAnsi="Arial" w:eastAsia="Times New Roman" w:cs="Arial"/>
                <w:b/>
                <w:b/>
                <w:i/>
                <w:i/>
                <w:sz w:val="16"/>
                <w:szCs w:val="16"/>
                <w:lang w:val="uk-UA" w:eastAsia="uk-UA"/>
              </w:rPr>
            </w:pPr>
            <w:r>
              <w:rPr>
                <w:rFonts w:eastAsia="Times New Roman" w:cs="Arial" w:ascii="Arial" w:hAnsi="Arial"/>
                <w:b/>
                <w:i/>
                <w:sz w:val="16"/>
                <w:szCs w:val="16"/>
                <w:lang w:val="uk-UA" w:eastAsia="uk-UA"/>
              </w:rPr>
              <w:t>Реєстраційна процедура</w:t>
            </w:r>
          </w:p>
        </w:tc>
        <w:tc>
          <w:tcPr>
            <w:tcW w:w="1134"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spacing w:lineRule="auto" w:line="240" w:before="0" w:after="0"/>
              <w:jc w:val="center"/>
              <w:rPr>
                <w:rFonts w:ascii="Arial" w:hAnsi="Arial" w:eastAsia="Times New Roman" w:cs="Arial"/>
                <w:b/>
                <w:b/>
                <w:i/>
                <w:i/>
                <w:sz w:val="16"/>
                <w:szCs w:val="16"/>
                <w:lang w:val="uk-UA" w:eastAsia="uk-UA"/>
              </w:rPr>
            </w:pPr>
            <w:r>
              <w:rPr>
                <w:rFonts w:eastAsia="Times New Roman" w:cs="Arial" w:ascii="Arial" w:hAnsi="Arial"/>
                <w:b/>
                <w:i/>
                <w:sz w:val="16"/>
                <w:szCs w:val="16"/>
                <w:lang w:val="uk-UA" w:eastAsia="uk-UA"/>
              </w:rPr>
              <w:t>Умови відпуску</w:t>
            </w:r>
          </w:p>
        </w:tc>
        <w:tc>
          <w:tcPr>
            <w:tcW w:w="15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BFBFBF" w:val="clear"/>
            <w:tcMar>
              <w:left w:w="103" w:type="dxa"/>
            </w:tcMar>
          </w:tcPr>
          <w:p>
            <w:pPr>
              <w:pStyle w:val="Normal"/>
              <w:tabs>
                <w:tab w:val="left" w:pos="12600" w:leader="none"/>
              </w:tabs>
              <w:spacing w:lineRule="auto" w:line="240" w:before="0" w:after="0"/>
              <w:jc w:val="center"/>
              <w:rPr>
                <w:rFonts w:ascii="Arial" w:hAnsi="Arial" w:eastAsia="Times New Roman" w:cs="Arial"/>
                <w:b/>
                <w:b/>
                <w:i/>
                <w:i/>
                <w:sz w:val="16"/>
                <w:szCs w:val="16"/>
                <w:lang w:val="uk-UA" w:eastAsia="uk-UA"/>
              </w:rPr>
            </w:pPr>
            <w:r>
              <w:rPr>
                <w:rFonts w:eastAsia="Times New Roman" w:cs="Arial" w:ascii="Arial" w:hAnsi="Arial"/>
                <w:b/>
                <w:i/>
                <w:sz w:val="16"/>
                <w:szCs w:val="16"/>
                <w:lang w:val="uk-UA" w:eastAsia="uk-UA"/>
              </w:rPr>
              <w:t>Номер реєстраційного посвідчення</w:t>
            </w:r>
          </w:p>
        </w:tc>
      </w:tr>
      <w:tr>
        <w:trPr>
          <w:trHeight w:val="433" w:hRule="atLeast"/>
        </w:trPr>
        <w:tc>
          <w:tcPr>
            <w:tcW w:w="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numPr>
                <w:ilvl w:val="0"/>
                <w:numId w:val="1"/>
              </w:numPr>
              <w:tabs>
                <w:tab w:val="left" w:pos="12600" w:leader="none"/>
              </w:tabs>
              <w:snapToGrid w:val="false"/>
              <w:spacing w:lineRule="auto" w:line="240" w:before="0" w:after="0"/>
              <w:contextualSpacing/>
              <w:rPr>
                <w:rFonts w:ascii="Arial" w:hAnsi="Arial" w:eastAsia="Times New Roman" w:cs="Arial"/>
                <w:b/>
                <w:b/>
                <w:i/>
                <w:i/>
                <w:sz w:val="16"/>
                <w:szCs w:val="16"/>
                <w:lang w:val="uk-UA" w:eastAsia="ru-RU"/>
              </w:rPr>
            </w:pPr>
            <w:r>
              <w:rPr>
                <w:rFonts w:eastAsia="Times New Roman" w:cs="Arial" w:ascii="Arial" w:hAnsi="Arial"/>
                <w:b/>
                <w:i/>
                <w:sz w:val="16"/>
                <w:szCs w:val="16"/>
                <w:lang w:val="uk-UA" w:eastAsia="ru-RU"/>
              </w:rPr>
            </w:r>
          </w:p>
        </w:tc>
        <w:tc>
          <w:tcPr>
            <w:tcW w:w="128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jc w:val="center"/>
              <w:rPr>
                <w:rFonts w:ascii="Arial" w:hAnsi="Arial" w:cs="Arial"/>
                <w:b/>
                <w:b/>
                <w:i/>
                <w:i/>
                <w:color w:val="000000"/>
                <w:sz w:val="16"/>
                <w:szCs w:val="16"/>
                <w:lang w:val="uk-UA"/>
              </w:rPr>
            </w:pPr>
            <w:r>
              <w:rPr>
                <w:rFonts w:cs="Arial" w:ascii="Arial" w:hAnsi="Arial"/>
                <w:b/>
                <w:sz w:val="16"/>
                <w:szCs w:val="16"/>
              </w:rPr>
              <w:t>НІНЛАРО®</w:t>
            </w:r>
          </w:p>
        </w:tc>
        <w:tc>
          <w:tcPr>
            <w:tcW w:w="992"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Style18"/>
              <w:tabs>
                <w:tab w:val="left" w:pos="12600" w:leader="none"/>
              </w:tabs>
              <w:rPr>
                <w:rFonts w:ascii="Arial" w:hAnsi="Arial" w:cs="Arial"/>
                <w:color w:val="000000"/>
                <w:sz w:val="16"/>
                <w:szCs w:val="16"/>
                <w:highlight w:val="white"/>
              </w:rPr>
            </w:pPr>
            <w:r>
              <w:rPr>
                <w:rFonts w:cs="Arial" w:ascii="Arial" w:hAnsi="Arial"/>
                <w:color w:val="000000"/>
                <w:sz w:val="16"/>
                <w:szCs w:val="16"/>
              </w:rPr>
              <w:t>ixazomib</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rPr>
                <w:rFonts w:ascii="Arial" w:hAnsi="Arial" w:eastAsia="Calibri" w:cs="Arial"/>
                <w:sz w:val="16"/>
                <w:szCs w:val="16"/>
                <w:lang w:val="ru-RU"/>
              </w:rPr>
            </w:pPr>
            <w:r>
              <w:rPr>
                <w:rFonts w:cs="Arial" w:ascii="Arial" w:hAnsi="Arial"/>
                <w:color w:val="000000"/>
                <w:sz w:val="16"/>
                <w:szCs w:val="16"/>
                <w:lang w:val="ru-RU"/>
              </w:rPr>
              <w:t>іксазоміб (у вигляді іксазомібу цитрату)</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rPr>
                <w:rFonts w:ascii="Arial" w:hAnsi="Arial" w:cs="Arial"/>
                <w:color w:val="000000"/>
                <w:sz w:val="16"/>
                <w:szCs w:val="16"/>
                <w:shd w:fill="F8F8F8" w:val="clear"/>
              </w:rPr>
            </w:pPr>
            <w:r>
              <w:rPr>
                <w:rFonts w:cs="Arial" w:ascii="Arial" w:hAnsi="Arial"/>
                <w:color w:val="000000"/>
                <w:sz w:val="16"/>
                <w:szCs w:val="16"/>
              </w:rPr>
              <w:t>L01XG03</w:t>
            </w:r>
          </w:p>
        </w:tc>
        <w:tc>
          <w:tcPr>
            <w:tcW w:w="184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капсули тверді по 2,3 мг; по 3 капсули у блістерній стрічці; по 1 блістерній стрічці в упаковці-футлярі; по 1 упаковці-футляру в картонній коробці</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jc w:val="center"/>
              <w:rPr>
                <w:rFonts w:ascii="Arial" w:hAnsi="Arial" w:cs="Arial"/>
                <w:color w:val="000000"/>
                <w:sz w:val="16"/>
                <w:szCs w:val="16"/>
              </w:rPr>
            </w:pPr>
            <w:r>
              <w:rPr>
                <w:rFonts w:cs="Arial" w:ascii="Arial" w:hAnsi="Arial"/>
                <w:color w:val="000000"/>
                <w:sz w:val="16"/>
                <w:szCs w:val="16"/>
              </w:rPr>
              <w:t>Такеда Фарма А/С</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jc w:val="center"/>
              <w:rPr>
                <w:rFonts w:ascii="Arial" w:hAnsi="Arial" w:cs="Arial"/>
                <w:color w:val="000000"/>
                <w:sz w:val="16"/>
                <w:szCs w:val="16"/>
              </w:rPr>
            </w:pPr>
            <w:r>
              <w:rPr>
                <w:rFonts w:cs="Arial" w:ascii="Arial" w:hAnsi="Arial"/>
                <w:color w:val="000000"/>
                <w:sz w:val="16"/>
                <w:szCs w:val="16"/>
              </w:rPr>
              <w:t>Данiя</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ГЛЗ, первинне пакування, вторинне пакування та маркування, контроль якості серії, випробування стабільності, випуск cepiї: Такеда Ірландія Лімітед, Ірландія; виробництво ГЛЗ: Хаупт Фарма Амарег ГмбХ, Німеччина; первинне пакування, вторинне пакування та маркування: АндерсонБрекон (Юкей) Лімітед, Велика Британія; вторинне пакування та маркування: АндерсонБрекон (Юкей) Лімітед, Велика Британія; контроль якості серії, випробування стабільності: Єврофінс БіоФарма Продакт Тестінг Ірландія Лімітед, Ірландія; випробування стабільності: Єврофінс Ланкастер Лабораторіз, Інк., США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jc w:val="center"/>
              <w:rPr/>
            </w:pPr>
            <w:r>
              <w:rPr>
                <w:rFonts w:cs="Arial" w:ascii="Arial" w:hAnsi="Arial"/>
                <w:color w:val="000000"/>
                <w:sz w:val="16"/>
                <w:szCs w:val="16"/>
                <w:lang w:val="ru-RU"/>
              </w:rPr>
              <w:t>Ірландія/ Німеччина/ Велика Британія/ США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jc w:val="center"/>
              <w:rPr/>
            </w:pPr>
            <w:r>
              <w:rPr>
                <w:rFonts w:cs="Arial" w:ascii="Arial" w:hAnsi="Arial"/>
                <w:color w:val="000000"/>
                <w:sz w:val="16"/>
                <w:szCs w:val="16"/>
              </w:rPr>
              <w:t xml:space="preserve">Зміни І та ІІ типу,A. ADMINISTRATIVE CHANGES - A.4 Change in the name and/or address of: a manufacturer (including where relevant quality control testing sites); or an ASMF holder; or a supplier of the active substance, starting material, reagent or intermediate used in the manufacture of the active substance (where specified in the technical dossier) where no Ph. Eur. Certificate of Suitability is part of the approved dossier; or a manufacturer of a novel excipient (where specified in the technical dossier) - Variation type IA: </w:t>
              <w:br/>
              <w:t xml:space="preserve">To update the address of the site responsible for quality control testing of the active substance Almac Sciences (Ireland) Limited from IDA Business and Technology Park, Garrycastle, Athlone, N37 RF70, Ireland to Ida Business and Technology Park, Garrycastle, Athlone, N37 X061, Ireland. There is no change in the location of the site.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ind w:left="-185" w:hanging="0"/>
              <w:jc w:val="center"/>
              <w:rPr>
                <w:rFonts w:ascii="Arial" w:hAnsi="Arial" w:cs="Arial"/>
                <w:b/>
                <w:b/>
                <w:i/>
                <w:i/>
                <w:color w:val="000000"/>
                <w:sz w:val="16"/>
                <w:szCs w:val="16"/>
              </w:rPr>
            </w:pPr>
            <w:r>
              <w:rPr>
                <w:rFonts w:cs="Arial" w:ascii="Arial" w:hAnsi="Arial"/>
                <w:i/>
                <w:sz w:val="16"/>
                <w:szCs w:val="16"/>
              </w:rPr>
              <w:t>за рецептом</w:t>
            </w:r>
          </w:p>
        </w:tc>
        <w:tc>
          <w:tcPr>
            <w:tcW w:w="15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18"/>
              <w:tabs>
                <w:tab w:val="left" w:pos="12600" w:leader="none"/>
              </w:tabs>
              <w:jc w:val="center"/>
              <w:rPr>
                <w:rFonts w:ascii="Arial" w:hAnsi="Arial" w:cs="Arial"/>
                <w:sz w:val="16"/>
                <w:szCs w:val="16"/>
              </w:rPr>
            </w:pPr>
            <w:r>
              <w:rPr>
                <w:rFonts w:cs="Arial" w:ascii="Arial" w:hAnsi="Arial"/>
                <w:sz w:val="16"/>
                <w:szCs w:val="16"/>
              </w:rPr>
              <w:t>UA/20483/01/01</w:t>
            </w:r>
          </w:p>
        </w:tc>
      </w:tr>
      <w:tr>
        <w:trPr>
          <w:trHeight w:val="433" w:hRule="atLeast"/>
        </w:trPr>
        <w:tc>
          <w:tcPr>
            <w:tcW w:w="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numPr>
                <w:ilvl w:val="0"/>
                <w:numId w:val="1"/>
              </w:numPr>
              <w:tabs>
                <w:tab w:val="left" w:pos="12600" w:leader="none"/>
              </w:tabs>
              <w:snapToGrid w:val="false"/>
              <w:spacing w:lineRule="auto" w:line="240" w:before="0" w:after="0"/>
              <w:contextualSpacing/>
              <w:rPr>
                <w:rFonts w:ascii="Arial" w:hAnsi="Arial" w:eastAsia="Times New Roman" w:cs="Arial"/>
                <w:b/>
                <w:b/>
                <w:sz w:val="16"/>
                <w:szCs w:val="16"/>
                <w:lang w:val="uk-UA"/>
              </w:rPr>
            </w:pPr>
            <w:r>
              <w:rPr>
                <w:rFonts w:eastAsia="Times New Roman" w:cs="Arial" w:ascii="Arial" w:hAnsi="Arial"/>
                <w:b/>
                <w:sz w:val="16"/>
                <w:szCs w:val="16"/>
                <w:lang w:val="uk-UA"/>
              </w:rPr>
            </w:r>
          </w:p>
        </w:tc>
        <w:tc>
          <w:tcPr>
            <w:tcW w:w="128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jc w:val="center"/>
              <w:rPr>
                <w:rFonts w:ascii="Arial" w:hAnsi="Arial" w:cs="Arial"/>
                <w:b/>
                <w:b/>
                <w:i/>
                <w:i/>
                <w:color w:val="000000"/>
                <w:sz w:val="16"/>
                <w:szCs w:val="16"/>
                <w:lang w:val="uk-UA"/>
              </w:rPr>
            </w:pPr>
            <w:r>
              <w:rPr>
                <w:rFonts w:cs="Arial" w:ascii="Arial" w:hAnsi="Arial"/>
                <w:b/>
                <w:sz w:val="16"/>
                <w:szCs w:val="16"/>
              </w:rPr>
              <w:t>НІНЛАРО®</w:t>
            </w:r>
          </w:p>
        </w:tc>
        <w:tc>
          <w:tcPr>
            <w:tcW w:w="992"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Style18"/>
              <w:tabs>
                <w:tab w:val="left" w:pos="12600" w:leader="none"/>
              </w:tabs>
              <w:rPr>
                <w:rFonts w:ascii="Arial" w:hAnsi="Arial" w:cs="Arial"/>
                <w:color w:val="000000"/>
                <w:sz w:val="16"/>
                <w:szCs w:val="16"/>
                <w:shd w:fill="F8F8F8" w:val="clear"/>
              </w:rPr>
            </w:pPr>
            <w:r>
              <w:rPr>
                <w:rFonts w:cs="Arial" w:ascii="Arial" w:hAnsi="Arial"/>
                <w:color w:val="000000"/>
                <w:sz w:val="16"/>
                <w:szCs w:val="16"/>
              </w:rPr>
              <w:t>ixazomib</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rPr>
                <w:rFonts w:ascii="Arial" w:hAnsi="Arial" w:eastAsia="Calibri" w:cs="Arial"/>
                <w:sz w:val="16"/>
                <w:szCs w:val="16"/>
                <w:lang w:val="ru-RU"/>
              </w:rPr>
            </w:pPr>
            <w:r>
              <w:rPr>
                <w:rFonts w:cs="Arial" w:ascii="Arial" w:hAnsi="Arial"/>
                <w:color w:val="000000"/>
                <w:sz w:val="16"/>
                <w:szCs w:val="16"/>
                <w:lang w:val="ru-RU"/>
              </w:rPr>
              <w:t>іксазоміб (у вигляді іксазомібу цитрату)</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rPr>
                <w:rFonts w:ascii="Arial" w:hAnsi="Arial" w:cs="Arial"/>
                <w:color w:val="000000"/>
                <w:sz w:val="16"/>
                <w:szCs w:val="16"/>
                <w:shd w:fill="F8F8F8" w:val="clear"/>
              </w:rPr>
            </w:pPr>
            <w:r>
              <w:rPr>
                <w:rFonts w:cs="Arial" w:ascii="Arial" w:hAnsi="Arial"/>
                <w:color w:val="000000"/>
                <w:sz w:val="16"/>
                <w:szCs w:val="16"/>
              </w:rPr>
              <w:t>L01XG03</w:t>
            </w:r>
          </w:p>
        </w:tc>
        <w:tc>
          <w:tcPr>
            <w:tcW w:w="184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капсули тверді по 3 мг; по 3 капсули у блістерній стрічці; по 1 блістерній стрічці в упаковці-футлярі; по 1 упаковці-футляру в картонній коробці</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jc w:val="center"/>
              <w:rPr>
                <w:rFonts w:ascii="Arial" w:hAnsi="Arial" w:cs="Arial"/>
                <w:color w:val="000000"/>
                <w:sz w:val="16"/>
                <w:szCs w:val="16"/>
              </w:rPr>
            </w:pPr>
            <w:r>
              <w:rPr>
                <w:rFonts w:cs="Arial" w:ascii="Arial" w:hAnsi="Arial"/>
                <w:color w:val="000000"/>
                <w:sz w:val="16"/>
                <w:szCs w:val="16"/>
              </w:rPr>
              <w:t>Такеда Фарма А/С</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jc w:val="center"/>
              <w:rPr>
                <w:rFonts w:ascii="Arial" w:hAnsi="Arial" w:cs="Arial"/>
                <w:color w:val="000000"/>
                <w:sz w:val="16"/>
                <w:szCs w:val="16"/>
              </w:rPr>
            </w:pPr>
            <w:r>
              <w:rPr>
                <w:rFonts w:cs="Arial" w:ascii="Arial" w:hAnsi="Arial"/>
                <w:color w:val="000000"/>
                <w:sz w:val="16"/>
                <w:szCs w:val="16"/>
              </w:rPr>
              <w:t>Данiя</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ГЛЗ, первинне пакування, вторинне пакування та маркування, контроль якості серії, випробування стабільності, випуск cepiї: Такеда Ірландія Лімітед, Ірландія; виробництво ГЛЗ: Хаупт Фарма Амарег ГмбХ, Німеччина; первинне пакування, вторинне пакування та маркування: АндерсонБрекон (Юкей) Лімітед, Велика Британія; вторинне пакування та маркування: АндерсонБрекон (Юкей) Лімітед, Велика Британія; контроль якості серії, випробування стабільності: Єврофінс БіоФарма Продакт Тестінг Ірландія Лімітед, Ірландія; випробування стабільності: Єврофінс Ланкастер Лабораторіз, Інк., США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Ірландія/ Німеччина/ Велика Британія/ США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jc w:val="center"/>
              <w:rPr/>
            </w:pPr>
            <w:r>
              <w:rPr>
                <w:rFonts w:cs="Arial" w:ascii="Arial" w:hAnsi="Arial"/>
                <w:color w:val="000000"/>
                <w:sz w:val="16"/>
                <w:szCs w:val="16"/>
              </w:rPr>
              <w:t xml:space="preserve">Зміни І та ІІ типу,A. ADMINISTRATIVE CHANGES - A.4 Change in the name and/or address of: a manufacturer (including where relevant quality control testing sites); or an ASMF holder; or a supplier of the active substance, starting material, reagent or intermediate used in the manufacture of the active substance (where specified in the technical dossier) where no Ph. Eur. Certificate of Suitability is part of the approved dossier; or a manufacturer of a novel excipient (where specified in the technical dossier) - Variation type IA: </w:t>
              <w:br/>
              <w:t xml:space="preserve">To update the address of the site responsible for quality control testing of the active substance Almac Sciences (Ireland) Limited from IDA Business and Technology Park, Garrycastle, Athlone, N37 RF70, Ireland to Ida Business and Technology Park, Garrycastle, Athlone, N37 X061, Ireland. There is no change in the location of the site.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ind w:left="-185" w:hanging="0"/>
              <w:jc w:val="center"/>
              <w:rPr>
                <w:rFonts w:ascii="Arial" w:hAnsi="Arial" w:cs="Arial"/>
                <w:b/>
                <w:b/>
                <w:i/>
                <w:i/>
                <w:color w:val="000000"/>
                <w:sz w:val="16"/>
                <w:szCs w:val="16"/>
              </w:rPr>
            </w:pPr>
            <w:r>
              <w:rPr>
                <w:rFonts w:cs="Arial" w:ascii="Arial" w:hAnsi="Arial"/>
                <w:i/>
                <w:sz w:val="16"/>
                <w:szCs w:val="16"/>
              </w:rPr>
              <w:t>за рецептом</w:t>
            </w:r>
          </w:p>
        </w:tc>
        <w:tc>
          <w:tcPr>
            <w:tcW w:w="15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18"/>
              <w:tabs>
                <w:tab w:val="left" w:pos="12600" w:leader="none"/>
              </w:tabs>
              <w:jc w:val="center"/>
              <w:rPr>
                <w:rFonts w:ascii="Arial" w:hAnsi="Arial" w:cs="Arial"/>
                <w:sz w:val="16"/>
                <w:szCs w:val="16"/>
              </w:rPr>
            </w:pPr>
            <w:r>
              <w:rPr>
                <w:rFonts w:cs="Arial" w:ascii="Arial" w:hAnsi="Arial"/>
                <w:sz w:val="16"/>
                <w:szCs w:val="16"/>
              </w:rPr>
              <w:t>UA/20483/01/02</w:t>
            </w:r>
          </w:p>
        </w:tc>
      </w:tr>
      <w:tr>
        <w:trPr>
          <w:trHeight w:val="433" w:hRule="atLeast"/>
        </w:trPr>
        <w:tc>
          <w:tcPr>
            <w:tcW w:w="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numPr>
                <w:ilvl w:val="0"/>
                <w:numId w:val="1"/>
              </w:numPr>
              <w:tabs>
                <w:tab w:val="left" w:pos="12600" w:leader="none"/>
              </w:tabs>
              <w:snapToGrid w:val="false"/>
              <w:spacing w:lineRule="auto" w:line="240" w:before="0" w:after="0"/>
              <w:contextualSpacing/>
              <w:rPr>
                <w:rFonts w:ascii="Arial" w:hAnsi="Arial" w:eastAsia="Times New Roman" w:cs="Arial"/>
                <w:b/>
                <w:b/>
                <w:sz w:val="16"/>
                <w:szCs w:val="16"/>
                <w:lang w:val="uk-UA"/>
              </w:rPr>
            </w:pPr>
            <w:r>
              <w:rPr>
                <w:rFonts w:eastAsia="Times New Roman" w:cs="Arial" w:ascii="Arial" w:hAnsi="Arial"/>
                <w:b/>
                <w:sz w:val="16"/>
                <w:szCs w:val="16"/>
                <w:lang w:val="uk-UA"/>
              </w:rPr>
            </w:r>
          </w:p>
        </w:tc>
        <w:tc>
          <w:tcPr>
            <w:tcW w:w="128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jc w:val="center"/>
              <w:rPr>
                <w:rFonts w:ascii="Arial" w:hAnsi="Arial" w:cs="Arial"/>
                <w:b/>
                <w:b/>
                <w:i/>
                <w:i/>
                <w:color w:val="000000"/>
                <w:sz w:val="16"/>
                <w:szCs w:val="16"/>
                <w:lang w:val="uk-UA"/>
              </w:rPr>
            </w:pPr>
            <w:r>
              <w:rPr>
                <w:rFonts w:cs="Arial" w:ascii="Arial" w:hAnsi="Arial"/>
                <w:b/>
                <w:sz w:val="16"/>
                <w:szCs w:val="16"/>
              </w:rPr>
              <w:t>НІНЛАРО®</w:t>
            </w:r>
          </w:p>
        </w:tc>
        <w:tc>
          <w:tcPr>
            <w:tcW w:w="992"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Style18"/>
              <w:tabs>
                <w:tab w:val="left" w:pos="12600" w:leader="none"/>
              </w:tabs>
              <w:rPr>
                <w:rFonts w:ascii="Arial" w:hAnsi="Arial" w:cs="Arial"/>
                <w:color w:val="000000"/>
                <w:sz w:val="16"/>
                <w:szCs w:val="16"/>
                <w:shd w:fill="F8F8F8" w:val="clear"/>
              </w:rPr>
            </w:pPr>
            <w:r>
              <w:rPr>
                <w:rFonts w:cs="Arial" w:ascii="Arial" w:hAnsi="Arial"/>
                <w:color w:val="000000"/>
                <w:sz w:val="16"/>
                <w:szCs w:val="16"/>
              </w:rPr>
              <w:t>ixazomib</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rPr>
                <w:rFonts w:ascii="Arial" w:hAnsi="Arial" w:eastAsia="Calibri" w:cs="Arial"/>
                <w:sz w:val="16"/>
                <w:szCs w:val="16"/>
                <w:lang w:val="ru-RU"/>
              </w:rPr>
            </w:pPr>
            <w:r>
              <w:rPr>
                <w:rFonts w:cs="Arial" w:ascii="Arial" w:hAnsi="Arial"/>
                <w:color w:val="000000"/>
                <w:sz w:val="16"/>
                <w:szCs w:val="16"/>
                <w:lang w:val="ru-RU"/>
              </w:rPr>
              <w:t>іксазоміб (у вигляді іксазомібу цитрату)</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rPr>
                <w:rFonts w:ascii="Arial" w:hAnsi="Arial" w:cs="Arial"/>
                <w:color w:val="000000"/>
                <w:sz w:val="16"/>
                <w:szCs w:val="16"/>
                <w:shd w:fill="F8F8F8" w:val="clear"/>
              </w:rPr>
            </w:pPr>
            <w:r>
              <w:rPr>
                <w:rFonts w:cs="Arial" w:ascii="Arial" w:hAnsi="Arial"/>
                <w:color w:val="000000"/>
                <w:sz w:val="16"/>
                <w:szCs w:val="16"/>
              </w:rPr>
              <w:t>L01XG03</w:t>
            </w:r>
          </w:p>
        </w:tc>
        <w:tc>
          <w:tcPr>
            <w:tcW w:w="184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капсули тверді по 4 мг; по 3 капсули у блістерній стрічці; по 1 блістерній стрічці в упаковці-футлярі; по 1 упаковці-футляру в картонній коробці</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jc w:val="center"/>
              <w:rPr>
                <w:rFonts w:ascii="Arial" w:hAnsi="Arial" w:cs="Arial"/>
                <w:color w:val="000000"/>
                <w:sz w:val="16"/>
                <w:szCs w:val="16"/>
              </w:rPr>
            </w:pPr>
            <w:r>
              <w:rPr>
                <w:rFonts w:cs="Arial" w:ascii="Arial" w:hAnsi="Arial"/>
                <w:color w:val="000000"/>
                <w:sz w:val="16"/>
                <w:szCs w:val="16"/>
              </w:rPr>
              <w:t>Такеда Фарма А/С</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jc w:val="center"/>
              <w:rPr>
                <w:rFonts w:ascii="Arial" w:hAnsi="Arial" w:cs="Arial"/>
                <w:color w:val="000000"/>
                <w:sz w:val="16"/>
                <w:szCs w:val="16"/>
              </w:rPr>
            </w:pPr>
            <w:r>
              <w:rPr>
                <w:rFonts w:cs="Arial" w:ascii="Arial" w:hAnsi="Arial"/>
                <w:color w:val="000000"/>
                <w:sz w:val="16"/>
                <w:szCs w:val="16"/>
              </w:rPr>
              <w:t>Данiя</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ГЛЗ, первинне пакування, вторинне пакування та маркування, контроль якості серії, випробування стабільності, випуск cepiї: Такеда Ірландія Лімітед, Ірландія; виробництво ГЛЗ: Хаупт Фарма Амарег ГмбХ, Німеччина; первинне пакування, вторинне пакування та маркування: АндерсонБрекон (Юкей) Лімітед, Велика Британія; вторинне пакування та маркування: АндерсонБрекон (Юкей) Лімітед, Велика Британія; контроль якості серії, випробування стабільності: Єврофінс БіоФарма Продакт Тестінг Ірландія Лімітед, Ірландія; випробування стабільності: Єврофінс Ланкастер Лабораторіз, Інк., США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Ірландія/ Німеччина/ Велика Британія/ США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Зміни І та ІІ типу,A. ADMINISTRATIVE CHANGES - A.4 Change in the name and/or address of: a manufacturer (including where relevant quality control testing sites); or an ASMF holder; or a supplier of the active substance, starting material, reagent or intermediate used in the manufacture of the active substance (where specified in the technical dossier) where no Ph. Eur. Certificate of Suitability is part of the approved dossier; or a manufacturer of a novel excipient (where specified in the technical dossier) - Variation type IA: </w:t>
              <w:br/>
              <w:t xml:space="preserve">To update the address of the site responsible for quality control testing of the active substance Almac Sciences (Ireland) Limited from IDA Business and Technology Park, Garrycastle, Athlone, N37 RF70, Ireland to Ida Business and Technology Park, Garrycastle, Athlone, N37 X061, Ireland. There is no change in the location of the site.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18"/>
              <w:tabs>
                <w:tab w:val="left" w:pos="12600" w:leader="none"/>
              </w:tabs>
              <w:ind w:left="-185" w:hanging="0"/>
              <w:jc w:val="center"/>
              <w:rPr>
                <w:rFonts w:ascii="Arial" w:hAnsi="Arial" w:cs="Arial"/>
                <w:b/>
                <w:b/>
                <w:i/>
                <w:i/>
                <w:color w:val="000000"/>
                <w:sz w:val="16"/>
                <w:szCs w:val="16"/>
              </w:rPr>
            </w:pPr>
            <w:r>
              <w:rPr>
                <w:rFonts w:cs="Arial" w:ascii="Arial" w:hAnsi="Arial"/>
                <w:i/>
                <w:sz w:val="16"/>
                <w:szCs w:val="16"/>
              </w:rPr>
              <w:t>за рецептом</w:t>
            </w:r>
          </w:p>
        </w:tc>
        <w:tc>
          <w:tcPr>
            <w:tcW w:w="15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18"/>
              <w:tabs>
                <w:tab w:val="left" w:pos="12600" w:leader="none"/>
              </w:tabs>
              <w:jc w:val="center"/>
              <w:rPr>
                <w:rFonts w:ascii="Arial" w:hAnsi="Arial" w:cs="Arial"/>
                <w:sz w:val="16"/>
                <w:szCs w:val="16"/>
              </w:rPr>
            </w:pPr>
            <w:r>
              <w:rPr>
                <w:rFonts w:cs="Arial" w:ascii="Arial" w:hAnsi="Arial"/>
                <w:sz w:val="16"/>
                <w:szCs w:val="16"/>
              </w:rPr>
              <w:t>UA/20483/01/03</w:t>
            </w:r>
          </w:p>
        </w:tc>
      </w:tr>
    </w:tbl>
    <w:p>
      <w:pPr>
        <w:pStyle w:val="Normal"/>
        <w:spacing w:lineRule="auto" w:line="240" w:before="0" w:after="0"/>
        <w:rPr>
          <w:rFonts w:ascii="Arial" w:hAnsi="Arial" w:cs="Arial"/>
          <w:sz w:val="16"/>
          <w:szCs w:val="16"/>
        </w:rPr>
      </w:pPr>
      <w:r>
        <w:rPr>
          <w:rFonts w:cs="Arial" w:ascii="Arial" w:hAnsi="Arial"/>
          <w:sz w:val="16"/>
          <w:szCs w:val="16"/>
        </w:rPr>
      </w:r>
    </w:p>
    <w:sectPr>
      <w:footerReference w:type="default" r:id="rId2"/>
      <w:footerReference w:type="first" r:id="rId3"/>
      <w:type w:val="nextPage"/>
      <w:pgSz w:orient="landscape" w:w="16838" w:h="11906"/>
      <w:pgMar w:left="851" w:right="851" w:header="0" w:top="1134" w:footer="709" w:bottom="851"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cc"/>
    <w:family w:val="swiss"/>
    <w:pitch w:val="variable"/>
  </w:font>
  <w:font w:name="Segoe UI">
    <w:charset w:val="cc"/>
    <w:family w:val="swiss"/>
    <w:pitch w:val="variable"/>
  </w:font>
  <w:font w:name="Liberation Sans">
    <w:altName w:val="Arial"/>
    <w:charset w:val="01"/>
    <w:family w:val="swiss"/>
    <w:pitch w:val="variable"/>
  </w:font>
  <w:font w:name="Times New Roman">
    <w:charset w:val="cc"/>
    <w:family w:val="roman"/>
    <w:pitch w:val="variable"/>
  </w:font>
  <w:font w:name="Arial">
    <w:charset w:val="cc"/>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fldChar w:fldCharType="begin"/>
    </w:r>
    <w:r>
      <w:instrText> PAGE </w:instrText>
    </w:r>
    <w:r>
      <w:fldChar w:fldCharType="separate"/>
    </w:r>
    <w:r>
      <w:t>4</w:t>
    </w:r>
    <w:r>
      <w:fldChar w:fldCharType="end"/>
    </w:r>
  </w:p>
  <w:p>
    <w:pPr>
      <w:pStyle w:val="Footer"/>
      <w:tabs>
        <w:tab w:val="center" w:pos="4844" w:leader="none"/>
        <w:tab w:val="right" w:pos="9689" w:leader="none"/>
      </w:tabs>
      <w:spacing w:before="0" w:after="1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enter" w:pos="4844" w:leader="none"/>
        <w:tab w:val="right" w:pos="9689" w:leader="none"/>
      </w:tabs>
      <w:spacing w:before="0" w:after="16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360" w:hanging="360"/>
      </w:pPr>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ru-RU" w:eastAsia="zh-CN" w:bidi="hi-IN"/>
      </w:rPr>
    </w:rPrDefault>
    <w:pPrDefault>
      <w:pPr/>
    </w:pPrDefault>
  </w:docDefaults>
  <w:style w:type="paragraph" w:styleId="Normal">
    <w:name w:val="Normal"/>
    <w:qFormat/>
    <w:pPr>
      <w:widowControl/>
      <w:bidi w:val="0"/>
      <w:spacing w:lineRule="auto" w:line="256" w:before="0" w:after="160"/>
    </w:pPr>
    <w:rPr>
      <w:rFonts w:ascii="Calibri" w:hAnsi="Calibri" w:eastAsia="Calibri" w:cs="Times New Roman"/>
      <w:color w:val="auto"/>
      <w:sz w:val="22"/>
      <w:szCs w:val="22"/>
      <w:lang w:val="en-US" w:bidi="ar-SA" w:eastAsia="zh-CN"/>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cs="Times New Roman"/>
    </w:rPr>
  </w:style>
  <w:style w:type="character" w:styleId="Style14">
    <w:name w:val="Основной шрифт абзаца"/>
    <w:qFormat/>
    <w:rPr/>
  </w:style>
  <w:style w:type="character" w:styleId="Style15">
    <w:name w:val="Текст выноски Знак"/>
    <w:qFormat/>
    <w:rPr>
      <w:rFonts w:ascii="Segoe UI" w:hAnsi="Segoe UI" w:cs="Segoe UI"/>
      <w:sz w:val="18"/>
      <w:szCs w:val="18"/>
    </w:rPr>
  </w:style>
  <w:style w:type="character" w:styleId="InternetLink">
    <w:name w:val="Internet Link"/>
    <w:rPr>
      <w:color w:val="0000FF"/>
      <w:u w:val="single"/>
    </w:rPr>
  </w:style>
  <w:style w:type="character" w:styleId="Style16">
    <w:name w:val="Верхний колонтитул Знак"/>
    <w:qFormat/>
    <w:rPr>
      <w:sz w:val="22"/>
      <w:szCs w:val="22"/>
    </w:rPr>
  </w:style>
  <w:style w:type="character" w:styleId="Style17">
    <w:name w:val="Нижний колонтитул Знак"/>
    <w:qFormat/>
    <w:rPr>
      <w:sz w:val="22"/>
      <w:szCs w:val="22"/>
    </w:rPr>
  </w:style>
  <w:style w:type="character" w:styleId="2">
    <w:name w:val="Основной текст (2)_"/>
    <w:qFormat/>
    <w:rPr>
      <w:sz w:val="22"/>
      <w:szCs w:val="22"/>
      <w:shd w:fill="FFFFFF" w:val="clear"/>
    </w:rPr>
  </w:style>
  <w:style w:type="paragraph" w:styleId="Heading">
    <w:name w:val="Heading"/>
    <w:basedOn w:val="Normal"/>
    <w:next w:val="TextBody"/>
    <w:qFormat/>
    <w:pPr>
      <w:keepNext w:val="true"/>
      <w:spacing w:before="240" w:after="120"/>
    </w:pPr>
    <w:rPr>
      <w:rFonts w:ascii="Liberation Sans" w:hAnsi="Liberation Sans" w:eastAsia="DejaVu Sans" w:cs="DejaVu Sans"/>
      <w:sz w:val="28"/>
      <w:szCs w:val="28"/>
    </w:rPr>
  </w:style>
  <w:style w:type="paragraph" w:styleId="TextBody">
    <w:name w:val="Body Text"/>
    <w:basedOn w:val="Normal"/>
    <w:pPr>
      <w:spacing w:lineRule="auto" w:line="288"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Style18">
    <w:name w:val="Звичайний"/>
    <w:qFormat/>
    <w:pPr>
      <w:widowControl/>
    </w:pPr>
    <w:rPr>
      <w:rFonts w:ascii="Times New Roman" w:hAnsi="Times New Roman" w:eastAsia="Times New Roman" w:cs="Times New Roman"/>
      <w:color w:val="auto"/>
      <w:sz w:val="24"/>
      <w:szCs w:val="24"/>
      <w:lang w:val="en-US" w:bidi="ar-SA" w:eastAsia="zh-CN"/>
    </w:rPr>
  </w:style>
  <w:style w:type="paragraph" w:styleId="Style19">
    <w:name w:val="Текст выноски"/>
    <w:basedOn w:val="Normal"/>
    <w:qFormat/>
    <w:pPr>
      <w:spacing w:lineRule="auto" w:line="240" w:before="0" w:after="0"/>
    </w:pPr>
    <w:rPr>
      <w:rFonts w:ascii="Segoe UI" w:hAnsi="Segoe UI" w:cs="Segoe UI"/>
      <w:sz w:val="18"/>
      <w:szCs w:val="18"/>
    </w:rPr>
  </w:style>
  <w:style w:type="paragraph" w:styleId="Header">
    <w:name w:val="Header"/>
    <w:basedOn w:val="Normal"/>
    <w:pPr>
      <w:tabs>
        <w:tab w:val="center" w:pos="4844" w:leader="none"/>
        <w:tab w:val="right" w:pos="9689" w:leader="none"/>
      </w:tabs>
    </w:pPr>
    <w:rPr/>
  </w:style>
  <w:style w:type="paragraph" w:styleId="Footer">
    <w:name w:val="Footer"/>
    <w:basedOn w:val="Normal"/>
    <w:pPr>
      <w:tabs>
        <w:tab w:val="center" w:pos="4844" w:leader="none"/>
        <w:tab w:val="right" w:pos="9689" w:leader="none"/>
      </w:tabs>
    </w:pPr>
    <w:rPr/>
  </w:style>
  <w:style w:type="paragraph" w:styleId="21">
    <w:name w:val="Основной текст (2)1"/>
    <w:basedOn w:val="Normal"/>
    <w:qFormat/>
    <w:pPr>
      <w:widowControl w:val="false"/>
      <w:shd w:fill="FFFFFF" w:val="clear"/>
      <w:spacing w:lineRule="exact" w:line="250" w:before="0" w:after="480"/>
      <w:ind w:hanging="600"/>
      <w:jc w:val="both"/>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LibreOffice/5.3.6.1$Linux_X86_64 LibreOffice_project/30$Build-1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2026-10-07T11:58:00Z</dcterms:created>
  <dc:creator>RePack by Diakov</dc:creator>
  <dc:description/>
  <dc:language>ru-RU</dc:language>
  <cp:lastModifiedBy>Сайчук Світлана Анатоліївна</cp:lastModifiedBy>
  <cp:lastPrinted>2022-04-14T11:34:00Z</cp:lastPrinted>
  <dcterms:modified xsi:type="dcterms:W3CDTF">2026-10-07T11:58:00Z</dcterms:modified>
  <cp:revision>3</cp:revision>
  <dc:subject/>
  <dc:title/>
</cp:coreProperties>
</file>