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9E" w:rsidRPr="00143A7F" w:rsidRDefault="00AB629E" w:rsidP="007C0B49">
      <w:pPr>
        <w:jc w:val="center"/>
        <w:rPr>
          <w:b/>
          <w:sz w:val="28"/>
          <w:szCs w:val="28"/>
          <w:lang w:val="uk-UA"/>
        </w:rPr>
      </w:pPr>
      <w:r w:rsidRPr="00143A7F">
        <w:rPr>
          <w:b/>
          <w:sz w:val="28"/>
          <w:szCs w:val="28"/>
          <w:lang w:val="uk-UA"/>
        </w:rPr>
        <w:t>Електронні адреси для подачі документів</w:t>
      </w:r>
      <w:r w:rsidR="00A45564">
        <w:rPr>
          <w:b/>
          <w:sz w:val="28"/>
          <w:szCs w:val="28"/>
          <w:lang w:val="uk-UA"/>
        </w:rPr>
        <w:t xml:space="preserve"> в електронній формі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2"/>
        <w:gridCol w:w="4178"/>
        <w:gridCol w:w="3998"/>
        <w:gridCol w:w="2732"/>
      </w:tblGrid>
      <w:tr w:rsidR="00AB629E" w:rsidTr="00BD3CEA">
        <w:tc>
          <w:tcPr>
            <w:tcW w:w="3539" w:type="dxa"/>
          </w:tcPr>
          <w:p w:rsidR="00AB629E" w:rsidRPr="00A45564" w:rsidRDefault="0017520A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hyperlink r:id="rId5" w:tgtFrame="_blank" w:history="1">
              <w:r w:rsidR="00AB629E"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evikno@dec.gov.ua</w:t>
              </w:r>
            </w:hyperlink>
          </w:p>
        </w:tc>
        <w:tc>
          <w:tcPr>
            <w:tcW w:w="4253" w:type="dxa"/>
          </w:tcPr>
          <w:p w:rsidR="00AB629E" w:rsidRPr="00A45564" w:rsidRDefault="00AB629E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r w:rsidRPr="00A45564">
              <w:rPr>
                <w:rFonts w:ascii="inherit" w:hAnsi="inherit"/>
                <w:b/>
                <w:bCs/>
                <w:i/>
                <w:color w:val="2F5496" w:themeColor="accent5" w:themeShade="BF"/>
                <w:shd w:val="clear" w:color="auto" w:fill="FFFFFF"/>
              </w:rPr>
              <w:t xml:space="preserve"> </w:t>
            </w:r>
            <w:hyperlink r:id="rId6" w:tgtFrame="_blank" w:history="1">
              <w:r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rm@dec.gov.ua</w:t>
              </w:r>
            </w:hyperlink>
          </w:p>
        </w:tc>
        <w:tc>
          <w:tcPr>
            <w:tcW w:w="4110" w:type="dxa"/>
          </w:tcPr>
          <w:p w:rsidR="00AB629E" w:rsidRPr="003B2982" w:rsidRDefault="0017520A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hyperlink r:id="rId7" w:tgtFrame="_blank" w:history="1">
              <w:r w:rsidR="00AB629E"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kv@dec.gov.ua</w:t>
              </w:r>
            </w:hyperlink>
          </w:p>
        </w:tc>
        <w:tc>
          <w:tcPr>
            <w:tcW w:w="2488" w:type="dxa"/>
          </w:tcPr>
          <w:p w:rsidR="00AB629E" w:rsidRPr="00CE402D" w:rsidRDefault="0017520A" w:rsidP="00AB629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hyperlink r:id="rId8" w:history="1">
              <w:r w:rsidR="00DD0F29" w:rsidRPr="00CE402D">
                <w:rPr>
                  <w:rFonts w:ascii="Times New Roman" w:hAnsi="Times New Roman" w:cs="Times New Roman"/>
                  <w:b/>
                  <w:color w:val="2F5496" w:themeColor="accent5" w:themeShade="BF"/>
                  <w:sz w:val="28"/>
                  <w:szCs w:val="28"/>
                  <w:shd w:val="clear" w:color="auto" w:fill="FFFFFF"/>
                </w:rPr>
                <w:t>contract@dec.gov.ua</w:t>
              </w:r>
            </w:hyperlink>
          </w:p>
        </w:tc>
      </w:tr>
      <w:tr w:rsidR="00AB629E" w:rsidRPr="0017520A" w:rsidTr="00BD3CEA">
        <w:tc>
          <w:tcPr>
            <w:tcW w:w="3539" w:type="dxa"/>
          </w:tcPr>
          <w:p w:rsidR="00DA530D" w:rsidRPr="001B7DD8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 w:rsidRPr="001B7DD8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  </w:t>
            </w:r>
          </w:p>
          <w:p w:rsidR="00DA530D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-  </w:t>
            </w:r>
            <w:r w:rsidR="00E92A47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З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аяв</w:t>
            </w: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 про екстрену державну реєстрацію лікарських засобів, реєстраційних матеріалів на лікарські засоби та інших документів, що додаються до заяви про екстрену державну реєстрацію лікарського засобу</w:t>
            </w:r>
          </w:p>
          <w:p w:rsidR="00DA530D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</w:p>
          <w:p w:rsidR="00AB629E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  -  </w:t>
            </w:r>
            <w:r w:rsidR="00E92A47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З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аяви про державну реєстрацію, перереєстрацію лікарських засобів, про внесення змін до реєстраційних матеріалів протягом д</w:t>
            </w:r>
            <w:r w:rsidR="003B2982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ії реєстраційного посвідчення </w:t>
            </w:r>
          </w:p>
          <w:p w:rsidR="001B7DD8" w:rsidRPr="00143A7F" w:rsidRDefault="001B7DD8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</w:p>
          <w:p w:rsidR="001B7DD8" w:rsidRDefault="00E92A47" w:rsidP="00DA53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val="uk-UA"/>
              </w:rPr>
              <w:t>-</w:t>
            </w:r>
            <w:r w:rsidR="0000246C" w:rsidRPr="00143A7F"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43A7F" w:rsidRPr="00143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аява про проведення клінічного випробування лікарського засобу</w:t>
            </w:r>
          </w:p>
          <w:p w:rsidR="005B1CAC" w:rsidRDefault="005B1CAC" w:rsidP="00DA530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1B7DD8" w:rsidRPr="00143A7F" w:rsidRDefault="005B1CAC" w:rsidP="001B7D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Заява про суттєву поправку</w:t>
            </w:r>
          </w:p>
          <w:p w:rsidR="00DA530D" w:rsidRPr="001B7DD8" w:rsidRDefault="00DA530D" w:rsidP="00DA530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A7F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3A7F" w:rsidRPr="00E92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Реєстраційна форма лікарського засобу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Матеріали реєстраційного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(комплект документів, що подаються для державної реєстрації, перереєстрації, внесення змін</w:t>
            </w:r>
            <w:r w:rsidR="006C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екстреної реєстрації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6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Додаткові/доопрацьовані матеріали до реєстраційного досьє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Відповідь на зауваження (форма 10, 16)</w:t>
            </w:r>
          </w:p>
          <w:p w:rsidR="00CE402D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402D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853" w:rsidRPr="00CE402D" w:rsidRDefault="00CE402D" w:rsidP="00CE4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ВАЖЛИВО</w:t>
            </w:r>
          </w:p>
          <w:p w:rsidR="00264853" w:rsidRPr="00E92A47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Відповідь на зауваження 2ф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надсилати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02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dec</w:t>
            </w:r>
            <w:proofErr w:type="spellEnd"/>
            <w:r w:rsidRPr="00CE402D">
              <w:fldChar w:fldCharType="begin"/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HYPERLINK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"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mailto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: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kv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@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dec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.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gov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.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ua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" \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t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"_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blank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" </w:instrText>
            </w:r>
            <w:r w:rsidRPr="00CE402D">
              <w:fldChar w:fldCharType="separate"/>
            </w:r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@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dec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gov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ua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4110" w:type="dxa"/>
          </w:tcPr>
          <w:p w:rsidR="00AB629E" w:rsidRPr="00BD3CEA" w:rsidRDefault="00AB629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CEA" w:rsidRDefault="008A223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Матеріали клінічного дослідження</w:t>
            </w:r>
            <w:r w:rsid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D3CEA" w:rsidRPr="00BD3CEA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shd w:val="clear" w:color="auto" w:fill="FFFFFF"/>
                <w:lang w:val="uk-UA"/>
              </w:rPr>
              <w:t>відповідно до Порядку проведення клінічних випробувань лікарських засобів та експертизи матеріалів клінічних випробувань, затвердженого наказом МОЗ України від 23.09.2009 № 690</w:t>
            </w:r>
            <w:r w:rsidR="00BD3CEA"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3CEA" w:rsidRDefault="00BD3CEA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CEA" w:rsidRDefault="00BD3CEA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суттєвої поправки  </w:t>
            </w:r>
            <w:r w:rsidRPr="00BD3CEA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shd w:val="clear" w:color="auto" w:fill="FFFFFF"/>
                <w:lang w:val="uk-UA"/>
              </w:rPr>
              <w:t>відповідно до Порядку проведення клінічних випробувань лікарських засобів та експертизи матеріалів клінічних випробувань, затвердженого наказом МОЗ України від 23.09.2009 № 690</w:t>
            </w: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6CD1" w:rsidRDefault="00DD6CD1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CD1" w:rsidRDefault="00DD6CD1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-Додаткові матеріали,  відповіді на зауваження клінічних випробувань</w:t>
            </w:r>
            <w:r w:rsidR="0026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суттєвих поправок</w:t>
            </w:r>
          </w:p>
          <w:p w:rsidR="008A223E" w:rsidRPr="00BD3CEA" w:rsidRDefault="008A223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8" w:type="dxa"/>
          </w:tcPr>
          <w:p w:rsidR="00DD0F29" w:rsidRPr="00CE402D" w:rsidRDefault="00DD0F29" w:rsidP="00AB629E">
            <w:pPr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</w:p>
          <w:p w:rsidR="00DD0F29" w:rsidRDefault="00DD0F29" w:rsidP="00DD0F29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- Д</w:t>
            </w:r>
            <w:r w:rsidRPr="00CE402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оговори, </w:t>
            </w:r>
            <w:proofErr w:type="spellStart"/>
            <w:r w:rsidRPr="00CE402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AB629E" w:rsidRDefault="00DD0F29" w:rsidP="00DD0F29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угоди</w:t>
            </w:r>
          </w:p>
          <w:p w:rsidR="00DD0F29" w:rsidRPr="00DD0F29" w:rsidRDefault="00DD0F29" w:rsidP="00DD0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D0F29" w:rsidRPr="00DD0F29" w:rsidRDefault="00DD0F29" w:rsidP="00DD0F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D0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 посиланням нижче викладені всі вимоги, ознайомтесь будь ласка:</w:t>
            </w:r>
          </w:p>
          <w:p w:rsidR="00DD0F29" w:rsidRPr="00DD0F29" w:rsidRDefault="0017520A" w:rsidP="00DD0F2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9" w:history="1">
              <w:r w:rsidR="00DD0F29" w:rsidRPr="00DD0F29">
                <w:rPr>
                  <w:rFonts w:ascii="Calibri" w:hAnsi="Calibri" w:cs="Calibri"/>
                  <w:color w:val="0563C1"/>
                  <w:sz w:val="24"/>
                  <w:szCs w:val="24"/>
                  <w:u w:val="single"/>
                  <w:lang w:val="uk-UA"/>
                </w:rPr>
                <w:t>Щодо організації ведення договірної роботи під час воєнного стану (dec.gov.ua)</w:t>
              </w:r>
            </w:hyperlink>
          </w:p>
          <w:p w:rsidR="00DD0F29" w:rsidRPr="00DD0F29" w:rsidRDefault="00DD0F29" w:rsidP="00AB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page" w:horzAnchor="margin" w:tblpY="157"/>
        <w:tblOverlap w:val="never"/>
        <w:tblW w:w="4018" w:type="dxa"/>
        <w:tblLook w:val="04A0" w:firstRow="1" w:lastRow="0" w:firstColumn="1" w:lastColumn="0" w:noHBand="0" w:noVBand="1"/>
      </w:tblPr>
      <w:tblGrid>
        <w:gridCol w:w="3720"/>
        <w:gridCol w:w="298"/>
      </w:tblGrid>
      <w:tr w:rsidR="001B7DD8" w:rsidRPr="00CE402D" w:rsidTr="00143A7F">
        <w:tc>
          <w:tcPr>
            <w:tcW w:w="4629" w:type="pct"/>
          </w:tcPr>
          <w:p w:rsidR="001B7DD8" w:rsidRPr="001B7DD8" w:rsidRDefault="007C0B49" w:rsidP="001B7DD8">
            <w:pPr>
              <w:pStyle w:val="a6"/>
              <w:jc w:val="both"/>
              <w:rPr>
                <w:b/>
                <w:lang w:val="uk-UA"/>
              </w:rPr>
            </w:pPr>
            <w:r w:rsidRPr="00A45564">
              <w:rPr>
                <w:b/>
                <w:lang w:val="uk-UA"/>
              </w:rPr>
              <w:t>ПАМ</w:t>
            </w:r>
            <w:r w:rsidRPr="00A45564">
              <w:rPr>
                <w:rFonts w:cstheme="minorHAnsi"/>
                <w:b/>
                <w:lang w:val="uk-UA"/>
              </w:rPr>
              <w:t>'</w:t>
            </w:r>
            <w:r w:rsidRPr="00A45564">
              <w:rPr>
                <w:b/>
                <w:lang w:val="uk-UA"/>
              </w:rPr>
              <w:t>ЯТКА ЗЯВНИКУ</w:t>
            </w:r>
          </w:p>
        </w:tc>
        <w:tc>
          <w:tcPr>
            <w:tcW w:w="371" w:type="pct"/>
          </w:tcPr>
          <w:p w:rsidR="001B7DD8" w:rsidRPr="001B7DD8" w:rsidRDefault="001B7DD8" w:rsidP="001B7DD8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</w:pP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Загальні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технічні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вимоги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,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яких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необхідно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дотримуватись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під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час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сканування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: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всіх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сторінок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в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хронологічному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порядку з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наскрізною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нумерацією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повинна бути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кольоровою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мають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бути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чіткими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та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відображати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всі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реквізити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документа (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підписи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, печатки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тощо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роздільна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здатність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під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час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сканування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– не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менше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200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dpi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скановані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зберегти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форматі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pdf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розмір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кожного файлу не повинен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перевищувати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49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Mb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, 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разі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перевищення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зазначеного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розміру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може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бути сформовано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декілька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файлів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назва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файлу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має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починатися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 номера протоколу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заяви (для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клінічних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випробувань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), номеру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реєстраційної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форми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(для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додаткових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щодо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державної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реєстрації/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перереєстрації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/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внесення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змін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).</w:t>
      </w:r>
    </w:p>
    <w:p w:rsidR="007C0B49" w:rsidRDefault="007C0B49" w:rsidP="000064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49"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Реєстраційні документи приймаються до розгляду разом з гарантійним листом (надається разом з матеріалами окремим файлом) </w:t>
      </w:r>
      <w:r w:rsidRPr="007C0B4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формою, яка наведена в додатку до Порядку</w:t>
      </w:r>
      <w:r w:rsidRPr="007C0B4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Постановою Кабінету Міністрів України №471 від 15.04.2022 р.</w:t>
      </w:r>
    </w:p>
    <w:p w:rsidR="0000643F" w:rsidRPr="0017520A" w:rsidRDefault="0000643F" w:rsidP="0000643F">
      <w:pPr>
        <w:ind w:firstLine="720"/>
        <w:jc w:val="both"/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</w:pPr>
      <w:proofErr w:type="spellStart"/>
      <w:r w:rsidRPr="001F0486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0486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01173"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17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048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F0486">
        <w:rPr>
          <w:rFonts w:ascii="Times New Roman" w:hAnsi="Times New Roman" w:cs="Times New Roman"/>
          <w:sz w:val="28"/>
          <w:szCs w:val="28"/>
          <w:lang w:val="ru-RU"/>
        </w:rPr>
        <w:t>дсилаються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lang w:val="ru-RU"/>
        </w:rPr>
        <w:t xml:space="preserve">  </w:t>
      </w:r>
      <w:proofErr w:type="spellStart"/>
      <w:r w:rsidRPr="001F0486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  <w:t>dec</w:t>
      </w:r>
      <w:proofErr w:type="spellEnd"/>
      <w:r w:rsidRPr="001F0486">
        <w:fldChar w:fldCharType="begin"/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</w:instrText>
      </w:r>
      <w:r w:rsidRPr="001F0486">
        <w:rPr>
          <w:b/>
          <w:color w:val="2F5496" w:themeColor="accent5" w:themeShade="BF"/>
          <w:sz w:val="32"/>
          <w:szCs w:val="32"/>
        </w:rPr>
        <w:instrText>HYPERLINK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"</w:instrText>
      </w:r>
      <w:r w:rsidRPr="001F0486">
        <w:rPr>
          <w:b/>
          <w:color w:val="2F5496" w:themeColor="accent5" w:themeShade="BF"/>
          <w:sz w:val="32"/>
          <w:szCs w:val="32"/>
        </w:rPr>
        <w:instrText>mailto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:</w:instrText>
      </w:r>
      <w:r w:rsidRPr="001F0486">
        <w:rPr>
          <w:b/>
          <w:color w:val="2F5496" w:themeColor="accent5" w:themeShade="BF"/>
          <w:sz w:val="32"/>
          <w:szCs w:val="32"/>
        </w:rPr>
        <w:instrText>kv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@</w:instrText>
      </w:r>
      <w:r w:rsidRPr="001F0486">
        <w:rPr>
          <w:b/>
          <w:color w:val="2F5496" w:themeColor="accent5" w:themeShade="BF"/>
          <w:sz w:val="32"/>
          <w:szCs w:val="32"/>
        </w:rPr>
        <w:instrText>dec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.</w:instrText>
      </w:r>
      <w:r w:rsidRPr="001F0486">
        <w:rPr>
          <w:b/>
          <w:color w:val="2F5496" w:themeColor="accent5" w:themeShade="BF"/>
          <w:sz w:val="32"/>
          <w:szCs w:val="32"/>
        </w:rPr>
        <w:instrText>gov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.</w:instrText>
      </w:r>
      <w:r w:rsidRPr="001F0486">
        <w:rPr>
          <w:b/>
          <w:color w:val="2F5496" w:themeColor="accent5" w:themeShade="BF"/>
          <w:sz w:val="32"/>
          <w:szCs w:val="32"/>
        </w:rPr>
        <w:instrText>ua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" \</w:instrText>
      </w:r>
      <w:r w:rsidRPr="001F0486">
        <w:rPr>
          <w:b/>
          <w:color w:val="2F5496" w:themeColor="accent5" w:themeShade="BF"/>
          <w:sz w:val="32"/>
          <w:szCs w:val="32"/>
        </w:rPr>
        <w:instrText>t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"_</w:instrText>
      </w:r>
      <w:r w:rsidRPr="001F0486">
        <w:rPr>
          <w:b/>
          <w:color w:val="2F5496" w:themeColor="accent5" w:themeShade="BF"/>
          <w:sz w:val="32"/>
          <w:szCs w:val="32"/>
        </w:rPr>
        <w:instrText>blank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" </w:instrText>
      </w:r>
      <w:r w:rsidRPr="001F0486">
        <w:fldChar w:fldCharType="separate"/>
      </w:r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@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dec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.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gov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.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ua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fldChar w:fldCharType="end"/>
      </w:r>
    </w:p>
    <w:p w:rsidR="0017520A" w:rsidRDefault="0017520A" w:rsidP="0017520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73095F">
        <w:rPr>
          <w:rFonts w:ascii="Times New Roman" w:hAnsi="Times New Roman" w:cs="Times New Roman"/>
          <w:b/>
          <w:i/>
          <w:sz w:val="44"/>
          <w:szCs w:val="44"/>
          <w:lang w:val="uk-UA"/>
        </w:rPr>
        <w:lastRenderedPageBreak/>
        <w:t>Рекомендації  при  оформленні матеріалів досьє, що подаються в електронному вигляді.</w:t>
      </w:r>
    </w:p>
    <w:p w:rsidR="0017520A" w:rsidRPr="0073095F" w:rsidRDefault="0017520A" w:rsidP="0017520A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17520A" w:rsidRPr="0073095F" w:rsidRDefault="0017520A" w:rsidP="0017520A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І. Модулі досьє формуються в сканованому вигляді в одному екземплярі окремими томами кількістю не більше 250 аркушів кожен.</w:t>
      </w:r>
    </w:p>
    <w:p w:rsidR="0017520A" w:rsidRPr="0073095F" w:rsidRDefault="0017520A" w:rsidP="0017520A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73095F">
        <w:rPr>
          <w:rFonts w:ascii="Times New Roman" w:hAnsi="Times New Roman" w:cs="Times New Roman"/>
          <w:sz w:val="36"/>
          <w:szCs w:val="36"/>
          <w:lang w:val="uk-UA"/>
        </w:rPr>
        <w:t xml:space="preserve">Кожен сформований </w:t>
      </w:r>
      <w:r w:rsidRPr="0073095F">
        <w:rPr>
          <w:rFonts w:ascii="Times New Roman" w:hAnsi="Times New Roman" w:cs="Times New Roman"/>
          <w:sz w:val="36"/>
          <w:szCs w:val="36"/>
        </w:rPr>
        <w:t>PDF</w:t>
      </w:r>
      <w:r w:rsidRPr="0017520A">
        <w:rPr>
          <w:rFonts w:ascii="Times New Roman" w:hAnsi="Times New Roman" w:cs="Times New Roman"/>
          <w:sz w:val="36"/>
          <w:szCs w:val="36"/>
          <w:lang w:val="ru-RU"/>
        </w:rPr>
        <w:t>-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документ називається у наступному форматі: номер РФ, нумерація Модулю, номер тому (якщо об’єм Модуля перевищує 250 аркушів) (детальний приклад на зображенні).</w:t>
      </w:r>
    </w:p>
    <w:p w:rsidR="0017520A" w:rsidRPr="0073095F" w:rsidRDefault="0017520A" w:rsidP="0017520A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ІІ. У супровідному листі до матеріалів необхідно зазначити, що матеріали надаються в одному екземплярі в електронному вигляді із обов’язковим зазначенням кількості документів (модулів, томів, сторінок).</w:t>
      </w:r>
    </w:p>
    <w:p w:rsidR="0017520A" w:rsidRPr="0073095F" w:rsidRDefault="0017520A" w:rsidP="0017520A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Окремо прописується які Модулі/томи у якій кількості необхідно направити окремо в кожну експертну комісію.</w:t>
      </w:r>
    </w:p>
    <w:p w:rsidR="0017520A" w:rsidRPr="0073095F" w:rsidRDefault="0017520A" w:rsidP="0017520A">
      <w:pPr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ІІІ. У разі необхідності доопрацювання матеріалів досьє по зауваженню експертів, відповіді формуються з урахуванням пунктів І та ІІ, додається в назву файлу відповідь на Ф10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після номеру реєстраційної форми</w:t>
      </w:r>
      <w:r w:rsidRPr="0073095F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6907F1" w:rsidRPr="0017520A" w:rsidRDefault="006907F1" w:rsidP="0000643F">
      <w:pPr>
        <w:ind w:firstLine="720"/>
        <w:jc w:val="both"/>
        <w:rPr>
          <w:rStyle w:val="a4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uk-UA"/>
        </w:rPr>
      </w:pPr>
      <w:bookmarkStart w:id="0" w:name="_GoBack"/>
      <w:bookmarkEnd w:id="0"/>
    </w:p>
    <w:p w:rsidR="0017520A" w:rsidRPr="0017520A" w:rsidRDefault="0017520A" w:rsidP="0000643F">
      <w:pPr>
        <w:ind w:firstLine="720"/>
        <w:jc w:val="both"/>
        <w:rPr>
          <w:rStyle w:val="a4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uk-UA"/>
        </w:rPr>
      </w:pPr>
    </w:p>
    <w:p w:rsidR="006907F1" w:rsidRPr="006907F1" w:rsidRDefault="006907F1" w:rsidP="0000643F">
      <w:pPr>
        <w:ind w:firstLine="720"/>
        <w:jc w:val="both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4A7C1DAB" wp14:editId="6F115C9F">
            <wp:extent cx="9144000" cy="579691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07F1" w:rsidRPr="006907F1" w:rsidSect="00AB62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305"/>
    <w:multiLevelType w:val="hybridMultilevel"/>
    <w:tmpl w:val="F8B03DC2"/>
    <w:lvl w:ilvl="0" w:tplc="37D20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46464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362"/>
    <w:multiLevelType w:val="hybridMultilevel"/>
    <w:tmpl w:val="005AC96E"/>
    <w:lvl w:ilvl="0" w:tplc="4DE22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59E5"/>
    <w:multiLevelType w:val="multilevel"/>
    <w:tmpl w:val="017C4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9782A"/>
    <w:multiLevelType w:val="hybridMultilevel"/>
    <w:tmpl w:val="FA36B31E"/>
    <w:lvl w:ilvl="0" w:tplc="50006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4E09"/>
    <w:multiLevelType w:val="hybridMultilevel"/>
    <w:tmpl w:val="F850BF86"/>
    <w:lvl w:ilvl="0" w:tplc="AAEE1E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23E2CC2"/>
    <w:multiLevelType w:val="hybridMultilevel"/>
    <w:tmpl w:val="9510EC5C"/>
    <w:lvl w:ilvl="0" w:tplc="0FC8AB98">
      <w:numFmt w:val="bullet"/>
      <w:lvlText w:val="-"/>
      <w:lvlJc w:val="left"/>
      <w:pPr>
        <w:ind w:left="528" w:hanging="360"/>
      </w:pPr>
      <w:rPr>
        <w:rFonts w:ascii="Calibri" w:eastAsia="Times New Roman" w:hAnsi="Calibri" w:cs="Calibri" w:hint="default"/>
        <w:b/>
        <w:color w:val="464646"/>
        <w:sz w:val="24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6" w15:restartNumberingAfterBreak="0">
    <w:nsid w:val="392E4ED0"/>
    <w:multiLevelType w:val="hybridMultilevel"/>
    <w:tmpl w:val="F9CCD278"/>
    <w:lvl w:ilvl="0" w:tplc="F882219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6FB118E1"/>
    <w:multiLevelType w:val="hybridMultilevel"/>
    <w:tmpl w:val="E2C05C9E"/>
    <w:lvl w:ilvl="0" w:tplc="6FF6C7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948EB"/>
    <w:multiLevelType w:val="hybridMultilevel"/>
    <w:tmpl w:val="242CFFA8"/>
    <w:lvl w:ilvl="0" w:tplc="26700D9A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7A171544"/>
    <w:multiLevelType w:val="multilevel"/>
    <w:tmpl w:val="0F347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E"/>
    <w:rsid w:val="0000246C"/>
    <w:rsid w:val="0000643F"/>
    <w:rsid w:val="00143A7F"/>
    <w:rsid w:val="0017520A"/>
    <w:rsid w:val="001B7DD8"/>
    <w:rsid w:val="001F0486"/>
    <w:rsid w:val="00261567"/>
    <w:rsid w:val="00264853"/>
    <w:rsid w:val="003B2982"/>
    <w:rsid w:val="00501173"/>
    <w:rsid w:val="005B1CAC"/>
    <w:rsid w:val="00626A81"/>
    <w:rsid w:val="006907F1"/>
    <w:rsid w:val="006C3500"/>
    <w:rsid w:val="006D207D"/>
    <w:rsid w:val="007C0B49"/>
    <w:rsid w:val="008A223E"/>
    <w:rsid w:val="009B2C28"/>
    <w:rsid w:val="00A45564"/>
    <w:rsid w:val="00AB629E"/>
    <w:rsid w:val="00BD3CEA"/>
    <w:rsid w:val="00CE402D"/>
    <w:rsid w:val="00D34642"/>
    <w:rsid w:val="00DA530D"/>
    <w:rsid w:val="00DD0F29"/>
    <w:rsid w:val="00DD6CD1"/>
    <w:rsid w:val="00E92A47"/>
    <w:rsid w:val="00F04158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CE1F"/>
  <w15:chartTrackingRefBased/>
  <w15:docId w15:val="{D53CDF63-21D2-41B4-97AC-B7CCDAE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1B7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62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298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B7DD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semiHidden/>
    <w:unhideWhenUsed/>
    <w:rsid w:val="001B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@de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@dec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@dec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vikno@dec.gov.ua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www.dec.gov.ua/news/shhodo-organizacziyi-vedennya-dogovirnoyi-roboty-pid-chas-voyennogo-stanu/__;!!N3hqHg43uw!qXrAopO8YqcmecDy-yZCPbpS4X4wKByfgHvdL9CydWiJ4FTodlanebhtqZGewJ0WEyNJV7ddt0LdOozYj0V_rGXPZqGEZSla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Кліманова Інна Василівна</dc:creator>
  <cp:keywords/>
  <dc:description/>
  <cp:lastModifiedBy>Кліманова Інна Василівна</cp:lastModifiedBy>
  <cp:revision>19</cp:revision>
  <cp:lastPrinted>2022-08-17T13:10:00Z</cp:lastPrinted>
  <dcterms:created xsi:type="dcterms:W3CDTF">2022-08-11T09:55:00Z</dcterms:created>
  <dcterms:modified xsi:type="dcterms:W3CDTF">2022-12-01T13:50:00Z</dcterms:modified>
</cp:coreProperties>
</file>