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837286">
        <w:trPr>
          <w:trHeight w:val="361"/>
        </w:trPr>
        <w:tc>
          <w:tcPr>
            <w:tcW w:w="3271" w:type="dxa"/>
          </w:tcPr>
          <w:p w:rsidR="00837286" w:rsidRDefault="00837286" w:rsidP="003609B9">
            <w:pPr>
              <w:rPr>
                <w:sz w:val="28"/>
                <w:szCs w:val="28"/>
                <w:lang w:val="uk-UA"/>
              </w:rPr>
            </w:pPr>
          </w:p>
          <w:p w:rsidR="002A3525" w:rsidRDefault="00837286" w:rsidP="003609B9">
            <w:pPr>
              <w:rPr>
                <w:sz w:val="28"/>
                <w:szCs w:val="28"/>
                <w:lang w:val="uk-UA"/>
              </w:rPr>
            </w:pPr>
            <w:r>
              <w:rPr>
                <w:sz w:val="28"/>
                <w:szCs w:val="28"/>
                <w:lang w:val="uk-UA"/>
              </w:rPr>
              <w:t>14 березня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837286" w:rsidRDefault="00837286" w:rsidP="003609B9">
            <w:pPr>
              <w:ind w:firstLine="72"/>
              <w:jc w:val="center"/>
              <w:rPr>
                <w:sz w:val="28"/>
                <w:szCs w:val="28"/>
                <w:lang w:val="uk-UA"/>
              </w:rPr>
            </w:pPr>
          </w:p>
          <w:p w:rsidR="002A3525" w:rsidRDefault="00837286" w:rsidP="003609B9">
            <w:pPr>
              <w:ind w:firstLine="72"/>
              <w:jc w:val="center"/>
              <w:rPr>
                <w:sz w:val="28"/>
                <w:szCs w:val="28"/>
                <w:lang w:val="uk-UA"/>
              </w:rPr>
            </w:pPr>
            <w:r>
              <w:rPr>
                <w:sz w:val="28"/>
                <w:szCs w:val="28"/>
                <w:lang w:val="uk-UA"/>
              </w:rPr>
              <w:t xml:space="preserve">                              № 491</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800ADA" w:rsidRDefault="00800ADA" w:rsidP="00C17C8E">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Сполучених Штатів Америки, Швейцарської Конфедерації, 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5,</w:t>
      </w:r>
      <w:r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7</w:t>
      </w:r>
      <w:r w:rsidR="00E50AB8">
        <w:rPr>
          <w:rFonts w:ascii="Times New Roman" w:hAnsi="Times New Roman"/>
          <w:sz w:val="28"/>
          <w:szCs w:val="28"/>
          <w:lang w:val="uk-UA"/>
        </w:rPr>
        <w:t xml:space="preserve"> </w:t>
      </w:r>
      <w:r w:rsidRPr="00E445F7">
        <w:rPr>
          <w:rFonts w:ascii="Times New Roman" w:hAnsi="Times New Roman"/>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Default="000B186D" w:rsidP="008D115B">
      <w:pPr>
        <w:pStyle w:val="HTML"/>
        <w:ind w:firstLine="720"/>
        <w:jc w:val="both"/>
        <w:rPr>
          <w:rFonts w:ascii="Times New Roman" w:hAnsi="Times New Roman"/>
          <w:sz w:val="28"/>
          <w:szCs w:val="28"/>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1B5092" w:rsidP="00C17C8E">
      <w:pPr>
        <w:numPr>
          <w:ilvl w:val="0"/>
          <w:numId w:val="5"/>
        </w:numPr>
        <w:ind w:left="0" w:firstLine="709"/>
        <w:jc w:val="both"/>
        <w:rPr>
          <w:sz w:val="28"/>
          <w:szCs w:val="28"/>
          <w:lang w:val="uk-UA"/>
        </w:rPr>
      </w:pPr>
      <w:r>
        <w:rPr>
          <w:sz w:val="28"/>
          <w:szCs w:val="28"/>
          <w:lang w:val="uk-UA"/>
        </w:rPr>
        <w:t>Зареєструвати та внести до Державного реєстру лікарських засобів України лікарський засіб згідно з додатком 1.</w:t>
      </w:r>
    </w:p>
    <w:p w:rsidR="001B5092" w:rsidRDefault="001B5092" w:rsidP="001B5092">
      <w:pPr>
        <w:ind w:left="709"/>
        <w:jc w:val="both"/>
        <w:rPr>
          <w:sz w:val="28"/>
          <w:szCs w:val="28"/>
          <w:lang w:val="uk-UA"/>
        </w:rPr>
      </w:pPr>
    </w:p>
    <w:p w:rsidR="001B5092" w:rsidRDefault="001B5092" w:rsidP="00CB5E3A">
      <w:pPr>
        <w:numPr>
          <w:ilvl w:val="0"/>
          <w:numId w:val="5"/>
        </w:numPr>
        <w:tabs>
          <w:tab w:val="left" w:pos="1418"/>
        </w:tabs>
        <w:ind w:left="0" w:firstLine="709"/>
        <w:jc w:val="both"/>
        <w:rPr>
          <w:sz w:val="28"/>
          <w:szCs w:val="28"/>
          <w:lang w:val="uk-UA"/>
        </w:rPr>
      </w:pPr>
      <w:r>
        <w:rPr>
          <w:sz w:val="28"/>
          <w:szCs w:val="28"/>
          <w:lang w:val="uk-UA"/>
        </w:rPr>
        <w:lastRenderedPageBreak/>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додатком </w:t>
      </w:r>
      <w:r w:rsidR="00DC344C">
        <w:rPr>
          <w:sz w:val="28"/>
          <w:szCs w:val="28"/>
          <w:lang w:val="uk-UA"/>
        </w:rPr>
        <w:t>2</w:t>
      </w:r>
      <w:r>
        <w:rPr>
          <w:sz w:val="28"/>
          <w:szCs w:val="28"/>
          <w:lang w:val="uk-UA"/>
        </w:rPr>
        <w:t>.</w:t>
      </w:r>
    </w:p>
    <w:p w:rsidR="00CB5E3A" w:rsidRDefault="00CB5E3A" w:rsidP="00CB5E3A">
      <w:pPr>
        <w:pStyle w:val="a8"/>
        <w:tabs>
          <w:tab w:val="left" w:pos="1418"/>
        </w:tabs>
        <w:ind w:left="0" w:firstLine="709"/>
        <w:rPr>
          <w:sz w:val="28"/>
          <w:szCs w:val="28"/>
          <w:lang w:val="uk-UA"/>
        </w:rPr>
      </w:pPr>
    </w:p>
    <w:p w:rsidR="00CB5E3A" w:rsidRDefault="00CB5E3A" w:rsidP="00CB5E3A">
      <w:pPr>
        <w:numPr>
          <w:ilvl w:val="0"/>
          <w:numId w:val="5"/>
        </w:numPr>
        <w:tabs>
          <w:tab w:val="left" w:pos="1418"/>
        </w:tabs>
        <w:ind w:left="0" w:firstLine="709"/>
        <w:jc w:val="both"/>
        <w:rPr>
          <w:sz w:val="28"/>
          <w:szCs w:val="28"/>
          <w:lang w:val="uk-UA"/>
        </w:rPr>
      </w:pPr>
      <w:r>
        <w:rPr>
          <w:sz w:val="28"/>
          <w:szCs w:val="28"/>
          <w:lang w:val="uk-UA"/>
        </w:rPr>
        <w:t xml:space="preserve">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додатком 3.</w:t>
      </w:r>
    </w:p>
    <w:p w:rsidR="004D3F9B" w:rsidRDefault="004D3F9B" w:rsidP="00CB5E3A">
      <w:pPr>
        <w:tabs>
          <w:tab w:val="left" w:pos="1418"/>
        </w:tabs>
        <w:ind w:firstLine="709"/>
        <w:jc w:val="both"/>
        <w:rPr>
          <w:sz w:val="28"/>
          <w:szCs w:val="28"/>
          <w:lang w:val="uk-UA"/>
        </w:rPr>
      </w:pPr>
    </w:p>
    <w:p w:rsidR="004D3F9B" w:rsidRPr="00BE64DF" w:rsidRDefault="001B5092" w:rsidP="00CB5E3A">
      <w:pPr>
        <w:numPr>
          <w:ilvl w:val="0"/>
          <w:numId w:val="5"/>
        </w:numPr>
        <w:tabs>
          <w:tab w:val="left" w:pos="709"/>
          <w:tab w:val="left" w:pos="1080"/>
          <w:tab w:val="left" w:pos="1418"/>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(Олександр</w:t>
      </w:r>
      <w:r w:rsidR="00DC344C">
        <w:rPr>
          <w:sz w:val="28"/>
          <w:szCs w:val="28"/>
          <w:lang w:val="uk-UA"/>
        </w:rPr>
        <w:t>у</w:t>
      </w:r>
      <w:r w:rsidR="000F6B69">
        <w:rPr>
          <w:sz w:val="28"/>
          <w:szCs w:val="28"/>
          <w:lang w:val="uk-UA"/>
        </w:rPr>
        <w:t xml:space="preserve"> Гріценк</w:t>
      </w:r>
      <w:r w:rsidR="00DC344C">
        <w:rPr>
          <w:sz w:val="28"/>
          <w:szCs w:val="28"/>
          <w:lang w:val="uk-UA"/>
        </w:rPr>
        <w:t>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1F6104" w:rsidRDefault="001F6104" w:rsidP="00CB5E3A">
      <w:pPr>
        <w:tabs>
          <w:tab w:val="left" w:pos="1418"/>
        </w:tabs>
        <w:ind w:firstLine="709"/>
        <w:jc w:val="both"/>
        <w:rPr>
          <w:sz w:val="16"/>
          <w:szCs w:val="16"/>
          <w:lang w:val="uk-UA"/>
        </w:rPr>
      </w:pPr>
    </w:p>
    <w:p w:rsidR="00776249" w:rsidRPr="00E40B91" w:rsidRDefault="00776249" w:rsidP="00CB5E3A">
      <w:pPr>
        <w:pStyle w:val="a8"/>
        <w:tabs>
          <w:tab w:val="left" w:pos="1418"/>
        </w:tabs>
        <w:ind w:left="0" w:firstLine="709"/>
        <w:rPr>
          <w:sz w:val="16"/>
          <w:szCs w:val="16"/>
          <w:lang w:val="uk-UA"/>
        </w:rPr>
      </w:pPr>
    </w:p>
    <w:p w:rsidR="005503D7" w:rsidRPr="005503D7" w:rsidRDefault="00CB5E3A" w:rsidP="00CB5E3A">
      <w:pPr>
        <w:numPr>
          <w:ilvl w:val="0"/>
          <w:numId w:val="5"/>
        </w:numPr>
        <w:tabs>
          <w:tab w:val="left" w:pos="720"/>
          <w:tab w:val="left" w:pos="1080"/>
          <w:tab w:val="left" w:pos="1134"/>
          <w:tab w:val="left" w:pos="1418"/>
        </w:tabs>
        <w:ind w:left="0" w:firstLine="709"/>
        <w:jc w:val="both"/>
        <w:rPr>
          <w:sz w:val="28"/>
          <w:szCs w:val="28"/>
          <w:lang w:val="uk-UA"/>
        </w:rPr>
      </w:pPr>
      <w:r>
        <w:rPr>
          <w:sz w:val="28"/>
          <w:szCs w:val="28"/>
          <w:lang w:val="uk-UA"/>
        </w:rPr>
        <w:t xml:space="preserve">     </w:t>
      </w:r>
      <w:r w:rsidR="00E40B91" w:rsidRPr="005503D7">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D7596D" w:rsidRDefault="00D7596D" w:rsidP="004E1A23">
      <w:pPr>
        <w:rPr>
          <w:b/>
          <w:sz w:val="28"/>
          <w:szCs w:val="28"/>
          <w:lang w:val="uk-UA"/>
        </w:rPr>
        <w:sectPr w:rsidR="00D7596D" w:rsidSect="00631C4D">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D7596D" w:rsidRPr="00EA7761" w:rsidTr="00966399">
        <w:tc>
          <w:tcPr>
            <w:tcW w:w="3827" w:type="dxa"/>
            <w:shd w:val="clear" w:color="auto" w:fill="auto"/>
          </w:tcPr>
          <w:p w:rsidR="00D7596D" w:rsidRPr="00D7596D" w:rsidRDefault="00D7596D" w:rsidP="006F69F3">
            <w:pPr>
              <w:pStyle w:val="4"/>
              <w:tabs>
                <w:tab w:val="left" w:pos="12600"/>
              </w:tabs>
              <w:spacing w:before="0" w:after="0"/>
              <w:jc w:val="both"/>
              <w:rPr>
                <w:b w:val="0"/>
                <w:sz w:val="18"/>
                <w:szCs w:val="18"/>
                <w:lang w:val="uk-UA"/>
              </w:rPr>
            </w:pPr>
            <w:bookmarkStart w:id="1" w:name="_Hlk64454507"/>
            <w:r w:rsidRPr="00D7596D">
              <w:rPr>
                <w:b w:val="0"/>
                <w:sz w:val="18"/>
                <w:szCs w:val="18"/>
                <w:lang w:val="uk-UA"/>
              </w:rPr>
              <w:lastRenderedPageBreak/>
              <w:t>Додаток 1</w:t>
            </w:r>
          </w:p>
          <w:p w:rsidR="00D7596D" w:rsidRPr="00D7596D" w:rsidRDefault="00D7596D" w:rsidP="006F69F3">
            <w:pPr>
              <w:pStyle w:val="4"/>
              <w:tabs>
                <w:tab w:val="left" w:pos="12600"/>
              </w:tabs>
              <w:spacing w:before="0" w:after="0"/>
              <w:jc w:val="both"/>
              <w:rPr>
                <w:b w:val="0"/>
                <w:sz w:val="18"/>
                <w:szCs w:val="18"/>
                <w:lang w:val="uk-UA"/>
              </w:rPr>
            </w:pPr>
            <w:r w:rsidRPr="00D7596D">
              <w:rPr>
                <w:b w:val="0"/>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D7596D" w:rsidRPr="003C5E4E" w:rsidRDefault="00D7596D" w:rsidP="006F69F3">
            <w:pPr>
              <w:pStyle w:val="Normal"/>
              <w:jc w:val="both"/>
              <w:rPr>
                <w:rFonts w:cs="Calibri"/>
                <w:u w:val="single"/>
              </w:rPr>
            </w:pPr>
            <w:r w:rsidRPr="00607012">
              <w:rPr>
                <w:sz w:val="18"/>
                <w:szCs w:val="18"/>
                <w:u w:val="single"/>
              </w:rPr>
              <w:t xml:space="preserve">від </w:t>
            </w:r>
            <w:r>
              <w:rPr>
                <w:sz w:val="18"/>
                <w:szCs w:val="18"/>
                <w:u w:val="single"/>
              </w:rPr>
              <w:t>14 березня 2023 року</w:t>
            </w:r>
            <w:r w:rsidRPr="003C5E4E">
              <w:rPr>
                <w:sz w:val="18"/>
                <w:szCs w:val="18"/>
                <w:u w:val="single"/>
              </w:rPr>
              <w:t xml:space="preserve"> № </w:t>
            </w:r>
            <w:r>
              <w:rPr>
                <w:sz w:val="18"/>
                <w:szCs w:val="18"/>
                <w:u w:val="single"/>
              </w:rPr>
              <w:t>491</w:t>
            </w:r>
          </w:p>
        </w:tc>
      </w:tr>
    </w:tbl>
    <w:bookmarkEnd w:id="1"/>
    <w:p w:rsidR="00D7596D" w:rsidRDefault="00D7596D" w:rsidP="00D7596D">
      <w:pPr>
        <w:pStyle w:val="4"/>
        <w:tabs>
          <w:tab w:val="left" w:pos="12600"/>
        </w:tabs>
        <w:rPr>
          <w:rFonts w:cs="Arial"/>
          <w:sz w:val="18"/>
          <w:szCs w:val="18"/>
        </w:rPr>
      </w:pPr>
      <w:r>
        <w:rPr>
          <w:rFonts w:cs="Arial"/>
          <w:sz w:val="18"/>
          <w:szCs w:val="18"/>
        </w:rPr>
        <w:t xml:space="preserve">                                                                                                                                                                                                       </w:t>
      </w:r>
    </w:p>
    <w:p w:rsidR="00D7596D" w:rsidRDefault="00D7596D" w:rsidP="00D7596D">
      <w:pPr>
        <w:pStyle w:val="4"/>
        <w:tabs>
          <w:tab w:val="left" w:pos="12600"/>
        </w:tabs>
        <w:rPr>
          <w:rFonts w:cs="Arial"/>
          <w:sz w:val="18"/>
          <w:szCs w:val="18"/>
        </w:rPr>
      </w:pPr>
    </w:p>
    <w:p w:rsidR="00D7596D" w:rsidRDefault="00D7596D" w:rsidP="00D7596D">
      <w:pPr>
        <w:pStyle w:val="4"/>
        <w:tabs>
          <w:tab w:val="left" w:pos="12600"/>
        </w:tabs>
        <w:rPr>
          <w:rFonts w:cs="Arial"/>
          <w:sz w:val="18"/>
          <w:szCs w:val="18"/>
        </w:rPr>
      </w:pPr>
    </w:p>
    <w:p w:rsidR="00D7596D" w:rsidRPr="00B83CB8" w:rsidRDefault="00D7596D" w:rsidP="00D7596D">
      <w:pPr>
        <w:pStyle w:val="4"/>
        <w:tabs>
          <w:tab w:val="left" w:pos="12600"/>
        </w:tabs>
        <w:rPr>
          <w:rFonts w:cs="Arial"/>
          <w:b w:val="0"/>
          <w:sz w:val="18"/>
          <w:szCs w:val="18"/>
        </w:rPr>
      </w:pPr>
      <w:r>
        <w:rPr>
          <w:rFonts w:cs="Arial"/>
          <w:sz w:val="18"/>
          <w:szCs w:val="18"/>
        </w:rPr>
        <w:t xml:space="preserve">    </w:t>
      </w:r>
    </w:p>
    <w:p w:rsidR="00D7596D" w:rsidRDefault="00D7596D" w:rsidP="00D7596D">
      <w:pPr>
        <w:pStyle w:val="2"/>
        <w:tabs>
          <w:tab w:val="left" w:pos="12600"/>
        </w:tabs>
        <w:jc w:val="center"/>
      </w:pPr>
    </w:p>
    <w:p w:rsidR="00D7596D" w:rsidRPr="006F69F3" w:rsidRDefault="00D7596D" w:rsidP="006F69F3">
      <w:pPr>
        <w:pStyle w:val="2"/>
        <w:tabs>
          <w:tab w:val="left" w:pos="12600"/>
        </w:tabs>
        <w:spacing w:before="0" w:after="0"/>
        <w:jc w:val="center"/>
        <w:rPr>
          <w:rFonts w:ascii="Arial" w:hAnsi="Arial" w:cs="Arial"/>
          <w:i w:val="0"/>
          <w:caps/>
        </w:rPr>
      </w:pPr>
      <w:r w:rsidRPr="006F69F3">
        <w:rPr>
          <w:rFonts w:ascii="Arial" w:hAnsi="Arial" w:cs="Arial"/>
          <w:i w:val="0"/>
        </w:rPr>
        <w:t>ПЕРЕЛІК</w:t>
      </w:r>
    </w:p>
    <w:p w:rsidR="00D7596D" w:rsidRPr="006F69F3" w:rsidRDefault="00D7596D" w:rsidP="006F69F3">
      <w:pPr>
        <w:pStyle w:val="4"/>
        <w:tabs>
          <w:tab w:val="left" w:pos="12600"/>
        </w:tabs>
        <w:spacing w:before="0" w:after="0"/>
        <w:rPr>
          <w:rFonts w:ascii="Arial" w:hAnsi="Arial" w:cs="Arial"/>
          <w:caps/>
        </w:rPr>
      </w:pPr>
      <w:r w:rsidRPr="006F69F3">
        <w:rPr>
          <w:rFonts w:ascii="Arial" w:hAnsi="Arial" w:cs="Arial"/>
          <w:caps/>
        </w:rPr>
        <w:t>зареєстрованих ЛІКАРСЬКИХ ЗАСОБІВ (медичних імунобіологічних препаратів),</w:t>
      </w:r>
    </w:p>
    <w:p w:rsidR="00D7596D" w:rsidRPr="006F69F3" w:rsidRDefault="00D7596D" w:rsidP="006F69F3">
      <w:pPr>
        <w:pStyle w:val="Normal"/>
        <w:jc w:val="center"/>
        <w:rPr>
          <w:rFonts w:ascii="Arial" w:hAnsi="Arial" w:cs="Arial"/>
        </w:rPr>
      </w:pPr>
      <w:r w:rsidRPr="006F69F3">
        <w:rPr>
          <w:rFonts w:ascii="Arial" w:hAnsi="Arial" w:cs="Arial"/>
          <w:b/>
          <w:caps/>
          <w:sz w:val="28"/>
          <w:szCs w:val="28"/>
        </w:rPr>
        <w:t>які вносяться до державного реєстру лікарських засобів УКРАЇНи</w:t>
      </w:r>
      <w:r w:rsidRPr="006F69F3">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6F69F3">
        <w:rPr>
          <w:rFonts w:ascii="Arial" w:hAnsi="Arial" w:cs="Arial"/>
          <w:b/>
          <w:sz w:val="28"/>
          <w:szCs w:val="28"/>
          <w:u w:val="single"/>
        </w:rPr>
        <w:t>ЄВРОПЕЙСЬКОГО СОЮЗУ</w:t>
      </w:r>
    </w:p>
    <w:p w:rsidR="00D7596D" w:rsidRPr="006F69F3" w:rsidRDefault="00D7596D" w:rsidP="006F69F3">
      <w:pPr>
        <w:pStyle w:val="Normal"/>
        <w:jc w:val="center"/>
        <w:rPr>
          <w:rFonts w:ascii="Arial" w:hAnsi="Arial" w:cs="Arial"/>
        </w:r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1134"/>
        <w:gridCol w:w="4111"/>
        <w:gridCol w:w="1134"/>
        <w:gridCol w:w="1134"/>
        <w:gridCol w:w="1134"/>
        <w:gridCol w:w="992"/>
        <w:gridCol w:w="1559"/>
      </w:tblGrid>
      <w:tr w:rsidR="00D7596D" w:rsidRPr="00805A29" w:rsidTr="006F69F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4111"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7596D" w:rsidRPr="00805A29" w:rsidRDefault="00D7596D" w:rsidP="00966399">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D7596D" w:rsidRPr="00805A29" w:rsidTr="006F69F3">
        <w:trPr>
          <w:tblHeader/>
        </w:trPr>
        <w:tc>
          <w:tcPr>
            <w:tcW w:w="567"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4111"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D7596D" w:rsidRPr="00805A29" w:rsidRDefault="00D7596D" w:rsidP="00966399">
            <w:pPr>
              <w:tabs>
                <w:tab w:val="left" w:pos="12600"/>
              </w:tabs>
              <w:jc w:val="center"/>
              <w:rPr>
                <w:rFonts w:ascii="Arial" w:hAnsi="Arial" w:cs="Arial"/>
                <w:sz w:val="16"/>
                <w:szCs w:val="16"/>
              </w:rPr>
            </w:pPr>
          </w:p>
        </w:tc>
      </w:tr>
      <w:tr w:rsidR="00D7596D" w:rsidRPr="00CB42DA" w:rsidTr="006F69F3">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7596D" w:rsidRPr="00CB42DA" w:rsidRDefault="00D7596D" w:rsidP="00D7596D">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596D" w:rsidRPr="001D4EE6" w:rsidRDefault="00D7596D" w:rsidP="00966399">
            <w:pPr>
              <w:pStyle w:val="Normal"/>
              <w:tabs>
                <w:tab w:val="left" w:pos="12600"/>
              </w:tabs>
              <w:rPr>
                <w:rFonts w:ascii="Arial" w:hAnsi="Arial" w:cs="Arial"/>
                <w:b/>
                <w:i/>
                <w:sz w:val="16"/>
                <w:szCs w:val="16"/>
              </w:rPr>
            </w:pPr>
            <w:r w:rsidRPr="001D4EE6">
              <w:rPr>
                <w:rFonts w:ascii="Arial" w:hAnsi="Arial" w:cs="Arial"/>
                <w:b/>
                <w:sz w:val="16"/>
                <w:szCs w:val="16"/>
              </w:rPr>
              <w:t xml:space="preserve">ДЕЛСТРІГО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rPr>
                <w:rFonts w:ascii="Arial" w:hAnsi="Arial" w:cs="Arial"/>
                <w:sz w:val="16"/>
                <w:szCs w:val="16"/>
              </w:rPr>
            </w:pPr>
            <w:r w:rsidRPr="001D4EE6">
              <w:rPr>
                <w:rFonts w:ascii="Arial" w:hAnsi="Arial" w:cs="Arial"/>
                <w:sz w:val="16"/>
                <w:szCs w:val="16"/>
              </w:rPr>
              <w:t>таблетки, вкриті плівковою оболонкою, по 100 мг/300 мг/245 мг, 30 таблеток, вкритих плівковою оболонкою у пляшці, 1 пляшка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sz w:val="16"/>
                <w:szCs w:val="16"/>
              </w:rPr>
            </w:pPr>
            <w:r w:rsidRPr="001D4EE6">
              <w:rPr>
                <w:rFonts w:ascii="Arial" w:hAnsi="Arial" w:cs="Arial"/>
                <w:sz w:val="16"/>
                <w:szCs w:val="16"/>
              </w:rPr>
              <w:t>Мерк Шарп і Доум ІДЕА ГмбХ</w:t>
            </w:r>
            <w:r w:rsidRPr="001D4EE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sz w:val="16"/>
                <w:szCs w:val="16"/>
              </w:rPr>
            </w:pPr>
            <w:r w:rsidRPr="001D4EE6">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7596D" w:rsidRPr="00D7596D" w:rsidRDefault="00D7596D" w:rsidP="00966399">
            <w:pPr>
              <w:jc w:val="center"/>
              <w:rPr>
                <w:sz w:val="16"/>
                <w:szCs w:val="16"/>
                <w:lang w:val="uk-UA"/>
              </w:rPr>
            </w:pPr>
            <w:r w:rsidRPr="00D7596D">
              <w:rPr>
                <w:sz w:val="16"/>
                <w:szCs w:val="16"/>
                <w:lang w:val="uk-UA"/>
              </w:rPr>
              <w:t>мікробіологічне тестування якості:</w:t>
            </w:r>
          </w:p>
          <w:p w:rsidR="00D7596D" w:rsidRPr="00D7596D" w:rsidRDefault="00D7596D" w:rsidP="00966399">
            <w:pPr>
              <w:jc w:val="center"/>
              <w:rPr>
                <w:sz w:val="16"/>
                <w:szCs w:val="16"/>
                <w:lang w:val="uk-UA"/>
              </w:rPr>
            </w:pPr>
            <w:r w:rsidRPr="00D7596D">
              <w:rPr>
                <w:sz w:val="16"/>
                <w:szCs w:val="16"/>
                <w:lang w:val="uk-UA"/>
              </w:rPr>
              <w:t>Еурофінс Біофарма Продакт Тестінг Ірландія Лтд, Ірландія;</w:t>
            </w:r>
          </w:p>
          <w:p w:rsidR="00D7596D" w:rsidRPr="001D4EE6" w:rsidRDefault="00D7596D" w:rsidP="00966399">
            <w:pPr>
              <w:jc w:val="center"/>
              <w:rPr>
                <w:sz w:val="16"/>
                <w:szCs w:val="16"/>
              </w:rPr>
            </w:pPr>
            <w:r w:rsidRPr="001D4EE6">
              <w:rPr>
                <w:sz w:val="16"/>
                <w:szCs w:val="16"/>
              </w:rPr>
              <w:t>первинне та вторинне пакування, випуск серії:</w:t>
            </w:r>
          </w:p>
          <w:p w:rsidR="00D7596D" w:rsidRPr="001D4EE6" w:rsidRDefault="00D7596D" w:rsidP="00966399">
            <w:pPr>
              <w:jc w:val="center"/>
              <w:rPr>
                <w:sz w:val="16"/>
                <w:szCs w:val="16"/>
              </w:rPr>
            </w:pPr>
            <w:r w:rsidRPr="001D4EE6">
              <w:rPr>
                <w:sz w:val="16"/>
                <w:szCs w:val="16"/>
              </w:rPr>
              <w:t>Мерк Шарп і Доум Б.В., Нідерланди;</w:t>
            </w:r>
          </w:p>
          <w:p w:rsidR="00D7596D" w:rsidRPr="001D4EE6" w:rsidRDefault="00D7596D" w:rsidP="00966399">
            <w:pPr>
              <w:jc w:val="center"/>
              <w:rPr>
                <w:sz w:val="16"/>
                <w:szCs w:val="16"/>
              </w:rPr>
            </w:pPr>
            <w:r w:rsidRPr="001D4EE6">
              <w:rPr>
                <w:sz w:val="16"/>
                <w:szCs w:val="16"/>
              </w:rPr>
              <w:t>виробництво (роликове ущільнення, змішування/змащування гранул доравірину та ламівудину/тенофовіру дизопроксилу фумарату, тиснення, покриття плівковою оболонкою), аналітичне тестування при випуску:</w:t>
            </w:r>
          </w:p>
          <w:p w:rsidR="00D7596D" w:rsidRPr="001D4EE6" w:rsidRDefault="00D7596D" w:rsidP="00966399">
            <w:pPr>
              <w:jc w:val="center"/>
              <w:rPr>
                <w:sz w:val="16"/>
                <w:szCs w:val="16"/>
              </w:rPr>
            </w:pPr>
            <w:r w:rsidRPr="001D4EE6">
              <w:rPr>
                <w:sz w:val="16"/>
                <w:szCs w:val="16"/>
              </w:rPr>
              <w:t>МСД Інтернешнл ГмбХ, Ірландія;</w:t>
            </w:r>
          </w:p>
          <w:p w:rsidR="00D7596D" w:rsidRPr="001D4EE6" w:rsidRDefault="00D7596D" w:rsidP="00966399">
            <w:pPr>
              <w:jc w:val="center"/>
              <w:rPr>
                <w:sz w:val="16"/>
                <w:szCs w:val="16"/>
              </w:rPr>
            </w:pPr>
            <w:r w:rsidRPr="001D4EE6">
              <w:rPr>
                <w:sz w:val="16"/>
                <w:szCs w:val="16"/>
              </w:rPr>
              <w:t>тестування стабільності:</w:t>
            </w:r>
          </w:p>
          <w:p w:rsidR="00D7596D" w:rsidRPr="001D4EE6" w:rsidRDefault="00D7596D" w:rsidP="00966399">
            <w:pPr>
              <w:jc w:val="center"/>
              <w:rPr>
                <w:sz w:val="16"/>
                <w:szCs w:val="16"/>
              </w:rPr>
            </w:pPr>
            <w:r w:rsidRPr="001D4EE6">
              <w:rPr>
                <w:sz w:val="16"/>
                <w:szCs w:val="16"/>
              </w:rPr>
              <w:t>Органон Фарма (Велика Британія) Лімітед, Велика Британія;</w:t>
            </w:r>
          </w:p>
          <w:p w:rsidR="00D7596D" w:rsidRPr="001D4EE6" w:rsidRDefault="00D7596D" w:rsidP="00966399">
            <w:pPr>
              <w:jc w:val="center"/>
              <w:rPr>
                <w:sz w:val="16"/>
                <w:szCs w:val="16"/>
              </w:rPr>
            </w:pPr>
            <w:r w:rsidRPr="001D4EE6">
              <w:rPr>
                <w:sz w:val="16"/>
                <w:szCs w:val="16"/>
              </w:rPr>
              <w:t>проміжний продукт доравірину, висушений розпиленням: виробництво/аналітичне тестування:</w:t>
            </w:r>
          </w:p>
          <w:p w:rsidR="00D7596D" w:rsidRPr="001D4EE6" w:rsidRDefault="00D7596D" w:rsidP="00966399">
            <w:pPr>
              <w:jc w:val="center"/>
              <w:rPr>
                <w:sz w:val="16"/>
                <w:szCs w:val="16"/>
              </w:rPr>
            </w:pPr>
            <w:r w:rsidRPr="001D4EE6">
              <w:rPr>
                <w:sz w:val="16"/>
                <w:szCs w:val="16"/>
              </w:rPr>
              <w:t>Ф.І.С. - Фаббріка Італьяна Сінтетічі С.п.А., Італія;</w:t>
            </w:r>
          </w:p>
          <w:p w:rsidR="00D7596D" w:rsidRPr="001D4EE6" w:rsidRDefault="00D7596D" w:rsidP="00966399">
            <w:pPr>
              <w:jc w:val="center"/>
              <w:rPr>
                <w:sz w:val="16"/>
                <w:szCs w:val="16"/>
              </w:rPr>
            </w:pPr>
            <w:r w:rsidRPr="001D4EE6">
              <w:rPr>
                <w:sz w:val="16"/>
                <w:szCs w:val="16"/>
              </w:rPr>
              <w:t>проміжний продукт доравірину, висушений розпиленням: виробництво/аналітичне тестування:</w:t>
            </w:r>
          </w:p>
          <w:p w:rsidR="00D7596D" w:rsidRPr="001D4EE6" w:rsidRDefault="00D7596D" w:rsidP="00966399">
            <w:pPr>
              <w:jc w:val="center"/>
              <w:rPr>
                <w:rFonts w:ascii="Arial" w:hAnsi="Arial" w:cs="Arial"/>
                <w:sz w:val="16"/>
                <w:szCs w:val="16"/>
              </w:rPr>
            </w:pPr>
            <w:r w:rsidRPr="001D4EE6">
              <w:rPr>
                <w:sz w:val="16"/>
                <w:szCs w:val="16"/>
              </w:rPr>
              <w:t>Ховіон ФармаСенсія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sz w:val="16"/>
                <w:szCs w:val="16"/>
              </w:rPr>
            </w:pPr>
            <w:r w:rsidRPr="001D4EE6">
              <w:rPr>
                <w:rFonts w:ascii="Arial" w:hAnsi="Arial" w:cs="Arial"/>
                <w:sz w:val="16"/>
                <w:szCs w:val="16"/>
              </w:rPr>
              <w:t>Ірландія/ Нідерланди/ Велика Британія/ Італія/ Португалія</w:t>
            </w:r>
            <w:r w:rsidRPr="001D4EE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sz w:val="16"/>
                <w:szCs w:val="16"/>
              </w:rPr>
            </w:pPr>
            <w:r w:rsidRPr="001D4EE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i/>
                <w:sz w:val="16"/>
                <w:szCs w:val="16"/>
                <w:lang w:val="en-US"/>
              </w:rPr>
            </w:pPr>
            <w:r w:rsidRPr="001D4EE6">
              <w:rPr>
                <w:rFonts w:ascii="Arial" w:hAnsi="Arial" w:cs="Arial"/>
                <w:i/>
                <w:sz w:val="16"/>
                <w:szCs w:val="16"/>
                <w:lang w:val="en-US"/>
              </w:rPr>
              <w:t xml:space="preserve">за </w:t>
            </w:r>
          </w:p>
          <w:p w:rsidR="00D7596D" w:rsidRPr="001D4EE6" w:rsidRDefault="00D7596D" w:rsidP="00966399">
            <w:pPr>
              <w:pStyle w:val="Normal"/>
              <w:tabs>
                <w:tab w:val="left" w:pos="12600"/>
              </w:tabs>
              <w:jc w:val="center"/>
              <w:rPr>
                <w:rFonts w:ascii="Arial" w:hAnsi="Arial" w:cs="Arial"/>
                <w:b/>
                <w:i/>
                <w:sz w:val="16"/>
                <w:szCs w:val="16"/>
              </w:rPr>
            </w:pPr>
            <w:r w:rsidRPr="001D4EE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i/>
                <w:sz w:val="16"/>
                <w:szCs w:val="16"/>
              </w:rPr>
            </w:pPr>
            <w:r w:rsidRPr="001D4EE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596D" w:rsidRPr="001D4EE6" w:rsidRDefault="00D7596D" w:rsidP="00966399">
            <w:pPr>
              <w:pStyle w:val="Normal"/>
              <w:tabs>
                <w:tab w:val="left" w:pos="12600"/>
              </w:tabs>
              <w:jc w:val="center"/>
              <w:rPr>
                <w:rFonts w:ascii="Arial" w:hAnsi="Arial" w:cs="Arial"/>
                <w:sz w:val="16"/>
                <w:szCs w:val="16"/>
              </w:rPr>
            </w:pPr>
            <w:r w:rsidRPr="001D4EE6">
              <w:rPr>
                <w:rFonts w:ascii="Arial" w:hAnsi="Arial" w:cs="Arial"/>
                <w:sz w:val="16"/>
                <w:szCs w:val="16"/>
              </w:rPr>
              <w:t>UA/19937/01/01</w:t>
            </w:r>
          </w:p>
        </w:tc>
      </w:tr>
    </w:tbl>
    <w:p w:rsidR="00D7596D" w:rsidRDefault="00D7596D" w:rsidP="00D7596D">
      <w:pPr>
        <w:pStyle w:val="Normal"/>
        <w:jc w:val="center"/>
      </w:pPr>
    </w:p>
    <w:p w:rsidR="00D7596D" w:rsidRPr="005174B4" w:rsidRDefault="00D7596D" w:rsidP="00D7596D">
      <w:pPr>
        <w:pStyle w:val="Normal"/>
        <w:jc w:val="center"/>
      </w:pPr>
    </w:p>
    <w:p w:rsidR="00D7596D" w:rsidRDefault="00D7596D" w:rsidP="00D7596D">
      <w:pPr>
        <w:ind w:left="426"/>
        <w:rPr>
          <w:rFonts w:ascii="Arial" w:hAnsi="Arial" w:cs="Arial"/>
          <w:b/>
          <w:sz w:val="28"/>
          <w:szCs w:val="28"/>
        </w:rPr>
      </w:pPr>
      <w:r>
        <w:rPr>
          <w:rFonts w:ascii="Arial" w:hAnsi="Arial" w:cs="Arial"/>
          <w:b/>
          <w:sz w:val="28"/>
          <w:szCs w:val="28"/>
        </w:rPr>
        <w:t>В.о. начальника</w:t>
      </w:r>
    </w:p>
    <w:p w:rsidR="00D7596D" w:rsidRDefault="00D7596D" w:rsidP="00D7596D">
      <w:pPr>
        <w:ind w:left="426"/>
        <w:rPr>
          <w:rFonts w:ascii="Arial" w:hAnsi="Arial" w:cs="Arial"/>
          <w:b/>
          <w:sz w:val="22"/>
          <w:szCs w:val="22"/>
        </w:rPr>
      </w:pPr>
      <w:r>
        <w:rPr>
          <w:rFonts w:ascii="Arial" w:hAnsi="Arial" w:cs="Arial"/>
          <w:b/>
          <w:sz w:val="28"/>
          <w:szCs w:val="28"/>
        </w:rPr>
        <w:t>Фармацевтичного управління                                                                                                   Олександр ГРІЦЕНКО</w:t>
      </w:r>
    </w:p>
    <w:p w:rsidR="00D7596D" w:rsidRDefault="00D7596D" w:rsidP="004E1A23">
      <w:pPr>
        <w:rPr>
          <w:b/>
          <w:sz w:val="28"/>
          <w:szCs w:val="28"/>
          <w:lang w:val="uk-UA"/>
        </w:rPr>
        <w:sectPr w:rsidR="00D7596D" w:rsidSect="00966399">
          <w:headerReference w:type="even" r:id="rId13"/>
          <w:headerReference w:type="default" r:id="rId14"/>
          <w:pgSz w:w="16838" w:h="11906" w:orient="landscape"/>
          <w:pgMar w:top="568" w:right="850" w:bottom="540" w:left="540" w:header="708" w:footer="708" w:gutter="0"/>
          <w:cols w:space="708"/>
          <w:titlePg/>
          <w:docGrid w:linePitch="360"/>
        </w:sectPr>
      </w:pPr>
    </w:p>
    <w:p w:rsidR="006F4BB8" w:rsidRDefault="006F4BB8" w:rsidP="006F4BB8"/>
    <w:tbl>
      <w:tblPr>
        <w:tblpPr w:leftFromText="180" w:rightFromText="180" w:vertAnchor="text" w:horzAnchor="page" w:tblpX="12546" w:tblpY="-207"/>
        <w:tblW w:w="0" w:type="auto"/>
        <w:tblLook w:val="04A0" w:firstRow="1" w:lastRow="0" w:firstColumn="1" w:lastColumn="0" w:noHBand="0" w:noVBand="1"/>
      </w:tblPr>
      <w:tblGrid>
        <w:gridCol w:w="3827"/>
      </w:tblGrid>
      <w:tr w:rsidR="006F4BB8" w:rsidRPr="00323AA9" w:rsidTr="00966399">
        <w:tc>
          <w:tcPr>
            <w:tcW w:w="3827" w:type="dxa"/>
            <w:hideMark/>
          </w:tcPr>
          <w:p w:rsidR="006F4BB8" w:rsidRPr="0020215C" w:rsidRDefault="006F4BB8" w:rsidP="006F69F3">
            <w:pPr>
              <w:pStyle w:val="4"/>
              <w:tabs>
                <w:tab w:val="left" w:pos="12600"/>
              </w:tabs>
              <w:spacing w:before="0" w:after="0"/>
              <w:jc w:val="both"/>
              <w:rPr>
                <w:b w:val="0"/>
                <w:sz w:val="18"/>
                <w:szCs w:val="18"/>
              </w:rPr>
            </w:pPr>
            <w:r w:rsidRPr="0020215C">
              <w:rPr>
                <w:b w:val="0"/>
                <w:sz w:val="18"/>
                <w:szCs w:val="18"/>
              </w:rPr>
              <w:t xml:space="preserve">Додаток </w:t>
            </w:r>
            <w:r>
              <w:rPr>
                <w:b w:val="0"/>
                <w:sz w:val="18"/>
                <w:szCs w:val="18"/>
              </w:rPr>
              <w:t>2</w:t>
            </w:r>
          </w:p>
          <w:p w:rsidR="006F4BB8" w:rsidRPr="0020215C" w:rsidRDefault="006F4BB8" w:rsidP="006F69F3">
            <w:pPr>
              <w:jc w:val="both"/>
              <w:rPr>
                <w:sz w:val="18"/>
                <w:szCs w:val="18"/>
              </w:rPr>
            </w:pPr>
            <w:r w:rsidRPr="0020215C">
              <w:rPr>
                <w:sz w:val="18"/>
                <w:szCs w:val="18"/>
              </w:rPr>
              <w:t>до наказу Міністерства охорони здоров’я України «</w:t>
            </w:r>
            <w:r w:rsidRPr="00BE1CA1">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r w:rsidRPr="0020215C">
              <w:rPr>
                <w:sz w:val="18"/>
                <w:szCs w:val="18"/>
              </w:rPr>
              <w:t>»</w:t>
            </w:r>
          </w:p>
          <w:p w:rsidR="006F4BB8" w:rsidRPr="0020215C" w:rsidRDefault="006F4BB8" w:rsidP="006F69F3">
            <w:pPr>
              <w:jc w:val="both"/>
              <w:rPr>
                <w:rFonts w:cs="Calibri"/>
              </w:rPr>
            </w:pPr>
            <w:r w:rsidRPr="0020215C">
              <w:rPr>
                <w:sz w:val="18"/>
                <w:szCs w:val="18"/>
                <w:u w:val="single"/>
              </w:rPr>
              <w:t xml:space="preserve">від </w:t>
            </w:r>
            <w:r>
              <w:rPr>
                <w:sz w:val="18"/>
                <w:szCs w:val="18"/>
                <w:u w:val="single"/>
              </w:rPr>
              <w:t>14 березня 2023 року</w:t>
            </w:r>
            <w:r w:rsidRPr="0020215C">
              <w:rPr>
                <w:sz w:val="18"/>
                <w:szCs w:val="18"/>
                <w:u w:val="single"/>
              </w:rPr>
              <w:t xml:space="preserve"> № </w:t>
            </w:r>
            <w:r>
              <w:rPr>
                <w:sz w:val="18"/>
                <w:szCs w:val="18"/>
                <w:u w:val="single"/>
              </w:rPr>
              <w:t>491</w:t>
            </w:r>
          </w:p>
        </w:tc>
      </w:tr>
    </w:tbl>
    <w:p w:rsidR="006F4BB8" w:rsidRDefault="006F4BB8" w:rsidP="006F4BB8">
      <w:pPr>
        <w:pStyle w:val="4"/>
        <w:tabs>
          <w:tab w:val="left" w:pos="12600"/>
        </w:tabs>
        <w:rPr>
          <w:rFonts w:cs="Arial"/>
          <w:sz w:val="18"/>
          <w:szCs w:val="18"/>
        </w:rPr>
      </w:pPr>
      <w:r>
        <w:rPr>
          <w:rFonts w:cs="Arial"/>
          <w:sz w:val="18"/>
          <w:szCs w:val="18"/>
        </w:rPr>
        <w:t xml:space="preserve">                                                                                                                                                                                                       </w:t>
      </w:r>
    </w:p>
    <w:p w:rsidR="006F4BB8" w:rsidRDefault="006F4BB8" w:rsidP="006F4BB8">
      <w:pPr>
        <w:pStyle w:val="4"/>
        <w:tabs>
          <w:tab w:val="left" w:pos="12600"/>
        </w:tabs>
        <w:rPr>
          <w:rFonts w:cs="Arial"/>
          <w:sz w:val="18"/>
          <w:szCs w:val="18"/>
        </w:rPr>
      </w:pPr>
    </w:p>
    <w:p w:rsidR="006F4BB8" w:rsidRDefault="006F4BB8" w:rsidP="006F4BB8">
      <w:pPr>
        <w:pStyle w:val="4"/>
        <w:tabs>
          <w:tab w:val="left" w:pos="12600"/>
        </w:tabs>
        <w:rPr>
          <w:rFonts w:cs="Arial"/>
          <w:sz w:val="18"/>
          <w:szCs w:val="18"/>
        </w:rPr>
      </w:pPr>
    </w:p>
    <w:p w:rsidR="006F4BB8" w:rsidRDefault="006F4BB8" w:rsidP="006F4BB8">
      <w:pPr>
        <w:pStyle w:val="4"/>
        <w:tabs>
          <w:tab w:val="left" w:pos="12600"/>
        </w:tabs>
        <w:rPr>
          <w:rFonts w:cs="Arial"/>
          <w:sz w:val="18"/>
          <w:szCs w:val="18"/>
        </w:rPr>
      </w:pPr>
    </w:p>
    <w:p w:rsidR="006F4BB8" w:rsidRDefault="006F4BB8" w:rsidP="006F4BB8">
      <w:pPr>
        <w:pStyle w:val="4"/>
        <w:tabs>
          <w:tab w:val="left" w:pos="12600"/>
        </w:tabs>
        <w:rPr>
          <w:rFonts w:cs="Arial"/>
          <w:sz w:val="18"/>
          <w:szCs w:val="18"/>
        </w:rPr>
      </w:pPr>
    </w:p>
    <w:p w:rsidR="006F4BB8" w:rsidRPr="006F69F3" w:rsidRDefault="006F4BB8" w:rsidP="006F69F3">
      <w:pPr>
        <w:pStyle w:val="2"/>
        <w:tabs>
          <w:tab w:val="left" w:pos="12600"/>
        </w:tabs>
        <w:spacing w:before="0" w:after="0"/>
        <w:jc w:val="center"/>
        <w:rPr>
          <w:rFonts w:ascii="Arial" w:hAnsi="Arial" w:cs="Arial"/>
          <w:i w:val="0"/>
          <w:caps/>
        </w:rPr>
      </w:pPr>
      <w:r w:rsidRPr="006F69F3">
        <w:rPr>
          <w:rFonts w:ascii="Arial" w:hAnsi="Arial" w:cs="Arial"/>
          <w:i w:val="0"/>
        </w:rPr>
        <w:t>ПЕРЕЛІК</w:t>
      </w:r>
    </w:p>
    <w:p w:rsidR="006F4BB8" w:rsidRPr="006F69F3" w:rsidRDefault="006F4BB8" w:rsidP="006F69F3">
      <w:pPr>
        <w:pStyle w:val="Normal"/>
        <w:ind w:left="284"/>
        <w:jc w:val="center"/>
        <w:rPr>
          <w:rFonts w:ascii="Arial" w:hAnsi="Arial" w:cs="Arial"/>
        </w:rPr>
      </w:pPr>
      <w:r w:rsidRPr="006F69F3">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6F69F3">
        <w:rPr>
          <w:rFonts w:ascii="Arial" w:hAnsi="Arial" w:cs="Arial"/>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6F4BB8" w:rsidRPr="006F69F3" w:rsidRDefault="006F4BB8" w:rsidP="006F69F3">
      <w:pPr>
        <w:pStyle w:val="Normal"/>
        <w:jc w:val="center"/>
        <w:rPr>
          <w:rFonts w:ascii="Arial" w:hAnsi="Arial" w:cs="Arial"/>
        </w:rPr>
      </w:pPr>
    </w:p>
    <w:tbl>
      <w:tblPr>
        <w:tblpPr w:leftFromText="180" w:rightFromText="180" w:vertAnchor="text" w:tblpX="108" w:tblpY="1"/>
        <w:tblOverlap w:val="never"/>
        <w:tblW w:w="15875"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701"/>
        <w:gridCol w:w="1134"/>
        <w:gridCol w:w="850"/>
        <w:gridCol w:w="2977"/>
        <w:gridCol w:w="1134"/>
        <w:gridCol w:w="3543"/>
        <w:gridCol w:w="1135"/>
        <w:gridCol w:w="1416"/>
      </w:tblGrid>
      <w:tr w:rsidR="006F4BB8" w:rsidRPr="004C1C00" w:rsidTr="006F69F3">
        <w:tc>
          <w:tcPr>
            <w:tcW w:w="567"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ind w:left="-108"/>
              <w:jc w:val="center"/>
              <w:rPr>
                <w:rFonts w:ascii="Arial" w:hAnsi="Arial" w:cs="Arial"/>
                <w:b/>
                <w:i/>
                <w:sz w:val="16"/>
                <w:szCs w:val="16"/>
              </w:rPr>
            </w:pPr>
            <w:r w:rsidRPr="004C1C00">
              <w:rPr>
                <w:rFonts w:ascii="Arial" w:hAnsi="Arial" w:cs="Arial"/>
                <w:b/>
                <w:i/>
                <w:sz w:val="16"/>
                <w:szCs w:val="16"/>
              </w:rPr>
              <w:t>Заявник</w:t>
            </w:r>
          </w:p>
          <w:p w:rsidR="006F4BB8" w:rsidRPr="004C1C00" w:rsidRDefault="006F4BB8" w:rsidP="006F69F3">
            <w:pPr>
              <w:tabs>
                <w:tab w:val="left" w:pos="12600"/>
              </w:tabs>
              <w:ind w:left="-108"/>
              <w:jc w:val="center"/>
              <w:rPr>
                <w:rFonts w:ascii="Arial" w:hAnsi="Arial" w:cs="Arial"/>
                <w:b/>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ind w:right="-108"/>
              <w:jc w:val="center"/>
              <w:rPr>
                <w:rFonts w:ascii="Arial" w:hAnsi="Arial" w:cs="Arial"/>
                <w:b/>
                <w:i/>
                <w:sz w:val="16"/>
                <w:szCs w:val="16"/>
              </w:rPr>
            </w:pPr>
            <w:r w:rsidRPr="004C1C0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Країна</w:t>
            </w:r>
          </w:p>
        </w:tc>
        <w:tc>
          <w:tcPr>
            <w:tcW w:w="3543"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Реєстраційна процедура</w:t>
            </w:r>
          </w:p>
        </w:tc>
        <w:tc>
          <w:tcPr>
            <w:tcW w:w="1135"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jc w:val="center"/>
              <w:rPr>
                <w:rFonts w:ascii="Arial" w:hAnsi="Arial" w:cs="Arial"/>
                <w:b/>
                <w:i/>
                <w:sz w:val="16"/>
                <w:szCs w:val="16"/>
              </w:rPr>
            </w:pPr>
            <w:r w:rsidRPr="004C1C0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6F4BB8" w:rsidRPr="004C1C00" w:rsidRDefault="006F4BB8" w:rsidP="006F69F3">
            <w:pPr>
              <w:tabs>
                <w:tab w:val="left" w:pos="12600"/>
              </w:tabs>
              <w:ind w:left="-108"/>
              <w:jc w:val="center"/>
              <w:rPr>
                <w:rFonts w:ascii="Arial" w:hAnsi="Arial" w:cs="Arial"/>
                <w:b/>
                <w:i/>
                <w:sz w:val="16"/>
                <w:szCs w:val="16"/>
              </w:rPr>
            </w:pPr>
            <w:r w:rsidRPr="004C1C00">
              <w:rPr>
                <w:rFonts w:ascii="Arial" w:hAnsi="Arial" w:cs="Arial"/>
                <w:b/>
                <w:i/>
                <w:sz w:val="16"/>
                <w:szCs w:val="16"/>
              </w:rPr>
              <w:t>Номер реєстраційного посвідчення</w:t>
            </w:r>
          </w:p>
        </w:tc>
      </w:tr>
      <w:tr w:rsidR="006F4BB8" w:rsidRPr="004C1C00" w:rsidTr="006F69F3">
        <w:tc>
          <w:tcPr>
            <w:tcW w:w="567"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3543"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6F4BB8" w:rsidRPr="004C1C00" w:rsidRDefault="006F4BB8" w:rsidP="006F69F3">
            <w:pPr>
              <w:tabs>
                <w:tab w:val="left" w:pos="12600"/>
              </w:tabs>
              <w:jc w:val="center"/>
              <w:rPr>
                <w:rFonts w:ascii="Arial" w:hAnsi="Arial" w:cs="Arial"/>
                <w:sz w:val="16"/>
                <w:szCs w:val="16"/>
              </w:rPr>
            </w:pP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117899" w:rsidRDefault="006F4BB8" w:rsidP="006F69F3">
            <w:pPr>
              <w:pStyle w:val="Normal"/>
              <w:tabs>
                <w:tab w:val="left" w:pos="12600"/>
              </w:tabs>
              <w:rPr>
                <w:rFonts w:ascii="Arial" w:hAnsi="Arial" w:cs="Arial"/>
                <w:b/>
                <w:i/>
                <w:color w:val="000000"/>
                <w:sz w:val="16"/>
                <w:szCs w:val="16"/>
              </w:rPr>
            </w:pPr>
            <w:r w:rsidRPr="00117899">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rPr>
                <w:rFonts w:ascii="Arial" w:hAnsi="Arial" w:cs="Arial"/>
                <w:color w:val="000000"/>
                <w:sz w:val="16"/>
                <w:szCs w:val="16"/>
                <w:lang w:val="ru-RU"/>
              </w:rPr>
            </w:pPr>
            <w:r w:rsidRPr="00117899">
              <w:rPr>
                <w:rFonts w:ascii="Arial" w:hAnsi="Arial" w:cs="Arial"/>
                <w:color w:val="000000"/>
                <w:sz w:val="16"/>
                <w:szCs w:val="16"/>
                <w:lang w:val="ru-RU"/>
              </w:rPr>
              <w:t>лосьйон, 0,05 %, по 45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ТОВ «БАУШ ХЕЛС»</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 xml:space="preserve">Виробництво, пакування, маркування, випуск серії та дослідження стабільності: </w:t>
            </w:r>
          </w:p>
          <w:p w:rsidR="006F4BB8"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 xml:space="preserve">Бауш Хелс Компаніс Інк., Канада; </w:t>
            </w:r>
          </w:p>
          <w:p w:rsidR="006F4BB8" w:rsidRPr="00117899"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Альтернативна дільниця, на якій проводяться випуск серії та дослідження стабільності (випуск серій, вироблених тільки для клінічних досліджень):</w:t>
            </w:r>
          </w:p>
          <w:p w:rsidR="006F4BB8" w:rsidRPr="00117899"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Бауш Хелс Америкас Інк., Сполучені Штати Америки; Альлтернативна дільниця, на якій проводяться мікробіологічні дослідження:</w:t>
            </w:r>
          </w:p>
          <w:p w:rsidR="006F4BB8"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 xml:space="preserve">Пасифік БіоЛабс, Сполучені Штати Америки; Дільниця, на якій проводяться випробування розміру крапель емульсії та розміру часток: </w:t>
            </w:r>
          </w:p>
          <w:p w:rsidR="006F4BB8"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 xml:space="preserve">Партикал Текнолоджи Лабс, Сполучені Штати Америки; </w:t>
            </w:r>
          </w:p>
          <w:p w:rsidR="006F4BB8"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 xml:space="preserve">Альтернативні дільниці, на яких проводяться випробування допоміжних речовин: Елемент Матіріалс Текнолоджи Канада Інк., Канада; </w:t>
            </w:r>
          </w:p>
          <w:p w:rsidR="006F4BB8"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 xml:space="preserve">ЕсДжіЕс Канада Інк., Канада; </w:t>
            </w:r>
          </w:p>
          <w:p w:rsidR="006F4BB8" w:rsidRPr="00117899"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ЕсДжіЕс Канада Інк., Канада;</w:t>
            </w:r>
          </w:p>
          <w:p w:rsidR="006F4BB8" w:rsidRPr="00117899" w:rsidRDefault="006F4BB8" w:rsidP="006F69F3">
            <w:pPr>
              <w:pStyle w:val="Normal"/>
              <w:tabs>
                <w:tab w:val="left" w:pos="12600"/>
              </w:tabs>
              <w:jc w:val="center"/>
              <w:rPr>
                <w:rFonts w:ascii="Arial" w:hAnsi="Arial" w:cs="Arial"/>
                <w:color w:val="000000"/>
                <w:sz w:val="16"/>
                <w:szCs w:val="16"/>
                <w:lang w:val="ru-RU"/>
              </w:rPr>
            </w:pPr>
            <w:r w:rsidRPr="00117899">
              <w:rPr>
                <w:rFonts w:ascii="Arial" w:hAnsi="Arial" w:cs="Arial"/>
                <w:color w:val="000000"/>
                <w:sz w:val="16"/>
                <w:szCs w:val="16"/>
                <w:lang w:val="ru-RU"/>
              </w:rPr>
              <w:t>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Канада/ Сполучені Штати Америки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color w:val="000000"/>
                <w:sz w:val="16"/>
                <w:szCs w:val="16"/>
              </w:rPr>
            </w:pPr>
            <w:r w:rsidRPr="00117899">
              <w:rPr>
                <w:rFonts w:ascii="Arial" w:hAnsi="Arial" w:cs="Arial"/>
                <w:color w:val="000000"/>
                <w:sz w:val="16"/>
                <w:szCs w:val="16"/>
              </w:rPr>
              <w:t>зміни до розділів 3.2.S.2.1 Manufacture(s), 3.2.P.3.1 Manufacture(s), 3.2.P.3.3.1 Flow Diagram and 3.2.P.3.3.2 General Manufacturing Process Description, 32p41-specification sodium hyaluronate, 32p41-specifications-soluble collagen.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i/>
                <w:sz w:val="16"/>
                <w:szCs w:val="16"/>
              </w:rPr>
            </w:pPr>
            <w:r w:rsidRPr="00117899">
              <w:rPr>
                <w:rFonts w:ascii="Arial" w:hAnsi="Arial" w:cs="Arial"/>
                <w:i/>
                <w:sz w:val="16"/>
                <w:szCs w:val="16"/>
              </w:rPr>
              <w:t xml:space="preserve">за </w:t>
            </w:r>
          </w:p>
          <w:p w:rsidR="006F4BB8" w:rsidRPr="00117899" w:rsidRDefault="006F4BB8" w:rsidP="006F69F3">
            <w:pPr>
              <w:pStyle w:val="Normal"/>
              <w:tabs>
                <w:tab w:val="left" w:pos="12600"/>
              </w:tabs>
              <w:jc w:val="center"/>
              <w:rPr>
                <w:rFonts w:ascii="Arial" w:hAnsi="Arial" w:cs="Arial"/>
                <w:b/>
                <w:i/>
                <w:color w:val="000000"/>
                <w:sz w:val="16"/>
                <w:szCs w:val="16"/>
              </w:rPr>
            </w:pPr>
            <w:r w:rsidRPr="00117899">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117899" w:rsidRDefault="006F4BB8" w:rsidP="006F69F3">
            <w:pPr>
              <w:pStyle w:val="Normal"/>
              <w:tabs>
                <w:tab w:val="left" w:pos="12600"/>
              </w:tabs>
              <w:jc w:val="center"/>
              <w:rPr>
                <w:rFonts w:ascii="Arial" w:hAnsi="Arial" w:cs="Arial"/>
                <w:sz w:val="16"/>
                <w:szCs w:val="16"/>
              </w:rPr>
            </w:pPr>
            <w:r w:rsidRPr="00117899">
              <w:rPr>
                <w:rFonts w:ascii="Arial" w:hAnsi="Arial" w:cs="Arial"/>
                <w:sz w:val="16"/>
                <w:szCs w:val="16"/>
              </w:rPr>
              <w:t>UA/18447/01/01</w:t>
            </w: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823137" w:rsidRDefault="006F4BB8" w:rsidP="006F69F3">
            <w:pPr>
              <w:pStyle w:val="Normal"/>
              <w:tabs>
                <w:tab w:val="left" w:pos="12600"/>
              </w:tabs>
              <w:rPr>
                <w:rFonts w:ascii="Arial" w:hAnsi="Arial" w:cs="Arial"/>
                <w:b/>
                <w:i/>
                <w:color w:val="000000"/>
                <w:sz w:val="16"/>
                <w:szCs w:val="16"/>
              </w:rPr>
            </w:pPr>
            <w:r w:rsidRPr="0082313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rPr>
                <w:rFonts w:ascii="Arial" w:hAnsi="Arial" w:cs="Arial"/>
                <w:color w:val="000000"/>
                <w:sz w:val="16"/>
                <w:szCs w:val="16"/>
                <w:lang w:val="ru-RU"/>
              </w:rPr>
            </w:pPr>
            <w:r w:rsidRPr="00823137">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 xml:space="preserve">виробництво за повним циклом: </w:t>
            </w:r>
          </w:p>
          <w:p w:rsidR="006F4BB8"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 xml:space="preserve">Тева Чех Індастріз с.р.о., Чеська Республіка; виробництво за повним циклом: </w:t>
            </w:r>
          </w:p>
          <w:p w:rsidR="006F4BB8"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Чеська Республіка/ Індія/ 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22.09.2022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r w:rsidRPr="00823137">
              <w:rPr>
                <w:rFonts w:ascii="Arial" w:hAnsi="Arial" w:cs="Arial"/>
                <w:color w:val="000000"/>
                <w:sz w:val="16"/>
                <w:szCs w:val="16"/>
                <w:lang w:val="ru-RU"/>
              </w:rPr>
              <w:br/>
              <w:t xml:space="preserve">Безпека, </w:t>
            </w:r>
            <w:r w:rsidRPr="00823137">
              <w:rPr>
                <w:rFonts w:ascii="Arial" w:hAnsi="Arial" w:cs="Arial"/>
                <w:color w:val="000000"/>
                <w:sz w:val="16"/>
                <w:szCs w:val="16"/>
              </w:rPr>
              <w:t>I</w:t>
            </w:r>
            <w:r w:rsidRPr="00823137">
              <w:rPr>
                <w:rFonts w:ascii="Arial" w:hAnsi="Arial" w:cs="Arial"/>
                <w:color w:val="000000"/>
                <w:sz w:val="16"/>
                <w:szCs w:val="16"/>
                <w:lang w:val="ru-RU"/>
              </w:rPr>
              <w:t>Анп</w:t>
            </w:r>
            <w:r w:rsidRPr="00823137">
              <w:rPr>
                <w:rFonts w:ascii="Arial" w:hAnsi="Arial" w:cs="Arial"/>
                <w:color w:val="000000"/>
                <w:sz w:val="16"/>
                <w:szCs w:val="16"/>
                <w:lang w:val="ru-RU"/>
              </w:rPr>
              <w:b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28.04.2022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ind w:left="-185"/>
              <w:jc w:val="center"/>
              <w:rPr>
                <w:rFonts w:ascii="Arial" w:hAnsi="Arial" w:cs="Arial"/>
                <w:i/>
                <w:sz w:val="16"/>
                <w:szCs w:val="16"/>
              </w:rPr>
            </w:pPr>
            <w:r w:rsidRPr="00823137">
              <w:rPr>
                <w:rFonts w:ascii="Arial" w:hAnsi="Arial" w:cs="Arial"/>
                <w:i/>
                <w:sz w:val="16"/>
                <w:szCs w:val="16"/>
              </w:rPr>
              <w:t xml:space="preserve">за </w:t>
            </w:r>
          </w:p>
          <w:p w:rsidR="006F4BB8" w:rsidRPr="00823137" w:rsidRDefault="006F4BB8" w:rsidP="006F69F3">
            <w:pPr>
              <w:pStyle w:val="Normal"/>
              <w:tabs>
                <w:tab w:val="left" w:pos="12600"/>
              </w:tabs>
              <w:ind w:left="-185"/>
              <w:jc w:val="center"/>
              <w:rPr>
                <w:rFonts w:ascii="Arial" w:hAnsi="Arial" w:cs="Arial"/>
                <w:b/>
                <w:i/>
                <w:color w:val="000000"/>
                <w:sz w:val="16"/>
                <w:szCs w:val="16"/>
              </w:rPr>
            </w:pPr>
            <w:r w:rsidRPr="00823137">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sz w:val="16"/>
                <w:szCs w:val="16"/>
              </w:rPr>
            </w:pPr>
            <w:r w:rsidRPr="00823137">
              <w:rPr>
                <w:rFonts w:ascii="Arial" w:hAnsi="Arial" w:cs="Arial"/>
                <w:sz w:val="16"/>
                <w:szCs w:val="16"/>
              </w:rPr>
              <w:t>UA/18723/01/01</w:t>
            </w: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823137" w:rsidRDefault="006F4BB8" w:rsidP="006F69F3">
            <w:pPr>
              <w:pStyle w:val="Normal"/>
              <w:tabs>
                <w:tab w:val="left" w:pos="12600"/>
              </w:tabs>
              <w:rPr>
                <w:rFonts w:ascii="Arial" w:hAnsi="Arial" w:cs="Arial"/>
                <w:b/>
                <w:i/>
                <w:color w:val="000000"/>
                <w:sz w:val="16"/>
                <w:szCs w:val="16"/>
              </w:rPr>
            </w:pPr>
            <w:r w:rsidRPr="0082313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rPr>
                <w:rFonts w:ascii="Arial" w:hAnsi="Arial" w:cs="Arial"/>
                <w:color w:val="000000"/>
                <w:sz w:val="16"/>
                <w:szCs w:val="16"/>
                <w:lang w:val="ru-RU"/>
              </w:rPr>
            </w:pPr>
            <w:r w:rsidRPr="00823137">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виробництво за повним циклом: </w:t>
            </w:r>
          </w:p>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Тева Чех Індастріз с.р.о., Чеська Республіка; виробництво за повним циклом: </w:t>
            </w:r>
          </w:p>
          <w:p w:rsidR="006F4BB8"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Чеська Республіка/ Індія/ 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22.09.2022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r w:rsidRPr="00823137">
              <w:rPr>
                <w:rFonts w:ascii="Arial" w:hAnsi="Arial" w:cs="Arial"/>
                <w:color w:val="000000"/>
                <w:sz w:val="16"/>
                <w:szCs w:val="16"/>
                <w:lang w:val="ru-RU"/>
              </w:rPr>
              <w:br/>
              <w:t xml:space="preserve">Безпека, </w:t>
            </w:r>
            <w:r w:rsidRPr="00823137">
              <w:rPr>
                <w:rFonts w:ascii="Arial" w:hAnsi="Arial" w:cs="Arial"/>
                <w:color w:val="000000"/>
                <w:sz w:val="16"/>
                <w:szCs w:val="16"/>
              </w:rPr>
              <w:t>I</w:t>
            </w:r>
            <w:r w:rsidRPr="00823137">
              <w:rPr>
                <w:rFonts w:ascii="Arial" w:hAnsi="Arial" w:cs="Arial"/>
                <w:color w:val="000000"/>
                <w:sz w:val="16"/>
                <w:szCs w:val="16"/>
                <w:lang w:val="ru-RU"/>
              </w:rPr>
              <w:t>Анп</w:t>
            </w:r>
            <w:r w:rsidRPr="00823137">
              <w:rPr>
                <w:rFonts w:ascii="Arial" w:hAnsi="Arial" w:cs="Arial"/>
                <w:color w:val="000000"/>
                <w:sz w:val="16"/>
                <w:szCs w:val="16"/>
                <w:lang w:val="ru-RU"/>
              </w:rPr>
              <w:b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28.04.2022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ind w:left="-185"/>
              <w:jc w:val="center"/>
              <w:rPr>
                <w:rFonts w:ascii="Arial" w:hAnsi="Arial" w:cs="Arial"/>
                <w:i/>
                <w:sz w:val="16"/>
                <w:szCs w:val="16"/>
              </w:rPr>
            </w:pPr>
            <w:r w:rsidRPr="00823137">
              <w:rPr>
                <w:rFonts w:ascii="Arial" w:hAnsi="Arial" w:cs="Arial"/>
                <w:i/>
                <w:sz w:val="16"/>
                <w:szCs w:val="16"/>
              </w:rPr>
              <w:t xml:space="preserve">за </w:t>
            </w:r>
          </w:p>
          <w:p w:rsidR="006F4BB8" w:rsidRPr="00823137" w:rsidRDefault="006F4BB8" w:rsidP="006F69F3">
            <w:pPr>
              <w:pStyle w:val="Normal"/>
              <w:tabs>
                <w:tab w:val="left" w:pos="12600"/>
              </w:tabs>
              <w:ind w:left="-185"/>
              <w:jc w:val="center"/>
              <w:rPr>
                <w:rFonts w:ascii="Arial" w:hAnsi="Arial" w:cs="Arial"/>
                <w:b/>
                <w:i/>
                <w:color w:val="000000"/>
                <w:sz w:val="16"/>
                <w:szCs w:val="16"/>
              </w:rPr>
            </w:pPr>
            <w:r w:rsidRPr="00823137">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sz w:val="16"/>
                <w:szCs w:val="16"/>
              </w:rPr>
            </w:pPr>
            <w:r w:rsidRPr="00823137">
              <w:rPr>
                <w:rFonts w:ascii="Arial" w:hAnsi="Arial" w:cs="Arial"/>
                <w:sz w:val="16"/>
                <w:szCs w:val="16"/>
              </w:rPr>
              <w:t>UA/18723/01/02</w:t>
            </w: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823137" w:rsidRDefault="006F4BB8" w:rsidP="006F69F3">
            <w:pPr>
              <w:pStyle w:val="Normal"/>
              <w:tabs>
                <w:tab w:val="left" w:pos="12600"/>
              </w:tabs>
              <w:rPr>
                <w:rFonts w:ascii="Arial" w:hAnsi="Arial" w:cs="Arial"/>
                <w:b/>
                <w:i/>
                <w:color w:val="000000"/>
                <w:sz w:val="16"/>
                <w:szCs w:val="16"/>
              </w:rPr>
            </w:pPr>
            <w:r w:rsidRPr="00823137">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rPr>
                <w:rFonts w:ascii="Arial" w:hAnsi="Arial" w:cs="Arial"/>
                <w:color w:val="000000"/>
                <w:sz w:val="16"/>
                <w:szCs w:val="16"/>
                <w:lang w:val="ru-RU"/>
              </w:rPr>
            </w:pPr>
            <w:r w:rsidRPr="00823137">
              <w:rPr>
                <w:rFonts w:ascii="Arial" w:hAnsi="Arial" w:cs="Arial"/>
                <w:color w:val="000000"/>
                <w:sz w:val="16"/>
                <w:szCs w:val="16"/>
                <w:lang w:val="ru-RU"/>
              </w:rPr>
              <w:t>таблетки, вкриті плівковою оболонкою, по 1000 мг, по 10 таблеток у блістері, по 6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виробництво за повним циклом: </w:t>
            </w:r>
          </w:p>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Тева Чех Індастріз с.р.о., Чеська Республіка; виробництво за повним циклом: </w:t>
            </w:r>
          </w:p>
          <w:p w:rsidR="006F4BB8"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Мікро Лабс Лімітед, Індія; первинна та вторинна упаковка, контроль якості, дозвіл на випуск серії: </w:t>
            </w:r>
          </w:p>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rPr>
            </w:pPr>
            <w:r w:rsidRPr="00823137">
              <w:rPr>
                <w:rFonts w:ascii="Arial" w:hAnsi="Arial" w:cs="Arial"/>
                <w:color w:val="000000"/>
                <w:sz w:val="16"/>
                <w:szCs w:val="16"/>
              </w:rPr>
              <w:t>Чеська Республіка/ Індія/ 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color w:val="000000"/>
                <w:sz w:val="16"/>
                <w:szCs w:val="16"/>
                <w:lang w:val="ru-RU"/>
              </w:rPr>
            </w:pPr>
            <w:r w:rsidRPr="00823137">
              <w:rPr>
                <w:rFonts w:ascii="Arial" w:hAnsi="Arial" w:cs="Arial"/>
                <w:color w:val="000000"/>
                <w:sz w:val="16"/>
                <w:szCs w:val="16"/>
                <w:lang w:val="ru-RU"/>
              </w:rP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22.09.2022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r w:rsidRPr="00823137">
              <w:rPr>
                <w:rFonts w:ascii="Arial" w:hAnsi="Arial" w:cs="Arial"/>
                <w:color w:val="000000"/>
                <w:sz w:val="16"/>
                <w:szCs w:val="16"/>
                <w:lang w:val="ru-RU"/>
              </w:rPr>
              <w:br/>
              <w:t xml:space="preserve">Безпека, </w:t>
            </w:r>
            <w:r w:rsidRPr="00823137">
              <w:rPr>
                <w:rFonts w:ascii="Arial" w:hAnsi="Arial" w:cs="Arial"/>
                <w:color w:val="000000"/>
                <w:sz w:val="16"/>
                <w:szCs w:val="16"/>
              </w:rPr>
              <w:t>I</w:t>
            </w:r>
            <w:r w:rsidRPr="00823137">
              <w:rPr>
                <w:rFonts w:ascii="Arial" w:hAnsi="Arial" w:cs="Arial"/>
                <w:color w:val="000000"/>
                <w:sz w:val="16"/>
                <w:szCs w:val="16"/>
                <w:lang w:val="ru-RU"/>
              </w:rPr>
              <w:t>Анп</w:t>
            </w:r>
            <w:r w:rsidRPr="00823137">
              <w:rPr>
                <w:rFonts w:ascii="Arial" w:hAnsi="Arial" w:cs="Arial"/>
                <w:color w:val="000000"/>
                <w:sz w:val="16"/>
                <w:szCs w:val="16"/>
                <w:lang w:val="ru-RU"/>
              </w:rPr>
              <w:br/>
              <w:t xml:space="preserve">Зміни стосовно безпеки, ефективності та фарамкологічного нагляду: </w:t>
            </w:r>
            <w:r w:rsidRPr="00823137">
              <w:rPr>
                <w:rFonts w:ascii="Arial" w:hAnsi="Arial" w:cs="Arial"/>
                <w:color w:val="000000"/>
                <w:sz w:val="16"/>
                <w:szCs w:val="16"/>
              </w:rPr>
              <w:t>C</w:t>
            </w:r>
            <w:r w:rsidRPr="00823137">
              <w:rPr>
                <w:rFonts w:ascii="Arial" w:hAnsi="Arial" w:cs="Arial"/>
                <w:color w:val="000000"/>
                <w:sz w:val="16"/>
                <w:szCs w:val="16"/>
                <w:lang w:val="ru-RU"/>
              </w:rPr>
              <w:t>.</w:t>
            </w:r>
            <w:r w:rsidRPr="00823137">
              <w:rPr>
                <w:rFonts w:ascii="Arial" w:hAnsi="Arial" w:cs="Arial"/>
                <w:color w:val="000000"/>
                <w:sz w:val="16"/>
                <w:szCs w:val="16"/>
              </w:rPr>
              <w:t>I</w:t>
            </w:r>
            <w:r w:rsidRPr="00823137">
              <w:rPr>
                <w:rFonts w:ascii="Arial" w:hAnsi="Arial" w:cs="Arial"/>
                <w:color w:val="000000"/>
                <w:sz w:val="16"/>
                <w:szCs w:val="16"/>
                <w:lang w:val="ru-RU"/>
              </w:rPr>
              <w:t>.2. Внесення зміни до інформації щодо лікарського засобу та/або текстів для розміщення на упаковці лікарського засобу з відомою речовиною з/без інновації, біосиміляр або препарат в рамках парарельного імпорту з оцінкою такої самої зміни щодо референтного лікарського засобу/препарату</w:t>
            </w:r>
            <w:r w:rsidRPr="00823137">
              <w:rPr>
                <w:rFonts w:ascii="Arial" w:hAnsi="Arial" w:cs="Arial"/>
                <w:color w:val="000000"/>
                <w:sz w:val="16"/>
                <w:szCs w:val="16"/>
                <w:lang w:val="ru-RU"/>
              </w:rPr>
              <w:br/>
              <w:t>а) Реалізація внесення однієї або декількох змін, які не вимагають від власникадозволу подання інших даних. Дата імплементації: 28.04.2022</w:t>
            </w:r>
            <w:r w:rsidRPr="00823137">
              <w:rPr>
                <w:rFonts w:ascii="Arial" w:hAnsi="Arial" w:cs="Arial"/>
                <w:color w:val="000000"/>
                <w:sz w:val="16"/>
                <w:szCs w:val="16"/>
                <w:lang w:val="ru-RU"/>
              </w:rPr>
              <w:br/>
              <w:t>Тип зміни: ІАнп.</w:t>
            </w:r>
            <w:r w:rsidRPr="00823137">
              <w:rPr>
                <w:rFonts w:ascii="Arial" w:hAnsi="Arial" w:cs="Arial"/>
                <w:color w:val="000000"/>
                <w:sz w:val="16"/>
                <w:szCs w:val="16"/>
                <w:lang w:val="ru-RU"/>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ind w:left="-185"/>
              <w:jc w:val="center"/>
              <w:rPr>
                <w:rFonts w:ascii="Arial" w:hAnsi="Arial" w:cs="Arial"/>
                <w:i/>
                <w:sz w:val="16"/>
                <w:szCs w:val="16"/>
              </w:rPr>
            </w:pPr>
            <w:r w:rsidRPr="00823137">
              <w:rPr>
                <w:rFonts w:ascii="Arial" w:hAnsi="Arial" w:cs="Arial"/>
                <w:i/>
                <w:sz w:val="16"/>
                <w:szCs w:val="16"/>
              </w:rPr>
              <w:t xml:space="preserve">за </w:t>
            </w:r>
          </w:p>
          <w:p w:rsidR="006F4BB8" w:rsidRPr="00823137" w:rsidRDefault="006F4BB8" w:rsidP="006F69F3">
            <w:pPr>
              <w:pStyle w:val="Normal"/>
              <w:tabs>
                <w:tab w:val="left" w:pos="12600"/>
              </w:tabs>
              <w:ind w:left="-185"/>
              <w:jc w:val="center"/>
              <w:rPr>
                <w:rFonts w:ascii="Arial" w:hAnsi="Arial" w:cs="Arial"/>
                <w:b/>
                <w:i/>
                <w:color w:val="000000"/>
                <w:sz w:val="16"/>
                <w:szCs w:val="16"/>
              </w:rPr>
            </w:pPr>
            <w:r w:rsidRPr="00823137">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823137" w:rsidRDefault="006F4BB8" w:rsidP="006F69F3">
            <w:pPr>
              <w:pStyle w:val="Normal"/>
              <w:tabs>
                <w:tab w:val="left" w:pos="12600"/>
              </w:tabs>
              <w:jc w:val="center"/>
              <w:rPr>
                <w:rFonts w:ascii="Arial" w:hAnsi="Arial" w:cs="Arial"/>
                <w:sz w:val="16"/>
                <w:szCs w:val="16"/>
              </w:rPr>
            </w:pPr>
            <w:r w:rsidRPr="00823137">
              <w:rPr>
                <w:rFonts w:ascii="Arial" w:hAnsi="Arial" w:cs="Arial"/>
                <w:sz w:val="16"/>
                <w:szCs w:val="16"/>
              </w:rPr>
              <w:t>UA/18723/01/03</w:t>
            </w: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E2027E" w:rsidRDefault="006F4BB8" w:rsidP="006F69F3">
            <w:pPr>
              <w:pStyle w:val="Normal"/>
              <w:tabs>
                <w:tab w:val="left" w:pos="12600"/>
              </w:tabs>
              <w:rPr>
                <w:rFonts w:ascii="Arial" w:hAnsi="Arial" w:cs="Arial"/>
                <w:b/>
                <w:i/>
                <w:color w:val="000000"/>
                <w:sz w:val="16"/>
                <w:szCs w:val="16"/>
              </w:rPr>
            </w:pPr>
            <w:r w:rsidRPr="00E2027E">
              <w:rPr>
                <w:rFonts w:ascii="Arial" w:hAnsi="Arial" w:cs="Arial"/>
                <w:b/>
                <w:sz w:val="16"/>
                <w:szCs w:val="16"/>
              </w:rPr>
              <w:t>НІКОРЕТТЕ® ФРУКТОВО-М'ЯТНИЙ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rPr>
                <w:rFonts w:ascii="Arial" w:hAnsi="Arial" w:cs="Arial"/>
                <w:color w:val="000000"/>
                <w:sz w:val="16"/>
                <w:szCs w:val="16"/>
                <w:lang w:val="ru-RU"/>
              </w:rPr>
            </w:pPr>
            <w:r w:rsidRPr="00E2027E">
              <w:rPr>
                <w:rFonts w:ascii="Arial" w:hAnsi="Arial" w:cs="Arial"/>
                <w:color w:val="000000"/>
                <w:sz w:val="16"/>
                <w:szCs w:val="16"/>
                <w:lang w:val="ru-RU"/>
              </w:rPr>
              <w:t>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color w:val="000000"/>
                <w:sz w:val="16"/>
                <w:szCs w:val="16"/>
              </w:rPr>
            </w:pPr>
            <w:r w:rsidRPr="00E2027E">
              <w:rPr>
                <w:rFonts w:ascii="Arial" w:hAnsi="Arial" w:cs="Arial"/>
                <w:color w:val="000000"/>
                <w:sz w:val="16"/>
                <w:szCs w:val="16"/>
              </w:rPr>
              <w:t>МакНіл АБ</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color w:val="000000"/>
                <w:sz w:val="16"/>
                <w:szCs w:val="16"/>
              </w:rPr>
            </w:pPr>
            <w:r w:rsidRPr="00E2027E">
              <w:rPr>
                <w:rFonts w:ascii="Arial" w:hAnsi="Arial" w:cs="Arial"/>
                <w:color w:val="000000"/>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Default="006F4BB8" w:rsidP="006F69F3">
            <w:pPr>
              <w:pStyle w:val="Normal"/>
              <w:tabs>
                <w:tab w:val="left" w:pos="12600"/>
              </w:tabs>
              <w:jc w:val="center"/>
              <w:rPr>
                <w:rFonts w:ascii="Arial" w:hAnsi="Arial" w:cs="Arial"/>
                <w:color w:val="000000"/>
                <w:sz w:val="16"/>
                <w:szCs w:val="16"/>
                <w:lang w:val="ru-RU"/>
              </w:rPr>
            </w:pPr>
            <w:r w:rsidRPr="00E2027E">
              <w:rPr>
                <w:rFonts w:ascii="Arial" w:hAnsi="Arial" w:cs="Arial"/>
                <w:color w:val="000000"/>
                <w:sz w:val="16"/>
                <w:szCs w:val="16"/>
                <w:lang w:val="ru-RU"/>
              </w:rPr>
              <w:t xml:space="preserve">виробництво готового продукту (включаючи комплектацію, контроль якості, випуск серії): </w:t>
            </w:r>
          </w:p>
          <w:p w:rsidR="006F4BB8" w:rsidRPr="00E2027E" w:rsidRDefault="006F4BB8" w:rsidP="006F69F3">
            <w:pPr>
              <w:pStyle w:val="Normal"/>
              <w:tabs>
                <w:tab w:val="left" w:pos="12600"/>
              </w:tabs>
              <w:jc w:val="center"/>
              <w:rPr>
                <w:rFonts w:ascii="Arial" w:hAnsi="Arial" w:cs="Arial"/>
                <w:color w:val="000000"/>
                <w:sz w:val="16"/>
                <w:szCs w:val="16"/>
                <w:lang w:val="ru-RU"/>
              </w:rPr>
            </w:pPr>
            <w:r w:rsidRPr="00E2027E">
              <w:rPr>
                <w:rFonts w:ascii="Arial" w:hAnsi="Arial" w:cs="Arial"/>
                <w:color w:val="000000"/>
                <w:sz w:val="16"/>
                <w:szCs w:val="16"/>
                <w:lang w:val="ru-RU"/>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color w:val="000000"/>
                <w:sz w:val="16"/>
                <w:szCs w:val="16"/>
                <w:lang w:val="ru-RU"/>
              </w:rPr>
            </w:pPr>
            <w:r w:rsidRPr="00E2027E">
              <w:rPr>
                <w:rFonts w:ascii="Arial" w:hAnsi="Arial" w:cs="Arial"/>
                <w:color w:val="000000"/>
                <w:sz w:val="16"/>
                <w:szCs w:val="16"/>
                <w:lang w:val="ru-RU"/>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 xml:space="preserve">внесення змін до реєстраційних матеріалів: </w:t>
            </w:r>
            <w:r w:rsidRPr="00E2027E">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Зміна контактної особи заявника, відповідальної за фармаконагляд в Україні. Діюча редакція: </w:t>
            </w:r>
            <w:r w:rsidRPr="00E2027E">
              <w:rPr>
                <w:rFonts w:ascii="Arial" w:hAnsi="Arial" w:cs="Arial"/>
                <w:color w:val="000000"/>
                <w:sz w:val="16"/>
                <w:szCs w:val="16"/>
              </w:rPr>
              <w:t>Arnautova</w:t>
            </w:r>
            <w:r w:rsidRPr="00E2027E">
              <w:rPr>
                <w:rFonts w:ascii="Arial" w:hAnsi="Arial" w:cs="Arial"/>
                <w:color w:val="000000"/>
                <w:sz w:val="16"/>
                <w:szCs w:val="16"/>
                <w:lang w:val="ru-RU"/>
              </w:rPr>
              <w:t xml:space="preserve"> </w:t>
            </w:r>
            <w:r w:rsidRPr="00E2027E">
              <w:rPr>
                <w:rFonts w:ascii="Arial" w:hAnsi="Arial" w:cs="Arial"/>
                <w:color w:val="000000"/>
                <w:sz w:val="16"/>
                <w:szCs w:val="16"/>
              </w:rPr>
              <w:t>Yuliya</w:t>
            </w:r>
            <w:r w:rsidRPr="00E2027E">
              <w:rPr>
                <w:rFonts w:ascii="Arial" w:hAnsi="Arial" w:cs="Arial"/>
                <w:color w:val="000000"/>
                <w:sz w:val="16"/>
                <w:szCs w:val="16"/>
                <w:lang w:val="ru-RU"/>
              </w:rPr>
              <w:t xml:space="preserve"> </w:t>
            </w:r>
            <w:r w:rsidRPr="00E2027E">
              <w:rPr>
                <w:rFonts w:ascii="Arial" w:hAnsi="Arial" w:cs="Arial"/>
                <w:color w:val="000000"/>
                <w:sz w:val="16"/>
                <w:szCs w:val="16"/>
              </w:rPr>
              <w:t>Leonidivna</w:t>
            </w:r>
            <w:r w:rsidRPr="00E2027E">
              <w:rPr>
                <w:rFonts w:ascii="Arial" w:hAnsi="Arial" w:cs="Arial"/>
                <w:color w:val="000000"/>
                <w:sz w:val="16"/>
                <w:szCs w:val="16"/>
                <w:lang w:val="ru-RU"/>
              </w:rPr>
              <w:t xml:space="preserve"> / Арнаутова Юлія Леонидівна. Пропонована редакція: </w:t>
            </w:r>
            <w:r w:rsidRPr="00E2027E">
              <w:rPr>
                <w:rFonts w:ascii="Arial" w:hAnsi="Arial" w:cs="Arial"/>
                <w:color w:val="000000"/>
                <w:sz w:val="16"/>
                <w:szCs w:val="16"/>
              </w:rPr>
              <w:t>Nahorna</w:t>
            </w:r>
            <w:r w:rsidRPr="00E2027E">
              <w:rPr>
                <w:rFonts w:ascii="Arial" w:hAnsi="Arial" w:cs="Arial"/>
                <w:color w:val="000000"/>
                <w:sz w:val="16"/>
                <w:szCs w:val="16"/>
                <w:lang w:val="ru-RU"/>
              </w:rPr>
              <w:t xml:space="preserve"> </w:t>
            </w:r>
            <w:r w:rsidRPr="00E2027E">
              <w:rPr>
                <w:rFonts w:ascii="Arial" w:hAnsi="Arial" w:cs="Arial"/>
                <w:color w:val="000000"/>
                <w:sz w:val="16"/>
                <w:szCs w:val="16"/>
              </w:rPr>
              <w:t>Kateryna</w:t>
            </w:r>
            <w:r w:rsidRPr="00E2027E">
              <w:rPr>
                <w:rFonts w:ascii="Arial" w:hAnsi="Arial" w:cs="Arial"/>
                <w:color w:val="000000"/>
                <w:sz w:val="16"/>
                <w:szCs w:val="16"/>
                <w:lang w:val="ru-RU"/>
              </w:rPr>
              <w:t xml:space="preserve"> </w:t>
            </w:r>
            <w:r w:rsidRPr="00E2027E">
              <w:rPr>
                <w:rFonts w:ascii="Arial" w:hAnsi="Arial" w:cs="Arial"/>
                <w:color w:val="000000"/>
                <w:sz w:val="16"/>
                <w:szCs w:val="16"/>
              </w:rPr>
              <w:t>Ivanivna</w:t>
            </w:r>
            <w:r w:rsidRPr="00E2027E">
              <w:rPr>
                <w:rFonts w:ascii="Arial" w:hAnsi="Arial" w:cs="Arial"/>
                <w:color w:val="000000"/>
                <w:sz w:val="16"/>
                <w:szCs w:val="16"/>
                <w:lang w:val="ru-RU"/>
              </w:rPr>
              <w:t xml:space="preserve"> / Нагорна Катерина Іванівна.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b/>
                <w:i/>
                <w:color w:val="000000"/>
                <w:sz w:val="16"/>
                <w:szCs w:val="16"/>
              </w:rPr>
            </w:pPr>
            <w:r w:rsidRPr="00E2027E">
              <w:rPr>
                <w:rFonts w:ascii="Arial" w:hAnsi="Arial" w:cs="Arial"/>
                <w:i/>
                <w:sz w:val="16"/>
                <w:szCs w:val="16"/>
              </w:rPr>
              <w:t>без 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E2027E" w:rsidRDefault="006F4BB8" w:rsidP="006F69F3">
            <w:pPr>
              <w:pStyle w:val="Normal"/>
              <w:tabs>
                <w:tab w:val="left" w:pos="12600"/>
              </w:tabs>
              <w:jc w:val="center"/>
              <w:rPr>
                <w:rFonts w:ascii="Arial" w:hAnsi="Arial" w:cs="Arial"/>
                <w:sz w:val="16"/>
                <w:szCs w:val="16"/>
              </w:rPr>
            </w:pPr>
            <w:r w:rsidRPr="00E2027E">
              <w:rPr>
                <w:rFonts w:ascii="Arial" w:hAnsi="Arial" w:cs="Arial"/>
                <w:sz w:val="16"/>
                <w:szCs w:val="16"/>
              </w:rPr>
              <w:t>UA/18446/01/01</w:t>
            </w:r>
          </w:p>
        </w:tc>
      </w:tr>
      <w:tr w:rsidR="006F4BB8" w:rsidRPr="00E92C39" w:rsidTr="006F69F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6F4BB8" w:rsidRPr="00E92C39" w:rsidRDefault="006F4BB8" w:rsidP="006F69F3">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F4BB8" w:rsidRPr="00660546" w:rsidRDefault="006F4BB8" w:rsidP="006F69F3">
            <w:pPr>
              <w:pStyle w:val="Normal"/>
              <w:tabs>
                <w:tab w:val="left" w:pos="12600"/>
              </w:tabs>
              <w:rPr>
                <w:rFonts w:ascii="Arial" w:hAnsi="Arial" w:cs="Arial"/>
                <w:b/>
                <w:i/>
                <w:color w:val="000000"/>
                <w:sz w:val="16"/>
                <w:szCs w:val="16"/>
              </w:rPr>
            </w:pPr>
            <w:r w:rsidRPr="00660546">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rPr>
                <w:rFonts w:ascii="Arial" w:hAnsi="Arial" w:cs="Arial"/>
                <w:color w:val="000000"/>
                <w:sz w:val="16"/>
                <w:szCs w:val="16"/>
                <w:lang w:val="ru-RU"/>
              </w:rPr>
            </w:pPr>
            <w:r w:rsidRPr="00660546">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 xml:space="preserve">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 формування та наповнення розчинника, маркування, контроль якості розчинника: Каталент Бельджіум СА, Бельгія; </w:t>
            </w:r>
          </w:p>
          <w:p w:rsidR="006F4BB8" w:rsidRPr="00660546" w:rsidRDefault="006F4BB8" w:rsidP="006F69F3">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формування вакцини, наповнення флаконів, ліофілізація, контроль якості: ГлаксоСмітКляйн Біолоджікалс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rPr>
              <w:t>внесення змін до реєстраційних матеріалів: B.II.z., IB - Виправлення з метою точного відображення правильних меж товщини фланця пробки флакона в розділі 3.2.P.7 Система закриття контейнерів - Pfizer Puurs, від «1,8 - 2,2 мм» до «1,9 - 2,3 мм», без змін у виробничих процедурах або тестуванні контролю якості корки. B.ІI.d.2. а, IB - Незначні зміни щодо включення коефіцієнта корекції для реагенту декстрану 0,8 MDa, який використовується для тестування лікарського засобу MenACWY-T в аналітичній методиці розподілу молекул за розміром.</w:t>
            </w:r>
            <w:r w:rsidRPr="00660546">
              <w:rPr>
                <w:rFonts w:ascii="Arial" w:hAnsi="Arial" w:cs="Arial"/>
                <w:color w:val="000000"/>
                <w:sz w:val="16"/>
                <w:szCs w:val="16"/>
              </w:rPr>
              <w:br/>
            </w:r>
            <w:r w:rsidRPr="00660546">
              <w:rPr>
                <w:rFonts w:ascii="Arial" w:hAnsi="Arial" w:cs="Arial"/>
                <w:color w:val="000000"/>
                <w:sz w:val="16"/>
                <w:szCs w:val="16"/>
                <w:lang w:val="ru-RU"/>
              </w:rPr>
              <w:t>Зміни вносяться до Модуля 3 та в Методи контролю якості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F4BB8" w:rsidRPr="00660546" w:rsidRDefault="006F4BB8" w:rsidP="006F69F3">
            <w:pPr>
              <w:pStyle w:val="Normal"/>
              <w:tabs>
                <w:tab w:val="left" w:pos="12600"/>
              </w:tabs>
              <w:jc w:val="center"/>
              <w:rPr>
                <w:rFonts w:ascii="Arial" w:hAnsi="Arial" w:cs="Arial"/>
                <w:b/>
                <w:i/>
                <w:color w:val="000000"/>
                <w:sz w:val="16"/>
                <w:szCs w:val="16"/>
              </w:rPr>
            </w:pPr>
            <w:r w:rsidRPr="0066054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6F4BB8" w:rsidRPr="00DF2E12" w:rsidRDefault="006F4BB8" w:rsidP="006F69F3">
            <w:pPr>
              <w:pStyle w:val="Normal"/>
              <w:tabs>
                <w:tab w:val="left" w:pos="12600"/>
              </w:tabs>
              <w:jc w:val="center"/>
              <w:rPr>
                <w:rFonts w:ascii="Arial" w:hAnsi="Arial" w:cs="Arial"/>
                <w:sz w:val="16"/>
                <w:szCs w:val="16"/>
              </w:rPr>
            </w:pPr>
            <w:r w:rsidRPr="00660546">
              <w:rPr>
                <w:rFonts w:ascii="Arial" w:hAnsi="Arial" w:cs="Arial"/>
                <w:sz w:val="16"/>
                <w:szCs w:val="16"/>
              </w:rPr>
              <w:t>UA/16901/01/01</w:t>
            </w:r>
          </w:p>
        </w:tc>
      </w:tr>
    </w:tbl>
    <w:p w:rsidR="006F4BB8" w:rsidRDefault="006F4BB8" w:rsidP="006F4BB8">
      <w:pPr>
        <w:pStyle w:val="Normal"/>
        <w:jc w:val="center"/>
        <w:rPr>
          <w:lang w:val="ru-RU"/>
        </w:rPr>
      </w:pPr>
    </w:p>
    <w:p w:rsidR="006F4BB8" w:rsidRDefault="006F4BB8" w:rsidP="006F4BB8">
      <w:pPr>
        <w:pStyle w:val="Normal"/>
        <w:jc w:val="center"/>
        <w:rPr>
          <w:lang w:val="ru-RU"/>
        </w:rPr>
      </w:pPr>
    </w:p>
    <w:p w:rsidR="006F4BB8" w:rsidRDefault="006F4BB8" w:rsidP="006F4BB8">
      <w:pPr>
        <w:ind w:right="20"/>
        <w:rPr>
          <w:b/>
          <w:bCs/>
          <w:sz w:val="28"/>
          <w:szCs w:val="28"/>
        </w:rPr>
      </w:pPr>
      <w:r>
        <w:rPr>
          <w:b/>
          <w:bCs/>
          <w:sz w:val="28"/>
          <w:szCs w:val="28"/>
        </w:rPr>
        <w:t xml:space="preserve">           В.о. начальника </w:t>
      </w:r>
    </w:p>
    <w:p w:rsidR="006F4BB8" w:rsidRDefault="006F4BB8" w:rsidP="006F4BB8">
      <w:pPr>
        <w:ind w:right="20"/>
        <w:rPr>
          <w:rStyle w:val="cs7864ebcf1"/>
          <w:sz w:val="28"/>
          <w:szCs w:val="28"/>
        </w:rPr>
      </w:pPr>
      <w:r>
        <w:rPr>
          <w:rStyle w:val="cs7864ebcf1"/>
          <w:sz w:val="28"/>
          <w:szCs w:val="28"/>
        </w:rPr>
        <w:t xml:space="preserve">           Фармацевтичного управління                                                                                                                Олександр ГРІЦЕНКО</w:t>
      </w:r>
    </w:p>
    <w:p w:rsidR="006F4BB8" w:rsidRDefault="006F4BB8" w:rsidP="004E1A23">
      <w:pPr>
        <w:rPr>
          <w:b/>
          <w:sz w:val="28"/>
          <w:szCs w:val="28"/>
          <w:lang w:val="uk-UA"/>
        </w:rPr>
        <w:sectPr w:rsidR="006F4BB8" w:rsidSect="00966399">
          <w:headerReference w:type="even" r:id="rId15"/>
          <w:headerReference w:type="default" r:id="rId16"/>
          <w:pgSz w:w="16838" w:h="11906" w:orient="landscape"/>
          <w:pgMar w:top="709" w:right="850" w:bottom="540" w:left="540" w:header="708" w:footer="708" w:gutter="0"/>
          <w:cols w:space="708"/>
          <w:titlePg/>
          <w:docGrid w:linePitch="360"/>
        </w:sectPr>
      </w:pPr>
    </w:p>
    <w:p w:rsidR="00F53F3B" w:rsidRDefault="00F53F3B" w:rsidP="00F53F3B"/>
    <w:tbl>
      <w:tblPr>
        <w:tblpPr w:leftFromText="180" w:rightFromText="180" w:vertAnchor="text" w:horzAnchor="page" w:tblpX="12546" w:tblpY="-207"/>
        <w:tblW w:w="0" w:type="auto"/>
        <w:tblLook w:val="04A0" w:firstRow="1" w:lastRow="0" w:firstColumn="1" w:lastColumn="0" w:noHBand="0" w:noVBand="1"/>
      </w:tblPr>
      <w:tblGrid>
        <w:gridCol w:w="3827"/>
      </w:tblGrid>
      <w:tr w:rsidR="00F53F3B" w:rsidRPr="00323AA9" w:rsidTr="00966399">
        <w:tc>
          <w:tcPr>
            <w:tcW w:w="3827" w:type="dxa"/>
            <w:hideMark/>
          </w:tcPr>
          <w:p w:rsidR="00F53F3B" w:rsidRDefault="00F53F3B" w:rsidP="00C10647">
            <w:pPr>
              <w:pStyle w:val="4"/>
              <w:tabs>
                <w:tab w:val="left" w:pos="12600"/>
              </w:tabs>
              <w:spacing w:before="0" w:after="0"/>
              <w:jc w:val="both"/>
              <w:rPr>
                <w:b w:val="0"/>
                <w:sz w:val="18"/>
                <w:szCs w:val="18"/>
              </w:rPr>
            </w:pPr>
            <w:r>
              <w:rPr>
                <w:b w:val="0"/>
                <w:sz w:val="18"/>
                <w:szCs w:val="18"/>
              </w:rPr>
              <w:t xml:space="preserve">Додаток 3 </w:t>
            </w:r>
          </w:p>
          <w:p w:rsidR="00F53F3B" w:rsidRPr="00135231" w:rsidRDefault="00F53F3B" w:rsidP="00C10647">
            <w:pPr>
              <w:jc w:val="both"/>
              <w:rPr>
                <w:sz w:val="18"/>
                <w:szCs w:val="18"/>
              </w:rPr>
            </w:pPr>
            <w:r w:rsidRPr="00323AA9">
              <w:rPr>
                <w:sz w:val="18"/>
                <w:szCs w:val="18"/>
              </w:rPr>
              <w:t>до наказу Міністерства охорони здоров’я України «</w:t>
            </w:r>
            <w:r w:rsidRPr="00A43F9C">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r w:rsidRPr="00135231">
              <w:rPr>
                <w:sz w:val="18"/>
                <w:szCs w:val="18"/>
              </w:rPr>
              <w:t>»</w:t>
            </w:r>
          </w:p>
          <w:p w:rsidR="00F53F3B" w:rsidRDefault="00F53F3B" w:rsidP="00C10647">
            <w:pPr>
              <w:jc w:val="both"/>
              <w:rPr>
                <w:rFonts w:cs="Calibri"/>
              </w:rPr>
            </w:pPr>
            <w:r>
              <w:rPr>
                <w:sz w:val="18"/>
                <w:szCs w:val="18"/>
                <w:u w:val="single"/>
              </w:rPr>
              <w:t>від 14 березня 2023 року № 491</w:t>
            </w:r>
          </w:p>
        </w:tc>
      </w:tr>
    </w:tbl>
    <w:p w:rsidR="00F53F3B" w:rsidRDefault="00F53F3B" w:rsidP="00F53F3B">
      <w:pPr>
        <w:pStyle w:val="4"/>
        <w:tabs>
          <w:tab w:val="left" w:pos="12600"/>
        </w:tabs>
        <w:rPr>
          <w:rFonts w:cs="Arial"/>
          <w:sz w:val="18"/>
          <w:szCs w:val="18"/>
        </w:rPr>
      </w:pPr>
      <w:r>
        <w:rPr>
          <w:rFonts w:cs="Arial"/>
          <w:sz w:val="18"/>
          <w:szCs w:val="18"/>
        </w:rPr>
        <w:t xml:space="preserve">                                                                                                                                                                                                       </w:t>
      </w:r>
    </w:p>
    <w:p w:rsidR="00F53F3B" w:rsidRDefault="00F53F3B" w:rsidP="00F53F3B">
      <w:pPr>
        <w:pStyle w:val="4"/>
        <w:tabs>
          <w:tab w:val="left" w:pos="12600"/>
        </w:tabs>
        <w:rPr>
          <w:rFonts w:cs="Arial"/>
          <w:sz w:val="18"/>
          <w:szCs w:val="18"/>
        </w:rPr>
      </w:pPr>
    </w:p>
    <w:p w:rsidR="00F53F3B" w:rsidRDefault="00F53F3B" w:rsidP="00F53F3B">
      <w:pPr>
        <w:pStyle w:val="4"/>
        <w:tabs>
          <w:tab w:val="left" w:pos="12600"/>
        </w:tabs>
        <w:rPr>
          <w:rFonts w:cs="Arial"/>
          <w:sz w:val="18"/>
          <w:szCs w:val="18"/>
        </w:rPr>
      </w:pPr>
    </w:p>
    <w:p w:rsidR="00F53F3B" w:rsidRDefault="00F53F3B" w:rsidP="00F53F3B">
      <w:pPr>
        <w:pStyle w:val="4"/>
        <w:tabs>
          <w:tab w:val="left" w:pos="12600"/>
        </w:tabs>
        <w:rPr>
          <w:rFonts w:cs="Arial"/>
          <w:sz w:val="18"/>
          <w:szCs w:val="18"/>
        </w:rPr>
      </w:pPr>
    </w:p>
    <w:p w:rsidR="00C10647" w:rsidRDefault="00C10647" w:rsidP="00C10647">
      <w:pPr>
        <w:pStyle w:val="2"/>
        <w:tabs>
          <w:tab w:val="left" w:pos="12600"/>
        </w:tabs>
        <w:spacing w:before="0" w:after="0"/>
        <w:jc w:val="center"/>
        <w:rPr>
          <w:rFonts w:ascii="Arial" w:hAnsi="Arial" w:cs="Arial"/>
          <w:i w:val="0"/>
        </w:rPr>
      </w:pPr>
    </w:p>
    <w:p w:rsidR="00F53F3B" w:rsidRPr="00C10647" w:rsidRDefault="00F53F3B" w:rsidP="00C10647">
      <w:pPr>
        <w:pStyle w:val="2"/>
        <w:tabs>
          <w:tab w:val="left" w:pos="12600"/>
        </w:tabs>
        <w:spacing w:before="0" w:after="0"/>
        <w:jc w:val="center"/>
        <w:rPr>
          <w:rFonts w:ascii="Arial" w:hAnsi="Arial" w:cs="Arial"/>
          <w:i w:val="0"/>
          <w:caps/>
        </w:rPr>
      </w:pPr>
      <w:r w:rsidRPr="00C10647">
        <w:rPr>
          <w:rFonts w:ascii="Arial" w:hAnsi="Arial" w:cs="Arial"/>
          <w:i w:val="0"/>
        </w:rPr>
        <w:t>ПЕРЕЛІК</w:t>
      </w:r>
    </w:p>
    <w:p w:rsidR="00F53F3B" w:rsidRPr="00C10647" w:rsidRDefault="00F53F3B" w:rsidP="00C10647">
      <w:pPr>
        <w:pStyle w:val="Normal"/>
        <w:ind w:left="284"/>
        <w:jc w:val="center"/>
        <w:rPr>
          <w:rFonts w:ascii="Arial" w:hAnsi="Arial" w:cs="Arial"/>
          <w:u w:val="single"/>
        </w:rPr>
      </w:pPr>
      <w:r w:rsidRPr="00C10647">
        <w:rPr>
          <w:rFonts w:ascii="Arial" w:hAnsi="Arial" w:cs="Arial"/>
          <w:b/>
          <w:caps/>
          <w:sz w:val="28"/>
          <w:szCs w:val="28"/>
        </w:rPr>
        <w:t xml:space="preserve">ЛІКАРСЬКИХ ЗАСОБІВ (МЕДИЧНИХ ІМУНОБІОЛОГІЧНИХ ПРЕПАРАТІВ), </w:t>
      </w:r>
      <w:r w:rsidRPr="00C10647">
        <w:rPr>
          <w:rFonts w:ascii="Arial" w:hAnsi="Arial" w:cs="Arial"/>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C10647">
        <w:rPr>
          <w:rFonts w:ascii="Arial" w:hAnsi="Arial" w:cs="Arial"/>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F53F3B" w:rsidRPr="00C10647" w:rsidRDefault="00F53F3B" w:rsidP="00C10647">
      <w:pPr>
        <w:pStyle w:val="Normal"/>
        <w:jc w:val="center"/>
        <w:rPr>
          <w:rFonts w:ascii="Arial" w:hAnsi="Arial" w:cs="Arial"/>
        </w:rPr>
      </w:pPr>
    </w:p>
    <w:tbl>
      <w:tblPr>
        <w:tblpPr w:leftFromText="180" w:rightFromText="180" w:vertAnchor="text" w:tblpX="108" w:tblpY="1"/>
        <w:tblOverlap w:val="never"/>
        <w:tblW w:w="15875"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843"/>
        <w:gridCol w:w="1134"/>
        <w:gridCol w:w="851"/>
        <w:gridCol w:w="1133"/>
        <w:gridCol w:w="1134"/>
        <w:gridCol w:w="5245"/>
        <w:gridCol w:w="1134"/>
        <w:gridCol w:w="1416"/>
      </w:tblGrid>
      <w:tr w:rsidR="00F53F3B" w:rsidRPr="0096650D" w:rsidTr="00C10647">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53F3B" w:rsidRDefault="00F53F3B" w:rsidP="00C10647">
            <w:pPr>
              <w:tabs>
                <w:tab w:val="left" w:pos="12600"/>
              </w:tabs>
              <w:ind w:left="-108"/>
              <w:jc w:val="center"/>
              <w:rPr>
                <w:rFonts w:ascii="Arial" w:hAnsi="Arial" w:cs="Arial"/>
                <w:b/>
                <w:i/>
                <w:sz w:val="16"/>
                <w:szCs w:val="16"/>
              </w:rPr>
            </w:pPr>
            <w:r>
              <w:rPr>
                <w:rFonts w:ascii="Arial" w:hAnsi="Arial" w:cs="Arial"/>
                <w:b/>
                <w:i/>
                <w:sz w:val="16"/>
                <w:szCs w:val="16"/>
              </w:rPr>
              <w:t>Заявник</w:t>
            </w:r>
          </w:p>
          <w:p w:rsidR="00F53F3B" w:rsidRPr="00693FB0" w:rsidRDefault="00F53F3B" w:rsidP="00C10647">
            <w:pPr>
              <w:tabs>
                <w:tab w:val="left" w:pos="12600"/>
              </w:tabs>
              <w:ind w:left="-108"/>
              <w:jc w:val="center"/>
              <w:rPr>
                <w:rFonts w:ascii="Arial" w:hAnsi="Arial" w:cs="Arial"/>
                <w:b/>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133"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5245"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F53F3B" w:rsidRPr="00693FB0" w:rsidRDefault="00F53F3B" w:rsidP="00C10647">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F53F3B" w:rsidRPr="0096650D" w:rsidTr="00C10647">
        <w:trPr>
          <w:tblHeader/>
        </w:trPr>
        <w:tc>
          <w:tcPr>
            <w:tcW w:w="567"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F53F3B" w:rsidRPr="00693FB0" w:rsidRDefault="00F53F3B" w:rsidP="00C10647">
            <w:pPr>
              <w:tabs>
                <w:tab w:val="left" w:pos="12600"/>
              </w:tabs>
              <w:jc w:val="center"/>
              <w:rPr>
                <w:rFonts w:ascii="Arial" w:hAnsi="Arial" w:cs="Arial"/>
                <w:sz w:val="16"/>
                <w:szCs w:val="16"/>
              </w:rPr>
            </w:pP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660546" w:rsidRDefault="00F53F3B" w:rsidP="00C10647">
            <w:pPr>
              <w:pStyle w:val="Normal"/>
              <w:tabs>
                <w:tab w:val="left" w:pos="12600"/>
              </w:tabs>
              <w:rPr>
                <w:rFonts w:ascii="Arial" w:hAnsi="Arial" w:cs="Arial"/>
                <w:b/>
                <w:i/>
                <w:color w:val="000000"/>
                <w:sz w:val="16"/>
                <w:szCs w:val="16"/>
              </w:rPr>
            </w:pPr>
            <w:r w:rsidRPr="00660546">
              <w:rPr>
                <w:rFonts w:ascii="Arial" w:hAnsi="Arial" w:cs="Arial"/>
                <w:b/>
                <w:sz w:val="16"/>
                <w:szCs w:val="16"/>
              </w:rPr>
              <w:t>ЛАНРОЗ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rPr>
                <w:rFonts w:ascii="Arial" w:hAnsi="Arial" w:cs="Arial"/>
                <w:color w:val="000000"/>
                <w:sz w:val="16"/>
                <w:szCs w:val="16"/>
                <w:lang w:val="ru-RU"/>
              </w:rPr>
            </w:pPr>
            <w:r w:rsidRPr="00660546">
              <w:rPr>
                <w:rFonts w:ascii="Arial" w:hAnsi="Arial" w:cs="Arial"/>
                <w:color w:val="000000"/>
                <w:sz w:val="16"/>
                <w:szCs w:val="16"/>
                <w:lang w:val="ru-RU"/>
              </w:rPr>
              <w:t>таблетки пролонгованої дії по 25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внесення змін до реєстраційних матеріалів: Зміни стосуються зміни адреси місця проживання діяльності виробника готового лікарського засобу. Зміни до реєстраційних матеріалів згідно з PART 314 Federal Food, Drugs, and Cosmetic Act (ЧАСТИНА 314. Федерального закону про харчові продукти, лікарські засоби та косметичні вироби) не підлягають затвердженню комплементарним органом Сполучених Штатів Америки - для лікарського засобу, що зареєстрований за централізованою процедурою/матеріали про внесення змін надані до Центру є матеріалами, на підставі яких зміни були внесені у реєстраційне досьє регуляторним органом U.S. Food and Drugs Administration (FDA)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b/>
                <w:i/>
                <w:color w:val="000000"/>
                <w:sz w:val="16"/>
                <w:szCs w:val="16"/>
              </w:rPr>
            </w:pPr>
            <w:r w:rsidRPr="0066054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sz w:val="16"/>
                <w:szCs w:val="16"/>
              </w:rPr>
            </w:pPr>
            <w:r w:rsidRPr="00660546">
              <w:rPr>
                <w:rFonts w:ascii="Arial" w:hAnsi="Arial" w:cs="Arial"/>
                <w:sz w:val="16"/>
                <w:szCs w:val="16"/>
              </w:rPr>
              <w:t>UA/18193/01/01</w:t>
            </w: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660546" w:rsidRDefault="00F53F3B" w:rsidP="00C10647">
            <w:pPr>
              <w:pStyle w:val="Normal"/>
              <w:tabs>
                <w:tab w:val="left" w:pos="12600"/>
              </w:tabs>
              <w:rPr>
                <w:rFonts w:ascii="Arial" w:hAnsi="Arial" w:cs="Arial"/>
                <w:b/>
                <w:i/>
                <w:color w:val="000000"/>
                <w:sz w:val="16"/>
                <w:szCs w:val="16"/>
              </w:rPr>
            </w:pPr>
            <w:r w:rsidRPr="00660546">
              <w:rPr>
                <w:rFonts w:ascii="Arial" w:hAnsi="Arial" w:cs="Arial"/>
                <w:b/>
                <w:sz w:val="16"/>
                <w:szCs w:val="16"/>
              </w:rPr>
              <w:t>ЛАНРОЗ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rPr>
                <w:rFonts w:ascii="Arial" w:hAnsi="Arial" w:cs="Arial"/>
                <w:color w:val="000000"/>
                <w:sz w:val="16"/>
                <w:szCs w:val="16"/>
                <w:lang w:val="ru-RU"/>
              </w:rPr>
            </w:pPr>
            <w:r w:rsidRPr="00660546">
              <w:rPr>
                <w:rFonts w:ascii="Arial" w:hAnsi="Arial" w:cs="Arial"/>
                <w:color w:val="000000"/>
                <w:sz w:val="16"/>
                <w:szCs w:val="16"/>
                <w:lang w:val="ru-RU"/>
              </w:rPr>
              <w:t>таблетки пролонгованої дії по 50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внесення змін до реєстраційних матеріалів: Зміни стосуються зміни адреси місця проживання діяльності виробника готового лікарського засобу. Зміни до реєстраційних матеріалів згідно з PART 314 Federal Food, Drugs, and Cosmetic Act (ЧАСТИНА 314. Федерального закону про харчові продукти, лікарські засоби та косметичні вироби) не підлягають затвердженню комплементарним органом Сполучених Штатів Америки - для лікарського засобу, що зареєстрований за централізованою процедурою/матеріали про внесення змін надані до Центру є матеріалами, на підставі яких зміни були внесені у реєстраційне досьє регуляторним органом U.S. Food and Drugs Administration (FDA)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b/>
                <w:i/>
                <w:color w:val="000000"/>
                <w:sz w:val="16"/>
                <w:szCs w:val="16"/>
              </w:rPr>
            </w:pPr>
            <w:r w:rsidRPr="0066054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sz w:val="16"/>
                <w:szCs w:val="16"/>
              </w:rPr>
            </w:pPr>
            <w:r w:rsidRPr="00660546">
              <w:rPr>
                <w:rFonts w:ascii="Arial" w:hAnsi="Arial" w:cs="Arial"/>
                <w:sz w:val="16"/>
                <w:szCs w:val="16"/>
              </w:rPr>
              <w:t>UA/18193/01/02</w:t>
            </w: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660546" w:rsidRDefault="00F53F3B" w:rsidP="00C10647">
            <w:pPr>
              <w:pStyle w:val="Normal"/>
              <w:tabs>
                <w:tab w:val="left" w:pos="12600"/>
              </w:tabs>
              <w:rPr>
                <w:rFonts w:ascii="Arial" w:hAnsi="Arial" w:cs="Arial"/>
                <w:b/>
                <w:i/>
                <w:color w:val="000000"/>
                <w:sz w:val="16"/>
                <w:szCs w:val="16"/>
              </w:rPr>
            </w:pPr>
            <w:r w:rsidRPr="00660546">
              <w:rPr>
                <w:rFonts w:ascii="Arial" w:hAnsi="Arial" w:cs="Arial"/>
                <w:b/>
                <w:sz w:val="16"/>
                <w:szCs w:val="16"/>
              </w:rPr>
              <w:t>ЛАНРОЗ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rPr>
                <w:rFonts w:ascii="Arial" w:hAnsi="Arial" w:cs="Arial"/>
                <w:color w:val="000000"/>
                <w:sz w:val="16"/>
                <w:szCs w:val="16"/>
                <w:lang w:val="ru-RU"/>
              </w:rPr>
            </w:pPr>
            <w:r w:rsidRPr="00660546">
              <w:rPr>
                <w:rFonts w:ascii="Arial" w:hAnsi="Arial" w:cs="Arial"/>
                <w:color w:val="000000"/>
                <w:sz w:val="16"/>
                <w:szCs w:val="16"/>
                <w:lang w:val="ru-RU"/>
              </w:rPr>
              <w:t>таблетки пролонгованої дії по 100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внесення змін до реєстраційних матеріалів: Зміни стосуються зміни адреси місця проживання діяльності виробника готового лікарського засобу. Зміни до реєстраційних матеріалів згідно з PART 314 Federal Food, Drugs, and Cosmetic Act (ЧАСТИНА 314. Федерального закону про харчові продукти, лікарські засоби та косметичні вироби) не підлягають затвердженню комплементарним органом Сполучених Штатів Америки - для лікарського засобу, що зареєстрований за централізованою процедурою/матеріали про внесення змін надані до Центру є матеріалами, на підставі яких зміни були внесені у реєстраційне досьє регуляторним органом U.S. Food and Drugs Administration (FDA)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b/>
                <w:i/>
                <w:color w:val="000000"/>
                <w:sz w:val="16"/>
                <w:szCs w:val="16"/>
              </w:rPr>
            </w:pPr>
            <w:r w:rsidRPr="0066054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sz w:val="16"/>
                <w:szCs w:val="16"/>
              </w:rPr>
            </w:pPr>
            <w:r w:rsidRPr="00660546">
              <w:rPr>
                <w:rFonts w:ascii="Arial" w:hAnsi="Arial" w:cs="Arial"/>
                <w:sz w:val="16"/>
                <w:szCs w:val="16"/>
              </w:rPr>
              <w:t>UA/18193/01/03</w:t>
            </w: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660546" w:rsidRDefault="00F53F3B" w:rsidP="00C10647">
            <w:pPr>
              <w:pStyle w:val="Normal"/>
              <w:tabs>
                <w:tab w:val="left" w:pos="12600"/>
              </w:tabs>
              <w:rPr>
                <w:rFonts w:ascii="Arial" w:hAnsi="Arial" w:cs="Arial"/>
                <w:b/>
                <w:i/>
                <w:color w:val="000000"/>
                <w:sz w:val="16"/>
                <w:szCs w:val="16"/>
              </w:rPr>
            </w:pPr>
            <w:r w:rsidRPr="00660546">
              <w:rPr>
                <w:rFonts w:ascii="Arial" w:hAnsi="Arial" w:cs="Arial"/>
                <w:b/>
                <w:sz w:val="16"/>
                <w:szCs w:val="16"/>
              </w:rPr>
              <w:t>ЛАНРОЗ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rPr>
                <w:rFonts w:ascii="Arial" w:hAnsi="Arial" w:cs="Arial"/>
                <w:color w:val="000000"/>
                <w:sz w:val="16"/>
                <w:szCs w:val="16"/>
                <w:lang w:val="ru-RU"/>
              </w:rPr>
            </w:pPr>
            <w:r w:rsidRPr="00660546">
              <w:rPr>
                <w:rFonts w:ascii="Arial" w:hAnsi="Arial" w:cs="Arial"/>
                <w:color w:val="000000"/>
                <w:sz w:val="16"/>
                <w:szCs w:val="16"/>
                <w:lang w:val="ru-RU"/>
              </w:rPr>
              <w:t>таблетки пролонгованої дії по 200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lang w:val="ru-RU"/>
              </w:rPr>
            </w:pPr>
            <w:r w:rsidRPr="00660546">
              <w:rPr>
                <w:rFonts w:ascii="Arial" w:hAnsi="Arial" w:cs="Arial"/>
                <w:color w:val="000000"/>
                <w:sz w:val="16"/>
                <w:szCs w:val="16"/>
                <w:lang w:val="ru-RU"/>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color w:val="000000"/>
                <w:sz w:val="16"/>
                <w:szCs w:val="16"/>
              </w:rPr>
            </w:pPr>
            <w:r w:rsidRPr="00660546">
              <w:rPr>
                <w:rFonts w:ascii="Arial" w:hAnsi="Arial" w:cs="Arial"/>
                <w:color w:val="000000"/>
                <w:sz w:val="16"/>
                <w:szCs w:val="16"/>
              </w:rPr>
              <w:t>внесення змін до реєстраційних матеріалів: Зміни стосуються зміни адреси місця проживання діяльності виробника готового лікарського засобу. Зміни до реєстраційних матеріалів згідно з PART 314 Federal Food, Drugs, and Cosmetic Act (ЧАСТИНА 314. Федерального закону про харчові продукти, лікарські засоби та косметичні вироби) не підлягають затвердженню комплементарним органом Сполучених Штатів Америки - для лікарського засобу, що зареєстрований за централізованою процедурою/матеріали про внесення змін надані до Центру є матеріалами, на підставі яких зміни були внесені у реєстраційне досьє регуляторним органом U.S. Food and Drugs Administration (FDA)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b/>
                <w:i/>
                <w:color w:val="000000"/>
                <w:sz w:val="16"/>
                <w:szCs w:val="16"/>
              </w:rPr>
            </w:pPr>
            <w:r w:rsidRPr="0066054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660546" w:rsidRDefault="00F53F3B" w:rsidP="00C10647">
            <w:pPr>
              <w:pStyle w:val="Normal"/>
              <w:tabs>
                <w:tab w:val="left" w:pos="12600"/>
              </w:tabs>
              <w:jc w:val="center"/>
              <w:rPr>
                <w:rFonts w:ascii="Arial" w:hAnsi="Arial" w:cs="Arial"/>
                <w:sz w:val="16"/>
                <w:szCs w:val="16"/>
              </w:rPr>
            </w:pPr>
            <w:r w:rsidRPr="00660546">
              <w:rPr>
                <w:rFonts w:ascii="Arial" w:hAnsi="Arial" w:cs="Arial"/>
                <w:sz w:val="16"/>
                <w:szCs w:val="16"/>
              </w:rPr>
              <w:t>UA/18193/01/04</w:t>
            </w: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D76E6D" w:rsidRDefault="00F53F3B" w:rsidP="00C10647">
            <w:pPr>
              <w:pStyle w:val="Normal"/>
              <w:tabs>
                <w:tab w:val="left" w:pos="12600"/>
              </w:tabs>
              <w:rPr>
                <w:rFonts w:ascii="Arial" w:hAnsi="Arial" w:cs="Arial"/>
                <w:b/>
                <w:i/>
                <w:color w:val="000000"/>
                <w:sz w:val="16"/>
                <w:szCs w:val="16"/>
              </w:rPr>
            </w:pPr>
            <w:r w:rsidRPr="00D76E6D">
              <w:rPr>
                <w:rFonts w:ascii="Arial" w:hAnsi="Arial" w:cs="Arial"/>
                <w:b/>
                <w:sz w:val="16"/>
                <w:szCs w:val="16"/>
              </w:rPr>
              <w:t>ТЕРАВАС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rPr>
                <w:rFonts w:ascii="Arial" w:hAnsi="Arial" w:cs="Arial"/>
                <w:color w:val="000000"/>
                <w:sz w:val="16"/>
                <w:szCs w:val="16"/>
                <w:lang w:val="ru-RU"/>
              </w:rPr>
            </w:pPr>
            <w:r w:rsidRPr="00D76E6D">
              <w:rPr>
                <w:rFonts w:ascii="Arial" w:hAnsi="Arial" w:cs="Arial"/>
                <w:color w:val="000000"/>
                <w:sz w:val="16"/>
                <w:szCs w:val="16"/>
                <w:lang w:val="ru-RU"/>
              </w:rPr>
              <w:t>таблетки пролонгованої дії по 250 мг, по 100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lang w:val="ru-RU"/>
              </w:rPr>
            </w:pPr>
            <w:r w:rsidRPr="00D76E6D">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lang w:val="ru-RU"/>
              </w:rPr>
            </w:pPr>
            <w:r w:rsidRPr="00D76E6D">
              <w:rPr>
                <w:rFonts w:ascii="Arial" w:hAnsi="Arial" w:cs="Arial"/>
                <w:color w:val="000000"/>
                <w:sz w:val="16"/>
                <w:szCs w:val="16"/>
                <w:lang w:val="ru-RU"/>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 xml:space="preserve">внесення змін до реєстраційних матеріалів: Інші, I Анп </w:t>
            </w:r>
            <w:r w:rsidRPr="00D76E6D">
              <w:rPr>
                <w:rFonts w:ascii="Arial" w:hAnsi="Arial" w:cs="Arial"/>
                <w:color w:val="000000"/>
                <w:sz w:val="16"/>
                <w:szCs w:val="16"/>
              </w:rPr>
              <w:br/>
              <w:t>А.5.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w:t>
            </w:r>
            <w:r w:rsidRPr="00D76E6D">
              <w:rPr>
                <w:rFonts w:ascii="Arial" w:hAnsi="Arial" w:cs="Arial"/>
                <w:color w:val="000000"/>
                <w:sz w:val="16"/>
                <w:szCs w:val="16"/>
              </w:rPr>
              <w:br/>
              <w:t xml:space="preserve">а) діяльність, за яку відповідає виробник/імпортер, включаючи випуск серій IАнп </w:t>
            </w:r>
            <w:r w:rsidRPr="00D76E6D">
              <w:rPr>
                <w:rFonts w:ascii="Arial" w:hAnsi="Arial" w:cs="Arial"/>
                <w:color w:val="000000"/>
                <w:sz w:val="16"/>
                <w:szCs w:val="16"/>
              </w:rPr>
              <w:br/>
              <w:t>Введення зміни протягом 6-ти місяців після затвердження.</w:t>
            </w:r>
            <w:r w:rsidRPr="00D76E6D">
              <w:rPr>
                <w:rFonts w:ascii="Arial" w:hAnsi="Arial" w:cs="Arial"/>
                <w:color w:val="000000"/>
                <w:sz w:val="16"/>
                <w:szCs w:val="16"/>
              </w:rPr>
              <w:br/>
              <w:t>Заявником заявлено зміну адреси виробника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b/>
                <w:i/>
                <w:color w:val="000000"/>
                <w:sz w:val="16"/>
                <w:szCs w:val="16"/>
              </w:rPr>
            </w:pPr>
            <w:r w:rsidRPr="00D76E6D">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sz w:val="16"/>
                <w:szCs w:val="16"/>
              </w:rPr>
            </w:pPr>
            <w:r w:rsidRPr="00D76E6D">
              <w:rPr>
                <w:rFonts w:ascii="Arial" w:hAnsi="Arial" w:cs="Arial"/>
                <w:sz w:val="16"/>
                <w:szCs w:val="16"/>
              </w:rPr>
              <w:t>UA/18012/01/01</w:t>
            </w:r>
          </w:p>
        </w:tc>
      </w:tr>
      <w:tr w:rsidR="00F53F3B" w:rsidRPr="00695694" w:rsidTr="00C10647">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F53F3B" w:rsidRPr="006F5FC0" w:rsidRDefault="00F53F3B" w:rsidP="00C10647">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F53F3B" w:rsidRPr="00D76E6D" w:rsidRDefault="00F53F3B" w:rsidP="00C10647">
            <w:pPr>
              <w:pStyle w:val="Normal"/>
              <w:tabs>
                <w:tab w:val="left" w:pos="12600"/>
              </w:tabs>
              <w:rPr>
                <w:rFonts w:ascii="Arial" w:hAnsi="Arial" w:cs="Arial"/>
                <w:b/>
                <w:i/>
                <w:color w:val="000000"/>
                <w:sz w:val="16"/>
                <w:szCs w:val="16"/>
              </w:rPr>
            </w:pPr>
            <w:r w:rsidRPr="00D76E6D">
              <w:rPr>
                <w:rFonts w:ascii="Arial" w:hAnsi="Arial" w:cs="Arial"/>
                <w:b/>
                <w:sz w:val="16"/>
                <w:szCs w:val="16"/>
              </w:rPr>
              <w:t>ТЕРАВАС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rPr>
                <w:rFonts w:ascii="Arial" w:hAnsi="Arial" w:cs="Arial"/>
                <w:color w:val="000000"/>
                <w:sz w:val="16"/>
                <w:szCs w:val="16"/>
                <w:lang w:val="ru-RU"/>
              </w:rPr>
            </w:pPr>
            <w:r w:rsidRPr="00D76E6D">
              <w:rPr>
                <w:rFonts w:ascii="Arial" w:hAnsi="Arial" w:cs="Arial"/>
                <w:color w:val="000000"/>
                <w:sz w:val="16"/>
                <w:szCs w:val="16"/>
                <w:lang w:val="ru-RU"/>
              </w:rPr>
              <w:t>таблетки пролонгованої дії по 500 мг, по 100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lang w:val="ru-RU"/>
              </w:rPr>
            </w:pPr>
            <w:r w:rsidRPr="00D76E6D">
              <w:rPr>
                <w:rFonts w:ascii="Arial" w:hAnsi="Arial" w:cs="Arial"/>
                <w:color w:val="000000"/>
                <w:sz w:val="16"/>
                <w:szCs w:val="16"/>
                <w:lang w:val="ru-RU"/>
              </w:rPr>
              <w:t>Д-р Редді'с Лабораторіс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lang w:val="ru-RU"/>
              </w:rPr>
            </w:pPr>
            <w:r w:rsidRPr="00D76E6D">
              <w:rPr>
                <w:rFonts w:ascii="Arial" w:hAnsi="Arial" w:cs="Arial"/>
                <w:color w:val="000000"/>
                <w:sz w:val="16"/>
                <w:szCs w:val="16"/>
                <w:lang w:val="ru-RU"/>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Індія</w:t>
            </w:r>
          </w:p>
        </w:tc>
        <w:tc>
          <w:tcPr>
            <w:tcW w:w="5245"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color w:val="000000"/>
                <w:sz w:val="16"/>
                <w:szCs w:val="16"/>
              </w:rPr>
            </w:pPr>
            <w:r w:rsidRPr="00D76E6D">
              <w:rPr>
                <w:rFonts w:ascii="Arial" w:hAnsi="Arial" w:cs="Arial"/>
                <w:color w:val="000000"/>
                <w:sz w:val="16"/>
                <w:szCs w:val="16"/>
              </w:rPr>
              <w:t xml:space="preserve">внесення змін до реєстраційних матеріалів: Інші, I Анп </w:t>
            </w:r>
            <w:r w:rsidRPr="00D76E6D">
              <w:rPr>
                <w:rFonts w:ascii="Arial" w:hAnsi="Arial" w:cs="Arial"/>
                <w:color w:val="000000"/>
                <w:sz w:val="16"/>
                <w:szCs w:val="16"/>
              </w:rPr>
              <w:br/>
              <w:t>А.5.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w:t>
            </w:r>
            <w:r w:rsidRPr="00D76E6D">
              <w:rPr>
                <w:rFonts w:ascii="Arial" w:hAnsi="Arial" w:cs="Arial"/>
                <w:color w:val="000000"/>
                <w:sz w:val="16"/>
                <w:szCs w:val="16"/>
              </w:rPr>
              <w:br/>
              <w:t xml:space="preserve">а) діяльність, за яку відповідає виробник/імпортер, включаючи випуск серій IАнп </w:t>
            </w:r>
            <w:r w:rsidRPr="00D76E6D">
              <w:rPr>
                <w:rFonts w:ascii="Arial" w:hAnsi="Arial" w:cs="Arial"/>
                <w:color w:val="000000"/>
                <w:sz w:val="16"/>
                <w:szCs w:val="16"/>
              </w:rPr>
              <w:br/>
              <w:t>Введення зміни протягом 6-ти місяців після затвердження.</w:t>
            </w:r>
            <w:r w:rsidRPr="00D76E6D">
              <w:rPr>
                <w:rFonts w:ascii="Arial" w:hAnsi="Arial" w:cs="Arial"/>
                <w:color w:val="000000"/>
                <w:sz w:val="16"/>
                <w:szCs w:val="16"/>
              </w:rPr>
              <w:br/>
              <w:t>Заявником заявлено зміну адреси виробника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b/>
                <w:i/>
                <w:color w:val="000000"/>
                <w:sz w:val="16"/>
                <w:szCs w:val="16"/>
              </w:rPr>
            </w:pPr>
            <w:r w:rsidRPr="00D76E6D">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F53F3B" w:rsidRPr="00D76E6D" w:rsidRDefault="00F53F3B" w:rsidP="00C10647">
            <w:pPr>
              <w:pStyle w:val="Normal"/>
              <w:tabs>
                <w:tab w:val="left" w:pos="12600"/>
              </w:tabs>
              <w:jc w:val="center"/>
              <w:rPr>
                <w:rFonts w:ascii="Arial" w:hAnsi="Arial" w:cs="Arial"/>
                <w:sz w:val="16"/>
                <w:szCs w:val="16"/>
              </w:rPr>
            </w:pPr>
            <w:r w:rsidRPr="00D76E6D">
              <w:rPr>
                <w:rFonts w:ascii="Arial" w:hAnsi="Arial" w:cs="Arial"/>
                <w:sz w:val="16"/>
                <w:szCs w:val="16"/>
              </w:rPr>
              <w:t>UA/18012/01/02</w:t>
            </w:r>
          </w:p>
        </w:tc>
      </w:tr>
    </w:tbl>
    <w:p w:rsidR="00F53F3B" w:rsidRDefault="00F53F3B" w:rsidP="00F53F3B">
      <w:pPr>
        <w:pStyle w:val="Normal"/>
        <w:jc w:val="center"/>
        <w:rPr>
          <w:lang w:val="ru-RU"/>
        </w:rPr>
      </w:pPr>
    </w:p>
    <w:p w:rsidR="00C10647" w:rsidRDefault="00C10647" w:rsidP="00F53F3B">
      <w:pPr>
        <w:pStyle w:val="Normal"/>
        <w:jc w:val="center"/>
        <w:rPr>
          <w:lang w:val="ru-RU"/>
        </w:rPr>
      </w:pPr>
    </w:p>
    <w:p w:rsidR="00F53F3B" w:rsidRDefault="00F53F3B" w:rsidP="00F53F3B">
      <w:pPr>
        <w:ind w:right="20"/>
        <w:rPr>
          <w:b/>
          <w:bCs/>
          <w:sz w:val="28"/>
          <w:szCs w:val="28"/>
        </w:rPr>
      </w:pPr>
      <w:r>
        <w:rPr>
          <w:b/>
          <w:bCs/>
          <w:sz w:val="28"/>
          <w:szCs w:val="28"/>
        </w:rPr>
        <w:t xml:space="preserve">       В.о. начальника </w:t>
      </w:r>
    </w:p>
    <w:p w:rsidR="00F53F3B" w:rsidRDefault="00F53F3B" w:rsidP="00F53F3B">
      <w:pPr>
        <w:ind w:right="20"/>
        <w:rPr>
          <w:rStyle w:val="cs7864ebcf1"/>
          <w:sz w:val="28"/>
          <w:szCs w:val="28"/>
        </w:rPr>
      </w:pPr>
      <w:r>
        <w:rPr>
          <w:rStyle w:val="cs7864ebcf1"/>
          <w:sz w:val="28"/>
          <w:szCs w:val="28"/>
        </w:rPr>
        <w:t xml:space="preserve">       Фармацевтичного управління                                                                                                  Олександр ГРІЦЕНКО</w:t>
      </w:r>
    </w:p>
    <w:p w:rsidR="00D7596D" w:rsidRDefault="00D7596D" w:rsidP="004E1A23">
      <w:pPr>
        <w:rPr>
          <w:b/>
          <w:sz w:val="28"/>
          <w:szCs w:val="28"/>
          <w:lang w:val="uk-UA"/>
        </w:rPr>
      </w:pPr>
    </w:p>
    <w:sectPr w:rsidR="00D7596D" w:rsidSect="00966399">
      <w:headerReference w:type="even" r:id="rId17"/>
      <w:headerReference w:type="default" r:id="rId18"/>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99" w:rsidRDefault="00966399" w:rsidP="00B217C6">
      <w:r>
        <w:separator/>
      </w:r>
    </w:p>
  </w:endnote>
  <w:endnote w:type="continuationSeparator" w:id="0">
    <w:p w:rsidR="00966399" w:rsidRDefault="0096639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99" w:rsidRDefault="00966399" w:rsidP="00B217C6">
      <w:r>
        <w:separator/>
      </w:r>
    </w:p>
  </w:footnote>
  <w:footnote w:type="continuationSeparator" w:id="0">
    <w:p w:rsidR="00966399" w:rsidRDefault="0096639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46684D" w:rsidRPr="0046684D">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6399" w:rsidRDefault="0096639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0647">
      <w:rPr>
        <w:rStyle w:val="a7"/>
        <w:noProof/>
      </w:rPr>
      <w:t>4</w:t>
    </w:r>
    <w:r>
      <w:rPr>
        <w:rStyle w:val="a7"/>
      </w:rPr>
      <w:fldChar w:fldCharType="end"/>
    </w:r>
  </w:p>
  <w:p w:rsidR="00966399" w:rsidRDefault="00966399" w:rsidP="00966399">
    <w:pPr>
      <w:pStyle w:val="a3"/>
      <w:tabs>
        <w:tab w:val="left" w:pos="10920"/>
      </w:tabs>
    </w:pPr>
    <w:r>
      <w:tab/>
      <w:t xml:space="preserve">                                  Продовження додатка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6399" w:rsidRDefault="0096639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0647">
      <w:rPr>
        <w:rStyle w:val="a7"/>
        <w:noProof/>
      </w:rPr>
      <w:t>7</w:t>
    </w:r>
    <w:r>
      <w:rPr>
        <w:rStyle w:val="a7"/>
      </w:rPr>
      <w:fldChar w:fldCharType="end"/>
    </w:r>
  </w:p>
  <w:p w:rsidR="00966399" w:rsidRDefault="00966399" w:rsidP="00966399">
    <w:pPr>
      <w:pStyle w:val="a3"/>
      <w:tabs>
        <w:tab w:val="left" w:pos="8985"/>
      </w:tabs>
    </w:pP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6399" w:rsidRDefault="0096639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99" w:rsidRDefault="00966399" w:rsidP="00966399">
    <w:pPr>
      <w:pStyle w:val="a3"/>
      <w:tabs>
        <w:tab w:val="center" w:pos="7724"/>
        <w:tab w:val="left" w:pos="12708"/>
      </w:tabs>
    </w:pPr>
    <w:r>
      <w:tab/>
    </w:r>
    <w:r>
      <w:tab/>
    </w:r>
    <w:r>
      <w:fldChar w:fldCharType="begin"/>
    </w:r>
    <w:r>
      <w:instrText>PAGE   \* MERGEFORMAT</w:instrText>
    </w:r>
    <w:r>
      <w:fldChar w:fldCharType="separate"/>
    </w:r>
    <w:r w:rsidR="00C10647">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EF42AB"/>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B2E6F4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4384"/>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D165A"/>
    <w:rsid w:val="002D2BF2"/>
    <w:rsid w:val="002D44AB"/>
    <w:rsid w:val="002D4E57"/>
    <w:rsid w:val="002D521C"/>
    <w:rsid w:val="002D7DBA"/>
    <w:rsid w:val="002E45A4"/>
    <w:rsid w:val="002E5404"/>
    <w:rsid w:val="002E58A3"/>
    <w:rsid w:val="002E704A"/>
    <w:rsid w:val="002F0A0A"/>
    <w:rsid w:val="002F0EB9"/>
    <w:rsid w:val="002F1240"/>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84D"/>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3F9B"/>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4BB8"/>
    <w:rsid w:val="006F69F3"/>
    <w:rsid w:val="006F75D2"/>
    <w:rsid w:val="00701649"/>
    <w:rsid w:val="00702CBF"/>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7B3C"/>
    <w:rsid w:val="007D017A"/>
    <w:rsid w:val="007D0F5A"/>
    <w:rsid w:val="007D2E5B"/>
    <w:rsid w:val="007D5964"/>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37286"/>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66399"/>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0090"/>
    <w:rsid w:val="00A7183F"/>
    <w:rsid w:val="00A71EF0"/>
    <w:rsid w:val="00A84B9C"/>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0C1A"/>
    <w:rsid w:val="00AF330A"/>
    <w:rsid w:val="00B05372"/>
    <w:rsid w:val="00B06965"/>
    <w:rsid w:val="00B07E64"/>
    <w:rsid w:val="00B1013D"/>
    <w:rsid w:val="00B13000"/>
    <w:rsid w:val="00B217C6"/>
    <w:rsid w:val="00B23DF2"/>
    <w:rsid w:val="00B27351"/>
    <w:rsid w:val="00B31503"/>
    <w:rsid w:val="00B33924"/>
    <w:rsid w:val="00B35F5F"/>
    <w:rsid w:val="00B3663E"/>
    <w:rsid w:val="00B37AD6"/>
    <w:rsid w:val="00B413C7"/>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0647"/>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5E3A"/>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596D"/>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44C"/>
    <w:rsid w:val="00DC3DA9"/>
    <w:rsid w:val="00DC3DFA"/>
    <w:rsid w:val="00DC4FC1"/>
    <w:rsid w:val="00DC50FA"/>
    <w:rsid w:val="00DC5599"/>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0FAA"/>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AB8"/>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85E20"/>
    <w:rsid w:val="00E9596C"/>
    <w:rsid w:val="00EA4168"/>
    <w:rsid w:val="00EA7160"/>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3F3B"/>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BD2A485-7188-45A4-BA11-0E2C89F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D7596D"/>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D7596D"/>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D7596D"/>
    <w:rPr>
      <w:rFonts w:eastAsia="Times New Roman"/>
      <w:sz w:val="24"/>
      <w:szCs w:val="24"/>
      <w:lang w:val="uk-UA" w:eastAsia="uk-UA"/>
    </w:rPr>
  </w:style>
  <w:style w:type="paragraph" w:customStyle="1" w:styleId="msolistparagraph0">
    <w:name w:val="msolistparagraph"/>
    <w:basedOn w:val="a"/>
    <w:uiPriority w:val="34"/>
    <w:qFormat/>
    <w:rsid w:val="00D7596D"/>
    <w:pPr>
      <w:ind w:left="720"/>
      <w:contextualSpacing/>
    </w:pPr>
    <w:rPr>
      <w:rFonts w:eastAsia="Times New Roman"/>
      <w:sz w:val="24"/>
      <w:szCs w:val="24"/>
      <w:lang w:val="uk-UA" w:eastAsia="uk-UA"/>
    </w:rPr>
  </w:style>
  <w:style w:type="character" w:customStyle="1" w:styleId="cs7864ebcf1">
    <w:name w:val="cs7864ebcf1"/>
    <w:rsid w:val="006F4BB8"/>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36F5-7B3C-4C69-9162-493FE02C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3250</Words>
  <Characters>18526</Characters>
  <Application>Microsoft Office Word</Application>
  <DocSecurity>0</DocSecurity>
  <Lines>154</Lines>
  <Paragraphs>43</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
      <vt:lpstr>МІНІСТЕРСТВО ОХОРОНИ ЗДОРОВ’Я УКРАЇНИ</vt:lpstr>
      <vt:lpstr>        Н А К А З</vt:lpstr>
      <vt:lpstr>    </vt:lpstr>
      <vt:lpstr>    ПЕРЕЛІК</vt:lpstr>
      <vt:lpstr>    ПЕРЕЛІК</vt:lpstr>
      <vt:lpstr>    </vt:lpstr>
      <vt:lpstr>    ПЕРЕЛІК</vt:lpstr>
      <vt:lpstr> </vt:lpstr>
    </vt:vector>
  </TitlesOfParts>
  <Company>Krokoz™</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2023-02-08T10:14:00Z</cp:lastPrinted>
  <dcterms:created xsi:type="dcterms:W3CDTF">2023-03-22T11:16:00Z</dcterms:created>
  <dcterms:modified xsi:type="dcterms:W3CDTF">2023-03-22T11:16:00Z</dcterms:modified>
</cp:coreProperties>
</file>