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A3FE0" w14:textId="346D1694" w:rsidR="00A5697F" w:rsidRPr="00FC0EF7" w:rsidRDefault="00F6523A" w:rsidP="00B241C4">
      <w:pPr>
        <w:pStyle w:val="a3"/>
        <w:rPr>
          <w:b w:val="0"/>
          <w:color w:val="212529"/>
          <w:sz w:val="32"/>
          <w:szCs w:val="32"/>
          <w:lang w:val="en-GB"/>
        </w:rPr>
      </w:pPr>
      <w:bookmarkStart w:id="0" w:name="_GoBack"/>
      <w:bookmarkEnd w:id="0"/>
      <w:r w:rsidRPr="00FC0EF7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2447DDA9" wp14:editId="2294E348">
            <wp:simplePos x="0" y="0"/>
            <wp:positionH relativeFrom="column">
              <wp:posOffset>1215390</wp:posOffset>
            </wp:positionH>
            <wp:positionV relativeFrom="paragraph">
              <wp:posOffset>0</wp:posOffset>
            </wp:positionV>
            <wp:extent cx="3189605" cy="1595120"/>
            <wp:effectExtent l="0" t="0" r="0" b="5080"/>
            <wp:wrapTight wrapText="bothSides">
              <wp:wrapPolygon edited="0">
                <wp:start x="0" y="0"/>
                <wp:lineTo x="0" y="21411"/>
                <wp:lineTo x="21415" y="21411"/>
                <wp:lineTo x="21415" y="0"/>
                <wp:lineTo x="0" y="0"/>
              </wp:wrapPolygon>
            </wp:wrapTight>
            <wp:docPr id="1" name="Рисунок 1" descr="https://www.dec.gov.ua/wp-content/uploads/2024/01/baner-osn-730h380-300x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c.gov.ua/wp-content/uploads/2024/01/baner-osn-730h380-300x1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1B7B4" w14:textId="77777777" w:rsidR="00194A71" w:rsidRPr="00FC0EF7" w:rsidRDefault="00194A71" w:rsidP="00B241C4">
      <w:pPr>
        <w:pStyle w:val="a3"/>
        <w:rPr>
          <w:color w:val="244061" w:themeColor="accent1" w:themeShade="80"/>
          <w:sz w:val="40"/>
          <w:szCs w:val="40"/>
          <w:lang w:val="en-GB"/>
        </w:rPr>
      </w:pPr>
    </w:p>
    <w:p w14:paraId="33072F1D" w14:textId="77777777" w:rsidR="00194A71" w:rsidRPr="00FC0EF7" w:rsidRDefault="00194A71" w:rsidP="00B241C4">
      <w:pPr>
        <w:pStyle w:val="a3"/>
        <w:rPr>
          <w:color w:val="244061" w:themeColor="accent1" w:themeShade="80"/>
          <w:sz w:val="40"/>
          <w:szCs w:val="40"/>
          <w:lang w:val="en-GB"/>
        </w:rPr>
      </w:pPr>
    </w:p>
    <w:p w14:paraId="70E7D5C3" w14:textId="77777777" w:rsidR="00194A71" w:rsidRPr="00FC0EF7" w:rsidRDefault="00194A71" w:rsidP="00B241C4">
      <w:pPr>
        <w:pStyle w:val="a3"/>
        <w:rPr>
          <w:color w:val="244061" w:themeColor="accent1" w:themeShade="80"/>
          <w:sz w:val="40"/>
          <w:szCs w:val="40"/>
          <w:lang w:val="en-GB"/>
        </w:rPr>
      </w:pPr>
    </w:p>
    <w:p w14:paraId="1F6F684B" w14:textId="77777777" w:rsidR="00194A71" w:rsidRPr="00FC0EF7" w:rsidRDefault="00194A71" w:rsidP="00B241C4">
      <w:pPr>
        <w:pStyle w:val="a3"/>
        <w:rPr>
          <w:color w:val="244061" w:themeColor="accent1" w:themeShade="80"/>
          <w:sz w:val="40"/>
          <w:szCs w:val="40"/>
          <w:lang w:val="en-GB"/>
        </w:rPr>
      </w:pPr>
    </w:p>
    <w:p w14:paraId="57739A6A" w14:textId="24C95CBD" w:rsidR="00194A71" w:rsidRPr="00FC0EF7" w:rsidRDefault="00194A71" w:rsidP="00B241C4">
      <w:pPr>
        <w:pStyle w:val="a3"/>
        <w:rPr>
          <w:color w:val="244061" w:themeColor="accent1" w:themeShade="80"/>
          <w:sz w:val="40"/>
          <w:szCs w:val="40"/>
          <w:lang w:val="en-GB"/>
        </w:rPr>
      </w:pPr>
    </w:p>
    <w:p w14:paraId="4F874854" w14:textId="61D8F020" w:rsidR="00F6523A" w:rsidRPr="00FC0EF7" w:rsidRDefault="009146D0" w:rsidP="00CE569C">
      <w:pPr>
        <w:spacing w:line="276" w:lineRule="auto"/>
        <w:jc w:val="center"/>
        <w:rPr>
          <w:b/>
          <w:color w:val="212529"/>
          <w:sz w:val="32"/>
          <w:szCs w:val="32"/>
          <w:lang w:val="en-GB"/>
        </w:rPr>
      </w:pPr>
      <w:r w:rsidRPr="00FC0EF7">
        <w:rPr>
          <w:b/>
          <w:color w:val="212529"/>
          <w:sz w:val="32"/>
          <w:szCs w:val="32"/>
          <w:lang w:val="en-GB"/>
        </w:rPr>
        <w:t>PHARMACEUTICAL FORUM</w:t>
      </w:r>
    </w:p>
    <w:p w14:paraId="398BBAAB" w14:textId="77777777" w:rsidR="00CE569C" w:rsidRDefault="009146D0" w:rsidP="00CE569C">
      <w:pPr>
        <w:pStyle w:val="a3"/>
        <w:rPr>
          <w:color w:val="244061" w:themeColor="accent1" w:themeShade="80"/>
          <w:sz w:val="40"/>
          <w:szCs w:val="40"/>
          <w:lang w:val="en-GB"/>
        </w:rPr>
      </w:pPr>
      <w:r w:rsidRPr="00FC0EF7">
        <w:rPr>
          <w:color w:val="166974"/>
          <w:sz w:val="32"/>
          <w:szCs w:val="32"/>
          <w:lang w:val="en-GB"/>
        </w:rPr>
        <w:t>PHARMA @PATIENT IN FOCUS 2024. PHARMACOVIGILANCE</w:t>
      </w:r>
      <w:r w:rsidR="00CE569C" w:rsidRPr="00CE569C">
        <w:rPr>
          <w:color w:val="244061" w:themeColor="accent1" w:themeShade="80"/>
          <w:sz w:val="40"/>
          <w:szCs w:val="40"/>
          <w:lang w:val="en-GB"/>
        </w:rPr>
        <w:t xml:space="preserve"> </w:t>
      </w:r>
    </w:p>
    <w:p w14:paraId="3467863D" w14:textId="40EC0515" w:rsidR="00CE569C" w:rsidRPr="00FC0EF7" w:rsidRDefault="00CE569C" w:rsidP="00CE569C">
      <w:pPr>
        <w:pStyle w:val="a3"/>
        <w:rPr>
          <w:sz w:val="40"/>
          <w:szCs w:val="40"/>
          <w:lang w:val="en-GB"/>
        </w:rPr>
      </w:pPr>
      <w:r w:rsidRPr="00FC0EF7">
        <w:rPr>
          <w:color w:val="244061" w:themeColor="accent1" w:themeShade="80"/>
          <w:sz w:val="40"/>
          <w:szCs w:val="40"/>
          <w:lang w:val="en-GB"/>
        </w:rPr>
        <w:t>RESOLUTION</w:t>
      </w:r>
    </w:p>
    <w:p w14:paraId="34336A1C" w14:textId="77777777" w:rsidR="00CE569C" w:rsidRDefault="00CE569C" w:rsidP="009146D0">
      <w:pPr>
        <w:pStyle w:val="11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en-GB"/>
        </w:rPr>
      </w:pPr>
    </w:p>
    <w:p w14:paraId="39D5270A" w14:textId="743EB0DF" w:rsidR="003D53FA" w:rsidRPr="00FC0EF7" w:rsidRDefault="002058F6" w:rsidP="009146D0">
      <w:pPr>
        <w:pStyle w:val="11"/>
        <w:shd w:val="clear" w:color="auto" w:fill="auto"/>
        <w:spacing w:before="0" w:line="240" w:lineRule="auto"/>
        <w:ind w:firstLine="567"/>
        <w:jc w:val="both"/>
        <w:rPr>
          <w:color w:val="212529"/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ab/>
      </w:r>
      <w:r w:rsidR="009146D0" w:rsidRPr="00FC0EF7">
        <w:rPr>
          <w:sz w:val="28"/>
          <w:szCs w:val="28"/>
          <w:lang w:val="en-GB"/>
        </w:rPr>
        <w:t xml:space="preserve">The Pharmaceutical </w:t>
      </w:r>
      <w:r w:rsidR="00753B8A">
        <w:rPr>
          <w:sz w:val="28"/>
          <w:szCs w:val="28"/>
          <w:lang w:val="en-GB"/>
        </w:rPr>
        <w:t>f</w:t>
      </w:r>
      <w:r w:rsidR="009146D0" w:rsidRPr="00FC0EF7">
        <w:rPr>
          <w:sz w:val="28"/>
          <w:szCs w:val="28"/>
          <w:lang w:val="en-GB"/>
        </w:rPr>
        <w:t xml:space="preserve">orum </w:t>
      </w:r>
      <w:r w:rsidR="00D51180">
        <w:rPr>
          <w:bCs/>
          <w:sz w:val="28"/>
          <w:szCs w:val="28"/>
          <w:lang w:val="en-GB"/>
        </w:rPr>
        <w:t>PHARM</w:t>
      </w:r>
      <w:r w:rsidR="009146D0" w:rsidRPr="00FC0EF7">
        <w:rPr>
          <w:bCs/>
          <w:sz w:val="28"/>
          <w:szCs w:val="28"/>
          <w:lang w:val="en-GB"/>
        </w:rPr>
        <w:t>@PATIENT IN FOCUS 2024. PHARMACOVIGILANCE</w:t>
      </w:r>
      <w:r w:rsidR="009146D0" w:rsidRPr="00FC0EF7">
        <w:rPr>
          <w:b/>
          <w:bCs/>
          <w:sz w:val="28"/>
          <w:szCs w:val="28"/>
          <w:lang w:val="en-GB"/>
        </w:rPr>
        <w:t xml:space="preserve"> </w:t>
      </w:r>
      <w:r w:rsidR="009146D0" w:rsidRPr="00FC0EF7">
        <w:rPr>
          <w:sz w:val="28"/>
          <w:szCs w:val="28"/>
          <w:lang w:val="en-GB"/>
        </w:rPr>
        <w:t>with international participation</w:t>
      </w:r>
      <w:r w:rsidR="006745B5">
        <w:rPr>
          <w:sz w:val="28"/>
          <w:szCs w:val="28"/>
          <w:lang w:val="en-GB"/>
        </w:rPr>
        <w:t xml:space="preserve"> (Kyiv,</w:t>
      </w:r>
      <w:r w:rsidR="009146D0" w:rsidRPr="00FC0EF7">
        <w:rPr>
          <w:sz w:val="28"/>
          <w:szCs w:val="28"/>
          <w:lang w:val="en-GB"/>
        </w:rPr>
        <w:t xml:space="preserve"> March </w:t>
      </w:r>
      <w:r w:rsidRPr="00FC0EF7">
        <w:rPr>
          <w:sz w:val="28"/>
          <w:szCs w:val="28"/>
          <w:lang w:val="en-GB"/>
        </w:rPr>
        <w:t>07</w:t>
      </w:r>
      <w:r w:rsidR="009146D0" w:rsidRPr="00FC0EF7">
        <w:rPr>
          <w:sz w:val="28"/>
          <w:szCs w:val="28"/>
          <w:lang w:val="en-GB"/>
        </w:rPr>
        <w:t>,</w:t>
      </w:r>
      <w:r w:rsidRPr="00FC0EF7">
        <w:rPr>
          <w:sz w:val="28"/>
          <w:szCs w:val="28"/>
          <w:lang w:val="en-GB"/>
        </w:rPr>
        <w:t xml:space="preserve"> 2024</w:t>
      </w:r>
      <w:r w:rsidR="006745B5">
        <w:rPr>
          <w:sz w:val="28"/>
          <w:szCs w:val="28"/>
          <w:lang w:val="en-GB"/>
        </w:rPr>
        <w:t>)</w:t>
      </w:r>
      <w:r w:rsidR="00CE569C">
        <w:rPr>
          <w:sz w:val="28"/>
          <w:szCs w:val="28"/>
          <w:lang w:val="en-GB"/>
        </w:rPr>
        <w:t>,</w:t>
      </w:r>
      <w:r w:rsidR="00CE569C" w:rsidRPr="00FC0EF7">
        <w:rPr>
          <w:sz w:val="28"/>
          <w:szCs w:val="28"/>
          <w:lang w:val="en-GB"/>
        </w:rPr>
        <w:t xml:space="preserve"> </w:t>
      </w:r>
      <w:r w:rsidR="00CE569C">
        <w:rPr>
          <w:sz w:val="28"/>
          <w:szCs w:val="28"/>
          <w:lang w:val="en-GB"/>
        </w:rPr>
        <w:t>was o</w:t>
      </w:r>
      <w:r w:rsidR="009146D0" w:rsidRPr="00FC0EF7">
        <w:rPr>
          <w:sz w:val="28"/>
          <w:szCs w:val="28"/>
          <w:lang w:val="en-GB"/>
        </w:rPr>
        <w:t>rganize</w:t>
      </w:r>
      <w:r w:rsidR="00CE569C">
        <w:rPr>
          <w:sz w:val="28"/>
          <w:szCs w:val="28"/>
          <w:lang w:val="en-GB"/>
        </w:rPr>
        <w:t>d by</w:t>
      </w:r>
      <w:r w:rsidR="00AB6FFB" w:rsidRPr="00FC0EF7">
        <w:rPr>
          <w:sz w:val="28"/>
          <w:szCs w:val="28"/>
          <w:lang w:val="en-GB"/>
        </w:rPr>
        <w:t xml:space="preserve"> </w:t>
      </w:r>
      <w:r w:rsidR="009146D0" w:rsidRPr="00FC0EF7">
        <w:rPr>
          <w:sz w:val="28"/>
          <w:szCs w:val="28"/>
          <w:lang w:val="en-GB"/>
        </w:rPr>
        <w:t>the State Expert Center of the Ministry of Health of Ukraine</w:t>
      </w:r>
      <w:r w:rsidR="00AB6FFB" w:rsidRPr="00FC0EF7">
        <w:rPr>
          <w:sz w:val="28"/>
          <w:szCs w:val="28"/>
          <w:lang w:val="en-GB"/>
        </w:rPr>
        <w:t xml:space="preserve"> </w:t>
      </w:r>
      <w:r w:rsidR="00030C3F">
        <w:rPr>
          <w:sz w:val="28"/>
          <w:szCs w:val="28"/>
          <w:lang w:val="en-US"/>
        </w:rPr>
        <w:t xml:space="preserve">in cooperation with </w:t>
      </w:r>
      <w:r w:rsidR="009146D0" w:rsidRPr="00FC0EF7">
        <w:rPr>
          <w:color w:val="212529"/>
          <w:sz w:val="28"/>
          <w:szCs w:val="28"/>
          <w:lang w:val="en-GB"/>
        </w:rPr>
        <w:t>UkrComExpo LLC</w:t>
      </w:r>
      <w:r w:rsidR="00030C3F">
        <w:rPr>
          <w:color w:val="212529"/>
          <w:sz w:val="28"/>
          <w:szCs w:val="28"/>
          <w:lang w:val="en-GB"/>
        </w:rPr>
        <w:t>,</w:t>
      </w:r>
      <w:r w:rsidR="009146D0" w:rsidRPr="00FC0EF7">
        <w:rPr>
          <w:color w:val="212529"/>
          <w:sz w:val="28"/>
          <w:szCs w:val="28"/>
          <w:lang w:val="en-GB"/>
        </w:rPr>
        <w:t xml:space="preserve"> with the support of the Ministry of Health of Ukraine</w:t>
      </w:r>
      <w:r w:rsidR="009146D0" w:rsidRPr="00D51180">
        <w:rPr>
          <w:color w:val="212529"/>
          <w:sz w:val="28"/>
          <w:szCs w:val="28"/>
          <w:lang w:val="en-GB"/>
        </w:rPr>
        <w:t xml:space="preserve">, </w:t>
      </w:r>
      <w:r w:rsidR="006745B5" w:rsidRPr="00D51180">
        <w:rPr>
          <w:color w:val="212529"/>
          <w:sz w:val="28"/>
          <w:szCs w:val="28"/>
          <w:lang w:val="en-GB"/>
        </w:rPr>
        <w:t>participation</w:t>
      </w:r>
      <w:r w:rsidR="006745B5">
        <w:rPr>
          <w:color w:val="212529"/>
          <w:sz w:val="28"/>
          <w:szCs w:val="28"/>
          <w:lang w:val="en-GB"/>
        </w:rPr>
        <w:t xml:space="preserve"> of</w:t>
      </w:r>
      <w:r w:rsidR="00CE569C">
        <w:rPr>
          <w:color w:val="212529"/>
          <w:sz w:val="28"/>
          <w:szCs w:val="28"/>
          <w:lang w:val="en-GB"/>
        </w:rPr>
        <w:t xml:space="preserve"> </w:t>
      </w:r>
      <w:r w:rsidR="009146D0" w:rsidRPr="00D51180">
        <w:rPr>
          <w:color w:val="212529"/>
          <w:sz w:val="28"/>
          <w:szCs w:val="28"/>
          <w:lang w:val="en-GB"/>
        </w:rPr>
        <w:t>partners and information support of the PHARMACY Weekly, European Business Association, The</w:t>
      </w:r>
      <w:r w:rsidR="009146D0" w:rsidRPr="00FC0EF7">
        <w:rPr>
          <w:color w:val="212529"/>
          <w:sz w:val="28"/>
          <w:szCs w:val="28"/>
          <w:lang w:val="en-GB"/>
        </w:rPr>
        <w:t xml:space="preserve"> Pharma Media, Pharmaceutical Journal</w:t>
      </w:r>
      <w:r w:rsidR="00AB6FFB" w:rsidRPr="00FC0EF7">
        <w:rPr>
          <w:color w:val="212529"/>
          <w:sz w:val="28"/>
          <w:szCs w:val="28"/>
          <w:lang w:val="en-GB"/>
        </w:rPr>
        <w:t>.</w:t>
      </w:r>
    </w:p>
    <w:p w14:paraId="414776E9" w14:textId="27ECC2A6" w:rsidR="00E049E7" w:rsidRPr="00FC0EF7" w:rsidRDefault="009146D0" w:rsidP="007544A6">
      <w:pPr>
        <w:ind w:firstLine="567"/>
        <w:jc w:val="both"/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 xml:space="preserve">Having created an effective space for dialogue, </w:t>
      </w:r>
      <w:r w:rsidR="009023EF" w:rsidRPr="00FC0EF7">
        <w:rPr>
          <w:sz w:val="28"/>
          <w:szCs w:val="28"/>
          <w:lang w:val="en-GB"/>
        </w:rPr>
        <w:t xml:space="preserve">organizers of </w:t>
      </w:r>
      <w:r w:rsidRPr="00FC0EF7">
        <w:rPr>
          <w:sz w:val="28"/>
          <w:szCs w:val="28"/>
          <w:lang w:val="en-GB"/>
        </w:rPr>
        <w:t>the Forum</w:t>
      </w:r>
      <w:r w:rsidR="00E049E7" w:rsidRPr="00FC0EF7">
        <w:rPr>
          <w:sz w:val="28"/>
          <w:szCs w:val="28"/>
          <w:lang w:val="en-GB"/>
        </w:rPr>
        <w:t xml:space="preserve"> </w:t>
      </w:r>
      <w:r w:rsidR="009023EF" w:rsidRPr="00FC0EF7">
        <w:rPr>
          <w:sz w:val="28"/>
          <w:szCs w:val="28"/>
          <w:lang w:val="en-GB"/>
        </w:rPr>
        <w:t>aimed to emphasize the important role and significance of pharmacovigilance in the</w:t>
      </w:r>
      <w:r w:rsidR="00E508A7">
        <w:rPr>
          <w:sz w:val="28"/>
          <w:szCs w:val="28"/>
          <w:lang w:val="en-GB"/>
        </w:rPr>
        <w:t xml:space="preserve"> healthcare system of Ukraine,</w:t>
      </w:r>
      <w:r w:rsidR="00171554" w:rsidRPr="00FC0EF7">
        <w:rPr>
          <w:sz w:val="28"/>
          <w:szCs w:val="28"/>
          <w:lang w:val="en-GB"/>
        </w:rPr>
        <w:t xml:space="preserve"> draw attention to global safety of medicines, pharm</w:t>
      </w:r>
      <w:r w:rsidR="00E508A7">
        <w:rPr>
          <w:sz w:val="28"/>
          <w:szCs w:val="28"/>
          <w:lang w:val="en-GB"/>
        </w:rPr>
        <w:t>acovigilance in times of war,</w:t>
      </w:r>
      <w:r w:rsidR="00171554" w:rsidRPr="00FC0EF7">
        <w:rPr>
          <w:sz w:val="28"/>
          <w:szCs w:val="28"/>
          <w:lang w:val="en-GB"/>
        </w:rPr>
        <w:t xml:space="preserve"> </w:t>
      </w:r>
      <w:r w:rsidR="006745B5">
        <w:rPr>
          <w:sz w:val="28"/>
          <w:szCs w:val="28"/>
          <w:lang w:val="en-GB"/>
        </w:rPr>
        <w:t>highlight</w:t>
      </w:r>
      <w:r w:rsidR="00171554" w:rsidRPr="00FC0EF7">
        <w:rPr>
          <w:sz w:val="28"/>
          <w:szCs w:val="28"/>
          <w:lang w:val="en-GB"/>
        </w:rPr>
        <w:t xml:space="preserve"> modern aspects, discuss topical issues in the field of pharmacovigilance in Ukraine and further </w:t>
      </w:r>
      <w:r w:rsidR="006745B5">
        <w:rPr>
          <w:sz w:val="28"/>
          <w:szCs w:val="28"/>
          <w:lang w:val="en-GB"/>
        </w:rPr>
        <w:t>harmonisation with</w:t>
      </w:r>
      <w:r w:rsidR="00171554" w:rsidRPr="00E508A7">
        <w:rPr>
          <w:sz w:val="28"/>
          <w:szCs w:val="28"/>
          <w:lang w:val="en-GB"/>
        </w:rPr>
        <w:t xml:space="preserve"> the best </w:t>
      </w:r>
      <w:r w:rsidR="00E508A7" w:rsidRPr="00E508A7">
        <w:rPr>
          <w:sz w:val="28"/>
          <w:szCs w:val="28"/>
          <w:lang w:val="en-GB"/>
        </w:rPr>
        <w:t>European and world standards,</w:t>
      </w:r>
      <w:r w:rsidR="00171554" w:rsidRPr="00E508A7">
        <w:rPr>
          <w:sz w:val="28"/>
          <w:szCs w:val="28"/>
          <w:lang w:val="en-GB"/>
        </w:rPr>
        <w:t xml:space="preserve"> increase international</w:t>
      </w:r>
      <w:r w:rsidR="00171554" w:rsidRPr="00FC0EF7">
        <w:rPr>
          <w:sz w:val="28"/>
          <w:szCs w:val="28"/>
          <w:lang w:val="en-GB"/>
        </w:rPr>
        <w:t xml:space="preserve"> trust</w:t>
      </w:r>
      <w:r w:rsidR="002058F6" w:rsidRPr="00FC0EF7">
        <w:rPr>
          <w:sz w:val="28"/>
          <w:szCs w:val="28"/>
          <w:lang w:val="en-GB"/>
        </w:rPr>
        <w:t>.</w:t>
      </w:r>
    </w:p>
    <w:p w14:paraId="76F0A437" w14:textId="7044BEFE" w:rsidR="00171554" w:rsidRPr="00E508A7" w:rsidRDefault="00171554" w:rsidP="00E508A7">
      <w:pPr>
        <w:pStyle w:val="a5"/>
        <w:ind w:firstLine="567"/>
        <w:rPr>
          <w:szCs w:val="28"/>
          <w:shd w:val="clear" w:color="auto" w:fill="FFFFFF"/>
          <w:lang w:val="en-GB"/>
        </w:rPr>
      </w:pPr>
      <w:r w:rsidRPr="00E508A7">
        <w:rPr>
          <w:szCs w:val="28"/>
          <w:lang w:val="en-GB"/>
        </w:rPr>
        <w:t>The structure of the Forum consisted of themat</w:t>
      </w:r>
      <w:r w:rsidR="006745B5">
        <w:rPr>
          <w:szCs w:val="28"/>
          <w:lang w:val="en-GB"/>
        </w:rPr>
        <w:t>ic sessions, panel discussions</w:t>
      </w:r>
      <w:r w:rsidRPr="00E508A7">
        <w:rPr>
          <w:szCs w:val="28"/>
          <w:lang w:val="en-GB"/>
        </w:rPr>
        <w:t xml:space="preserve"> both offline and online</w:t>
      </w:r>
      <w:r w:rsidR="007E006D" w:rsidRPr="00E508A7">
        <w:rPr>
          <w:szCs w:val="28"/>
          <w:shd w:val="clear" w:color="auto" w:fill="FFFFFF"/>
          <w:lang w:val="en-GB"/>
        </w:rPr>
        <w:t>.</w:t>
      </w:r>
    </w:p>
    <w:p w14:paraId="6AA9DAFC" w14:textId="55DE4486" w:rsidR="00171554" w:rsidRPr="00FC0EF7" w:rsidRDefault="00171554" w:rsidP="007544A6">
      <w:pPr>
        <w:ind w:firstLine="567"/>
        <w:jc w:val="both"/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 xml:space="preserve">A significant support for the Forum was a contribution of international partners, who accepted an invitation and took part in the event. </w:t>
      </w:r>
      <w:r w:rsidR="00E508A7">
        <w:rPr>
          <w:sz w:val="28"/>
          <w:szCs w:val="28"/>
          <w:lang w:val="en-GB"/>
        </w:rPr>
        <w:t>Representatives of the World H</w:t>
      </w:r>
      <w:r w:rsidR="00362E81" w:rsidRPr="00FC0EF7">
        <w:rPr>
          <w:sz w:val="28"/>
          <w:szCs w:val="28"/>
          <w:lang w:val="en-GB"/>
        </w:rPr>
        <w:t xml:space="preserve">ealth Organization (WHO), the </w:t>
      </w:r>
      <w:r w:rsidR="00A10BB7">
        <w:rPr>
          <w:sz w:val="28"/>
          <w:szCs w:val="28"/>
          <w:lang w:val="en-GB"/>
        </w:rPr>
        <w:t>European Medicines Agency (EMA)</w:t>
      </w:r>
      <w:r w:rsidR="00362E81" w:rsidRPr="00FC0EF7">
        <w:rPr>
          <w:sz w:val="28"/>
          <w:szCs w:val="28"/>
          <w:lang w:val="en-GB"/>
        </w:rPr>
        <w:t xml:space="preserve"> </w:t>
      </w:r>
      <w:r w:rsidR="006745B5">
        <w:rPr>
          <w:sz w:val="28"/>
          <w:szCs w:val="28"/>
          <w:lang w:val="en-GB"/>
        </w:rPr>
        <w:t xml:space="preserve">and its safety committee </w:t>
      </w:r>
      <w:r w:rsidR="00A10BB7">
        <w:rPr>
          <w:sz w:val="28"/>
          <w:szCs w:val="28"/>
          <w:lang w:val="en-GB"/>
        </w:rPr>
        <w:t>(PRAC)</w:t>
      </w:r>
      <w:r w:rsidR="00362E81" w:rsidRPr="00FC0EF7">
        <w:rPr>
          <w:sz w:val="28"/>
          <w:szCs w:val="28"/>
          <w:lang w:val="en-GB"/>
        </w:rPr>
        <w:t>, the Uppsala Monitoring Center (UMC), national regulators of Poland and Sweden shared their experience and valuable recommendations.</w:t>
      </w:r>
      <w:r w:rsidRPr="00FC0EF7">
        <w:rPr>
          <w:sz w:val="28"/>
          <w:szCs w:val="28"/>
          <w:lang w:val="en-GB"/>
        </w:rPr>
        <w:t xml:space="preserve"> </w:t>
      </w:r>
    </w:p>
    <w:p w14:paraId="3F276A98" w14:textId="7ADE7319" w:rsidR="00B82D58" w:rsidRPr="00042162" w:rsidRDefault="00362E81" w:rsidP="00E06EBD">
      <w:pPr>
        <w:ind w:firstLine="567"/>
        <w:jc w:val="both"/>
        <w:rPr>
          <w:sz w:val="28"/>
          <w:szCs w:val="28"/>
          <w:lang w:val="en-GB" w:eastAsia="uk-UA"/>
        </w:rPr>
      </w:pPr>
      <w:r w:rsidRPr="00042162">
        <w:rPr>
          <w:sz w:val="28"/>
          <w:szCs w:val="28"/>
          <w:lang w:val="en-GB"/>
        </w:rPr>
        <w:t>The Forum speakers and guests were officials of the Ministry of Health of Ukraine, the State Expert Center of MOH of Ukraine</w:t>
      </w:r>
      <w:r w:rsidR="009240B5" w:rsidRPr="00042162">
        <w:rPr>
          <w:sz w:val="28"/>
          <w:szCs w:val="28"/>
          <w:lang w:val="en-GB"/>
        </w:rPr>
        <w:t xml:space="preserve"> (SECMOH)</w:t>
      </w:r>
      <w:r w:rsidRPr="00042162">
        <w:rPr>
          <w:sz w:val="28"/>
          <w:szCs w:val="28"/>
          <w:lang w:val="en-GB"/>
        </w:rPr>
        <w:t>,</w:t>
      </w:r>
      <w:r w:rsidR="00E508A7" w:rsidRPr="00042162">
        <w:rPr>
          <w:sz w:val="28"/>
          <w:szCs w:val="28"/>
          <w:lang w:val="en-GB"/>
        </w:rPr>
        <w:t xml:space="preserve"> </w:t>
      </w:r>
      <w:r w:rsidRPr="00042162">
        <w:rPr>
          <w:sz w:val="28"/>
          <w:szCs w:val="28"/>
          <w:lang w:val="en-GB" w:eastAsia="uk-UA"/>
        </w:rPr>
        <w:t>the State Service of Ukraine on Medicines and Drugs Control, the Center of Public Health</w:t>
      </w:r>
      <w:r w:rsidR="009240B5" w:rsidRPr="00042162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 xml:space="preserve"> </w:t>
      </w:r>
      <w:r w:rsidR="009240B5" w:rsidRPr="00042162">
        <w:rPr>
          <w:sz w:val="28"/>
          <w:szCs w:val="28"/>
          <w:shd w:val="clear" w:color="auto" w:fill="FFFFFF"/>
          <w:lang w:val="en-US"/>
        </w:rPr>
        <w:t>of the Ministry of Health of Ukraine</w:t>
      </w:r>
      <w:r w:rsidRPr="00042162">
        <w:rPr>
          <w:sz w:val="28"/>
          <w:szCs w:val="28"/>
          <w:lang w:val="en-GB" w:eastAsia="uk-UA"/>
        </w:rPr>
        <w:t xml:space="preserve">, healthcare institutions, pharmaceutical business, as well as the </w:t>
      </w:r>
      <w:r w:rsidR="00E06EBD" w:rsidRPr="00042162">
        <w:rPr>
          <w:sz w:val="28"/>
          <w:szCs w:val="28"/>
          <w:lang w:val="en-US"/>
        </w:rPr>
        <w:t>the</w:t>
      </w:r>
      <w:r w:rsidR="00E06EBD" w:rsidRPr="00042162">
        <w:rPr>
          <w:sz w:val="28"/>
          <w:szCs w:val="28"/>
          <w:lang w:val="uk-UA"/>
        </w:rPr>
        <w:t xml:space="preserve"> </w:t>
      </w:r>
      <w:r w:rsidR="00E06EBD" w:rsidRPr="00042162">
        <w:rPr>
          <w:sz w:val="28"/>
          <w:szCs w:val="28"/>
          <w:lang w:val="en-US"/>
        </w:rPr>
        <w:t>SECMOH</w:t>
      </w:r>
      <w:r w:rsidR="00E06EBD" w:rsidRPr="00042162">
        <w:rPr>
          <w:sz w:val="28"/>
          <w:szCs w:val="28"/>
          <w:lang w:val="uk-UA"/>
        </w:rPr>
        <w:t xml:space="preserve"> </w:t>
      </w:r>
      <w:r w:rsidR="00E06EBD" w:rsidRPr="00042162">
        <w:rPr>
          <w:sz w:val="28"/>
          <w:szCs w:val="28"/>
          <w:lang w:val="en-US"/>
        </w:rPr>
        <w:t>regional</w:t>
      </w:r>
      <w:r w:rsidR="00E06EBD" w:rsidRPr="00042162">
        <w:rPr>
          <w:sz w:val="28"/>
          <w:szCs w:val="28"/>
          <w:lang w:val="uk-UA"/>
        </w:rPr>
        <w:t xml:space="preserve"> </w:t>
      </w:r>
      <w:r w:rsidR="00E06EBD" w:rsidRPr="00042162">
        <w:rPr>
          <w:sz w:val="28"/>
          <w:szCs w:val="28"/>
          <w:lang w:val="en-US"/>
        </w:rPr>
        <w:t>representatives</w:t>
      </w:r>
      <w:r w:rsidR="00E06EBD" w:rsidRPr="00042162">
        <w:rPr>
          <w:sz w:val="28"/>
          <w:szCs w:val="28"/>
          <w:lang w:val="uk-UA"/>
        </w:rPr>
        <w:t xml:space="preserve"> </w:t>
      </w:r>
      <w:r w:rsidR="00E06EBD" w:rsidRPr="00042162">
        <w:rPr>
          <w:sz w:val="28"/>
          <w:szCs w:val="28"/>
          <w:lang w:val="en-US"/>
        </w:rPr>
        <w:t>for</w:t>
      </w:r>
      <w:r w:rsidR="00E06EBD" w:rsidRPr="00042162">
        <w:rPr>
          <w:sz w:val="28"/>
          <w:szCs w:val="28"/>
          <w:lang w:val="uk-UA"/>
        </w:rPr>
        <w:t xml:space="preserve"> </w:t>
      </w:r>
      <w:r w:rsidR="00E06EBD" w:rsidRPr="00042162">
        <w:rPr>
          <w:sz w:val="28"/>
          <w:szCs w:val="28"/>
          <w:lang w:val="en-US"/>
        </w:rPr>
        <w:t>pharmacovigilance</w:t>
      </w:r>
      <w:r w:rsidRPr="00042162">
        <w:rPr>
          <w:sz w:val="28"/>
          <w:szCs w:val="28"/>
          <w:lang w:val="en-GB" w:eastAsia="uk-UA"/>
        </w:rPr>
        <w:t>, educators</w:t>
      </w:r>
      <w:r w:rsidR="00A10BB7" w:rsidRPr="00042162">
        <w:rPr>
          <w:sz w:val="28"/>
          <w:szCs w:val="28"/>
          <w:lang w:val="en-GB" w:eastAsia="uk-UA"/>
        </w:rPr>
        <w:t xml:space="preserve"> and</w:t>
      </w:r>
      <w:r w:rsidRPr="00042162">
        <w:rPr>
          <w:sz w:val="28"/>
          <w:szCs w:val="28"/>
          <w:lang w:val="en-GB" w:eastAsia="uk-UA"/>
        </w:rPr>
        <w:t xml:space="preserve"> scientists</w:t>
      </w:r>
      <w:r w:rsidR="00B82D58" w:rsidRPr="00042162">
        <w:rPr>
          <w:sz w:val="28"/>
          <w:szCs w:val="28"/>
          <w:lang w:val="en-GB" w:eastAsia="uk-UA"/>
        </w:rPr>
        <w:t>.</w:t>
      </w:r>
    </w:p>
    <w:p w14:paraId="394F75DC" w14:textId="38AAED44" w:rsidR="00B82D58" w:rsidRPr="00FC0EF7" w:rsidRDefault="00362E81" w:rsidP="001E5CDE">
      <w:pPr>
        <w:pStyle w:val="a5"/>
        <w:ind w:firstLine="567"/>
        <w:rPr>
          <w:lang w:val="en-GB"/>
        </w:rPr>
      </w:pPr>
      <w:r w:rsidRPr="00042162">
        <w:rPr>
          <w:lang w:val="en-GB"/>
        </w:rPr>
        <w:t xml:space="preserve">The pharmaceutical forum </w:t>
      </w:r>
      <w:r w:rsidR="00FC0EF7" w:rsidRPr="00042162">
        <w:rPr>
          <w:lang w:val="en-GB"/>
        </w:rPr>
        <w:t>PHARMA</w:t>
      </w:r>
      <w:r w:rsidRPr="00042162">
        <w:rPr>
          <w:lang w:val="en-GB"/>
        </w:rPr>
        <w:t>@PATIENT I</w:t>
      </w:r>
      <w:r w:rsidR="00FC0EF7" w:rsidRPr="00042162">
        <w:rPr>
          <w:lang w:val="en-GB"/>
        </w:rPr>
        <w:t>N FOCUS 2024. PHARMACOVIGILANCE</w:t>
      </w:r>
      <w:r w:rsidRPr="00042162">
        <w:rPr>
          <w:lang w:val="en-GB"/>
        </w:rPr>
        <w:t xml:space="preserve"> was attended by more than 200 participants in a </w:t>
      </w:r>
      <w:r w:rsidR="00A10BB7" w:rsidRPr="00042162">
        <w:rPr>
          <w:lang w:val="en-GB"/>
        </w:rPr>
        <w:t>hybrid</w:t>
      </w:r>
      <w:r w:rsidRPr="00042162">
        <w:rPr>
          <w:lang w:val="en-GB"/>
        </w:rPr>
        <w:t xml:space="preserve"> format.</w:t>
      </w:r>
    </w:p>
    <w:p w14:paraId="7E1AB0BC" w14:textId="6DDAF75D" w:rsidR="002114E2" w:rsidRPr="00FC0EF7" w:rsidRDefault="001E5CDE" w:rsidP="007544A6">
      <w:pPr>
        <w:pStyle w:val="af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en-GB"/>
        </w:rPr>
      </w:pPr>
      <w:r w:rsidRPr="00FC0EF7">
        <w:rPr>
          <w:rStyle w:val="af"/>
          <w:sz w:val="28"/>
          <w:szCs w:val="28"/>
          <w:lang w:val="en-GB"/>
        </w:rPr>
        <w:t>The key topics of the Forum were</w:t>
      </w:r>
      <w:r w:rsidR="002114E2" w:rsidRPr="00FC0EF7">
        <w:rPr>
          <w:rStyle w:val="af"/>
          <w:sz w:val="28"/>
          <w:szCs w:val="28"/>
          <w:lang w:val="en-GB"/>
        </w:rPr>
        <w:t>:</w:t>
      </w:r>
    </w:p>
    <w:p w14:paraId="15DBEFAA" w14:textId="5396046C" w:rsidR="002114E2" w:rsidRPr="00FC0EF7" w:rsidRDefault="001E5CDE" w:rsidP="001E5CDE">
      <w:pPr>
        <w:pStyle w:val="af2"/>
        <w:numPr>
          <w:ilvl w:val="0"/>
          <w:numId w:val="19"/>
        </w:numPr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>Global collaboration in pharmacovigilance</w:t>
      </w:r>
      <w:r w:rsidR="000A0457" w:rsidRPr="00FC0EF7">
        <w:rPr>
          <w:sz w:val="28"/>
          <w:szCs w:val="28"/>
          <w:lang w:val="en-GB"/>
        </w:rPr>
        <w:t>;</w:t>
      </w:r>
    </w:p>
    <w:p w14:paraId="318619A3" w14:textId="639AA619" w:rsidR="002114E2" w:rsidRPr="00FC0EF7" w:rsidRDefault="001E5CDE" w:rsidP="001E5CDE">
      <w:pPr>
        <w:numPr>
          <w:ilvl w:val="0"/>
          <w:numId w:val="19"/>
        </w:numPr>
        <w:shd w:val="clear" w:color="auto" w:fill="FFFFFF"/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>Importance of pharmacovigilance in health</w:t>
      </w:r>
      <w:r w:rsidR="00EA116A">
        <w:rPr>
          <w:sz w:val="28"/>
          <w:szCs w:val="28"/>
          <w:lang w:val="en-GB"/>
        </w:rPr>
        <w:t>care</w:t>
      </w:r>
      <w:r w:rsidRPr="00FC0EF7">
        <w:rPr>
          <w:sz w:val="28"/>
          <w:szCs w:val="28"/>
          <w:lang w:val="en-GB"/>
        </w:rPr>
        <w:t xml:space="preserve"> system</w:t>
      </w:r>
      <w:r w:rsidR="000A0457" w:rsidRPr="00FC0EF7">
        <w:rPr>
          <w:sz w:val="28"/>
          <w:szCs w:val="28"/>
          <w:lang w:val="en-GB"/>
        </w:rPr>
        <w:t>;</w:t>
      </w:r>
    </w:p>
    <w:p w14:paraId="009243A2" w14:textId="75E3E783" w:rsidR="002114E2" w:rsidRPr="00FC0EF7" w:rsidRDefault="001E5CDE" w:rsidP="001E5CDE">
      <w:pPr>
        <w:numPr>
          <w:ilvl w:val="0"/>
          <w:numId w:val="19"/>
        </w:numPr>
        <w:shd w:val="clear" w:color="auto" w:fill="FFFFFF"/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lastRenderedPageBreak/>
        <w:t>Human resources for efficient pharmacovigilance system</w:t>
      </w:r>
      <w:r w:rsidR="000A0457" w:rsidRPr="00FC0EF7">
        <w:rPr>
          <w:sz w:val="28"/>
          <w:szCs w:val="28"/>
          <w:lang w:val="en-GB"/>
        </w:rPr>
        <w:t>;</w:t>
      </w:r>
    </w:p>
    <w:p w14:paraId="063940EC" w14:textId="7E322305" w:rsidR="002114E2" w:rsidRPr="00FC0EF7" w:rsidRDefault="001E5CDE" w:rsidP="001E5CDE">
      <w:pPr>
        <w:numPr>
          <w:ilvl w:val="0"/>
          <w:numId w:val="19"/>
        </w:numPr>
        <w:shd w:val="clear" w:color="auto" w:fill="FFFFFF"/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>International experience of pharmacovigilance system,</w:t>
      </w:r>
      <w:r w:rsidR="00A10BB7">
        <w:rPr>
          <w:sz w:val="28"/>
          <w:szCs w:val="28"/>
          <w:lang w:val="en-GB"/>
        </w:rPr>
        <w:t xml:space="preserve"> </w:t>
      </w:r>
      <w:r w:rsidRPr="00FC0EF7">
        <w:rPr>
          <w:sz w:val="28"/>
          <w:szCs w:val="28"/>
          <w:lang w:val="en-GB"/>
        </w:rPr>
        <w:t>WHO database</w:t>
      </w:r>
      <w:r w:rsidR="000A0457" w:rsidRPr="00FC0EF7">
        <w:rPr>
          <w:sz w:val="28"/>
          <w:szCs w:val="28"/>
          <w:lang w:val="en-GB"/>
        </w:rPr>
        <w:t>;</w:t>
      </w:r>
    </w:p>
    <w:p w14:paraId="60E1D1BC" w14:textId="15BDB517" w:rsidR="001E5CDE" w:rsidRPr="00FC0EF7" w:rsidRDefault="001E5CDE" w:rsidP="001E5CDE">
      <w:pPr>
        <w:pStyle w:val="af2"/>
        <w:numPr>
          <w:ilvl w:val="0"/>
          <w:numId w:val="19"/>
        </w:numPr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 xml:space="preserve">Inspection/audit of </w:t>
      </w:r>
      <w:r w:rsidRPr="00042162">
        <w:rPr>
          <w:sz w:val="28"/>
          <w:szCs w:val="28"/>
          <w:lang w:val="en-GB"/>
        </w:rPr>
        <w:t>pharmacovigilance system</w:t>
      </w:r>
      <w:r w:rsidRPr="00FC0EF7">
        <w:rPr>
          <w:sz w:val="28"/>
          <w:szCs w:val="28"/>
          <w:lang w:val="en-GB"/>
        </w:rPr>
        <w:t xml:space="preserve">; </w:t>
      </w:r>
    </w:p>
    <w:p w14:paraId="054FE146" w14:textId="4DCC06CC" w:rsidR="002114E2" w:rsidRPr="00FC0EF7" w:rsidRDefault="001E5CDE" w:rsidP="007544A6">
      <w:pPr>
        <w:numPr>
          <w:ilvl w:val="0"/>
          <w:numId w:val="19"/>
        </w:numPr>
        <w:shd w:val="clear" w:color="auto" w:fill="FFFFFF"/>
        <w:rPr>
          <w:sz w:val="28"/>
          <w:szCs w:val="28"/>
          <w:lang w:val="en-GB"/>
        </w:rPr>
      </w:pPr>
      <w:r w:rsidRPr="00FC0EF7">
        <w:rPr>
          <w:bCs/>
          <w:sz w:val="28"/>
          <w:szCs w:val="28"/>
          <w:lang w:val="en-GB"/>
        </w:rPr>
        <w:t>Pharmacovigilance system in Ukraine in the immediate future</w:t>
      </w:r>
      <w:r w:rsidR="000A0457" w:rsidRPr="00FC0EF7">
        <w:rPr>
          <w:sz w:val="28"/>
          <w:szCs w:val="28"/>
          <w:lang w:val="en-GB"/>
        </w:rPr>
        <w:t>;</w:t>
      </w:r>
    </w:p>
    <w:p w14:paraId="6481E403" w14:textId="21C7AE5C" w:rsidR="002114E2" w:rsidRPr="00FC0EF7" w:rsidRDefault="001E5CDE" w:rsidP="001E5CDE">
      <w:pPr>
        <w:numPr>
          <w:ilvl w:val="0"/>
          <w:numId w:val="23"/>
        </w:numPr>
        <w:shd w:val="clear" w:color="auto" w:fill="FFFFFF"/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 xml:space="preserve">Discussion of the </w:t>
      </w:r>
      <w:r w:rsidR="00042162">
        <w:rPr>
          <w:sz w:val="28"/>
          <w:szCs w:val="28"/>
          <w:lang w:val="en-GB"/>
        </w:rPr>
        <w:t>challenges</w:t>
      </w:r>
      <w:r w:rsidRPr="00FC0EF7">
        <w:rPr>
          <w:sz w:val="28"/>
          <w:szCs w:val="28"/>
          <w:lang w:val="en-GB"/>
        </w:rPr>
        <w:t xml:space="preserve"> of effective pharmacovigilance in Ukraine and Europe</w:t>
      </w:r>
      <w:r w:rsidR="002114E2" w:rsidRPr="00FC0EF7">
        <w:rPr>
          <w:sz w:val="28"/>
          <w:szCs w:val="28"/>
          <w:lang w:val="en-GB"/>
        </w:rPr>
        <w:t>.</w:t>
      </w:r>
    </w:p>
    <w:p w14:paraId="7DB3E828" w14:textId="25E69F72" w:rsidR="00B82D58" w:rsidRPr="00FC0EF7" w:rsidRDefault="0074697B" w:rsidP="007544A6">
      <w:pPr>
        <w:shd w:val="clear" w:color="auto" w:fill="FFFFFF"/>
        <w:ind w:firstLine="567"/>
        <w:jc w:val="both"/>
        <w:rPr>
          <w:color w:val="212529"/>
          <w:sz w:val="28"/>
          <w:szCs w:val="28"/>
          <w:lang w:val="en-GB"/>
        </w:rPr>
      </w:pPr>
      <w:r w:rsidRPr="00FC0EF7">
        <w:rPr>
          <w:color w:val="212529"/>
          <w:sz w:val="28"/>
          <w:szCs w:val="28"/>
          <w:lang w:val="en-GB"/>
        </w:rPr>
        <w:tab/>
      </w:r>
      <w:r w:rsidR="001E5CDE" w:rsidRPr="00FC0EF7">
        <w:rPr>
          <w:color w:val="212529"/>
          <w:sz w:val="28"/>
          <w:szCs w:val="28"/>
          <w:lang w:val="en-GB"/>
        </w:rPr>
        <w:t xml:space="preserve">The Forum participants had the opportunity to receive valuable information from leading industry experts and answers to the most </w:t>
      </w:r>
      <w:r w:rsidR="00042162">
        <w:rPr>
          <w:color w:val="212529"/>
          <w:sz w:val="28"/>
          <w:szCs w:val="28"/>
          <w:lang w:val="en-GB"/>
        </w:rPr>
        <w:t>urgent</w:t>
      </w:r>
      <w:r w:rsidR="001E5CDE" w:rsidRPr="00FC0EF7">
        <w:rPr>
          <w:color w:val="212529"/>
          <w:sz w:val="28"/>
          <w:szCs w:val="28"/>
          <w:lang w:val="en-GB"/>
        </w:rPr>
        <w:t xml:space="preserve"> questions, as well as to join discussions and debates, and exchange views</w:t>
      </w:r>
      <w:r w:rsidR="00B82D58" w:rsidRPr="00FC0EF7">
        <w:rPr>
          <w:color w:val="212529"/>
          <w:sz w:val="28"/>
          <w:szCs w:val="28"/>
          <w:lang w:val="en-GB"/>
        </w:rPr>
        <w:t>.</w:t>
      </w:r>
    </w:p>
    <w:p w14:paraId="4522DDF6" w14:textId="60175EB9" w:rsidR="00FC0EF7" w:rsidRDefault="0074697B" w:rsidP="00FC0EF7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GB"/>
        </w:rPr>
      </w:pPr>
      <w:r w:rsidRPr="00FC0EF7">
        <w:rPr>
          <w:sz w:val="28"/>
          <w:szCs w:val="28"/>
          <w:lang w:val="en-GB"/>
        </w:rPr>
        <w:tab/>
      </w:r>
      <w:r w:rsidR="00011353" w:rsidRPr="00FC0EF7">
        <w:rPr>
          <w:sz w:val="28"/>
          <w:szCs w:val="28"/>
          <w:lang w:val="en-GB"/>
        </w:rPr>
        <w:t xml:space="preserve">During the sessions and panel discussions, the European experience related to </w:t>
      </w:r>
      <w:r w:rsidR="00E508A7" w:rsidRPr="00FC0EF7">
        <w:rPr>
          <w:sz w:val="28"/>
          <w:szCs w:val="28"/>
          <w:lang w:val="en-GB"/>
        </w:rPr>
        <w:t>surveillance</w:t>
      </w:r>
      <w:r w:rsidR="00011353" w:rsidRPr="00FC0EF7">
        <w:rPr>
          <w:sz w:val="28"/>
          <w:szCs w:val="28"/>
          <w:lang w:val="en-GB"/>
        </w:rPr>
        <w:t xml:space="preserve"> of safety of medicinal products was discussed. The participants of the discussions highlighted the importance of</w:t>
      </w:r>
      <w:r w:rsidR="00FE399E">
        <w:rPr>
          <w:sz w:val="28"/>
          <w:szCs w:val="28"/>
          <w:lang w:val="en-GB"/>
        </w:rPr>
        <w:t xml:space="preserve"> timely </w:t>
      </w:r>
      <w:r w:rsidR="00FE399E" w:rsidRPr="00FC0EF7">
        <w:rPr>
          <w:sz w:val="28"/>
          <w:szCs w:val="28"/>
          <w:lang w:val="en-GB"/>
        </w:rPr>
        <w:t xml:space="preserve">reporting quality data </w:t>
      </w:r>
      <w:r w:rsidR="00FE399E">
        <w:rPr>
          <w:sz w:val="28"/>
          <w:szCs w:val="28"/>
          <w:lang w:val="en-GB"/>
        </w:rPr>
        <w:t xml:space="preserve">on </w:t>
      </w:r>
      <w:r w:rsidR="00011353" w:rsidRPr="00FC0EF7">
        <w:rPr>
          <w:sz w:val="28"/>
          <w:szCs w:val="28"/>
          <w:lang w:val="en-GB"/>
        </w:rPr>
        <w:t>adverse reaction</w:t>
      </w:r>
      <w:r w:rsidR="00FE399E">
        <w:rPr>
          <w:sz w:val="28"/>
          <w:szCs w:val="28"/>
          <w:lang w:val="en-GB"/>
        </w:rPr>
        <w:t>s</w:t>
      </w:r>
      <w:r w:rsidR="00011353" w:rsidRPr="00FC0EF7">
        <w:rPr>
          <w:sz w:val="28"/>
          <w:szCs w:val="28"/>
          <w:lang w:val="en-GB"/>
        </w:rPr>
        <w:t xml:space="preserve"> </w:t>
      </w:r>
      <w:r w:rsidR="00FE399E">
        <w:rPr>
          <w:sz w:val="28"/>
          <w:szCs w:val="28"/>
          <w:lang w:val="en-GB"/>
        </w:rPr>
        <w:t xml:space="preserve">and efficacy of medicinal products </w:t>
      </w:r>
      <w:r w:rsidR="00011353" w:rsidRPr="00FC0EF7">
        <w:rPr>
          <w:sz w:val="28"/>
          <w:szCs w:val="28"/>
          <w:lang w:val="en-GB"/>
        </w:rPr>
        <w:t xml:space="preserve">to ensure </w:t>
      </w:r>
      <w:r w:rsidR="00FE399E" w:rsidRPr="00042162">
        <w:rPr>
          <w:sz w:val="28"/>
          <w:szCs w:val="28"/>
          <w:lang w:val="en-US"/>
        </w:rPr>
        <w:t>timely</w:t>
      </w:r>
      <w:r w:rsidR="00FE399E" w:rsidRPr="00FE399E">
        <w:rPr>
          <w:sz w:val="28"/>
          <w:szCs w:val="28"/>
          <w:lang w:val="en-US"/>
        </w:rPr>
        <w:t xml:space="preserve"> </w:t>
      </w:r>
      <w:r w:rsidR="00011353" w:rsidRPr="00FC0EF7">
        <w:rPr>
          <w:sz w:val="28"/>
          <w:szCs w:val="28"/>
          <w:lang w:val="en-GB"/>
        </w:rPr>
        <w:t xml:space="preserve">regulatory decision making and avoid medication errors; pharmacovigilance in special populations; new approaches to inspections/audits; further plans and prospects for the </w:t>
      </w:r>
      <w:r w:rsidR="00903722">
        <w:rPr>
          <w:sz w:val="28"/>
          <w:szCs w:val="28"/>
          <w:lang w:val="en-GB"/>
        </w:rPr>
        <w:t xml:space="preserve">pharmacovigilance </w:t>
      </w:r>
      <w:r w:rsidR="00011353" w:rsidRPr="00FC0EF7">
        <w:rPr>
          <w:sz w:val="28"/>
          <w:szCs w:val="28"/>
          <w:lang w:val="en-GB"/>
        </w:rPr>
        <w:t>development, and many other important issues</w:t>
      </w:r>
      <w:r w:rsidRPr="00FC0EF7">
        <w:rPr>
          <w:sz w:val="28"/>
          <w:szCs w:val="28"/>
          <w:lang w:val="en-GB"/>
        </w:rPr>
        <w:t>.</w:t>
      </w:r>
    </w:p>
    <w:p w14:paraId="2C696158" w14:textId="63C25156" w:rsidR="0074697B" w:rsidRDefault="00753B8A" w:rsidP="00FC0EF7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="00FC0EF7">
        <w:rPr>
          <w:sz w:val="28"/>
          <w:szCs w:val="28"/>
          <w:lang w:val="en-GB"/>
        </w:rPr>
        <w:t xml:space="preserve">he pharmaceutical forum </w:t>
      </w:r>
      <w:r w:rsidR="00011353" w:rsidRPr="00FC0EF7">
        <w:rPr>
          <w:sz w:val="28"/>
          <w:szCs w:val="28"/>
          <w:lang w:val="en-GB"/>
        </w:rPr>
        <w:t>PHARMA @PATIENT I</w:t>
      </w:r>
      <w:r w:rsidR="00FC0EF7">
        <w:rPr>
          <w:sz w:val="28"/>
          <w:szCs w:val="28"/>
          <w:lang w:val="en-GB"/>
        </w:rPr>
        <w:t>N FOCUS 2024. PHARMACOVIGILANCE noted there i</w:t>
      </w:r>
      <w:r w:rsidR="00FC0EF7" w:rsidRPr="00FC0EF7">
        <w:rPr>
          <w:sz w:val="28"/>
          <w:szCs w:val="28"/>
          <w:lang w:val="en-GB"/>
        </w:rPr>
        <w:t>s a need to organize similar events in the future to discuss issues</w:t>
      </w:r>
      <w:r w:rsidR="00F6523A" w:rsidRPr="00FC0EF7">
        <w:rPr>
          <w:sz w:val="28"/>
          <w:szCs w:val="28"/>
          <w:lang w:val="en-GB"/>
        </w:rPr>
        <w:t xml:space="preserve">, </w:t>
      </w:r>
      <w:r w:rsidR="00011353" w:rsidRPr="00FC0EF7">
        <w:rPr>
          <w:sz w:val="28"/>
          <w:szCs w:val="28"/>
          <w:lang w:val="en-GB"/>
        </w:rPr>
        <w:t>particular</w:t>
      </w:r>
      <w:r>
        <w:rPr>
          <w:sz w:val="28"/>
          <w:szCs w:val="28"/>
          <w:lang w:val="en-GB"/>
        </w:rPr>
        <w:t>ly</w:t>
      </w:r>
      <w:r w:rsidR="00011353" w:rsidRPr="00FC0EF7">
        <w:rPr>
          <w:sz w:val="28"/>
          <w:szCs w:val="28"/>
          <w:lang w:val="en-GB"/>
        </w:rPr>
        <w:t xml:space="preserve"> with the involvement of international representatives of the pharmaceutical and medical community, experts of global regulatory </w:t>
      </w:r>
      <w:r w:rsidR="008F5073">
        <w:rPr>
          <w:sz w:val="28"/>
          <w:szCs w:val="28"/>
          <w:lang w:val="en-GB"/>
        </w:rPr>
        <w:t>authorities</w:t>
      </w:r>
      <w:r w:rsidR="00011353" w:rsidRPr="00FC0EF7">
        <w:rPr>
          <w:sz w:val="28"/>
          <w:szCs w:val="28"/>
          <w:lang w:val="en-GB"/>
        </w:rPr>
        <w:t xml:space="preserve">, etc., to exchange experience, best practices, </w:t>
      </w:r>
      <w:r w:rsidR="008F5073">
        <w:rPr>
          <w:sz w:val="28"/>
          <w:szCs w:val="28"/>
          <w:lang w:val="en-GB"/>
        </w:rPr>
        <w:t>in order to organize</w:t>
      </w:r>
      <w:r w:rsidR="00011353" w:rsidRPr="00FC0EF7">
        <w:rPr>
          <w:sz w:val="28"/>
          <w:szCs w:val="28"/>
          <w:lang w:val="en-GB"/>
        </w:rPr>
        <w:t xml:space="preserve"> a joint platform for discussion and </w:t>
      </w:r>
      <w:r w:rsidR="008F5073">
        <w:rPr>
          <w:sz w:val="28"/>
          <w:szCs w:val="28"/>
          <w:lang w:val="en-GB"/>
        </w:rPr>
        <w:t>addressing</w:t>
      </w:r>
      <w:r w:rsidR="00011353" w:rsidRPr="00FC0EF7">
        <w:rPr>
          <w:sz w:val="28"/>
          <w:szCs w:val="28"/>
          <w:lang w:val="en-GB"/>
        </w:rPr>
        <w:t xml:space="preserve"> current </w:t>
      </w:r>
      <w:r>
        <w:rPr>
          <w:sz w:val="28"/>
          <w:szCs w:val="28"/>
          <w:lang w:val="en-GB"/>
        </w:rPr>
        <w:t xml:space="preserve">national regulatory </w:t>
      </w:r>
      <w:r w:rsidR="008F5073">
        <w:rPr>
          <w:sz w:val="28"/>
          <w:szCs w:val="28"/>
          <w:lang w:val="en-GB"/>
        </w:rPr>
        <w:t xml:space="preserve">challenges </w:t>
      </w:r>
      <w:r>
        <w:rPr>
          <w:sz w:val="28"/>
          <w:szCs w:val="28"/>
          <w:lang w:val="en-GB"/>
        </w:rPr>
        <w:t>in</w:t>
      </w:r>
      <w:r w:rsidR="00011353" w:rsidRPr="00FC0EF7">
        <w:rPr>
          <w:sz w:val="28"/>
          <w:szCs w:val="28"/>
          <w:lang w:val="en-GB"/>
        </w:rPr>
        <w:t xml:space="preserve"> </w:t>
      </w:r>
      <w:r w:rsidR="008F5073" w:rsidRPr="00FC0EF7">
        <w:rPr>
          <w:sz w:val="28"/>
          <w:szCs w:val="28"/>
          <w:lang w:val="en-GB"/>
        </w:rPr>
        <w:t>pharmacovigilance</w:t>
      </w:r>
      <w:r w:rsidR="00011353" w:rsidRPr="00FC0EF7">
        <w:rPr>
          <w:sz w:val="28"/>
          <w:szCs w:val="28"/>
          <w:lang w:val="en-GB"/>
        </w:rPr>
        <w:t>.</w:t>
      </w:r>
    </w:p>
    <w:p w14:paraId="30B731A6" w14:textId="635ED588" w:rsidR="00220C99" w:rsidRDefault="00220C99" w:rsidP="00FC0EF7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GB"/>
        </w:rPr>
      </w:pPr>
    </w:p>
    <w:p w14:paraId="486AFA32" w14:textId="6CF7B74A" w:rsidR="00220C99" w:rsidRPr="007E006D" w:rsidRDefault="007F2F64" w:rsidP="00220C99">
      <w:pPr>
        <w:pStyle w:val="a5"/>
        <w:ind w:firstLine="567"/>
        <w:rPr>
          <w:b/>
          <w:szCs w:val="28"/>
          <w:lang w:val="uk-UA"/>
        </w:rPr>
      </w:pPr>
      <w:r>
        <w:rPr>
          <w:b/>
          <w:szCs w:val="28"/>
          <w:lang w:val="en-US"/>
        </w:rPr>
        <w:t xml:space="preserve">Considering the above information </w:t>
      </w:r>
      <w:r w:rsidR="00220C99" w:rsidRPr="00160169">
        <w:rPr>
          <w:b/>
          <w:szCs w:val="28"/>
          <w:lang w:val="en-US"/>
        </w:rPr>
        <w:t>the Forum proposes</w:t>
      </w:r>
      <w:r w:rsidR="00220C99" w:rsidRPr="007E006D">
        <w:rPr>
          <w:b/>
          <w:szCs w:val="28"/>
          <w:lang w:val="uk-UA"/>
        </w:rPr>
        <w:t>:</w:t>
      </w:r>
    </w:p>
    <w:p w14:paraId="4B0D1DB7" w14:textId="1A0F86ED" w:rsidR="00220C99" w:rsidRPr="00160169" w:rsidRDefault="00220C99" w:rsidP="00220C99">
      <w:pPr>
        <w:spacing w:before="240" w:after="16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160169">
        <w:rPr>
          <w:sz w:val="28"/>
          <w:szCs w:val="28"/>
          <w:lang w:val="en-US"/>
        </w:rPr>
        <w:t>To continue establish</w:t>
      </w:r>
      <w:r>
        <w:rPr>
          <w:sz w:val="28"/>
          <w:szCs w:val="28"/>
          <w:lang w:val="en-US"/>
        </w:rPr>
        <w:t>ing</w:t>
      </w:r>
      <w:r w:rsidRPr="00160169">
        <w:rPr>
          <w:sz w:val="28"/>
          <w:szCs w:val="28"/>
          <w:lang w:val="en-US"/>
        </w:rPr>
        <w:t xml:space="preserve"> new contacts and cooperation with regulatory authorities </w:t>
      </w:r>
      <w:r w:rsidR="00843524">
        <w:rPr>
          <w:sz w:val="28"/>
          <w:szCs w:val="28"/>
          <w:lang w:val="en-US"/>
        </w:rPr>
        <w:t>of</w:t>
      </w:r>
      <w:r w:rsidRPr="00160169">
        <w:rPr>
          <w:sz w:val="28"/>
          <w:szCs w:val="28"/>
          <w:lang w:val="en-US"/>
        </w:rPr>
        <w:t xml:space="preserve"> European </w:t>
      </w:r>
      <w:r w:rsidRPr="000F5996">
        <w:rPr>
          <w:sz w:val="28"/>
          <w:szCs w:val="28"/>
          <w:lang w:val="en-US"/>
        </w:rPr>
        <w:t xml:space="preserve">and other countries, </w:t>
      </w:r>
      <w:r>
        <w:rPr>
          <w:sz w:val="28"/>
          <w:szCs w:val="28"/>
          <w:lang w:val="en-US"/>
        </w:rPr>
        <w:t xml:space="preserve">where </w:t>
      </w:r>
      <w:r w:rsidRPr="00160169">
        <w:rPr>
          <w:sz w:val="28"/>
          <w:szCs w:val="28"/>
          <w:lang w:val="en-US"/>
        </w:rPr>
        <w:t xml:space="preserve">high quality standards </w:t>
      </w:r>
      <w:r>
        <w:rPr>
          <w:sz w:val="28"/>
          <w:szCs w:val="28"/>
          <w:lang w:val="en-US"/>
        </w:rPr>
        <w:t>complying with</w:t>
      </w:r>
      <w:r w:rsidRPr="00160169">
        <w:rPr>
          <w:sz w:val="28"/>
          <w:szCs w:val="28"/>
          <w:lang w:val="en-US"/>
        </w:rPr>
        <w:t xml:space="preserve"> the WHO standards a</w:t>
      </w:r>
      <w:r>
        <w:rPr>
          <w:sz w:val="28"/>
          <w:szCs w:val="28"/>
          <w:lang w:val="en-US"/>
        </w:rPr>
        <w:t>re a</w:t>
      </w:r>
      <w:r w:rsidRPr="00160169">
        <w:rPr>
          <w:sz w:val="28"/>
          <w:szCs w:val="28"/>
          <w:lang w:val="en-US"/>
        </w:rPr>
        <w:t>dhere</w:t>
      </w:r>
      <w:r>
        <w:rPr>
          <w:sz w:val="28"/>
          <w:szCs w:val="28"/>
          <w:lang w:val="en-US"/>
        </w:rPr>
        <w:t>d</w:t>
      </w:r>
      <w:r w:rsidR="000F5996">
        <w:rPr>
          <w:sz w:val="28"/>
          <w:szCs w:val="28"/>
          <w:lang w:val="en-US"/>
        </w:rPr>
        <w:t xml:space="preserve"> (SRA/WLA)</w:t>
      </w:r>
      <w:r w:rsidRPr="00543AAD">
        <w:rPr>
          <w:sz w:val="28"/>
          <w:szCs w:val="28"/>
          <w:lang w:val="uk-UA"/>
        </w:rPr>
        <w:t>.</w:t>
      </w:r>
    </w:p>
    <w:p w14:paraId="5139CF3E" w14:textId="77777777" w:rsidR="00220C99" w:rsidRPr="00160169" w:rsidRDefault="00220C99" w:rsidP="00220C99">
      <w:pPr>
        <w:spacing w:before="24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2. </w:t>
      </w:r>
      <w:r w:rsidRPr="00160169">
        <w:rPr>
          <w:sz w:val="28"/>
          <w:szCs w:val="28"/>
          <w:lang w:val="en-US"/>
        </w:rPr>
        <w:t xml:space="preserve">To gain full access to the European database of suspected adverse drug reactions </w:t>
      </w:r>
      <w:r w:rsidRPr="00042162">
        <w:rPr>
          <w:sz w:val="28"/>
          <w:szCs w:val="28"/>
          <w:lang w:val="en-US"/>
        </w:rPr>
        <w:t>reports</w:t>
      </w:r>
      <w:r>
        <w:rPr>
          <w:sz w:val="28"/>
          <w:szCs w:val="28"/>
          <w:lang w:val="en-US"/>
        </w:rPr>
        <w:t xml:space="preserve"> </w:t>
      </w:r>
      <w:r w:rsidRPr="00160169">
        <w:rPr>
          <w:sz w:val="28"/>
          <w:szCs w:val="28"/>
          <w:lang w:val="en-US"/>
        </w:rPr>
        <w:t>to share relevant safety information.</w:t>
      </w:r>
    </w:p>
    <w:p w14:paraId="31D06E97" w14:textId="737EF003" w:rsidR="00220C99" w:rsidRPr="00543AAD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 w:rsidRPr="00160169"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  <w:lang w:val="en-US"/>
        </w:rPr>
        <w:t>T</w:t>
      </w:r>
      <w:r w:rsidRPr="00160169">
        <w:rPr>
          <w:sz w:val="28"/>
          <w:szCs w:val="28"/>
          <w:lang w:val="en-US"/>
        </w:rPr>
        <w:t xml:space="preserve">o recommend </w:t>
      </w:r>
      <w:r>
        <w:rPr>
          <w:sz w:val="28"/>
          <w:szCs w:val="28"/>
          <w:lang w:val="en-US"/>
        </w:rPr>
        <w:t>to consider</w:t>
      </w:r>
      <w:r w:rsidRPr="00160169">
        <w:rPr>
          <w:sz w:val="28"/>
          <w:szCs w:val="28"/>
          <w:lang w:val="en-US"/>
        </w:rPr>
        <w:t xml:space="preserve"> issues discussed at this Forum </w:t>
      </w:r>
      <w:r>
        <w:rPr>
          <w:sz w:val="28"/>
          <w:szCs w:val="28"/>
          <w:lang w:val="en-US"/>
        </w:rPr>
        <w:t>w</w:t>
      </w:r>
      <w:r w:rsidRPr="00160169">
        <w:rPr>
          <w:sz w:val="28"/>
          <w:szCs w:val="28"/>
          <w:lang w:val="en-US"/>
        </w:rPr>
        <w:t xml:space="preserve">hen updating the </w:t>
      </w:r>
      <w:r>
        <w:rPr>
          <w:sz w:val="28"/>
          <w:szCs w:val="28"/>
          <w:lang w:val="en-US"/>
        </w:rPr>
        <w:t>legal</w:t>
      </w:r>
      <w:r w:rsidRPr="00160169">
        <w:rPr>
          <w:sz w:val="28"/>
          <w:szCs w:val="28"/>
          <w:lang w:val="en-US"/>
        </w:rPr>
        <w:t xml:space="preserve"> framework </w:t>
      </w:r>
      <w:r w:rsidR="00AD6EB6">
        <w:rPr>
          <w:sz w:val="28"/>
          <w:szCs w:val="28"/>
          <w:lang w:val="en-US"/>
        </w:rPr>
        <w:t>for</w:t>
      </w:r>
      <w:r w:rsidRPr="00160169">
        <w:rPr>
          <w:sz w:val="28"/>
          <w:szCs w:val="28"/>
          <w:lang w:val="en-US"/>
        </w:rPr>
        <w:t xml:space="preserve"> the pharmacovigilance system in Ukraine in accordance with the provisions of the Law of Ukraine "On Medicin</w:t>
      </w:r>
      <w:r>
        <w:rPr>
          <w:sz w:val="28"/>
          <w:szCs w:val="28"/>
          <w:lang w:val="en-US"/>
        </w:rPr>
        <w:t>al Product</w:t>
      </w:r>
      <w:r w:rsidRPr="00160169">
        <w:rPr>
          <w:sz w:val="28"/>
          <w:szCs w:val="28"/>
          <w:lang w:val="en-US"/>
        </w:rPr>
        <w:t xml:space="preserve">s" of July 28, 2022 No. 2469-IX (as amended) and EU </w:t>
      </w:r>
      <w:r>
        <w:rPr>
          <w:sz w:val="28"/>
          <w:szCs w:val="28"/>
          <w:lang w:val="en-US"/>
        </w:rPr>
        <w:t>legislation</w:t>
      </w:r>
      <w:r w:rsidRPr="00543AAD">
        <w:rPr>
          <w:sz w:val="28"/>
          <w:szCs w:val="28"/>
          <w:lang w:val="uk-UA"/>
        </w:rPr>
        <w:t>.</w:t>
      </w:r>
    </w:p>
    <w:p w14:paraId="242F745E" w14:textId="5E53A887" w:rsidR="00220C99" w:rsidRPr="00AD6EB6" w:rsidRDefault="00220C99" w:rsidP="00220C99">
      <w:pPr>
        <w:spacing w:before="24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4. </w:t>
      </w:r>
      <w:r w:rsidRPr="00822EF4">
        <w:rPr>
          <w:sz w:val="28"/>
          <w:szCs w:val="28"/>
          <w:lang w:val="en-US"/>
        </w:rPr>
        <w:t>Th</w:t>
      </w:r>
      <w:r w:rsidR="00AD6EB6">
        <w:rPr>
          <w:sz w:val="28"/>
          <w:szCs w:val="28"/>
          <w:lang w:val="en-US"/>
        </w:rPr>
        <w:t>at</w:t>
      </w:r>
      <w:r w:rsidRPr="003A5673">
        <w:rPr>
          <w:sz w:val="28"/>
          <w:szCs w:val="28"/>
          <w:lang w:val="uk-UA"/>
        </w:rPr>
        <w:t xml:space="preserve"> </w:t>
      </w:r>
      <w:r w:rsidR="00AD6EB6">
        <w:rPr>
          <w:sz w:val="28"/>
          <w:szCs w:val="28"/>
          <w:lang w:val="en-US"/>
        </w:rPr>
        <w:t xml:space="preserve">the </w:t>
      </w:r>
      <w:r w:rsidRPr="00822EF4">
        <w:rPr>
          <w:sz w:val="28"/>
          <w:szCs w:val="28"/>
          <w:lang w:val="en-US"/>
        </w:rPr>
        <w:t>State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Expert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Center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of</w:t>
      </w:r>
      <w:r w:rsidRPr="003A56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MOH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of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Ukraine</w:t>
      </w:r>
      <w:r w:rsidRPr="003A5673">
        <w:rPr>
          <w:sz w:val="28"/>
          <w:szCs w:val="28"/>
          <w:lang w:val="uk-UA"/>
        </w:rPr>
        <w:t xml:space="preserve"> </w:t>
      </w:r>
      <w:r w:rsidR="00AD6EB6">
        <w:rPr>
          <w:sz w:val="28"/>
          <w:szCs w:val="28"/>
          <w:lang w:val="en-US"/>
        </w:rPr>
        <w:t>should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conduct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a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series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of</w:t>
      </w:r>
      <w:r w:rsidRPr="003A56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workshop</w:t>
      </w:r>
      <w:r w:rsidRPr="00822EF4">
        <w:rPr>
          <w:sz w:val="28"/>
          <w:szCs w:val="28"/>
          <w:lang w:val="en-US"/>
        </w:rPr>
        <w:t>s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for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applicants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and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their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legal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representatives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based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on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results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of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updating</w:t>
      </w:r>
      <w:r w:rsidRPr="003A5673">
        <w:rPr>
          <w:sz w:val="28"/>
          <w:szCs w:val="28"/>
          <w:lang w:val="uk-UA"/>
        </w:rPr>
        <w:t xml:space="preserve"> </w:t>
      </w:r>
      <w:r w:rsidRPr="00822EF4">
        <w:rPr>
          <w:sz w:val="28"/>
          <w:szCs w:val="28"/>
          <w:lang w:val="en-US"/>
        </w:rPr>
        <w:t>the</w:t>
      </w:r>
      <w:r w:rsidRPr="003A5673">
        <w:rPr>
          <w:sz w:val="28"/>
          <w:szCs w:val="28"/>
          <w:lang w:val="uk-UA"/>
        </w:rPr>
        <w:t xml:space="preserve"> </w:t>
      </w:r>
      <w:r w:rsidR="00AD6EB6">
        <w:rPr>
          <w:sz w:val="28"/>
          <w:szCs w:val="28"/>
          <w:lang w:val="en-US"/>
        </w:rPr>
        <w:t>legal</w:t>
      </w:r>
      <w:r w:rsidR="00AD6EB6" w:rsidRPr="003A5673">
        <w:rPr>
          <w:sz w:val="28"/>
          <w:szCs w:val="28"/>
          <w:lang w:val="uk-UA"/>
        </w:rPr>
        <w:t xml:space="preserve"> </w:t>
      </w:r>
      <w:r w:rsidR="00AD6EB6" w:rsidRPr="00822EF4">
        <w:rPr>
          <w:sz w:val="28"/>
          <w:szCs w:val="28"/>
          <w:lang w:val="en-US"/>
        </w:rPr>
        <w:t xml:space="preserve">framework </w:t>
      </w:r>
      <w:r w:rsidR="00AD6EB6">
        <w:rPr>
          <w:sz w:val="28"/>
          <w:szCs w:val="28"/>
          <w:lang w:val="en-US"/>
        </w:rPr>
        <w:t xml:space="preserve">for </w:t>
      </w:r>
      <w:r w:rsidR="00AD6EB6" w:rsidRPr="00822EF4">
        <w:rPr>
          <w:sz w:val="28"/>
          <w:szCs w:val="28"/>
          <w:lang w:val="en-US"/>
        </w:rPr>
        <w:t>pharmacovigilance</w:t>
      </w:r>
      <w:r w:rsidR="00AD6EB6">
        <w:rPr>
          <w:sz w:val="28"/>
          <w:szCs w:val="28"/>
          <w:lang w:val="en-US"/>
        </w:rPr>
        <w:t>.</w:t>
      </w:r>
    </w:p>
    <w:p w14:paraId="4B900800" w14:textId="1D6840C0" w:rsidR="00220C99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A5673">
        <w:rPr>
          <w:sz w:val="28"/>
          <w:szCs w:val="28"/>
          <w:lang w:val="en-US"/>
        </w:rPr>
        <w:t>Th</w:t>
      </w:r>
      <w:r w:rsidR="00AD6EB6">
        <w:rPr>
          <w:sz w:val="28"/>
          <w:szCs w:val="28"/>
          <w:lang w:val="en-US"/>
        </w:rPr>
        <w:t>at the</w:t>
      </w:r>
      <w:r w:rsidRPr="003A5673">
        <w:rPr>
          <w:sz w:val="28"/>
          <w:szCs w:val="28"/>
          <w:lang w:val="en-US"/>
        </w:rPr>
        <w:t xml:space="preserve"> State Expert Center of the Ministry of Health of Ukraine </w:t>
      </w:r>
      <w:r w:rsidR="00AD6EB6">
        <w:rPr>
          <w:sz w:val="28"/>
          <w:szCs w:val="28"/>
          <w:lang w:val="en-US"/>
        </w:rPr>
        <w:t>should</w:t>
      </w:r>
      <w:r w:rsidRPr="003A5673">
        <w:rPr>
          <w:sz w:val="28"/>
          <w:szCs w:val="28"/>
          <w:lang w:val="en-US"/>
        </w:rPr>
        <w:t xml:space="preserve"> focus on cooperation with higher medical and pharmaceutical education institutions and </w:t>
      </w:r>
      <w:r w:rsidR="00D540CA">
        <w:rPr>
          <w:sz w:val="28"/>
          <w:szCs w:val="28"/>
          <w:lang w:val="en-US"/>
        </w:rPr>
        <w:t xml:space="preserve">marketing authorization holders </w:t>
      </w:r>
      <w:r w:rsidRPr="003A5673">
        <w:rPr>
          <w:sz w:val="28"/>
          <w:szCs w:val="28"/>
          <w:lang w:val="en-US"/>
        </w:rPr>
        <w:t xml:space="preserve">to implement </w:t>
      </w:r>
      <w:r>
        <w:rPr>
          <w:sz w:val="28"/>
          <w:szCs w:val="28"/>
          <w:lang w:val="en-US"/>
        </w:rPr>
        <w:t>methodical</w:t>
      </w:r>
      <w:r w:rsidRPr="003A5673">
        <w:rPr>
          <w:sz w:val="28"/>
          <w:szCs w:val="28"/>
          <w:lang w:val="en-US"/>
        </w:rPr>
        <w:t xml:space="preserve"> training for obtaining a state diploma. </w:t>
      </w:r>
      <w:r>
        <w:rPr>
          <w:sz w:val="28"/>
          <w:szCs w:val="28"/>
          <w:lang w:val="en-US"/>
        </w:rPr>
        <w:t>To c</w:t>
      </w:r>
      <w:r w:rsidRPr="003A5673">
        <w:rPr>
          <w:sz w:val="28"/>
          <w:szCs w:val="28"/>
          <w:lang w:val="en-US"/>
        </w:rPr>
        <w:t xml:space="preserve">reate a platform for discussing </w:t>
      </w:r>
      <w:r w:rsidR="00071596">
        <w:rPr>
          <w:sz w:val="28"/>
          <w:szCs w:val="28"/>
          <w:lang w:val="en-US"/>
        </w:rPr>
        <w:t xml:space="preserve">a </w:t>
      </w:r>
      <w:r w:rsidRPr="003A5673">
        <w:rPr>
          <w:sz w:val="28"/>
          <w:szCs w:val="28"/>
          <w:lang w:val="en-US"/>
        </w:rPr>
        <w:t xml:space="preserve">roadmap </w:t>
      </w:r>
      <w:r w:rsidR="00071596">
        <w:rPr>
          <w:sz w:val="28"/>
          <w:szCs w:val="28"/>
          <w:lang w:val="en-US"/>
        </w:rPr>
        <w:t>in order to</w:t>
      </w:r>
      <w:r w:rsidRPr="003A5673">
        <w:rPr>
          <w:sz w:val="28"/>
          <w:szCs w:val="28"/>
          <w:lang w:val="en-US"/>
        </w:rPr>
        <w:t xml:space="preserve"> train and </w:t>
      </w:r>
      <w:r>
        <w:rPr>
          <w:sz w:val="28"/>
          <w:szCs w:val="28"/>
          <w:lang w:val="en-US"/>
        </w:rPr>
        <w:t>develop</w:t>
      </w:r>
      <w:r w:rsidRPr="003A5673">
        <w:rPr>
          <w:sz w:val="28"/>
          <w:szCs w:val="28"/>
          <w:lang w:val="en-US"/>
        </w:rPr>
        <w:t xml:space="preserve"> pharmacovigilance personnel</w:t>
      </w:r>
      <w:r>
        <w:rPr>
          <w:sz w:val="28"/>
          <w:szCs w:val="28"/>
          <w:lang w:val="uk-UA"/>
        </w:rPr>
        <w:t>.</w:t>
      </w:r>
    </w:p>
    <w:p w14:paraId="6F8FB746" w14:textId="77777777" w:rsidR="00220C99" w:rsidRPr="00543AAD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 </w:t>
      </w:r>
      <w:r w:rsidRPr="00D93903">
        <w:rPr>
          <w:sz w:val="28"/>
          <w:szCs w:val="28"/>
          <w:lang w:val="en-US"/>
        </w:rPr>
        <w:t>To pay attention to pharmacovigilance of dietary supplements, medical devices, cosmetics and veterinary products</w:t>
      </w:r>
      <w:r>
        <w:rPr>
          <w:sz w:val="28"/>
          <w:szCs w:val="28"/>
          <w:lang w:val="uk-UA"/>
        </w:rPr>
        <w:t>.</w:t>
      </w:r>
    </w:p>
    <w:p w14:paraId="7776D902" w14:textId="26A76E71" w:rsidR="00220C99" w:rsidRPr="00543AAD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93903">
        <w:rPr>
          <w:sz w:val="28"/>
          <w:szCs w:val="28"/>
          <w:lang w:val="en-US"/>
        </w:rPr>
        <w:t>Th</w:t>
      </w:r>
      <w:r w:rsidR="00EA116A">
        <w:rPr>
          <w:sz w:val="28"/>
          <w:szCs w:val="28"/>
          <w:lang w:val="en-US"/>
        </w:rPr>
        <w:t>at</w:t>
      </w:r>
      <w:r w:rsidRPr="00D93903">
        <w:rPr>
          <w:sz w:val="28"/>
          <w:szCs w:val="28"/>
          <w:lang w:val="uk-UA"/>
        </w:rPr>
        <w:t xml:space="preserve"> </w:t>
      </w:r>
      <w:r w:rsidR="00EA116A">
        <w:rPr>
          <w:sz w:val="28"/>
          <w:szCs w:val="28"/>
          <w:lang w:val="en-US"/>
        </w:rPr>
        <w:t xml:space="preserve">the </w:t>
      </w:r>
      <w:r w:rsidRPr="00D93903">
        <w:rPr>
          <w:sz w:val="28"/>
          <w:szCs w:val="28"/>
          <w:lang w:val="en-US"/>
        </w:rPr>
        <w:t>State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Expert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Center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of</w:t>
      </w:r>
      <w:r w:rsidRPr="00D93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MOH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of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Ukraine</w:t>
      </w:r>
      <w:r w:rsidRPr="00D93903">
        <w:rPr>
          <w:sz w:val="28"/>
          <w:szCs w:val="28"/>
          <w:lang w:val="uk-UA"/>
        </w:rPr>
        <w:t xml:space="preserve"> </w:t>
      </w:r>
      <w:r w:rsidR="00EA116A">
        <w:rPr>
          <w:sz w:val="28"/>
          <w:szCs w:val="28"/>
          <w:lang w:val="en-US"/>
        </w:rPr>
        <w:t>should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continue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the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training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activities</w:t>
      </w:r>
      <w:r w:rsidRPr="00D93903">
        <w:rPr>
          <w:sz w:val="28"/>
          <w:szCs w:val="28"/>
          <w:lang w:val="uk-UA"/>
        </w:rPr>
        <w:t xml:space="preserve"> </w:t>
      </w:r>
      <w:r w:rsidR="00EA116A">
        <w:rPr>
          <w:sz w:val="28"/>
          <w:szCs w:val="28"/>
          <w:lang w:val="en-US"/>
        </w:rPr>
        <w:t>in the form of</w:t>
      </w:r>
      <w:r>
        <w:rPr>
          <w:sz w:val="28"/>
          <w:szCs w:val="28"/>
          <w:lang w:val="en-US"/>
        </w:rPr>
        <w:t xml:space="preserve"> </w:t>
      </w:r>
      <w:r w:rsidRPr="00D93903">
        <w:rPr>
          <w:sz w:val="28"/>
          <w:szCs w:val="28"/>
          <w:lang w:val="en-US"/>
        </w:rPr>
        <w:t>workshops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for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applicants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and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their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legal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representatives</w:t>
      </w:r>
      <w:r w:rsidRPr="00D93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on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certain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issues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of</w:t>
      </w:r>
      <w:r w:rsidRPr="00D93903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pharmacovigilance</w:t>
      </w:r>
      <w:r w:rsidR="00EA116A">
        <w:rPr>
          <w:sz w:val="28"/>
          <w:szCs w:val="28"/>
          <w:lang w:val="en-US"/>
        </w:rPr>
        <w:t>, which were</w:t>
      </w:r>
      <w:r w:rsidR="00EA116A" w:rsidRPr="00EA116A">
        <w:rPr>
          <w:sz w:val="28"/>
          <w:szCs w:val="28"/>
          <w:lang w:val="en-US"/>
        </w:rPr>
        <w:t xml:space="preserve"> </w:t>
      </w:r>
      <w:r w:rsidR="00EA116A" w:rsidRPr="00D93903">
        <w:rPr>
          <w:sz w:val="28"/>
          <w:szCs w:val="28"/>
          <w:lang w:val="en-US"/>
        </w:rPr>
        <w:t>launched</w:t>
      </w:r>
      <w:r w:rsidR="00EA116A" w:rsidRPr="00D93903">
        <w:rPr>
          <w:sz w:val="28"/>
          <w:szCs w:val="28"/>
          <w:lang w:val="uk-UA"/>
        </w:rPr>
        <w:t xml:space="preserve"> </w:t>
      </w:r>
      <w:r w:rsidR="00EA116A" w:rsidRPr="00D93903">
        <w:rPr>
          <w:sz w:val="28"/>
          <w:szCs w:val="28"/>
          <w:lang w:val="en-US"/>
        </w:rPr>
        <w:t>in</w:t>
      </w:r>
      <w:r w:rsidR="00EA116A" w:rsidRPr="00D93903">
        <w:rPr>
          <w:sz w:val="28"/>
          <w:szCs w:val="28"/>
          <w:lang w:val="uk-UA"/>
        </w:rPr>
        <w:t xml:space="preserve"> 2023</w:t>
      </w:r>
      <w:r w:rsidRPr="00543AAD">
        <w:rPr>
          <w:sz w:val="28"/>
          <w:szCs w:val="28"/>
          <w:lang w:val="uk-UA"/>
        </w:rPr>
        <w:t>.</w:t>
      </w:r>
    </w:p>
    <w:p w14:paraId="2570272D" w14:textId="08A01406" w:rsidR="00220C99" w:rsidRPr="00543AAD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EA116A">
        <w:rPr>
          <w:sz w:val="28"/>
          <w:szCs w:val="28"/>
          <w:lang w:val="en-US"/>
        </w:rPr>
        <w:t>That</w:t>
      </w:r>
      <w:r w:rsidRPr="00D93903">
        <w:rPr>
          <w:sz w:val="28"/>
          <w:szCs w:val="28"/>
          <w:lang w:val="en-US"/>
        </w:rPr>
        <w:t xml:space="preserve"> </w:t>
      </w:r>
      <w:r w:rsidR="00EA116A">
        <w:rPr>
          <w:sz w:val="28"/>
          <w:szCs w:val="28"/>
          <w:lang w:val="en-US"/>
        </w:rPr>
        <w:t xml:space="preserve">the </w:t>
      </w:r>
      <w:r w:rsidRPr="00D93903">
        <w:rPr>
          <w:sz w:val="28"/>
          <w:szCs w:val="28"/>
          <w:lang w:val="en-US"/>
        </w:rPr>
        <w:t xml:space="preserve">State Expert Center of MOH of Ukraine </w:t>
      </w:r>
      <w:r w:rsidR="00EA116A">
        <w:rPr>
          <w:sz w:val="28"/>
          <w:szCs w:val="28"/>
          <w:lang w:val="en-US"/>
        </w:rPr>
        <w:t>should</w:t>
      </w:r>
      <w:r w:rsidRPr="00D93903">
        <w:rPr>
          <w:sz w:val="28"/>
          <w:szCs w:val="28"/>
          <w:lang w:val="en-US"/>
        </w:rPr>
        <w:t xml:space="preserve"> carry out advisory, methodological and educational activities on the applicants’ pharmacovigilance system organization and its quality system, pharmacovigilance audit</w:t>
      </w:r>
      <w:r w:rsidRPr="00543AAD">
        <w:rPr>
          <w:sz w:val="28"/>
          <w:szCs w:val="28"/>
          <w:lang w:val="uk-UA"/>
        </w:rPr>
        <w:t>.</w:t>
      </w:r>
    </w:p>
    <w:p w14:paraId="5A9BB027" w14:textId="1E0E4CC4" w:rsidR="00220C99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D93903">
        <w:rPr>
          <w:sz w:val="28"/>
          <w:szCs w:val="28"/>
          <w:lang w:val="en-US"/>
        </w:rPr>
        <w:t>Th</w:t>
      </w:r>
      <w:r w:rsidR="00EA116A">
        <w:rPr>
          <w:sz w:val="28"/>
          <w:szCs w:val="28"/>
          <w:lang w:val="en-US"/>
        </w:rPr>
        <w:t>at</w:t>
      </w:r>
      <w:r w:rsidRPr="003F3E07">
        <w:rPr>
          <w:sz w:val="28"/>
          <w:szCs w:val="28"/>
          <w:lang w:val="uk-UA"/>
        </w:rPr>
        <w:t xml:space="preserve"> </w:t>
      </w:r>
      <w:r w:rsidR="00EA116A">
        <w:rPr>
          <w:sz w:val="28"/>
          <w:szCs w:val="28"/>
          <w:lang w:val="en-US"/>
        </w:rPr>
        <w:t xml:space="preserve">the </w:t>
      </w:r>
      <w:r w:rsidRPr="00D93903">
        <w:rPr>
          <w:sz w:val="28"/>
          <w:szCs w:val="28"/>
          <w:lang w:val="en-US"/>
        </w:rPr>
        <w:t>State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Expert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Center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of</w:t>
      </w:r>
      <w:r w:rsidRPr="003F3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MOH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of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Ukraine</w:t>
      </w:r>
      <w:r w:rsidRPr="003F3E07">
        <w:rPr>
          <w:sz w:val="28"/>
          <w:szCs w:val="28"/>
          <w:lang w:val="uk-UA"/>
        </w:rPr>
        <w:t xml:space="preserve"> </w:t>
      </w:r>
      <w:r w:rsidR="00EA116A">
        <w:rPr>
          <w:sz w:val="28"/>
          <w:szCs w:val="28"/>
          <w:lang w:val="en-US"/>
        </w:rPr>
        <w:t>should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strengthen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measures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for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reporting</w:t>
      </w:r>
      <w:r w:rsidRPr="003F3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ADR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and</w:t>
      </w:r>
      <w:r w:rsidRPr="003F3E07">
        <w:rPr>
          <w:sz w:val="28"/>
          <w:szCs w:val="28"/>
          <w:lang w:val="uk-UA"/>
        </w:rPr>
        <w:t>/</w:t>
      </w:r>
      <w:r w:rsidRPr="00D93903">
        <w:rPr>
          <w:sz w:val="28"/>
          <w:szCs w:val="28"/>
          <w:lang w:val="en-US"/>
        </w:rPr>
        <w:t>or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lack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of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efficacy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of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medicines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and</w:t>
      </w:r>
      <w:r w:rsidRPr="003F3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AEFI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in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the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healthcare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system</w:t>
      </w:r>
      <w:r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involv</w:t>
      </w:r>
      <w:r>
        <w:rPr>
          <w:sz w:val="28"/>
          <w:szCs w:val="28"/>
          <w:lang w:val="en-US"/>
        </w:rPr>
        <w:t>ing the</w:t>
      </w:r>
      <w:r w:rsidRPr="003F3E07">
        <w:rPr>
          <w:sz w:val="28"/>
          <w:szCs w:val="28"/>
          <w:lang w:val="uk-UA"/>
        </w:rPr>
        <w:t xml:space="preserve"> </w:t>
      </w:r>
      <w:r w:rsidR="00EA116A">
        <w:rPr>
          <w:sz w:val="28"/>
          <w:szCs w:val="28"/>
          <w:lang w:val="en-US"/>
        </w:rPr>
        <w:t>SECMOH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regional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representatives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for</w:t>
      </w:r>
      <w:r w:rsidRPr="003F3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</w:t>
      </w:r>
      <w:r w:rsidRPr="00D93903">
        <w:rPr>
          <w:sz w:val="28"/>
          <w:szCs w:val="28"/>
          <w:lang w:val="en-US"/>
        </w:rPr>
        <w:t>harmacovigilance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in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administrative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and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territorial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units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of</w:t>
      </w:r>
      <w:r w:rsidRPr="003F3E07">
        <w:rPr>
          <w:sz w:val="28"/>
          <w:szCs w:val="28"/>
          <w:lang w:val="uk-UA"/>
        </w:rPr>
        <w:t xml:space="preserve"> </w:t>
      </w:r>
      <w:r w:rsidRPr="00D93903">
        <w:rPr>
          <w:sz w:val="28"/>
          <w:szCs w:val="28"/>
          <w:lang w:val="en-US"/>
        </w:rPr>
        <w:t>Ukraine</w:t>
      </w:r>
      <w:r w:rsidRPr="00543AAD">
        <w:rPr>
          <w:sz w:val="28"/>
          <w:szCs w:val="28"/>
          <w:lang w:val="uk-UA"/>
        </w:rPr>
        <w:t>.</w:t>
      </w:r>
    </w:p>
    <w:p w14:paraId="21C1BAF6" w14:textId="5FF750D5" w:rsidR="00220C99" w:rsidRPr="00046798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3F3E07">
        <w:rPr>
          <w:sz w:val="28"/>
          <w:szCs w:val="28"/>
          <w:lang w:val="en-US"/>
        </w:rPr>
        <w:t>In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coordination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with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the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State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Expert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Center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of</w:t>
      </w:r>
      <w:r w:rsidRPr="003F3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MOH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of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Ukraine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to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involve</w:t>
      </w:r>
      <w:r w:rsidRPr="003F3E07">
        <w:rPr>
          <w:sz w:val="28"/>
          <w:szCs w:val="28"/>
          <w:lang w:val="uk-UA"/>
        </w:rPr>
        <w:t xml:space="preserve"> </w:t>
      </w:r>
      <w:r w:rsidR="00E06EBD">
        <w:rPr>
          <w:sz w:val="28"/>
          <w:szCs w:val="28"/>
          <w:lang w:val="en-US"/>
        </w:rPr>
        <w:t>its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regional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representatives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for</w:t>
      </w:r>
      <w:r w:rsidRPr="003F3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</w:t>
      </w:r>
      <w:r w:rsidRPr="003F3E07">
        <w:rPr>
          <w:sz w:val="28"/>
          <w:szCs w:val="28"/>
          <w:lang w:val="en-US"/>
        </w:rPr>
        <w:t>harmacovigilance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in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administrative</w:t>
      </w:r>
      <w:r w:rsidR="00E06EBD">
        <w:rPr>
          <w:sz w:val="28"/>
          <w:szCs w:val="28"/>
          <w:lang w:val="en-US"/>
        </w:rPr>
        <w:t xml:space="preserve"> and </w:t>
      </w:r>
      <w:r w:rsidRPr="003F3E07">
        <w:rPr>
          <w:sz w:val="28"/>
          <w:szCs w:val="28"/>
          <w:lang w:val="en-US"/>
        </w:rPr>
        <w:t>territorial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units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of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Ukraine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during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visits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to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healthcare</w:t>
      </w:r>
      <w:r w:rsidRPr="003F3E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setting</w:t>
      </w:r>
      <w:r w:rsidRPr="003F3E07">
        <w:rPr>
          <w:sz w:val="28"/>
          <w:szCs w:val="28"/>
          <w:lang w:val="en-US"/>
        </w:rPr>
        <w:t>s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providing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antiretroviral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therapy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and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TB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treatment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to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inform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about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the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pharmacovigilance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system</w:t>
      </w:r>
      <w:r w:rsidRPr="003F3E07">
        <w:rPr>
          <w:sz w:val="28"/>
          <w:szCs w:val="28"/>
          <w:lang w:val="uk-UA"/>
        </w:rPr>
        <w:t xml:space="preserve"> </w:t>
      </w:r>
      <w:r w:rsidR="00E06EBD">
        <w:rPr>
          <w:sz w:val="28"/>
          <w:szCs w:val="28"/>
          <w:lang w:val="en-US"/>
        </w:rPr>
        <w:t>and involve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all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healthcare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professionals</w:t>
      </w:r>
      <w:r w:rsidRPr="003F3E07">
        <w:rPr>
          <w:sz w:val="28"/>
          <w:szCs w:val="28"/>
          <w:lang w:val="uk-UA"/>
        </w:rPr>
        <w:t xml:space="preserve"> </w:t>
      </w:r>
      <w:r w:rsidRPr="003F3E07">
        <w:rPr>
          <w:sz w:val="28"/>
          <w:szCs w:val="28"/>
          <w:lang w:val="en-US"/>
        </w:rPr>
        <w:t>in</w:t>
      </w:r>
      <w:r w:rsidRPr="003F3E07">
        <w:rPr>
          <w:sz w:val="28"/>
          <w:szCs w:val="28"/>
          <w:lang w:val="uk-UA"/>
        </w:rPr>
        <w:t xml:space="preserve"> </w:t>
      </w:r>
      <w:r w:rsidR="00E06EBD">
        <w:rPr>
          <w:sz w:val="28"/>
          <w:szCs w:val="28"/>
          <w:lang w:val="en-US"/>
        </w:rPr>
        <w:t>conduct of pharmacovigilance</w:t>
      </w:r>
      <w:r>
        <w:rPr>
          <w:sz w:val="28"/>
          <w:szCs w:val="28"/>
          <w:lang w:val="uk-UA"/>
        </w:rPr>
        <w:t>.</w:t>
      </w:r>
    </w:p>
    <w:p w14:paraId="202E2D56" w14:textId="77777777" w:rsidR="00220C99" w:rsidRPr="00543AAD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3F3E07">
        <w:rPr>
          <w:sz w:val="28"/>
          <w:szCs w:val="28"/>
          <w:lang w:val="en-US"/>
        </w:rPr>
        <w:t>To raise awareness of students of higher education institutions of medical/pharmaceutical specialties about the national system of drug safety surveillance</w:t>
      </w:r>
      <w:r w:rsidRPr="00543AAD">
        <w:rPr>
          <w:sz w:val="28"/>
          <w:szCs w:val="28"/>
          <w:lang w:val="uk-UA"/>
        </w:rPr>
        <w:t>.</w:t>
      </w:r>
    </w:p>
    <w:p w14:paraId="268DF809" w14:textId="7A90E8FB" w:rsidR="00220C99" w:rsidRDefault="00220C99" w:rsidP="00220C99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="009240B5">
        <w:rPr>
          <w:sz w:val="28"/>
          <w:szCs w:val="28"/>
          <w:lang w:val="en-US"/>
        </w:rPr>
        <w:t>To i</w:t>
      </w:r>
      <w:r w:rsidRPr="003F3E07">
        <w:rPr>
          <w:sz w:val="28"/>
          <w:szCs w:val="28"/>
          <w:lang w:val="en-US"/>
        </w:rPr>
        <w:t xml:space="preserve">nclude </w:t>
      </w:r>
      <w:r w:rsidR="009240B5" w:rsidRPr="003F3E07">
        <w:rPr>
          <w:sz w:val="28"/>
          <w:szCs w:val="28"/>
          <w:lang w:val="en-US"/>
        </w:rPr>
        <w:t>in the initial training of pharmacists</w:t>
      </w:r>
      <w:r w:rsidR="009240B5">
        <w:rPr>
          <w:sz w:val="28"/>
          <w:szCs w:val="28"/>
          <w:lang w:val="en-US"/>
        </w:rPr>
        <w:t>,</w:t>
      </w:r>
      <w:r w:rsidR="009240B5" w:rsidRPr="003F3E07">
        <w:rPr>
          <w:sz w:val="28"/>
          <w:szCs w:val="28"/>
          <w:lang w:val="en-US"/>
        </w:rPr>
        <w:t xml:space="preserve"> when </w:t>
      </w:r>
      <w:r w:rsidR="009240B5">
        <w:rPr>
          <w:sz w:val="28"/>
          <w:szCs w:val="28"/>
          <w:lang w:val="en-US"/>
        </w:rPr>
        <w:t>hiring them,</w:t>
      </w:r>
      <w:r w:rsidR="009240B5" w:rsidRPr="003F3E07">
        <w:rPr>
          <w:sz w:val="28"/>
          <w:szCs w:val="28"/>
          <w:lang w:val="en-US"/>
        </w:rPr>
        <w:t xml:space="preserve"> </w:t>
      </w:r>
      <w:r w:rsidRPr="003F3E07">
        <w:rPr>
          <w:sz w:val="28"/>
          <w:szCs w:val="28"/>
          <w:lang w:val="en-US"/>
        </w:rPr>
        <w:t xml:space="preserve">questions </w:t>
      </w:r>
      <w:r w:rsidR="009240B5">
        <w:rPr>
          <w:sz w:val="28"/>
          <w:szCs w:val="28"/>
          <w:lang w:val="en-US"/>
        </w:rPr>
        <w:t>related to</w:t>
      </w:r>
      <w:r w:rsidRPr="003F3E07">
        <w:rPr>
          <w:sz w:val="28"/>
          <w:szCs w:val="28"/>
          <w:lang w:val="en-US"/>
        </w:rPr>
        <w:t xml:space="preserve"> the pharmacovigilance system, its tools, the rights and responsibilities of pharmaceutical workers</w:t>
      </w:r>
      <w:r w:rsidRPr="00543AAD">
        <w:rPr>
          <w:sz w:val="28"/>
          <w:szCs w:val="28"/>
          <w:lang w:val="uk-UA"/>
        </w:rPr>
        <w:t>.</w:t>
      </w:r>
    </w:p>
    <w:p w14:paraId="2F714929" w14:textId="77777777" w:rsidR="00220C99" w:rsidRPr="00204EC9" w:rsidRDefault="00220C99" w:rsidP="00220C99">
      <w:pPr>
        <w:jc w:val="both"/>
        <w:rPr>
          <w:sz w:val="28"/>
          <w:szCs w:val="28"/>
          <w:lang w:val="uk-UA"/>
        </w:rPr>
      </w:pPr>
    </w:p>
    <w:p w14:paraId="2B60A8B2" w14:textId="77777777" w:rsidR="009240B5" w:rsidRPr="006B1840" w:rsidRDefault="009240B5" w:rsidP="009240B5">
      <w:pPr>
        <w:pStyle w:val="a5"/>
        <w:ind w:firstLine="709"/>
        <w:jc w:val="center"/>
        <w:rPr>
          <w:b/>
          <w:lang w:val="en-US"/>
        </w:rPr>
      </w:pPr>
      <w:r w:rsidRPr="006B1840">
        <w:rPr>
          <w:b/>
          <w:lang w:val="en-US"/>
        </w:rPr>
        <w:t>Unanimously approved by the Forum participants on March 7, 2024</w:t>
      </w:r>
    </w:p>
    <w:p w14:paraId="4078FC65" w14:textId="77777777" w:rsidR="009240B5" w:rsidRDefault="009240B5" w:rsidP="009240B5">
      <w:pPr>
        <w:pStyle w:val="a5"/>
        <w:ind w:firstLine="709"/>
        <w:jc w:val="center"/>
        <w:rPr>
          <w:b/>
          <w:lang w:val="uk-UA"/>
        </w:rPr>
      </w:pPr>
      <w:r w:rsidRPr="006B1840">
        <w:rPr>
          <w:b/>
          <w:lang w:val="en-US"/>
        </w:rPr>
        <w:t>The organizing committee of the pharmaceutical forum</w:t>
      </w:r>
      <w:r>
        <w:rPr>
          <w:b/>
          <w:lang w:val="uk-UA"/>
        </w:rPr>
        <w:t xml:space="preserve"> </w:t>
      </w:r>
    </w:p>
    <w:p w14:paraId="3634775A" w14:textId="5DB33EB1" w:rsidR="009240B5" w:rsidRPr="00194A71" w:rsidRDefault="009240B5" w:rsidP="009240B5">
      <w:pPr>
        <w:pStyle w:val="a5"/>
        <w:ind w:firstLine="709"/>
        <w:jc w:val="center"/>
        <w:rPr>
          <w:b/>
          <w:lang w:val="uk-UA"/>
        </w:rPr>
      </w:pPr>
      <w:r w:rsidRPr="006B1840">
        <w:rPr>
          <w:b/>
          <w:lang w:val="uk-UA"/>
        </w:rPr>
        <w:t xml:space="preserve">PHARMA@ </w:t>
      </w:r>
      <w:r>
        <w:rPr>
          <w:b/>
          <w:lang w:val="uk-UA"/>
        </w:rPr>
        <w:t>PATIENT</w:t>
      </w:r>
      <w:r w:rsidRPr="006B1840">
        <w:rPr>
          <w:b/>
          <w:lang w:val="uk-UA"/>
        </w:rPr>
        <w:t xml:space="preserve"> </w:t>
      </w:r>
      <w:r>
        <w:rPr>
          <w:b/>
          <w:lang w:val="en-US"/>
        </w:rPr>
        <w:t xml:space="preserve">IN </w:t>
      </w:r>
      <w:r w:rsidRPr="006B1840">
        <w:rPr>
          <w:b/>
          <w:lang w:val="uk-UA"/>
        </w:rPr>
        <w:t>FOC</w:t>
      </w:r>
      <w:r>
        <w:rPr>
          <w:b/>
          <w:lang w:val="uk-UA"/>
        </w:rPr>
        <w:t>US -2024. PHARMAC</w:t>
      </w:r>
      <w:r>
        <w:rPr>
          <w:b/>
          <w:lang w:val="en-US"/>
        </w:rPr>
        <w:t>OVIGI</w:t>
      </w:r>
      <w:r w:rsidRPr="006B1840">
        <w:rPr>
          <w:b/>
          <w:lang w:val="uk-UA"/>
        </w:rPr>
        <w:t>LANCE</w:t>
      </w:r>
    </w:p>
    <w:p w14:paraId="4832AB28" w14:textId="507ECBE3" w:rsidR="00220C99" w:rsidRPr="00FC0EF7" w:rsidRDefault="00220C99" w:rsidP="00220C99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en-GB"/>
        </w:rPr>
      </w:pPr>
    </w:p>
    <w:sectPr w:rsidR="00220C99" w:rsidRPr="00FC0EF7" w:rsidSect="0059338E"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F670" w14:textId="77777777" w:rsidR="005D7E4F" w:rsidRDefault="005D7E4F">
      <w:r>
        <w:separator/>
      </w:r>
    </w:p>
  </w:endnote>
  <w:endnote w:type="continuationSeparator" w:id="0">
    <w:p w14:paraId="235526B2" w14:textId="77777777" w:rsidR="005D7E4F" w:rsidRDefault="005D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F13" w14:textId="77777777" w:rsidR="00490429" w:rsidRDefault="004904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2EA422" w14:textId="77777777" w:rsidR="00490429" w:rsidRDefault="00490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04767"/>
      <w:docPartObj>
        <w:docPartGallery w:val="Page Numbers (Bottom of Page)"/>
        <w:docPartUnique/>
      </w:docPartObj>
    </w:sdtPr>
    <w:sdtEndPr/>
    <w:sdtContent>
      <w:p w14:paraId="71CD50BF" w14:textId="65AA156B" w:rsidR="00BB6E4D" w:rsidRDefault="00BB6E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4B">
          <w:rPr>
            <w:noProof/>
          </w:rPr>
          <w:t>3</w:t>
        </w:r>
        <w:r>
          <w:fldChar w:fldCharType="end"/>
        </w:r>
      </w:p>
    </w:sdtContent>
  </w:sdt>
  <w:p w14:paraId="6C9F98A9" w14:textId="77777777" w:rsidR="00490429" w:rsidRDefault="004904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100A" w14:textId="77777777" w:rsidR="005D7E4F" w:rsidRDefault="005D7E4F">
      <w:r>
        <w:separator/>
      </w:r>
    </w:p>
  </w:footnote>
  <w:footnote w:type="continuationSeparator" w:id="0">
    <w:p w14:paraId="565E33F9" w14:textId="77777777" w:rsidR="005D7E4F" w:rsidRDefault="005D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4AD"/>
    <w:multiLevelType w:val="multilevel"/>
    <w:tmpl w:val="A2BE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7044B"/>
    <w:multiLevelType w:val="hybridMultilevel"/>
    <w:tmpl w:val="4500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BC4"/>
    <w:multiLevelType w:val="hybridMultilevel"/>
    <w:tmpl w:val="6BD2C1B0"/>
    <w:lvl w:ilvl="0" w:tplc="392A8F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AD8B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2885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705F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049BE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A852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A26F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D861D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A45F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B91DD0"/>
    <w:multiLevelType w:val="hybridMultilevel"/>
    <w:tmpl w:val="C4C2EE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AD46E3"/>
    <w:multiLevelType w:val="multilevel"/>
    <w:tmpl w:val="879C0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2055F"/>
    <w:multiLevelType w:val="hybridMultilevel"/>
    <w:tmpl w:val="578E337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A704F7"/>
    <w:multiLevelType w:val="hybridMultilevel"/>
    <w:tmpl w:val="33C22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4F2F19"/>
    <w:multiLevelType w:val="multilevel"/>
    <w:tmpl w:val="04626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7477F"/>
    <w:multiLevelType w:val="hybridMultilevel"/>
    <w:tmpl w:val="2050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1B86"/>
    <w:multiLevelType w:val="hybridMultilevel"/>
    <w:tmpl w:val="204E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A553E"/>
    <w:multiLevelType w:val="multilevel"/>
    <w:tmpl w:val="E214B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D2D9F"/>
    <w:multiLevelType w:val="multilevel"/>
    <w:tmpl w:val="DC682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7437F"/>
    <w:multiLevelType w:val="hybridMultilevel"/>
    <w:tmpl w:val="50785CEC"/>
    <w:lvl w:ilvl="0" w:tplc="1460E41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304BFD"/>
    <w:multiLevelType w:val="multilevel"/>
    <w:tmpl w:val="C2D4E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947CA"/>
    <w:multiLevelType w:val="multilevel"/>
    <w:tmpl w:val="90CA1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115AB"/>
    <w:multiLevelType w:val="hybridMultilevel"/>
    <w:tmpl w:val="D646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73DA"/>
    <w:multiLevelType w:val="multilevel"/>
    <w:tmpl w:val="87984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F6662"/>
    <w:multiLevelType w:val="hybridMultilevel"/>
    <w:tmpl w:val="04046066"/>
    <w:lvl w:ilvl="0" w:tplc="1460E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82A2C"/>
    <w:multiLevelType w:val="hybridMultilevel"/>
    <w:tmpl w:val="17906B9E"/>
    <w:lvl w:ilvl="0" w:tplc="D6AC0C0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2BBAEA80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94C24"/>
    <w:multiLevelType w:val="hybridMultilevel"/>
    <w:tmpl w:val="665A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04C30"/>
    <w:multiLevelType w:val="hybridMultilevel"/>
    <w:tmpl w:val="277055DC"/>
    <w:lvl w:ilvl="0" w:tplc="37C84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D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E9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0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E7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2B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C7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CB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A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FE3A55"/>
    <w:multiLevelType w:val="hybridMultilevel"/>
    <w:tmpl w:val="34DC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638C7"/>
    <w:multiLevelType w:val="hybridMultilevel"/>
    <w:tmpl w:val="32E6FBEA"/>
    <w:lvl w:ilvl="0" w:tplc="F0B4EA9E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FEE160A"/>
    <w:multiLevelType w:val="multilevel"/>
    <w:tmpl w:val="716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0"/>
  </w:num>
  <w:num w:numId="5">
    <w:abstractNumId w:val="7"/>
  </w:num>
  <w:num w:numId="6">
    <w:abstractNumId w:val="23"/>
  </w:num>
  <w:num w:numId="7">
    <w:abstractNumId w:val="6"/>
  </w:num>
  <w:num w:numId="8">
    <w:abstractNumId w:val="3"/>
  </w:num>
  <w:num w:numId="9">
    <w:abstractNumId w:val="2"/>
  </w:num>
  <w:num w:numId="10">
    <w:abstractNumId w:val="20"/>
  </w:num>
  <w:num w:numId="11">
    <w:abstractNumId w:val="18"/>
  </w:num>
  <w:num w:numId="12">
    <w:abstractNumId w:val="1"/>
  </w:num>
  <w:num w:numId="13">
    <w:abstractNumId w:val="15"/>
  </w:num>
  <w:num w:numId="14">
    <w:abstractNumId w:val="21"/>
  </w:num>
  <w:num w:numId="15">
    <w:abstractNumId w:val="9"/>
  </w:num>
  <w:num w:numId="16">
    <w:abstractNumId w:val="19"/>
  </w:num>
  <w:num w:numId="17">
    <w:abstractNumId w:val="5"/>
  </w:num>
  <w:num w:numId="18">
    <w:abstractNumId w:val="8"/>
  </w:num>
  <w:num w:numId="19">
    <w:abstractNumId w:val="10"/>
  </w:num>
  <w:num w:numId="20">
    <w:abstractNumId w:val="4"/>
  </w:num>
  <w:num w:numId="21">
    <w:abstractNumId w:val="11"/>
  </w:num>
  <w:num w:numId="22">
    <w:abstractNumId w:val="13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C4"/>
    <w:rsid w:val="00011353"/>
    <w:rsid w:val="00015D97"/>
    <w:rsid w:val="00022EC2"/>
    <w:rsid w:val="00030C3F"/>
    <w:rsid w:val="00032D17"/>
    <w:rsid w:val="00033376"/>
    <w:rsid w:val="000419D0"/>
    <w:rsid w:val="00042162"/>
    <w:rsid w:val="00046798"/>
    <w:rsid w:val="0005000D"/>
    <w:rsid w:val="000573D3"/>
    <w:rsid w:val="00060A0F"/>
    <w:rsid w:val="00060E90"/>
    <w:rsid w:val="00067777"/>
    <w:rsid w:val="00071596"/>
    <w:rsid w:val="0009496C"/>
    <w:rsid w:val="000A0457"/>
    <w:rsid w:val="000B33B7"/>
    <w:rsid w:val="000C11A4"/>
    <w:rsid w:val="000C1574"/>
    <w:rsid w:val="000C4AF3"/>
    <w:rsid w:val="000D2EA8"/>
    <w:rsid w:val="000F5996"/>
    <w:rsid w:val="00104F59"/>
    <w:rsid w:val="00107A08"/>
    <w:rsid w:val="00114E31"/>
    <w:rsid w:val="00117AAD"/>
    <w:rsid w:val="00124953"/>
    <w:rsid w:val="00160B0B"/>
    <w:rsid w:val="00170DAF"/>
    <w:rsid w:val="00171554"/>
    <w:rsid w:val="00176FD9"/>
    <w:rsid w:val="001904B5"/>
    <w:rsid w:val="001940EB"/>
    <w:rsid w:val="00194A71"/>
    <w:rsid w:val="001B3BCB"/>
    <w:rsid w:val="001B5BC5"/>
    <w:rsid w:val="001D6A7E"/>
    <w:rsid w:val="001D7B0F"/>
    <w:rsid w:val="001E392B"/>
    <w:rsid w:val="001E5CDE"/>
    <w:rsid w:val="002049D9"/>
    <w:rsid w:val="00204EC9"/>
    <w:rsid w:val="002058F6"/>
    <w:rsid w:val="002114E2"/>
    <w:rsid w:val="00214D06"/>
    <w:rsid w:val="00220C99"/>
    <w:rsid w:val="00221BFA"/>
    <w:rsid w:val="0022296E"/>
    <w:rsid w:val="0022427D"/>
    <w:rsid w:val="00241A33"/>
    <w:rsid w:val="00241B75"/>
    <w:rsid w:val="00252D5E"/>
    <w:rsid w:val="0025526A"/>
    <w:rsid w:val="00270773"/>
    <w:rsid w:val="00270843"/>
    <w:rsid w:val="00272407"/>
    <w:rsid w:val="002747D2"/>
    <w:rsid w:val="002A671B"/>
    <w:rsid w:val="002B1423"/>
    <w:rsid w:val="002B4A3F"/>
    <w:rsid w:val="002D0D5B"/>
    <w:rsid w:val="002E7EBF"/>
    <w:rsid w:val="002F7253"/>
    <w:rsid w:val="00311B92"/>
    <w:rsid w:val="003359C6"/>
    <w:rsid w:val="00354977"/>
    <w:rsid w:val="003550E6"/>
    <w:rsid w:val="00356017"/>
    <w:rsid w:val="0035790B"/>
    <w:rsid w:val="00362E81"/>
    <w:rsid w:val="00371C24"/>
    <w:rsid w:val="003752CF"/>
    <w:rsid w:val="003768F4"/>
    <w:rsid w:val="00377FDD"/>
    <w:rsid w:val="00383E4F"/>
    <w:rsid w:val="00390FC2"/>
    <w:rsid w:val="003953F5"/>
    <w:rsid w:val="003A7FFC"/>
    <w:rsid w:val="003B2105"/>
    <w:rsid w:val="003D53FA"/>
    <w:rsid w:val="003D55F6"/>
    <w:rsid w:val="003E0271"/>
    <w:rsid w:val="00400536"/>
    <w:rsid w:val="00414F47"/>
    <w:rsid w:val="00426B8E"/>
    <w:rsid w:val="00427AD5"/>
    <w:rsid w:val="00442CA0"/>
    <w:rsid w:val="004526B6"/>
    <w:rsid w:val="00456DC8"/>
    <w:rsid w:val="00460A3F"/>
    <w:rsid w:val="00490429"/>
    <w:rsid w:val="00493348"/>
    <w:rsid w:val="004A5508"/>
    <w:rsid w:val="004A7112"/>
    <w:rsid w:val="004C02B5"/>
    <w:rsid w:val="004D321F"/>
    <w:rsid w:val="004F07CE"/>
    <w:rsid w:val="004F0EC0"/>
    <w:rsid w:val="004F4D6E"/>
    <w:rsid w:val="0050353B"/>
    <w:rsid w:val="0050591C"/>
    <w:rsid w:val="00507343"/>
    <w:rsid w:val="00542AE4"/>
    <w:rsid w:val="005439E8"/>
    <w:rsid w:val="00543AAD"/>
    <w:rsid w:val="00580263"/>
    <w:rsid w:val="00591995"/>
    <w:rsid w:val="0059338E"/>
    <w:rsid w:val="005A0EC3"/>
    <w:rsid w:val="005A12DC"/>
    <w:rsid w:val="005A2D7E"/>
    <w:rsid w:val="005B40A8"/>
    <w:rsid w:val="005C0853"/>
    <w:rsid w:val="005C3D91"/>
    <w:rsid w:val="005C4119"/>
    <w:rsid w:val="005D3520"/>
    <w:rsid w:val="005D7E4F"/>
    <w:rsid w:val="00602D1E"/>
    <w:rsid w:val="006300BE"/>
    <w:rsid w:val="0063416D"/>
    <w:rsid w:val="0063512E"/>
    <w:rsid w:val="00641E89"/>
    <w:rsid w:val="00651520"/>
    <w:rsid w:val="00653EFF"/>
    <w:rsid w:val="0065700E"/>
    <w:rsid w:val="006576AB"/>
    <w:rsid w:val="006665A3"/>
    <w:rsid w:val="00666F88"/>
    <w:rsid w:val="00671CDB"/>
    <w:rsid w:val="00674388"/>
    <w:rsid w:val="006745B5"/>
    <w:rsid w:val="006D5505"/>
    <w:rsid w:val="00707149"/>
    <w:rsid w:val="007321B8"/>
    <w:rsid w:val="0074697B"/>
    <w:rsid w:val="00746B2D"/>
    <w:rsid w:val="00753B8A"/>
    <w:rsid w:val="007544A6"/>
    <w:rsid w:val="00773DBE"/>
    <w:rsid w:val="00780BE0"/>
    <w:rsid w:val="00782BE1"/>
    <w:rsid w:val="007B385E"/>
    <w:rsid w:val="007B7D92"/>
    <w:rsid w:val="007C2566"/>
    <w:rsid w:val="007D3B3D"/>
    <w:rsid w:val="007E006D"/>
    <w:rsid w:val="007E5D13"/>
    <w:rsid w:val="007F2F64"/>
    <w:rsid w:val="0080191D"/>
    <w:rsid w:val="00811BD1"/>
    <w:rsid w:val="008123E2"/>
    <w:rsid w:val="00814528"/>
    <w:rsid w:val="00814A4F"/>
    <w:rsid w:val="00826C16"/>
    <w:rsid w:val="00843524"/>
    <w:rsid w:val="00861BC4"/>
    <w:rsid w:val="00866192"/>
    <w:rsid w:val="00872FA8"/>
    <w:rsid w:val="008753A2"/>
    <w:rsid w:val="0089752C"/>
    <w:rsid w:val="008A429A"/>
    <w:rsid w:val="008C6DA4"/>
    <w:rsid w:val="008E0741"/>
    <w:rsid w:val="008E5319"/>
    <w:rsid w:val="008E55C2"/>
    <w:rsid w:val="008E676B"/>
    <w:rsid w:val="008F5073"/>
    <w:rsid w:val="008F65AD"/>
    <w:rsid w:val="00900D50"/>
    <w:rsid w:val="009023EF"/>
    <w:rsid w:val="00903542"/>
    <w:rsid w:val="00903722"/>
    <w:rsid w:val="009107DB"/>
    <w:rsid w:val="00914527"/>
    <w:rsid w:val="009146D0"/>
    <w:rsid w:val="0091591D"/>
    <w:rsid w:val="009240B5"/>
    <w:rsid w:val="00924759"/>
    <w:rsid w:val="0093189D"/>
    <w:rsid w:val="00931EBA"/>
    <w:rsid w:val="00935994"/>
    <w:rsid w:val="00940927"/>
    <w:rsid w:val="00940FA6"/>
    <w:rsid w:val="0094374B"/>
    <w:rsid w:val="0096343B"/>
    <w:rsid w:val="0096469A"/>
    <w:rsid w:val="00966208"/>
    <w:rsid w:val="00970725"/>
    <w:rsid w:val="00987B1A"/>
    <w:rsid w:val="00996785"/>
    <w:rsid w:val="00996938"/>
    <w:rsid w:val="00997C35"/>
    <w:rsid w:val="009A36EA"/>
    <w:rsid w:val="009A7BA4"/>
    <w:rsid w:val="009A7F36"/>
    <w:rsid w:val="009B54C5"/>
    <w:rsid w:val="009B67FA"/>
    <w:rsid w:val="009D2D90"/>
    <w:rsid w:val="009E1583"/>
    <w:rsid w:val="009F4AEF"/>
    <w:rsid w:val="00A10BB7"/>
    <w:rsid w:val="00A241A7"/>
    <w:rsid w:val="00A26F18"/>
    <w:rsid w:val="00A53060"/>
    <w:rsid w:val="00A55EE7"/>
    <w:rsid w:val="00A5697F"/>
    <w:rsid w:val="00A60892"/>
    <w:rsid w:val="00A828E3"/>
    <w:rsid w:val="00A911C2"/>
    <w:rsid w:val="00A95E57"/>
    <w:rsid w:val="00AA44E5"/>
    <w:rsid w:val="00AB6FFB"/>
    <w:rsid w:val="00AC0943"/>
    <w:rsid w:val="00AD6EB6"/>
    <w:rsid w:val="00AE5A97"/>
    <w:rsid w:val="00AF0E10"/>
    <w:rsid w:val="00B21807"/>
    <w:rsid w:val="00B241C4"/>
    <w:rsid w:val="00B3223A"/>
    <w:rsid w:val="00B60435"/>
    <w:rsid w:val="00B60AFC"/>
    <w:rsid w:val="00B7298B"/>
    <w:rsid w:val="00B72ED2"/>
    <w:rsid w:val="00B80389"/>
    <w:rsid w:val="00B80BD1"/>
    <w:rsid w:val="00B82D58"/>
    <w:rsid w:val="00B859E6"/>
    <w:rsid w:val="00B86234"/>
    <w:rsid w:val="00B96F1D"/>
    <w:rsid w:val="00BB6E4D"/>
    <w:rsid w:val="00BB71C1"/>
    <w:rsid w:val="00BB72F8"/>
    <w:rsid w:val="00BD477D"/>
    <w:rsid w:val="00BE5EE4"/>
    <w:rsid w:val="00BF0718"/>
    <w:rsid w:val="00C00BD7"/>
    <w:rsid w:val="00C374AB"/>
    <w:rsid w:val="00C42394"/>
    <w:rsid w:val="00C4646F"/>
    <w:rsid w:val="00C4661C"/>
    <w:rsid w:val="00C54AA4"/>
    <w:rsid w:val="00C55E07"/>
    <w:rsid w:val="00C576F1"/>
    <w:rsid w:val="00C61DA1"/>
    <w:rsid w:val="00C82BB5"/>
    <w:rsid w:val="00C9717C"/>
    <w:rsid w:val="00CA238F"/>
    <w:rsid w:val="00CA4C6D"/>
    <w:rsid w:val="00CB4541"/>
    <w:rsid w:val="00CB6C87"/>
    <w:rsid w:val="00CC6861"/>
    <w:rsid w:val="00CD0373"/>
    <w:rsid w:val="00CD205E"/>
    <w:rsid w:val="00CD3A32"/>
    <w:rsid w:val="00CE4199"/>
    <w:rsid w:val="00CE569C"/>
    <w:rsid w:val="00CF6B73"/>
    <w:rsid w:val="00CF798E"/>
    <w:rsid w:val="00D10EC2"/>
    <w:rsid w:val="00D4258A"/>
    <w:rsid w:val="00D45944"/>
    <w:rsid w:val="00D4750C"/>
    <w:rsid w:val="00D51180"/>
    <w:rsid w:val="00D540CA"/>
    <w:rsid w:val="00D84212"/>
    <w:rsid w:val="00D9355A"/>
    <w:rsid w:val="00D93B30"/>
    <w:rsid w:val="00DB0D66"/>
    <w:rsid w:val="00DD7F42"/>
    <w:rsid w:val="00DE29DD"/>
    <w:rsid w:val="00DE73DE"/>
    <w:rsid w:val="00E049E7"/>
    <w:rsid w:val="00E057A8"/>
    <w:rsid w:val="00E06EBD"/>
    <w:rsid w:val="00E07443"/>
    <w:rsid w:val="00E1174F"/>
    <w:rsid w:val="00E508A7"/>
    <w:rsid w:val="00E5167E"/>
    <w:rsid w:val="00E7027A"/>
    <w:rsid w:val="00E80776"/>
    <w:rsid w:val="00E904F8"/>
    <w:rsid w:val="00E951BD"/>
    <w:rsid w:val="00EA116A"/>
    <w:rsid w:val="00EC1293"/>
    <w:rsid w:val="00ED1A2E"/>
    <w:rsid w:val="00ED3AEB"/>
    <w:rsid w:val="00EE18DD"/>
    <w:rsid w:val="00EE226B"/>
    <w:rsid w:val="00EF7E97"/>
    <w:rsid w:val="00F178A1"/>
    <w:rsid w:val="00F25015"/>
    <w:rsid w:val="00F6523A"/>
    <w:rsid w:val="00F659FB"/>
    <w:rsid w:val="00F77769"/>
    <w:rsid w:val="00F9232B"/>
    <w:rsid w:val="00F935E8"/>
    <w:rsid w:val="00FA093B"/>
    <w:rsid w:val="00FB720C"/>
    <w:rsid w:val="00FC0EF7"/>
    <w:rsid w:val="00FC41D7"/>
    <w:rsid w:val="00FC54DB"/>
    <w:rsid w:val="00FD3029"/>
    <w:rsid w:val="00FD42FB"/>
    <w:rsid w:val="00FE0685"/>
    <w:rsid w:val="00FE108F"/>
    <w:rsid w:val="00FE3307"/>
    <w:rsid w:val="00FE399E"/>
    <w:rsid w:val="00FF26D4"/>
    <w:rsid w:val="00FF5270"/>
    <w:rsid w:val="00FF572F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09B527"/>
  <w15:docId w15:val="{5A7B682D-4C13-40C1-A672-9A17ADE9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65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1C4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rsid w:val="00B241C4"/>
    <w:pPr>
      <w:jc w:val="both"/>
    </w:pPr>
    <w:rPr>
      <w:sz w:val="28"/>
    </w:rPr>
  </w:style>
  <w:style w:type="paragraph" w:styleId="a7">
    <w:name w:val="footer"/>
    <w:basedOn w:val="a"/>
    <w:link w:val="a8"/>
    <w:uiPriority w:val="99"/>
    <w:rsid w:val="00B241C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41C4"/>
  </w:style>
  <w:style w:type="paragraph" w:styleId="aa">
    <w:name w:val="Balloon Text"/>
    <w:basedOn w:val="a"/>
    <w:link w:val="ab"/>
    <w:uiPriority w:val="99"/>
    <w:semiHidden/>
    <w:rsid w:val="0081452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80191D"/>
    <w:rPr>
      <w:sz w:val="16"/>
      <w:szCs w:val="16"/>
    </w:rPr>
  </w:style>
  <w:style w:type="paragraph" w:styleId="ad">
    <w:name w:val="annotation text"/>
    <w:basedOn w:val="a"/>
    <w:semiHidden/>
    <w:rsid w:val="0080191D"/>
    <w:rPr>
      <w:sz w:val="20"/>
      <w:szCs w:val="20"/>
    </w:rPr>
  </w:style>
  <w:style w:type="paragraph" w:styleId="ae">
    <w:name w:val="annotation subject"/>
    <w:basedOn w:val="ad"/>
    <w:next w:val="ad"/>
    <w:semiHidden/>
    <w:rsid w:val="0080191D"/>
    <w:rPr>
      <w:b/>
      <w:bCs/>
    </w:rPr>
  </w:style>
  <w:style w:type="paragraph" w:customStyle="1" w:styleId="yiv239440742style39">
    <w:name w:val="yiv239440742style39"/>
    <w:basedOn w:val="a"/>
    <w:rsid w:val="00A26F1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A429A"/>
    <w:rPr>
      <w:b/>
      <w:bCs/>
    </w:rPr>
  </w:style>
  <w:style w:type="character" w:customStyle="1" w:styleId="ab">
    <w:name w:val="Текст выноски Знак"/>
    <w:basedOn w:val="a0"/>
    <w:link w:val="aa"/>
    <w:uiPriority w:val="99"/>
    <w:semiHidden/>
    <w:rsid w:val="00CA4C6D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nhideWhenUsed/>
    <w:rsid w:val="00C82BB5"/>
    <w:pPr>
      <w:tabs>
        <w:tab w:val="center" w:pos="4844"/>
        <w:tab w:val="right" w:pos="9689"/>
      </w:tabs>
    </w:pPr>
  </w:style>
  <w:style w:type="character" w:customStyle="1" w:styleId="af1">
    <w:name w:val="Верхний колонтитул Знак"/>
    <w:basedOn w:val="a0"/>
    <w:link w:val="af0"/>
    <w:rsid w:val="00C82BB5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1D6A7E"/>
    <w:rPr>
      <w:sz w:val="28"/>
      <w:szCs w:val="24"/>
    </w:rPr>
  </w:style>
  <w:style w:type="paragraph" w:styleId="af2">
    <w:name w:val="List Paragraph"/>
    <w:basedOn w:val="a"/>
    <w:uiPriority w:val="34"/>
    <w:qFormat/>
    <w:rsid w:val="00DE29DD"/>
    <w:pPr>
      <w:ind w:left="720"/>
      <w:contextualSpacing/>
    </w:pPr>
  </w:style>
  <w:style w:type="paragraph" w:customStyle="1" w:styleId="zfr3q">
    <w:name w:val="zfr3q"/>
    <w:basedOn w:val="a"/>
    <w:rsid w:val="00DE29DD"/>
    <w:pPr>
      <w:spacing w:before="100" w:beforeAutospacing="1" w:after="100" w:afterAutospacing="1"/>
    </w:pPr>
  </w:style>
  <w:style w:type="character" w:customStyle="1" w:styleId="c9dxtc">
    <w:name w:val="c9dxtc"/>
    <w:basedOn w:val="a0"/>
    <w:rsid w:val="00DE29DD"/>
  </w:style>
  <w:style w:type="character" w:customStyle="1" w:styleId="gbyvff">
    <w:name w:val="gbyvff"/>
    <w:basedOn w:val="a0"/>
    <w:rsid w:val="00DE29DD"/>
  </w:style>
  <w:style w:type="character" w:customStyle="1" w:styleId="jw0mod">
    <w:name w:val="jw0mod"/>
    <w:basedOn w:val="a0"/>
    <w:rsid w:val="001E392B"/>
  </w:style>
  <w:style w:type="character" w:customStyle="1" w:styleId="10">
    <w:name w:val="Заголовок 1 Знак"/>
    <w:basedOn w:val="a0"/>
    <w:link w:val="1"/>
    <w:uiPriority w:val="9"/>
    <w:rsid w:val="008F65AD"/>
    <w:rPr>
      <w:b/>
      <w:bCs/>
      <w:kern w:val="36"/>
      <w:sz w:val="48"/>
      <w:szCs w:val="48"/>
    </w:rPr>
  </w:style>
  <w:style w:type="character" w:customStyle="1" w:styleId="a8">
    <w:name w:val="Нижний колонтитул Знак"/>
    <w:basedOn w:val="a0"/>
    <w:link w:val="a7"/>
    <w:uiPriority w:val="99"/>
    <w:rsid w:val="00BB6E4D"/>
    <w:rPr>
      <w:sz w:val="24"/>
      <w:szCs w:val="24"/>
    </w:rPr>
  </w:style>
  <w:style w:type="paragraph" w:styleId="af3">
    <w:name w:val="Normal (Web)"/>
    <w:basedOn w:val="a"/>
    <w:uiPriority w:val="99"/>
    <w:unhideWhenUsed/>
    <w:rsid w:val="003D53FA"/>
    <w:pPr>
      <w:spacing w:before="100" w:beforeAutospacing="1" w:after="100" w:afterAutospacing="1"/>
    </w:pPr>
  </w:style>
  <w:style w:type="character" w:customStyle="1" w:styleId="a4">
    <w:name w:val="Заголовок Знак"/>
    <w:basedOn w:val="a0"/>
    <w:link w:val="a3"/>
    <w:rsid w:val="003D53FA"/>
    <w:rPr>
      <w:b/>
      <w:bCs/>
      <w:sz w:val="28"/>
      <w:szCs w:val="24"/>
    </w:rPr>
  </w:style>
  <w:style w:type="character" w:customStyle="1" w:styleId="af4">
    <w:name w:val="Основной текст_"/>
    <w:link w:val="11"/>
    <w:rsid w:val="002058F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2058F6"/>
    <w:pPr>
      <w:shd w:val="clear" w:color="auto" w:fill="FFFFFF"/>
      <w:spacing w:before="420" w:line="638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7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1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051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24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67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5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83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32E1-8989-460A-85B7-6A57A000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Резолюція</vt:lpstr>
      <vt:lpstr>Резолюція</vt:lpstr>
    </vt:vector>
  </TitlesOfParts>
  <Company>DFC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Резолюція</dc:title>
  <dc:subject/>
  <dc:creator>kovtun</dc:creator>
  <cp:keywords/>
  <cp:lastModifiedBy>Гончаренко Світлана Володимирівна</cp:lastModifiedBy>
  <cp:revision>2</cp:revision>
  <cp:lastPrinted>2024-03-11T11:28:00Z</cp:lastPrinted>
  <dcterms:created xsi:type="dcterms:W3CDTF">2024-03-13T10:51:00Z</dcterms:created>
  <dcterms:modified xsi:type="dcterms:W3CDTF">2024-03-13T10:51:00Z</dcterms:modified>
</cp:coreProperties>
</file>